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03B5E8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12322">
              <w:rPr>
                <w:rFonts w:ascii="Times New Roman" w:hAnsi="Times New Roman" w:cs="Times New Roman"/>
                <w:b/>
                <w:color w:val="auto"/>
                <w:sz w:val="48"/>
              </w:rPr>
              <w:t>Lloyd Pugh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894562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12322">
              <w:rPr>
                <w:rFonts w:ascii="Times New Roman" w:hAnsi="Times New Roman" w:cs="Times New Roman"/>
                <w:b/>
                <w:color w:val="auto"/>
                <w:sz w:val="48"/>
              </w:rPr>
              <w:t xml:space="preserve"> lloyd.pugh@powys.gov.uk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2181F70" w:rsidR="0085230E" w:rsidRDefault="00912322" w:rsidP="005D3F07">
            <w:pPr>
              <w:overflowPunct/>
              <w:autoSpaceDE/>
              <w:autoSpaceDN/>
              <w:adjustRightInd/>
              <w:ind w:right="-957"/>
              <w:textAlignment w:val="auto"/>
              <w:rPr>
                <w:rFonts w:ascii="Times New Roman" w:hAnsi="Times New Roman" w:cs="Times New Roman"/>
                <w:b/>
                <w:color w:val="auto"/>
                <w:sz w:val="48"/>
              </w:rPr>
            </w:pPr>
            <w:r w:rsidRPr="00912322">
              <w:rPr>
                <w:rFonts w:ascii="Times New Roman" w:hAnsi="Times New Roman" w:cs="Times New Roman"/>
                <w:b/>
                <w:color w:val="auto"/>
                <w:sz w:val="48"/>
              </w:rPr>
              <w:t>2417951</w:t>
            </w:r>
          </w:p>
          <w:p w14:paraId="3F77E11E" w14:textId="77777777" w:rsidR="00652FCA" w:rsidRPr="005D3F07" w:rsidRDefault="00652FCA"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Pr="00B96994" w:rsidRDefault="00BB7FD2" w:rsidP="00FF7EBB">
            <w:pPr>
              <w:jc w:val="both"/>
              <w:rPr>
                <w:rFonts w:asciiTheme="minorHAnsi" w:hAnsiTheme="minorHAnsi" w:cstheme="minorHAnsi"/>
                <w:sz w:val="24"/>
                <w:szCs w:val="24"/>
              </w:rPr>
            </w:pPr>
            <w:r w:rsidRPr="00B96994">
              <w:rPr>
                <w:rFonts w:asciiTheme="minorHAnsi" w:hAnsiTheme="minorHAnsi" w:cstheme="minorHAnsi"/>
                <w:sz w:val="24"/>
                <w:szCs w:val="24"/>
              </w:rPr>
              <w:t xml:space="preserve">In an area </w:t>
            </w:r>
            <w:r w:rsidRPr="00B96994">
              <w:rPr>
                <w:rFonts w:asciiTheme="minorHAnsi" w:hAnsiTheme="minorHAnsi" w:cstheme="minorHAnsi"/>
                <w:b/>
                <w:sz w:val="24"/>
                <w:szCs w:val="24"/>
              </w:rPr>
              <w:t xml:space="preserve">that is not your </w:t>
            </w:r>
            <w:proofErr w:type="gramStart"/>
            <w:r w:rsidRPr="00B96994">
              <w:rPr>
                <w:rFonts w:asciiTheme="minorHAnsi" w:hAnsiTheme="minorHAnsi" w:cstheme="minorHAnsi"/>
                <w:b/>
                <w:sz w:val="24"/>
                <w:szCs w:val="24"/>
              </w:rPr>
              <w:t>main focus</w:t>
            </w:r>
            <w:proofErr w:type="gramEnd"/>
            <w:r w:rsidRPr="00B96994">
              <w:rPr>
                <w:rFonts w:asciiTheme="minorHAnsi" w:hAnsiTheme="minorHAnsi" w:cstheme="minorHAnsi"/>
                <w:b/>
                <w:sz w:val="24"/>
                <w:szCs w:val="24"/>
              </w:rPr>
              <w:t xml:space="preserve"> of work </w:t>
            </w:r>
            <w:r w:rsidRPr="00B96994">
              <w:rPr>
                <w:rFonts w:asciiTheme="minorHAnsi" w:hAnsiTheme="minorHAnsi" w:cstheme="minorHAnsi"/>
                <w:sz w:val="24"/>
                <w:szCs w:val="24"/>
              </w:rPr>
              <w:t xml:space="preserve">(see guidance above), </w:t>
            </w:r>
            <w:r w:rsidR="0002440E" w:rsidRPr="00B96994">
              <w:rPr>
                <w:rFonts w:asciiTheme="minorHAnsi" w:hAnsiTheme="minorHAnsi" w:cstheme="minorHAnsi"/>
                <w:sz w:val="24"/>
                <w:szCs w:val="24"/>
              </w:rPr>
              <w:t>explain</w:t>
            </w:r>
            <w:r w:rsidR="008340BA" w:rsidRPr="00B96994">
              <w:rPr>
                <w:rFonts w:asciiTheme="minorHAnsi" w:hAnsiTheme="minorHAnsi" w:cstheme="minorHAnsi"/>
                <w:sz w:val="24"/>
                <w:szCs w:val="24"/>
              </w:rPr>
              <w:t xml:space="preserve"> </w:t>
            </w:r>
            <w:r w:rsidR="00DA22EC" w:rsidRPr="00B96994">
              <w:rPr>
                <w:rFonts w:asciiTheme="minorHAnsi" w:hAnsiTheme="minorHAnsi" w:cstheme="minorHAnsi"/>
                <w:sz w:val="24"/>
                <w:szCs w:val="24"/>
              </w:rPr>
              <w:t>the</w:t>
            </w:r>
            <w:r w:rsidR="005A545C" w:rsidRPr="00B96994">
              <w:rPr>
                <w:rFonts w:asciiTheme="minorHAnsi" w:hAnsiTheme="minorHAnsi" w:cstheme="minorHAnsi"/>
                <w:sz w:val="24"/>
                <w:szCs w:val="24"/>
              </w:rPr>
              <w:t xml:space="preserve"> relevant </w:t>
            </w:r>
            <w:r w:rsidRPr="00B96994">
              <w:rPr>
                <w:rFonts w:asciiTheme="minorHAnsi" w:hAnsiTheme="minorHAnsi" w:cstheme="minorHAnsi"/>
                <w:sz w:val="24"/>
                <w:szCs w:val="24"/>
              </w:rPr>
              <w:t xml:space="preserve">legislation, </w:t>
            </w:r>
            <w:r w:rsidR="0002440E" w:rsidRPr="00B96994">
              <w:rPr>
                <w:rFonts w:asciiTheme="minorHAnsi" w:hAnsiTheme="minorHAnsi" w:cstheme="minorHAnsi"/>
                <w:sz w:val="24"/>
                <w:szCs w:val="24"/>
              </w:rPr>
              <w:t>and</w:t>
            </w:r>
            <w:r w:rsidR="008340BA" w:rsidRPr="00B96994">
              <w:rPr>
                <w:rFonts w:asciiTheme="minorHAnsi" w:hAnsiTheme="minorHAnsi" w:cstheme="minorHAnsi"/>
                <w:sz w:val="24"/>
                <w:szCs w:val="24"/>
              </w:rPr>
              <w:t xml:space="preserve"> the </w:t>
            </w:r>
            <w:r w:rsidR="005A545C" w:rsidRPr="00B96994">
              <w:rPr>
                <w:rFonts w:asciiTheme="minorHAnsi" w:hAnsiTheme="minorHAnsi" w:cstheme="minorHAnsi"/>
                <w:sz w:val="24"/>
                <w:szCs w:val="24"/>
              </w:rPr>
              <w:t>national, local and organisational policies and procedures</w:t>
            </w:r>
            <w:r w:rsidRPr="00B96994">
              <w:rPr>
                <w:rFonts w:asciiTheme="minorHAnsi" w:hAnsiTheme="minorHAnsi" w:cstheme="minorHAnsi"/>
                <w:sz w:val="24"/>
                <w:szCs w:val="24"/>
              </w:rPr>
              <w:t xml:space="preserve"> for safeguarding. </w:t>
            </w:r>
          </w:p>
          <w:p w14:paraId="243F5BF8" w14:textId="77777777" w:rsidR="00814776" w:rsidRPr="00B96994" w:rsidRDefault="00814776" w:rsidP="00FF7EBB">
            <w:pPr>
              <w:jc w:val="both"/>
              <w:rPr>
                <w:rFonts w:asciiTheme="minorHAnsi" w:hAnsiTheme="minorHAnsi" w:cstheme="minorHAnsi"/>
                <w:sz w:val="24"/>
                <w:szCs w:val="24"/>
              </w:rPr>
            </w:pPr>
          </w:p>
          <w:p w14:paraId="4FF8EBF3" w14:textId="77777777" w:rsidR="005A545C" w:rsidRPr="00B96994" w:rsidRDefault="005414F4" w:rsidP="00FF7EBB">
            <w:pPr>
              <w:jc w:val="both"/>
              <w:rPr>
                <w:rFonts w:asciiTheme="minorHAnsi" w:hAnsiTheme="minorHAnsi" w:cstheme="minorHAnsi"/>
                <w:sz w:val="24"/>
                <w:szCs w:val="24"/>
              </w:rPr>
            </w:pPr>
            <w:r w:rsidRPr="00B96994">
              <w:rPr>
                <w:rFonts w:asciiTheme="minorHAnsi" w:hAnsiTheme="minorHAnsi" w:cstheme="minorHAnsi"/>
                <w:i/>
                <w:sz w:val="24"/>
                <w:szCs w:val="24"/>
              </w:rPr>
              <w:t>5</w:t>
            </w:r>
            <w:r w:rsidR="00DA22EC" w:rsidRPr="00B96994">
              <w:rPr>
                <w:rFonts w:asciiTheme="minorHAnsi" w:hAnsiTheme="minorHAnsi" w:cstheme="minorHAnsi"/>
                <w:i/>
                <w:sz w:val="24"/>
                <w:szCs w:val="24"/>
              </w:rPr>
              <w:t>00 words</w:t>
            </w:r>
            <w:r w:rsidR="00DA22EC" w:rsidRPr="00B96994">
              <w:rPr>
                <w:rFonts w:asciiTheme="minorHAnsi" w:hAnsiTheme="minorHAnsi" w:cstheme="minorHAnsi"/>
                <w:sz w:val="24"/>
                <w:szCs w:val="24"/>
              </w:rPr>
              <w:t xml:space="preserve"> </w:t>
            </w:r>
            <w:r w:rsidR="008B28E7" w:rsidRPr="00B96994">
              <w:rPr>
                <w:rFonts w:asciiTheme="minorHAnsi" w:hAnsiTheme="minorHAnsi" w:cstheme="minorHAnsi"/>
                <w:sz w:val="24"/>
                <w:szCs w:val="24"/>
              </w:rPr>
              <w:t>(+/- 10%: include your actual word count at the end of each section)</w:t>
            </w:r>
            <w:r w:rsidR="007A628F" w:rsidRPr="00B96994">
              <w:rPr>
                <w:rFonts w:asciiTheme="minorHAnsi" w:hAnsiTheme="minorHAnsi" w:cstheme="minorHAnsi"/>
                <w:sz w:val="24"/>
                <w:szCs w:val="24"/>
              </w:rPr>
              <w:t>.</w:t>
            </w:r>
          </w:p>
          <w:p w14:paraId="14F12F85" w14:textId="77777777" w:rsidR="007A628F" w:rsidRPr="00B96994" w:rsidRDefault="007A628F" w:rsidP="00FF7EBB">
            <w:pPr>
              <w:jc w:val="both"/>
              <w:rPr>
                <w:rFonts w:asciiTheme="minorHAnsi" w:hAnsiTheme="minorHAnsi" w:cstheme="minorHAnsi"/>
                <w:b/>
                <w:sz w:val="24"/>
                <w:szCs w:val="24"/>
              </w:rPr>
            </w:pPr>
          </w:p>
          <w:p w14:paraId="03112CEC" w14:textId="73FC2D5B" w:rsidR="00B96994" w:rsidRDefault="00B96994" w:rsidP="00B96994">
            <w:pPr>
              <w:jc w:val="both"/>
              <w:rPr>
                <w:rFonts w:asciiTheme="minorHAnsi" w:hAnsiTheme="minorHAnsi" w:cstheme="minorHAnsi"/>
                <w:bCs/>
                <w:sz w:val="24"/>
                <w:szCs w:val="24"/>
              </w:rPr>
            </w:pPr>
            <w:r w:rsidRPr="00B96994">
              <w:rPr>
                <w:rFonts w:asciiTheme="minorHAnsi" w:hAnsiTheme="minorHAnsi" w:cstheme="minorHAnsi"/>
                <w:bCs/>
                <w:sz w:val="24"/>
                <w:szCs w:val="24"/>
              </w:rPr>
              <w:t>The Social Services and Wellbeing (Wales) Act 2014 (SSWA 2014) provides the legal framework to improve the well-being of adults and children who are in of need care and support in Wales (Social Care Wales, 2025</w:t>
            </w:r>
            <w:r w:rsidR="0053355C">
              <w:rPr>
                <w:rFonts w:asciiTheme="minorHAnsi" w:hAnsiTheme="minorHAnsi" w:cstheme="minorHAnsi"/>
                <w:bCs/>
                <w:sz w:val="24"/>
                <w:szCs w:val="24"/>
              </w:rPr>
              <w:t>g</w:t>
            </w:r>
            <w:r w:rsidRPr="00B96994">
              <w:rPr>
                <w:rFonts w:asciiTheme="minorHAnsi" w:hAnsiTheme="minorHAnsi" w:cstheme="minorHAnsi"/>
                <w:bCs/>
                <w:sz w:val="24"/>
                <w:szCs w:val="24"/>
              </w:rPr>
              <w:t>). The SSWA 2014, appoints several duties on local authorities in Wales, with many relevant to working primarily with Children.</w:t>
            </w:r>
          </w:p>
          <w:p w14:paraId="16FEA0D2" w14:textId="77777777" w:rsidR="00B96994" w:rsidRPr="00B96994" w:rsidRDefault="00B96994" w:rsidP="00B96994">
            <w:pPr>
              <w:jc w:val="both"/>
              <w:rPr>
                <w:rFonts w:asciiTheme="minorHAnsi" w:hAnsiTheme="minorHAnsi" w:cstheme="minorHAnsi"/>
                <w:bCs/>
                <w:sz w:val="24"/>
                <w:szCs w:val="24"/>
              </w:rPr>
            </w:pPr>
          </w:p>
          <w:p w14:paraId="44F5129B" w14:textId="77777777" w:rsidR="00B96994" w:rsidRDefault="00B96994" w:rsidP="00B96994">
            <w:pPr>
              <w:jc w:val="both"/>
              <w:rPr>
                <w:rFonts w:asciiTheme="minorHAnsi" w:hAnsiTheme="minorHAnsi" w:cstheme="minorHAnsi"/>
                <w:bCs/>
                <w:sz w:val="24"/>
                <w:szCs w:val="24"/>
              </w:rPr>
            </w:pPr>
            <w:r w:rsidRPr="00B96994">
              <w:rPr>
                <w:rFonts w:asciiTheme="minorHAnsi" w:hAnsiTheme="minorHAnsi" w:cstheme="minorHAnsi"/>
                <w:bCs/>
                <w:sz w:val="24"/>
                <w:szCs w:val="24"/>
              </w:rPr>
              <w:t>SSWA 2014, Section 15, places a duty on local authorities to provide preventative services, with the aim to delay and reduce the development of people’s needs for care and support. A part of this aim is the promotion of the upbringing of children by their families where it is consistent of the child’s wellbeing. This element of SSWA replaces provision formerly covered by section 17 of the Children Act 1989, which covers children in need (Welsh Government, 2021a).</w:t>
            </w:r>
          </w:p>
          <w:p w14:paraId="7366E714" w14:textId="77777777" w:rsidR="00B96994" w:rsidRPr="00B96994" w:rsidRDefault="00B96994" w:rsidP="00B96994">
            <w:pPr>
              <w:jc w:val="both"/>
              <w:rPr>
                <w:rFonts w:asciiTheme="minorHAnsi" w:hAnsiTheme="minorHAnsi" w:cstheme="minorHAnsi"/>
                <w:bCs/>
                <w:sz w:val="24"/>
                <w:szCs w:val="24"/>
              </w:rPr>
            </w:pPr>
          </w:p>
          <w:p w14:paraId="08D798FC" w14:textId="77777777" w:rsidR="00B96994" w:rsidRDefault="00B96994" w:rsidP="00B96994">
            <w:pPr>
              <w:jc w:val="both"/>
              <w:rPr>
                <w:rFonts w:asciiTheme="minorHAnsi" w:hAnsiTheme="minorHAnsi" w:cstheme="minorHAnsi"/>
                <w:bCs/>
                <w:sz w:val="24"/>
                <w:szCs w:val="24"/>
              </w:rPr>
            </w:pPr>
            <w:r w:rsidRPr="00B96994">
              <w:rPr>
                <w:rFonts w:asciiTheme="minorHAnsi" w:hAnsiTheme="minorHAnsi" w:cstheme="minorHAnsi"/>
                <w:bCs/>
                <w:sz w:val="24"/>
                <w:szCs w:val="24"/>
              </w:rPr>
              <w:t>The Children Act 1989 applies to both England and Wales, though the SSWA 2014 introduced significant changes for those in Wales. Part III of the Children Act 1989, which contains legislation relating to children in need and looked after children, was repealed in Wales (Cardiff University, 2025). Looked after children are those provided with accommodation by a local authority. These children may be abandoned or have circumstances which prevent them from living with those with parental responsibility. The local authority has a duty under section 76 of the SSWA 2014 to provide these children with accommodation. However, care orders fall under section 31 of the Children Act 1989, which are required to legally place a child in the care of a local authority (Welsh Government, 2022).</w:t>
            </w:r>
          </w:p>
          <w:p w14:paraId="3B4D244B" w14:textId="77777777" w:rsidR="00B96994" w:rsidRPr="00B96994" w:rsidRDefault="00B96994" w:rsidP="00B96994">
            <w:pPr>
              <w:jc w:val="both"/>
              <w:rPr>
                <w:rFonts w:asciiTheme="minorHAnsi" w:hAnsiTheme="minorHAnsi" w:cstheme="minorHAnsi"/>
                <w:bCs/>
                <w:sz w:val="24"/>
                <w:szCs w:val="24"/>
              </w:rPr>
            </w:pPr>
          </w:p>
          <w:p w14:paraId="5214A967" w14:textId="77777777" w:rsidR="00B96994" w:rsidRDefault="00B96994" w:rsidP="00B96994">
            <w:pPr>
              <w:jc w:val="both"/>
              <w:rPr>
                <w:rFonts w:asciiTheme="minorHAnsi" w:hAnsiTheme="minorHAnsi" w:cstheme="minorHAnsi"/>
                <w:bCs/>
                <w:sz w:val="24"/>
                <w:szCs w:val="24"/>
              </w:rPr>
            </w:pPr>
            <w:r w:rsidRPr="00B96994">
              <w:rPr>
                <w:rFonts w:asciiTheme="minorHAnsi" w:hAnsiTheme="minorHAnsi" w:cstheme="minorHAnsi"/>
                <w:bCs/>
                <w:sz w:val="24"/>
                <w:szCs w:val="24"/>
              </w:rPr>
              <w:t xml:space="preserve">The responsibility of safeguarding children in Wales’s welfare, primarily lies with local authorities. Section 28 of the Children Act 2004, enforces a duty to consider the safeguarding of children on local authorities and related bodies such as the police, NHS Trusts and youth offending teams. Part 7 of the SSWA 2014 states local authorities must establish Safeguarding Children Boards comprised of the local authority and related bodies. Section 47 of the Children Act 1989 contain duties which require a local </w:t>
            </w:r>
            <w:r w:rsidRPr="00B96994">
              <w:rPr>
                <w:rFonts w:asciiTheme="minorHAnsi" w:hAnsiTheme="minorHAnsi" w:cstheme="minorHAnsi"/>
                <w:bCs/>
                <w:sz w:val="24"/>
                <w:szCs w:val="24"/>
              </w:rPr>
              <w:lastRenderedPageBreak/>
              <w:t xml:space="preserve">authority to make such enquires as it considers necessary to enable it to decide whether it should take any action to safeguard or promote the child’s welfare (Welsh Government, 2021b). </w:t>
            </w:r>
          </w:p>
          <w:p w14:paraId="4B86BD8B" w14:textId="77777777" w:rsidR="00866D48" w:rsidRPr="00B96994" w:rsidRDefault="00866D48" w:rsidP="00B96994">
            <w:pPr>
              <w:jc w:val="both"/>
              <w:rPr>
                <w:rFonts w:asciiTheme="minorHAnsi" w:hAnsiTheme="minorHAnsi" w:cstheme="minorHAnsi"/>
                <w:bCs/>
                <w:sz w:val="24"/>
                <w:szCs w:val="24"/>
              </w:rPr>
            </w:pPr>
          </w:p>
          <w:p w14:paraId="7DB3B48C" w14:textId="77777777" w:rsidR="00B96994" w:rsidRPr="00B96994" w:rsidRDefault="00B96994" w:rsidP="00B96994">
            <w:pPr>
              <w:jc w:val="both"/>
              <w:rPr>
                <w:rFonts w:asciiTheme="minorHAnsi" w:hAnsiTheme="minorHAnsi" w:cstheme="minorHAnsi"/>
                <w:bCs/>
                <w:sz w:val="24"/>
                <w:szCs w:val="24"/>
              </w:rPr>
            </w:pPr>
            <w:r w:rsidRPr="00B96994">
              <w:rPr>
                <w:rFonts w:asciiTheme="minorHAnsi" w:hAnsiTheme="minorHAnsi" w:cstheme="minorHAnsi"/>
                <w:bCs/>
                <w:sz w:val="24"/>
                <w:szCs w:val="24"/>
              </w:rPr>
              <w:t>The Safeguarding Boards (General) Regulations 2015 identify the lead partner for a Safeguarding Children Board. A Safeguarding Board must publish an annual plan detailing its proposed work for the next year and must publish a report from the previous year. Section 135 of the SSWA 2014 identifies the objectives of a Safeguarding Children Board, which is to protect and prevent children in its area who are experiencing risk, or becoming at risk, of abuse, neglect or other harm (Welsh Government, 2021b).</w:t>
            </w:r>
          </w:p>
          <w:p w14:paraId="722260C8" w14:textId="77777777" w:rsidR="00B96994" w:rsidRPr="00B96994" w:rsidRDefault="00B96994" w:rsidP="00B96994">
            <w:pPr>
              <w:jc w:val="both"/>
              <w:rPr>
                <w:rFonts w:asciiTheme="minorHAnsi" w:hAnsiTheme="minorHAnsi" w:cstheme="minorHAnsi"/>
                <w:bCs/>
                <w:sz w:val="24"/>
                <w:szCs w:val="24"/>
              </w:rPr>
            </w:pPr>
          </w:p>
          <w:p w14:paraId="2BE7D7A9" w14:textId="3E5D668A" w:rsidR="00B96994" w:rsidRDefault="00B96994" w:rsidP="00B96994">
            <w:pPr>
              <w:jc w:val="both"/>
              <w:rPr>
                <w:rFonts w:asciiTheme="minorHAnsi" w:hAnsiTheme="minorHAnsi" w:cstheme="minorHAnsi"/>
                <w:bCs/>
                <w:sz w:val="24"/>
                <w:szCs w:val="24"/>
              </w:rPr>
            </w:pPr>
            <w:r w:rsidRPr="00B96994">
              <w:rPr>
                <w:rFonts w:asciiTheme="minorHAnsi" w:hAnsiTheme="minorHAnsi" w:cstheme="minorHAnsi"/>
                <w:bCs/>
                <w:sz w:val="24"/>
                <w:szCs w:val="24"/>
              </w:rPr>
              <w:t xml:space="preserve">The United Nations Convention on the Rights of the Child (UNCRC) is a </w:t>
            </w:r>
            <w:r w:rsidR="00866D48" w:rsidRPr="00B96994">
              <w:rPr>
                <w:rFonts w:asciiTheme="minorHAnsi" w:hAnsiTheme="minorHAnsi" w:cstheme="minorHAnsi"/>
                <w:bCs/>
                <w:sz w:val="24"/>
                <w:szCs w:val="24"/>
              </w:rPr>
              <w:t>legally binding</w:t>
            </w:r>
            <w:r w:rsidRPr="00B96994">
              <w:rPr>
                <w:rFonts w:asciiTheme="minorHAnsi" w:hAnsiTheme="minorHAnsi" w:cstheme="minorHAnsi"/>
                <w:bCs/>
                <w:sz w:val="24"/>
                <w:szCs w:val="24"/>
              </w:rPr>
              <w:t xml:space="preserve"> international agreement setting out the rights of every child (Children in Wales, 2025). The rights of Children and Young Persons (Wales) Measure 2011 places a duty on Welsh Ministers to have regard for the rights and obligations in the UNCRC when making strategic decisions. Wales became the first country in the UK to integrate the UNCRC into domestic law (Welsh Government, 2024). </w:t>
            </w:r>
          </w:p>
          <w:p w14:paraId="41CA9567" w14:textId="77777777" w:rsidR="00866D48" w:rsidRDefault="00866D48" w:rsidP="00B96994">
            <w:pPr>
              <w:jc w:val="both"/>
              <w:rPr>
                <w:rFonts w:asciiTheme="minorHAnsi" w:hAnsiTheme="minorHAnsi" w:cstheme="minorHAnsi"/>
                <w:bCs/>
                <w:sz w:val="24"/>
                <w:szCs w:val="24"/>
              </w:rPr>
            </w:pPr>
          </w:p>
          <w:p w14:paraId="62B4421F" w14:textId="7D28B6AF" w:rsidR="00814776" w:rsidRPr="00B96994" w:rsidRDefault="00866D48" w:rsidP="00B96994">
            <w:pPr>
              <w:jc w:val="both"/>
              <w:rPr>
                <w:rFonts w:asciiTheme="minorHAnsi" w:hAnsiTheme="minorHAnsi" w:cstheme="minorHAnsi"/>
                <w:bCs/>
                <w:sz w:val="24"/>
                <w:szCs w:val="24"/>
              </w:rPr>
            </w:pPr>
            <w:r>
              <w:rPr>
                <w:rFonts w:asciiTheme="minorHAnsi" w:hAnsiTheme="minorHAnsi" w:cstheme="minorHAnsi"/>
                <w:bCs/>
                <w:sz w:val="24"/>
                <w:szCs w:val="24"/>
              </w:rPr>
              <w:t xml:space="preserve">Word </w:t>
            </w:r>
            <w:r w:rsidR="00A17BF9">
              <w:rPr>
                <w:rFonts w:asciiTheme="minorHAnsi" w:hAnsiTheme="minorHAnsi" w:cstheme="minorHAnsi"/>
                <w:bCs/>
                <w:sz w:val="24"/>
                <w:szCs w:val="24"/>
              </w:rPr>
              <w:t>c</w:t>
            </w:r>
            <w:r>
              <w:rPr>
                <w:rFonts w:asciiTheme="minorHAnsi" w:hAnsiTheme="minorHAnsi" w:cstheme="minorHAnsi"/>
                <w:bCs/>
                <w:sz w:val="24"/>
                <w:szCs w:val="24"/>
              </w:rPr>
              <w:t xml:space="preserve">ount: </w:t>
            </w:r>
            <w:r w:rsidR="00B96994" w:rsidRPr="00B96994">
              <w:rPr>
                <w:rFonts w:asciiTheme="minorHAnsi" w:hAnsiTheme="minorHAnsi" w:cstheme="minorHAnsi"/>
                <w:bCs/>
                <w:sz w:val="24"/>
                <w:szCs w:val="24"/>
              </w:rPr>
              <w:t>52</w:t>
            </w:r>
            <w:r w:rsidR="00E608B7">
              <w:rPr>
                <w:rFonts w:asciiTheme="minorHAnsi" w:hAnsiTheme="minorHAnsi" w:cstheme="minorHAnsi"/>
                <w:bCs/>
                <w:sz w:val="24"/>
                <w:szCs w:val="24"/>
              </w:rPr>
              <w:t>7</w:t>
            </w:r>
          </w:p>
          <w:p w14:paraId="03BD6D93" w14:textId="56AD433A" w:rsidR="00814776" w:rsidRPr="008B28E7" w:rsidRDefault="00814776"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Pr="00F75723" w:rsidRDefault="00FC0334" w:rsidP="00FC0334">
            <w:pPr>
              <w:jc w:val="both"/>
              <w:rPr>
                <w:rFonts w:asciiTheme="minorHAnsi" w:hAnsiTheme="minorHAnsi" w:cstheme="minorHAnsi"/>
                <w:sz w:val="24"/>
                <w:szCs w:val="24"/>
              </w:rPr>
            </w:pPr>
            <w:r w:rsidRPr="00F75723">
              <w:rPr>
                <w:rFonts w:asciiTheme="minorHAnsi" w:hAnsiTheme="minorHAnsi" w:cstheme="minorHAnsi"/>
                <w:sz w:val="24"/>
                <w:szCs w:val="24"/>
              </w:rPr>
              <w:t>Reflect on the difference between safeguarding in adult</w:t>
            </w:r>
            <w:r w:rsidR="00C63CAB" w:rsidRPr="00F75723">
              <w:rPr>
                <w:rFonts w:asciiTheme="minorHAnsi" w:hAnsiTheme="minorHAnsi" w:cstheme="minorHAnsi"/>
                <w:sz w:val="24"/>
                <w:szCs w:val="24"/>
              </w:rPr>
              <w:t>s’</w:t>
            </w:r>
            <w:r w:rsidRPr="00F75723">
              <w:rPr>
                <w:rFonts w:asciiTheme="minorHAnsi" w:hAnsiTheme="minorHAnsi" w:cstheme="minorHAnsi"/>
                <w:sz w:val="24"/>
                <w:szCs w:val="24"/>
              </w:rPr>
              <w:t xml:space="preserve"> and children</w:t>
            </w:r>
            <w:r w:rsidR="007A628F" w:rsidRPr="00F75723">
              <w:rPr>
                <w:rFonts w:asciiTheme="minorHAnsi" w:hAnsiTheme="minorHAnsi" w:cstheme="minorHAnsi"/>
                <w:sz w:val="24"/>
                <w:szCs w:val="24"/>
              </w:rPr>
              <w:t>’s</w:t>
            </w:r>
            <w:r w:rsidRPr="00F75723">
              <w:rPr>
                <w:rFonts w:asciiTheme="minorHAnsi" w:hAnsiTheme="minorHAnsi" w:cstheme="minorHAnsi"/>
                <w:sz w:val="24"/>
                <w:szCs w:val="24"/>
              </w:rPr>
              <w:t xml:space="preserve"> work</w:t>
            </w:r>
          </w:p>
          <w:p w14:paraId="2A218546" w14:textId="77777777" w:rsidR="00866D48" w:rsidRPr="00F75723" w:rsidRDefault="00866D48" w:rsidP="00FC0334">
            <w:pPr>
              <w:jc w:val="both"/>
              <w:rPr>
                <w:rFonts w:asciiTheme="minorHAnsi" w:hAnsiTheme="minorHAnsi" w:cstheme="minorHAnsi"/>
                <w:sz w:val="24"/>
                <w:szCs w:val="24"/>
              </w:rPr>
            </w:pPr>
          </w:p>
          <w:p w14:paraId="6BA3DD84" w14:textId="013D5CE6" w:rsidR="00FC0334" w:rsidRDefault="00FC0334" w:rsidP="00FC0334">
            <w:pPr>
              <w:jc w:val="both"/>
              <w:rPr>
                <w:rFonts w:asciiTheme="minorHAnsi" w:hAnsiTheme="minorHAnsi" w:cstheme="minorHAnsi"/>
                <w:i/>
                <w:sz w:val="24"/>
                <w:szCs w:val="24"/>
              </w:rPr>
            </w:pPr>
            <w:r w:rsidRPr="00F75723">
              <w:rPr>
                <w:rFonts w:asciiTheme="minorHAnsi" w:hAnsiTheme="minorHAnsi" w:cstheme="minorHAnsi"/>
                <w:i/>
                <w:sz w:val="24"/>
                <w:szCs w:val="24"/>
              </w:rPr>
              <w:t>400 words</w:t>
            </w:r>
            <w:r w:rsidRPr="00F75723">
              <w:rPr>
                <w:rFonts w:asciiTheme="minorHAnsi" w:hAnsiTheme="minorHAnsi" w:cstheme="minorHAnsi"/>
                <w:sz w:val="24"/>
                <w:szCs w:val="24"/>
              </w:rPr>
              <w:t xml:space="preserve"> </w:t>
            </w:r>
            <w:r w:rsidRPr="00F75723">
              <w:rPr>
                <w:rFonts w:asciiTheme="minorHAnsi" w:hAnsiTheme="minorHAnsi" w:cstheme="minorHAnsi"/>
                <w:i/>
                <w:sz w:val="24"/>
                <w:szCs w:val="24"/>
              </w:rPr>
              <w:t>(+/- 10%: include your actual word count at the end of each section)</w:t>
            </w:r>
            <w:r w:rsidR="007A628F" w:rsidRPr="00F75723">
              <w:rPr>
                <w:rFonts w:asciiTheme="minorHAnsi" w:hAnsiTheme="minorHAnsi" w:cstheme="minorHAnsi"/>
                <w:i/>
                <w:sz w:val="24"/>
                <w:szCs w:val="24"/>
              </w:rPr>
              <w:t>.</w:t>
            </w:r>
          </w:p>
          <w:p w14:paraId="0E35C2C1" w14:textId="77777777" w:rsidR="00F75723" w:rsidRDefault="00F75723" w:rsidP="00FC0334">
            <w:pPr>
              <w:jc w:val="both"/>
              <w:rPr>
                <w:rFonts w:asciiTheme="minorHAnsi" w:hAnsiTheme="minorHAnsi" w:cstheme="minorHAnsi"/>
                <w:i/>
                <w:sz w:val="24"/>
                <w:szCs w:val="24"/>
              </w:rPr>
            </w:pPr>
          </w:p>
          <w:p w14:paraId="571ACA13" w14:textId="77777777" w:rsidR="00A17BF9" w:rsidRDefault="00A17BF9" w:rsidP="00A17BF9">
            <w:pPr>
              <w:jc w:val="both"/>
              <w:rPr>
                <w:rFonts w:asciiTheme="minorHAnsi" w:hAnsiTheme="minorHAnsi" w:cstheme="minorHAnsi"/>
                <w:iCs/>
                <w:sz w:val="24"/>
                <w:szCs w:val="24"/>
              </w:rPr>
            </w:pPr>
            <w:r w:rsidRPr="00A17BF9">
              <w:rPr>
                <w:rFonts w:asciiTheme="minorHAnsi" w:hAnsiTheme="minorHAnsi" w:cstheme="minorHAnsi"/>
                <w:iCs/>
                <w:sz w:val="24"/>
                <w:szCs w:val="24"/>
              </w:rPr>
              <w:t xml:space="preserve">The Social Services and Wellbeing (Wales) Act 2014 (SSWA 2014) defines an adult at risk as experiencing or at risk of abuse and neglect, has care and support needs, and is unable to protect themselves </w:t>
            </w:r>
            <w:proofErr w:type="gramStart"/>
            <w:r w:rsidRPr="00A17BF9">
              <w:rPr>
                <w:rFonts w:asciiTheme="minorHAnsi" w:hAnsiTheme="minorHAnsi" w:cstheme="minorHAnsi"/>
                <w:iCs/>
                <w:sz w:val="24"/>
                <w:szCs w:val="24"/>
              </w:rPr>
              <w:t>as a result of</w:t>
            </w:r>
            <w:proofErr w:type="gramEnd"/>
            <w:r w:rsidRPr="00A17BF9">
              <w:rPr>
                <w:rFonts w:asciiTheme="minorHAnsi" w:hAnsiTheme="minorHAnsi" w:cstheme="minorHAnsi"/>
                <w:iCs/>
                <w:sz w:val="24"/>
                <w:szCs w:val="24"/>
              </w:rPr>
              <w:t xml:space="preserve"> those needs. Local authorities have a duty to investigate allegations of abuse and neglect (Wales Safer Communities Network, 2025). The SSWA 2021 also has an emphasis of putting the individual at the heart of decisions relating to their care, giving them voice and control (Care Council for Wales, 2017). </w:t>
            </w:r>
          </w:p>
          <w:p w14:paraId="653AC015" w14:textId="77777777" w:rsidR="00A17BF9" w:rsidRPr="00A17BF9" w:rsidRDefault="00A17BF9" w:rsidP="00A17BF9">
            <w:pPr>
              <w:jc w:val="both"/>
              <w:rPr>
                <w:rFonts w:asciiTheme="minorHAnsi" w:hAnsiTheme="minorHAnsi" w:cstheme="minorHAnsi"/>
                <w:iCs/>
                <w:sz w:val="24"/>
                <w:szCs w:val="24"/>
              </w:rPr>
            </w:pPr>
          </w:p>
          <w:p w14:paraId="39C70FB9" w14:textId="77777777" w:rsidR="00A17BF9" w:rsidRPr="00A17BF9" w:rsidRDefault="00A17BF9" w:rsidP="00A17BF9">
            <w:pPr>
              <w:jc w:val="both"/>
              <w:rPr>
                <w:rFonts w:asciiTheme="minorHAnsi" w:hAnsiTheme="minorHAnsi" w:cstheme="minorHAnsi"/>
                <w:iCs/>
                <w:sz w:val="24"/>
                <w:szCs w:val="24"/>
              </w:rPr>
            </w:pPr>
            <w:r w:rsidRPr="00A17BF9">
              <w:rPr>
                <w:rFonts w:asciiTheme="minorHAnsi" w:hAnsiTheme="minorHAnsi" w:cstheme="minorHAnsi"/>
                <w:iCs/>
                <w:sz w:val="24"/>
                <w:szCs w:val="24"/>
              </w:rPr>
              <w:t xml:space="preserve">Article 8, of the Human Rights Act 1998, protects the right for respect for private and family life, though there are exceptions, such as protecting public safety (Equality and Human Rights Commission, 2021). </w:t>
            </w:r>
          </w:p>
          <w:p w14:paraId="24B2F75D" w14:textId="77777777" w:rsidR="00A17BF9" w:rsidRDefault="00A17BF9" w:rsidP="00A17BF9">
            <w:pPr>
              <w:jc w:val="both"/>
              <w:rPr>
                <w:rFonts w:asciiTheme="minorHAnsi" w:hAnsiTheme="minorHAnsi" w:cstheme="minorHAnsi"/>
                <w:iCs/>
                <w:sz w:val="24"/>
                <w:szCs w:val="24"/>
              </w:rPr>
            </w:pPr>
            <w:r w:rsidRPr="00A17BF9">
              <w:rPr>
                <w:rFonts w:asciiTheme="minorHAnsi" w:hAnsiTheme="minorHAnsi" w:cstheme="minorHAnsi"/>
                <w:iCs/>
                <w:sz w:val="24"/>
                <w:szCs w:val="24"/>
              </w:rPr>
              <w:t xml:space="preserve">The Mental Capacity Act 2005 is protective in that mental capacity must be presumed unless proven otherwise, people must receive support to help make decisions, and a person has the right to make unwise decisions (Social Care Institute for Excellence, 2022). Only if assessed as lacking capacity in respect to the decision, can an intervention in a person’s best interests potentially override their wishes. </w:t>
            </w:r>
          </w:p>
          <w:p w14:paraId="6B8F25EB" w14:textId="77777777" w:rsidR="00A17BF9" w:rsidRPr="00A17BF9" w:rsidRDefault="00A17BF9" w:rsidP="00A17BF9">
            <w:pPr>
              <w:jc w:val="both"/>
              <w:rPr>
                <w:rFonts w:asciiTheme="minorHAnsi" w:hAnsiTheme="minorHAnsi" w:cstheme="minorHAnsi"/>
                <w:iCs/>
                <w:sz w:val="24"/>
                <w:szCs w:val="24"/>
              </w:rPr>
            </w:pPr>
          </w:p>
          <w:p w14:paraId="00C86562" w14:textId="2375D68E" w:rsidR="00A17BF9" w:rsidRPr="00A17BF9" w:rsidRDefault="00A17BF9" w:rsidP="00A17BF9">
            <w:pPr>
              <w:jc w:val="both"/>
              <w:rPr>
                <w:rFonts w:asciiTheme="minorHAnsi" w:hAnsiTheme="minorHAnsi" w:cstheme="minorHAnsi"/>
                <w:iCs/>
                <w:sz w:val="24"/>
                <w:szCs w:val="24"/>
              </w:rPr>
            </w:pPr>
            <w:r w:rsidRPr="00A17BF9">
              <w:rPr>
                <w:rFonts w:asciiTheme="minorHAnsi" w:hAnsiTheme="minorHAnsi" w:cstheme="minorHAnsi"/>
                <w:iCs/>
                <w:sz w:val="24"/>
                <w:szCs w:val="24"/>
              </w:rPr>
              <w:t xml:space="preserve">The Mental Capacity Act 2005 does not apply to children under 16. ‘Gillick competence’ is assessed to determine capacity towards decision making, however the focus is primarily concerned </w:t>
            </w:r>
            <w:r w:rsidR="003B4576">
              <w:rPr>
                <w:rFonts w:asciiTheme="minorHAnsi" w:hAnsiTheme="minorHAnsi" w:cstheme="minorHAnsi"/>
                <w:iCs/>
                <w:sz w:val="24"/>
                <w:szCs w:val="24"/>
              </w:rPr>
              <w:t>on a</w:t>
            </w:r>
            <w:r w:rsidRPr="00A17BF9">
              <w:rPr>
                <w:rFonts w:asciiTheme="minorHAnsi" w:hAnsiTheme="minorHAnsi" w:cstheme="minorHAnsi"/>
                <w:iCs/>
                <w:sz w:val="24"/>
                <w:szCs w:val="24"/>
              </w:rPr>
              <w:t xml:space="preserve"> child’s consent to treatment, not the absolute right to make every decision (Care Quality Commission, 2020). </w:t>
            </w:r>
          </w:p>
          <w:p w14:paraId="22E615BA" w14:textId="77777777" w:rsidR="00A17BF9" w:rsidRDefault="00A17BF9" w:rsidP="00A17BF9">
            <w:pPr>
              <w:jc w:val="both"/>
              <w:rPr>
                <w:rFonts w:asciiTheme="minorHAnsi" w:hAnsiTheme="minorHAnsi" w:cstheme="minorHAnsi"/>
                <w:iCs/>
                <w:sz w:val="24"/>
                <w:szCs w:val="24"/>
              </w:rPr>
            </w:pPr>
            <w:r w:rsidRPr="00A17BF9">
              <w:rPr>
                <w:rFonts w:asciiTheme="minorHAnsi" w:hAnsiTheme="minorHAnsi" w:cstheme="minorHAnsi"/>
                <w:iCs/>
                <w:sz w:val="24"/>
                <w:szCs w:val="24"/>
              </w:rPr>
              <w:lastRenderedPageBreak/>
              <w:t xml:space="preserve">Section 130 of SSWA defines a “child at risk” as a child who is experiencing or at risk of abuse, neglect or other kinds of harm, and has needs for care and support (whether the local authority is meeting any of those needs or not). When a child is reported under section 130, the local authority must consider if investigations under section 47 of the Children Act 1989 is necessary. Section 47 necessitates that where a local authority has reasonable cause to suspect that a child is suffering, or likely to suffer, significant harm, the local authority must make enquires to decide whether action is needed to safeguard the child (Welsh Government, 2018). </w:t>
            </w:r>
          </w:p>
          <w:p w14:paraId="4847EB96" w14:textId="77777777" w:rsidR="00A17BF9" w:rsidRPr="00A17BF9" w:rsidRDefault="00A17BF9" w:rsidP="00A17BF9">
            <w:pPr>
              <w:jc w:val="both"/>
              <w:rPr>
                <w:rFonts w:asciiTheme="minorHAnsi" w:hAnsiTheme="minorHAnsi" w:cstheme="minorHAnsi"/>
                <w:iCs/>
                <w:sz w:val="24"/>
                <w:szCs w:val="24"/>
              </w:rPr>
            </w:pPr>
          </w:p>
          <w:p w14:paraId="6FDC5217" w14:textId="77777777" w:rsidR="00A17BF9" w:rsidRDefault="00A17BF9" w:rsidP="00A17BF9">
            <w:pPr>
              <w:jc w:val="both"/>
              <w:rPr>
                <w:rFonts w:asciiTheme="minorHAnsi" w:hAnsiTheme="minorHAnsi" w:cstheme="minorHAnsi"/>
                <w:iCs/>
                <w:sz w:val="24"/>
                <w:szCs w:val="24"/>
              </w:rPr>
            </w:pPr>
            <w:r w:rsidRPr="00A17BF9">
              <w:rPr>
                <w:rFonts w:asciiTheme="minorHAnsi" w:hAnsiTheme="minorHAnsi" w:cstheme="minorHAnsi"/>
                <w:iCs/>
                <w:sz w:val="24"/>
                <w:szCs w:val="24"/>
              </w:rPr>
              <w:t xml:space="preserve">The significance of the legislation, and the rights and duties found within, highlight several differences between safeguarding adults and children. The duty to investigate is prevalent for both, however adults have a greater legal right to self-determination found though voice and control, the right to private life and the protective principles of the Mental Capacity Act 2005. The duty to protect will always legally override the self determination of the child. This allows me to conclude that the child’s welfare is absolute paramount, and powers to intervene stem from a child’s natural vulnerability. </w:t>
            </w:r>
          </w:p>
          <w:p w14:paraId="381FA09C" w14:textId="77777777" w:rsidR="00A17BF9" w:rsidRPr="00A17BF9" w:rsidRDefault="00A17BF9" w:rsidP="00A17BF9">
            <w:pPr>
              <w:jc w:val="both"/>
              <w:rPr>
                <w:rFonts w:asciiTheme="minorHAnsi" w:hAnsiTheme="minorHAnsi" w:cstheme="minorHAnsi"/>
                <w:iCs/>
                <w:sz w:val="24"/>
                <w:szCs w:val="24"/>
              </w:rPr>
            </w:pPr>
          </w:p>
          <w:p w14:paraId="3CCA2D59" w14:textId="2127ED48" w:rsidR="00F75723" w:rsidRPr="00F75723" w:rsidRDefault="00A17BF9" w:rsidP="00A17BF9">
            <w:pPr>
              <w:jc w:val="both"/>
              <w:rPr>
                <w:rFonts w:asciiTheme="minorHAnsi" w:hAnsiTheme="minorHAnsi" w:cstheme="minorHAnsi"/>
                <w:iCs/>
                <w:sz w:val="24"/>
                <w:szCs w:val="24"/>
              </w:rPr>
            </w:pPr>
            <w:r w:rsidRPr="00A17BF9">
              <w:rPr>
                <w:rFonts w:asciiTheme="minorHAnsi" w:hAnsiTheme="minorHAnsi" w:cstheme="minorHAnsi"/>
                <w:iCs/>
                <w:sz w:val="24"/>
                <w:szCs w:val="24"/>
              </w:rPr>
              <w:t xml:space="preserve">Word </w:t>
            </w:r>
            <w:r>
              <w:rPr>
                <w:rFonts w:asciiTheme="minorHAnsi" w:hAnsiTheme="minorHAnsi" w:cstheme="minorHAnsi"/>
                <w:iCs/>
                <w:sz w:val="24"/>
                <w:szCs w:val="24"/>
              </w:rPr>
              <w:t>c</w:t>
            </w:r>
            <w:r w:rsidRPr="00A17BF9">
              <w:rPr>
                <w:rFonts w:asciiTheme="minorHAnsi" w:hAnsiTheme="minorHAnsi" w:cstheme="minorHAnsi"/>
                <w:iCs/>
                <w:sz w:val="24"/>
                <w:szCs w:val="24"/>
              </w:rPr>
              <w:t>ount: 437</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E7004" w14:textId="77777777" w:rsidR="00897793" w:rsidRDefault="00897793">
      <w:r>
        <w:separator/>
      </w:r>
    </w:p>
  </w:endnote>
  <w:endnote w:type="continuationSeparator" w:id="0">
    <w:p w14:paraId="472AD272" w14:textId="77777777" w:rsidR="00897793" w:rsidRDefault="00897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22202" w14:textId="77777777" w:rsidR="00897793" w:rsidRDefault="00897793">
      <w:r>
        <w:separator/>
      </w:r>
    </w:p>
  </w:footnote>
  <w:footnote w:type="continuationSeparator" w:id="0">
    <w:p w14:paraId="45B292F6" w14:textId="77777777" w:rsidR="00897793" w:rsidRDefault="00897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36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4576"/>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4D4D"/>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355C"/>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2FCA"/>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B28"/>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4776"/>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6D48"/>
    <w:rsid w:val="00867A63"/>
    <w:rsid w:val="008708F1"/>
    <w:rsid w:val="00871960"/>
    <w:rsid w:val="0087369F"/>
    <w:rsid w:val="00880539"/>
    <w:rsid w:val="008859E8"/>
    <w:rsid w:val="0088737B"/>
    <w:rsid w:val="00891078"/>
    <w:rsid w:val="00892716"/>
    <w:rsid w:val="00893067"/>
    <w:rsid w:val="008933DE"/>
    <w:rsid w:val="00895FCE"/>
    <w:rsid w:val="00897793"/>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322"/>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BF9"/>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6994"/>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64DB"/>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4CF"/>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8B7"/>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5723"/>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Pugh</cp:lastModifiedBy>
  <cp:revision>15</cp:revision>
  <cp:lastPrinted>2020-02-11T19:20:00Z</cp:lastPrinted>
  <dcterms:created xsi:type="dcterms:W3CDTF">2022-09-29T11:35:00Z</dcterms:created>
  <dcterms:modified xsi:type="dcterms:W3CDTF">2025-10-06T10:18:00Z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