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74CA2" w14:textId="77777777" w:rsidR="00581A32" w:rsidRPr="00AD0E8D" w:rsidRDefault="00581A32" w:rsidP="00581A32">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4283C84E" w14:textId="77777777" w:rsidR="00581A32" w:rsidRDefault="00581A32" w:rsidP="00581A32">
      <w:pPr>
        <w:spacing w:line="360" w:lineRule="auto"/>
        <w:jc w:val="center"/>
        <w:rPr>
          <w:rFonts w:ascii="Arial" w:hAnsi="Arial" w:cs="Arial"/>
          <w:b/>
          <w:bCs/>
          <w:sz w:val="28"/>
          <w:szCs w:val="28"/>
        </w:rPr>
      </w:pPr>
    </w:p>
    <w:p w14:paraId="54A83013" w14:textId="77777777" w:rsidR="00581A32" w:rsidRPr="00AD0E8D" w:rsidRDefault="00581A32" w:rsidP="00581A32">
      <w:pPr>
        <w:spacing w:line="360" w:lineRule="auto"/>
        <w:jc w:val="center"/>
        <w:rPr>
          <w:rFonts w:ascii="Arial" w:hAnsi="Arial" w:cs="Arial"/>
          <w:sz w:val="28"/>
          <w:szCs w:val="28"/>
        </w:rPr>
      </w:pPr>
      <w:r w:rsidRPr="00AD0E8D">
        <w:rPr>
          <w:rFonts w:ascii="Arial" w:hAnsi="Arial" w:cs="Arial"/>
          <w:b/>
          <w:bCs/>
          <w:sz w:val="28"/>
          <w:szCs w:val="28"/>
        </w:rPr>
        <w:t xml:space="preserve">Module: </w:t>
      </w:r>
      <w:r w:rsidRPr="00EA4E75">
        <w:rPr>
          <w:rFonts w:ascii="Arial" w:hAnsi="Arial" w:cs="Arial"/>
          <w:sz w:val="28"/>
          <w:szCs w:val="28"/>
        </w:rPr>
        <w:t>Wellbeing and Sustainable Development</w:t>
      </w:r>
    </w:p>
    <w:p w14:paraId="3BCE9645" w14:textId="73FF2A82" w:rsidR="00581A32" w:rsidRPr="00AD0E8D" w:rsidRDefault="00581A32" w:rsidP="00C76E93">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Pr="00EA4E75">
        <w:rPr>
          <w:rFonts w:ascii="Arial" w:hAnsi="Arial" w:cs="Arial"/>
          <w:sz w:val="28"/>
          <w:szCs w:val="28"/>
        </w:rPr>
        <w:t>Component 2: Written Assignment (Report)</w:t>
      </w:r>
    </w:p>
    <w:p w14:paraId="7F6798CC" w14:textId="77777777" w:rsidR="00581A32" w:rsidRPr="00AD0E8D" w:rsidRDefault="00581A32" w:rsidP="00581A32">
      <w:pPr>
        <w:spacing w:line="360" w:lineRule="auto"/>
        <w:rPr>
          <w:rFonts w:ascii="Arial" w:hAnsi="Arial" w:cs="Arial"/>
          <w:sz w:val="28"/>
          <w:szCs w:val="28"/>
        </w:rPr>
      </w:pPr>
    </w:p>
    <w:p w14:paraId="445DD21B" w14:textId="77777777" w:rsidR="00581A32" w:rsidRPr="00AD0E8D" w:rsidRDefault="00581A32" w:rsidP="00581A32">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Pr>
          <w:rFonts w:ascii="Arial" w:hAnsi="Arial" w:cs="Arial"/>
          <w:sz w:val="28"/>
          <w:szCs w:val="28"/>
        </w:rPr>
        <w:t>2309049</w:t>
      </w:r>
    </w:p>
    <w:p w14:paraId="5E52235C" w14:textId="77777777" w:rsidR="00581A32" w:rsidRPr="00AD0E8D" w:rsidRDefault="00581A32" w:rsidP="00581A32">
      <w:pPr>
        <w:spacing w:line="360" w:lineRule="auto"/>
        <w:rPr>
          <w:rFonts w:ascii="Arial" w:hAnsi="Arial" w:cs="Arial"/>
          <w:sz w:val="28"/>
          <w:szCs w:val="28"/>
        </w:rPr>
      </w:pPr>
    </w:p>
    <w:p w14:paraId="10235A30" w14:textId="77777777" w:rsidR="00581A32" w:rsidRPr="00AD0E8D" w:rsidRDefault="00581A32" w:rsidP="00581A32">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Pr>
          <w:rFonts w:ascii="Arial" w:hAnsi="Arial" w:cs="Arial"/>
          <w:sz w:val="28"/>
          <w:szCs w:val="28"/>
        </w:rPr>
        <w:t>Selma Pacheco</w:t>
      </w:r>
    </w:p>
    <w:p w14:paraId="3747AE24" w14:textId="77777777" w:rsidR="00581A32" w:rsidRPr="00AD0E8D" w:rsidRDefault="00581A32" w:rsidP="00581A32">
      <w:pPr>
        <w:spacing w:line="360" w:lineRule="auto"/>
        <w:rPr>
          <w:rFonts w:ascii="Arial" w:hAnsi="Arial" w:cs="Arial"/>
          <w:sz w:val="28"/>
          <w:szCs w:val="28"/>
        </w:rPr>
      </w:pPr>
    </w:p>
    <w:p w14:paraId="53F07896" w14:textId="51193746" w:rsidR="00581A32" w:rsidRPr="00AD0E8D" w:rsidRDefault="00581A32" w:rsidP="00581A32">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5C7983">
        <w:rPr>
          <w:rFonts w:ascii="Arial" w:hAnsi="Arial" w:cs="Arial"/>
          <w:sz w:val="28"/>
          <w:szCs w:val="28"/>
        </w:rPr>
        <w:t>04/08/2026</w:t>
      </w:r>
    </w:p>
    <w:p w14:paraId="7185B1AA" w14:textId="77777777" w:rsidR="00F519FB" w:rsidRDefault="00F519FB" w:rsidP="007A0B62">
      <w:pPr>
        <w:rPr>
          <w:b/>
          <w:bCs/>
        </w:rPr>
      </w:pPr>
    </w:p>
    <w:p w14:paraId="03AC72B7" w14:textId="77777777" w:rsidR="00581A32" w:rsidRDefault="00581A32" w:rsidP="007A0B62">
      <w:pPr>
        <w:rPr>
          <w:b/>
          <w:bCs/>
        </w:rPr>
      </w:pPr>
    </w:p>
    <w:p w14:paraId="2C2DE1DA" w14:textId="77777777" w:rsidR="00581A32" w:rsidRDefault="00581A32" w:rsidP="007A0B62">
      <w:pPr>
        <w:rPr>
          <w:b/>
          <w:bCs/>
        </w:rPr>
      </w:pPr>
    </w:p>
    <w:p w14:paraId="290275C1" w14:textId="77777777" w:rsidR="00581A32" w:rsidRDefault="00581A32" w:rsidP="007A0B62">
      <w:pPr>
        <w:rPr>
          <w:b/>
          <w:bCs/>
        </w:rPr>
      </w:pPr>
    </w:p>
    <w:p w14:paraId="7AA5D36A" w14:textId="77777777" w:rsidR="00581A32" w:rsidRDefault="00581A32" w:rsidP="007A0B62">
      <w:pPr>
        <w:rPr>
          <w:b/>
          <w:bCs/>
        </w:rPr>
      </w:pPr>
    </w:p>
    <w:p w14:paraId="61ADB993" w14:textId="77777777" w:rsidR="00581A32" w:rsidRDefault="00581A32" w:rsidP="007A0B62">
      <w:pPr>
        <w:rPr>
          <w:b/>
          <w:bCs/>
        </w:rPr>
      </w:pPr>
    </w:p>
    <w:p w14:paraId="1E3CF909" w14:textId="77777777" w:rsidR="00581A32" w:rsidRDefault="00581A32" w:rsidP="007A0B62">
      <w:pPr>
        <w:rPr>
          <w:b/>
          <w:bCs/>
        </w:rPr>
      </w:pPr>
    </w:p>
    <w:p w14:paraId="0DDFECA4" w14:textId="77777777" w:rsidR="00581A32" w:rsidRDefault="00581A32" w:rsidP="007A0B62">
      <w:pPr>
        <w:rPr>
          <w:b/>
          <w:bCs/>
        </w:rPr>
      </w:pPr>
    </w:p>
    <w:p w14:paraId="49136E90" w14:textId="77777777" w:rsidR="00581A32" w:rsidRDefault="00581A32" w:rsidP="007A0B62">
      <w:pPr>
        <w:rPr>
          <w:b/>
          <w:bCs/>
        </w:rPr>
      </w:pPr>
    </w:p>
    <w:p w14:paraId="5B3536CC" w14:textId="77777777" w:rsidR="00581A32" w:rsidRDefault="00581A32" w:rsidP="007A0B62">
      <w:pPr>
        <w:rPr>
          <w:b/>
          <w:bCs/>
        </w:rPr>
      </w:pPr>
    </w:p>
    <w:p w14:paraId="1FA3313B" w14:textId="77777777" w:rsidR="00581A32" w:rsidRDefault="00581A32" w:rsidP="007A0B62">
      <w:pPr>
        <w:rPr>
          <w:b/>
          <w:bCs/>
        </w:rPr>
      </w:pPr>
    </w:p>
    <w:p w14:paraId="07CFE02C" w14:textId="77777777" w:rsidR="00581A32" w:rsidRDefault="00581A32" w:rsidP="007A0B62">
      <w:pPr>
        <w:rPr>
          <w:b/>
          <w:bCs/>
        </w:rPr>
      </w:pPr>
    </w:p>
    <w:p w14:paraId="07780F73" w14:textId="77777777" w:rsidR="00581A32" w:rsidRDefault="00581A32" w:rsidP="007A0B62">
      <w:pPr>
        <w:rPr>
          <w:b/>
          <w:bCs/>
        </w:rPr>
      </w:pPr>
    </w:p>
    <w:p w14:paraId="128D1FB4" w14:textId="77777777" w:rsidR="00F519FB" w:rsidRDefault="00F519FB" w:rsidP="007A0B62">
      <w:pPr>
        <w:rPr>
          <w:b/>
          <w:bCs/>
        </w:rPr>
      </w:pPr>
    </w:p>
    <w:p w14:paraId="1152900F" w14:textId="77777777" w:rsidR="00C76E93" w:rsidRDefault="00C76E93" w:rsidP="00AB5DD6">
      <w:pPr>
        <w:spacing w:line="259" w:lineRule="auto"/>
        <w:rPr>
          <w:b/>
          <w:bCs/>
        </w:rPr>
      </w:pPr>
    </w:p>
    <w:p w14:paraId="7D7DCEA6" w14:textId="1F0EAEBF" w:rsidR="00AB5DD6" w:rsidRPr="00EA4E75" w:rsidRDefault="00AB5DD6" w:rsidP="00AB5DD6">
      <w:pPr>
        <w:spacing w:line="259" w:lineRule="auto"/>
        <w:rPr>
          <w:b/>
          <w:bCs/>
        </w:rPr>
      </w:pPr>
      <w:r w:rsidRPr="00EA4E75">
        <w:rPr>
          <w:b/>
          <w:bCs/>
        </w:rPr>
        <w:lastRenderedPageBreak/>
        <w:t>Table of Contents</w:t>
      </w:r>
    </w:p>
    <w:p w14:paraId="5E6DC232" w14:textId="3945EEFB" w:rsidR="00AB5DD6" w:rsidRPr="00EA4E75" w:rsidRDefault="00AB5DD6" w:rsidP="00AB5DD6">
      <w:pPr>
        <w:numPr>
          <w:ilvl w:val="0"/>
          <w:numId w:val="4"/>
        </w:numPr>
        <w:spacing w:line="259" w:lineRule="auto"/>
      </w:pPr>
      <w:r w:rsidRPr="00EA4E75">
        <w:t>Introductio</w:t>
      </w:r>
      <w:r>
        <w:t>n</w:t>
      </w:r>
    </w:p>
    <w:p w14:paraId="33BFD6CD" w14:textId="3342B2B1" w:rsidR="00AB5DD6" w:rsidRPr="00EA4E75" w:rsidRDefault="00AB5DD6" w:rsidP="00AB5DD6">
      <w:pPr>
        <w:numPr>
          <w:ilvl w:val="0"/>
          <w:numId w:val="4"/>
        </w:numPr>
        <w:spacing w:line="259" w:lineRule="auto"/>
      </w:pPr>
      <w:r w:rsidRPr="00EA4E75">
        <w:t xml:space="preserve">Sustainable Development Goal 3: Good Health and Wellbeing </w:t>
      </w:r>
    </w:p>
    <w:p w14:paraId="61A039C2" w14:textId="724A22C5" w:rsidR="00AB5DD6" w:rsidRPr="00EA4E75" w:rsidRDefault="00AB5DD6" w:rsidP="00AB5DD6">
      <w:pPr>
        <w:numPr>
          <w:ilvl w:val="0"/>
          <w:numId w:val="4"/>
        </w:numPr>
        <w:spacing w:line="259" w:lineRule="auto"/>
      </w:pPr>
      <w:r w:rsidRPr="00EA4E75">
        <w:t>Sustainable Development Goal 4: Quality Education</w:t>
      </w:r>
    </w:p>
    <w:p w14:paraId="5AD4A5A9" w14:textId="0A5E6B2C" w:rsidR="00AB5DD6" w:rsidRPr="00EA4E75" w:rsidRDefault="00AB5DD6" w:rsidP="00AB5DD6">
      <w:pPr>
        <w:numPr>
          <w:ilvl w:val="0"/>
          <w:numId w:val="4"/>
        </w:numPr>
        <w:spacing w:line="259" w:lineRule="auto"/>
      </w:pPr>
      <w:r w:rsidRPr="00EA4E75">
        <w:t xml:space="preserve">National Wellbeing Initiatives </w:t>
      </w:r>
    </w:p>
    <w:p w14:paraId="2AE42A99" w14:textId="7CCBF28D" w:rsidR="00AB5DD6" w:rsidRPr="00EA4E75" w:rsidRDefault="00AB5DD6" w:rsidP="00AB5DD6">
      <w:pPr>
        <w:numPr>
          <w:ilvl w:val="0"/>
          <w:numId w:val="4"/>
        </w:numPr>
        <w:spacing w:line="259" w:lineRule="auto"/>
      </w:pPr>
      <w:r w:rsidRPr="00EA4E75">
        <w:t xml:space="preserve">Local Wellbeing Initiatives </w:t>
      </w:r>
    </w:p>
    <w:p w14:paraId="0E430022" w14:textId="4D2FAAB2" w:rsidR="00AB5DD6" w:rsidRPr="00EA4E75" w:rsidRDefault="00AB5DD6" w:rsidP="00AB5DD6">
      <w:pPr>
        <w:numPr>
          <w:ilvl w:val="0"/>
          <w:numId w:val="4"/>
        </w:numPr>
        <w:spacing w:line="259" w:lineRule="auto"/>
      </w:pPr>
      <w:r w:rsidRPr="00EA4E75">
        <w:t>Conclusion</w:t>
      </w:r>
    </w:p>
    <w:p w14:paraId="3B68D5F1" w14:textId="4F6A4AB3" w:rsidR="00AB5DD6" w:rsidRPr="00EA4E75" w:rsidRDefault="00AB5DD6" w:rsidP="00AB5DD6">
      <w:pPr>
        <w:numPr>
          <w:ilvl w:val="0"/>
          <w:numId w:val="4"/>
        </w:numPr>
        <w:spacing w:line="259" w:lineRule="auto"/>
      </w:pPr>
      <w:r w:rsidRPr="00EA4E75">
        <w:t xml:space="preserve">References </w:t>
      </w:r>
    </w:p>
    <w:p w14:paraId="3FE4643B" w14:textId="77777777" w:rsidR="00AB5DD6" w:rsidRDefault="00AB5DD6" w:rsidP="00AB5DD6"/>
    <w:p w14:paraId="3FA4743E" w14:textId="77777777" w:rsidR="00F519FB" w:rsidRDefault="00F519FB" w:rsidP="007A0B62">
      <w:pPr>
        <w:rPr>
          <w:b/>
          <w:bCs/>
        </w:rPr>
      </w:pPr>
    </w:p>
    <w:p w14:paraId="26416BFD" w14:textId="77777777" w:rsidR="00F519FB" w:rsidRDefault="00F519FB" w:rsidP="007A0B62">
      <w:pPr>
        <w:rPr>
          <w:b/>
          <w:bCs/>
        </w:rPr>
      </w:pPr>
    </w:p>
    <w:p w14:paraId="2E02A748" w14:textId="77777777" w:rsidR="00F519FB" w:rsidRDefault="00F519FB" w:rsidP="007A0B62">
      <w:pPr>
        <w:rPr>
          <w:b/>
          <w:bCs/>
        </w:rPr>
      </w:pPr>
    </w:p>
    <w:p w14:paraId="1E6D7716" w14:textId="77777777" w:rsidR="00F519FB" w:rsidRDefault="00F519FB" w:rsidP="007A0B62">
      <w:pPr>
        <w:rPr>
          <w:b/>
          <w:bCs/>
        </w:rPr>
      </w:pPr>
    </w:p>
    <w:p w14:paraId="4E6D7591" w14:textId="77777777" w:rsidR="00F519FB" w:rsidRDefault="00F519FB" w:rsidP="007A0B62">
      <w:pPr>
        <w:rPr>
          <w:b/>
          <w:bCs/>
        </w:rPr>
      </w:pPr>
    </w:p>
    <w:p w14:paraId="46959F27" w14:textId="77777777" w:rsidR="00F519FB" w:rsidRDefault="00F519FB" w:rsidP="007A0B62">
      <w:pPr>
        <w:rPr>
          <w:b/>
          <w:bCs/>
        </w:rPr>
      </w:pPr>
    </w:p>
    <w:p w14:paraId="38ADD015" w14:textId="77777777" w:rsidR="00F519FB" w:rsidRDefault="00F519FB" w:rsidP="007A0B62">
      <w:pPr>
        <w:rPr>
          <w:b/>
          <w:bCs/>
        </w:rPr>
      </w:pPr>
    </w:p>
    <w:p w14:paraId="51F08A5A" w14:textId="77777777" w:rsidR="00F519FB" w:rsidRDefault="00F519FB" w:rsidP="007A0B62">
      <w:pPr>
        <w:rPr>
          <w:b/>
          <w:bCs/>
        </w:rPr>
      </w:pPr>
    </w:p>
    <w:p w14:paraId="40515921" w14:textId="77777777" w:rsidR="00F519FB" w:rsidRDefault="00F519FB" w:rsidP="007A0B62">
      <w:pPr>
        <w:rPr>
          <w:b/>
          <w:bCs/>
        </w:rPr>
      </w:pPr>
    </w:p>
    <w:p w14:paraId="09288466" w14:textId="77777777" w:rsidR="00F519FB" w:rsidRDefault="00F519FB" w:rsidP="007A0B62">
      <w:pPr>
        <w:rPr>
          <w:b/>
          <w:bCs/>
        </w:rPr>
      </w:pPr>
    </w:p>
    <w:p w14:paraId="341F4A40" w14:textId="77777777" w:rsidR="00F519FB" w:rsidRDefault="00F519FB" w:rsidP="007A0B62">
      <w:pPr>
        <w:rPr>
          <w:b/>
          <w:bCs/>
        </w:rPr>
      </w:pPr>
    </w:p>
    <w:p w14:paraId="7F8D14ED" w14:textId="77777777" w:rsidR="00F519FB" w:rsidRDefault="00F519FB" w:rsidP="007A0B62">
      <w:pPr>
        <w:rPr>
          <w:b/>
          <w:bCs/>
        </w:rPr>
      </w:pPr>
    </w:p>
    <w:p w14:paraId="67A8516D" w14:textId="77777777" w:rsidR="00F519FB" w:rsidRDefault="00F519FB" w:rsidP="007A0B62">
      <w:pPr>
        <w:rPr>
          <w:b/>
          <w:bCs/>
        </w:rPr>
      </w:pPr>
    </w:p>
    <w:p w14:paraId="62D98180" w14:textId="77777777" w:rsidR="00F519FB" w:rsidRDefault="00F519FB" w:rsidP="007A0B62">
      <w:pPr>
        <w:rPr>
          <w:b/>
          <w:bCs/>
        </w:rPr>
      </w:pPr>
    </w:p>
    <w:p w14:paraId="29151394" w14:textId="77777777" w:rsidR="00F519FB" w:rsidRDefault="00F519FB" w:rsidP="007A0B62">
      <w:pPr>
        <w:rPr>
          <w:b/>
          <w:bCs/>
        </w:rPr>
      </w:pPr>
    </w:p>
    <w:p w14:paraId="246F8508" w14:textId="77777777" w:rsidR="00F519FB" w:rsidRDefault="00F519FB" w:rsidP="007A0B62">
      <w:pPr>
        <w:rPr>
          <w:b/>
          <w:bCs/>
        </w:rPr>
      </w:pPr>
    </w:p>
    <w:p w14:paraId="2B9F15AE" w14:textId="77777777" w:rsidR="00F519FB" w:rsidRDefault="00F519FB" w:rsidP="007A0B62">
      <w:pPr>
        <w:rPr>
          <w:b/>
          <w:bCs/>
        </w:rPr>
      </w:pPr>
    </w:p>
    <w:p w14:paraId="62DA96EA" w14:textId="77777777" w:rsidR="00F519FB" w:rsidRDefault="00F519FB" w:rsidP="007A0B62">
      <w:pPr>
        <w:rPr>
          <w:b/>
          <w:bCs/>
        </w:rPr>
      </w:pPr>
    </w:p>
    <w:p w14:paraId="01BA727B" w14:textId="77777777" w:rsidR="00F519FB" w:rsidRDefault="00F519FB" w:rsidP="007A0B62">
      <w:pPr>
        <w:rPr>
          <w:b/>
          <w:bCs/>
        </w:rPr>
      </w:pPr>
    </w:p>
    <w:p w14:paraId="263B09D1" w14:textId="77777777" w:rsidR="00365856" w:rsidRDefault="00365856" w:rsidP="00365856">
      <w:pPr>
        <w:ind w:left="2880" w:firstLine="720"/>
        <w:rPr>
          <w:rFonts w:ascii="Arial" w:hAnsi="Arial" w:cs="Arial"/>
          <w:b/>
          <w:bCs/>
        </w:rPr>
      </w:pPr>
      <w:r w:rsidRPr="00C76E93">
        <w:rPr>
          <w:rFonts w:ascii="Arial" w:hAnsi="Arial" w:cs="Arial"/>
          <w:b/>
          <w:bCs/>
        </w:rPr>
        <w:lastRenderedPageBreak/>
        <w:t>Introduction</w:t>
      </w:r>
    </w:p>
    <w:p w14:paraId="2C018C6D" w14:textId="77777777" w:rsidR="00365856" w:rsidRPr="00C76E93" w:rsidRDefault="00365856" w:rsidP="00365856">
      <w:pPr>
        <w:rPr>
          <w:rFonts w:ascii="Arial" w:hAnsi="Arial" w:cs="Arial"/>
          <w:b/>
          <w:bCs/>
        </w:rPr>
      </w:pPr>
    </w:p>
    <w:p w14:paraId="4C2B39A9" w14:textId="77777777" w:rsidR="007A0B62" w:rsidRPr="00C76E93" w:rsidRDefault="007A0B62" w:rsidP="00711413">
      <w:pPr>
        <w:spacing w:line="360" w:lineRule="auto"/>
        <w:jc w:val="both"/>
        <w:rPr>
          <w:rFonts w:ascii="Arial" w:hAnsi="Arial" w:cs="Arial"/>
        </w:rPr>
      </w:pPr>
      <w:r w:rsidRPr="00C76E93">
        <w:rPr>
          <w:rFonts w:ascii="Arial" w:hAnsi="Arial" w:cs="Arial"/>
        </w:rPr>
        <w:t>Health and wellbeing are central to people’s quality of life and to the long</w:t>
      </w:r>
      <w:r w:rsidRPr="00C76E93">
        <w:rPr>
          <w:rFonts w:ascii="Arial" w:hAnsi="Arial" w:cs="Arial"/>
        </w:rPr>
        <w:noBreakHyphen/>
        <w:t>term sustainability of societies. Although medical progress has helped increase life expectancy across the world, many communities still face challenges such as health inequalities, rising chronic illnesses, mental health pressures and environmental risks (World Health Organization, 2024). To address these issues, the United Nations created the 2030 Agenda for Sustainable Development, which sets out 17 Sustainable Development Goals (SDGs) aimed at tackling global social, economic and environmental problems (United Nations, 2015).</w:t>
      </w:r>
    </w:p>
    <w:p w14:paraId="314FE887" w14:textId="43F7B505" w:rsidR="007A0B62" w:rsidRPr="00C76E93" w:rsidRDefault="007A0B62" w:rsidP="00711413">
      <w:pPr>
        <w:spacing w:line="360" w:lineRule="auto"/>
        <w:jc w:val="both"/>
        <w:rPr>
          <w:rFonts w:ascii="Arial" w:hAnsi="Arial" w:cs="Arial"/>
        </w:rPr>
      </w:pPr>
      <w:r w:rsidRPr="00C76E93">
        <w:rPr>
          <w:rFonts w:ascii="Arial" w:hAnsi="Arial" w:cs="Arial"/>
        </w:rPr>
        <w:t xml:space="preserve">This report explores Sustainable Development Goal 3 (Good Health and Wellbeing) and Sustainable Development Goal 4 (Quality Education), examining how each contributes to improving the health and wellbeing of individuals and communities. It also evaluates two national and two local initiatives in London that support health and sustainable development, assesses </w:t>
      </w:r>
      <w:r w:rsidR="00572A4D" w:rsidRPr="00C76E93">
        <w:rPr>
          <w:rFonts w:ascii="Arial" w:hAnsi="Arial" w:cs="Arial"/>
        </w:rPr>
        <w:t>their effectiveness</w:t>
      </w:r>
      <w:r w:rsidRPr="00C76E93">
        <w:rPr>
          <w:rFonts w:ascii="Arial" w:hAnsi="Arial" w:cs="Arial"/>
        </w:rPr>
        <w:t>, and offers recommendations for future improvement.</w:t>
      </w:r>
    </w:p>
    <w:p w14:paraId="61985E9B" w14:textId="77777777" w:rsidR="007A0B62" w:rsidRPr="004D05DF" w:rsidRDefault="007A0B62" w:rsidP="00711413">
      <w:pPr>
        <w:spacing w:line="360" w:lineRule="auto"/>
        <w:jc w:val="both"/>
        <w:rPr>
          <w:rFonts w:ascii="Arial" w:hAnsi="Arial" w:cs="Arial"/>
          <w:b/>
          <w:bCs/>
        </w:rPr>
      </w:pPr>
      <w:r w:rsidRPr="004D05DF">
        <w:rPr>
          <w:rFonts w:ascii="Arial" w:hAnsi="Arial" w:cs="Arial"/>
          <w:b/>
          <w:bCs/>
        </w:rPr>
        <w:t>2. Sustainable Development Goal 3: Good Health and Wellbeing</w:t>
      </w:r>
    </w:p>
    <w:p w14:paraId="6C1B5E93" w14:textId="32F46A67" w:rsidR="00D34280" w:rsidRPr="00D34280" w:rsidRDefault="00D34280" w:rsidP="00711413">
      <w:pPr>
        <w:spacing w:line="360" w:lineRule="auto"/>
        <w:jc w:val="both"/>
        <w:rPr>
          <w:rFonts w:ascii="Arial" w:hAnsi="Arial" w:cs="Arial"/>
        </w:rPr>
      </w:pPr>
      <w:r w:rsidRPr="00D34280">
        <w:rPr>
          <w:rFonts w:ascii="Arial" w:hAnsi="Arial" w:cs="Arial"/>
        </w:rPr>
        <w:t xml:space="preserve">Sustainable Development Goal 3 (SDG 3) aims to "ensure healthy lives and promote well-being for all at all ages" (United Nations, 2015). It is widely recognised that good health is not only a basic human right but also a key factor in sustainable economic and social development. Healthy populations are more likely to participate in education, employment and community life, while poor health can increase poverty, reduce productivity and place significant pressure on healthcare systems (World Health </w:t>
      </w:r>
      <w:r w:rsidR="000A7912">
        <w:rPr>
          <w:rFonts w:ascii="Arial" w:hAnsi="Arial" w:cs="Arial"/>
        </w:rPr>
        <w:t>Organisation</w:t>
      </w:r>
      <w:r w:rsidRPr="00D34280">
        <w:rPr>
          <w:rFonts w:ascii="Arial" w:hAnsi="Arial" w:cs="Arial"/>
        </w:rPr>
        <w:t xml:space="preserve"> (WHO), 2024). As societies continue to face challenges such as ageing populations, rising </w:t>
      </w:r>
      <w:r w:rsidR="00F70445">
        <w:rPr>
          <w:rFonts w:ascii="Arial" w:hAnsi="Arial" w:cs="Arial"/>
        </w:rPr>
        <w:t>rates of chronic disease and widening health inequalities, SDG 3 provides a crucial framework for addressing these issues in a coordinated,</w:t>
      </w:r>
      <w:r w:rsidRPr="00D34280">
        <w:rPr>
          <w:rFonts w:ascii="Arial" w:hAnsi="Arial" w:cs="Arial"/>
        </w:rPr>
        <w:t xml:space="preserve"> long-term way.</w:t>
      </w:r>
    </w:p>
    <w:p w14:paraId="71081A92" w14:textId="77D0833F" w:rsidR="00D34280" w:rsidRPr="00D34280" w:rsidRDefault="00D34280" w:rsidP="00711413">
      <w:pPr>
        <w:spacing w:line="360" w:lineRule="auto"/>
        <w:jc w:val="both"/>
        <w:rPr>
          <w:rFonts w:ascii="Arial" w:hAnsi="Arial" w:cs="Arial"/>
        </w:rPr>
      </w:pPr>
      <w:r w:rsidRPr="00D34280">
        <w:rPr>
          <w:rFonts w:ascii="Arial" w:hAnsi="Arial" w:cs="Arial"/>
        </w:rPr>
        <w:t xml:space="preserve">SDG 3 </w:t>
      </w:r>
      <w:r w:rsidR="000A7912">
        <w:rPr>
          <w:rFonts w:ascii="Arial" w:hAnsi="Arial" w:cs="Arial"/>
        </w:rPr>
        <w:t>comprises</w:t>
      </w:r>
      <w:r w:rsidRPr="00D34280">
        <w:rPr>
          <w:rFonts w:ascii="Arial" w:hAnsi="Arial" w:cs="Arial"/>
        </w:rPr>
        <w:t xml:space="preserve"> several targets that address both physical and mental health across the lifespan. These include reducing maternal and child mortality, ending epidemics such as HIV/AIDS, tuberculosis and malaria, lowering premature deaths from non-communicable diseases (NCDs), promoting mental health, preventing substance misuse and improving access to sexual and reproductive healthcare (United Nations, </w:t>
      </w:r>
      <w:r w:rsidRPr="00D34280">
        <w:rPr>
          <w:rFonts w:ascii="Arial" w:hAnsi="Arial" w:cs="Arial"/>
        </w:rPr>
        <w:lastRenderedPageBreak/>
        <w:t>2015). The goal also promotes universal health coverage, ensuring that everyone has access to quality healthcare services without experiencing financial hardship (WHO, 2023). This is particularly important in countries where healthcare costs can push families into poverty or prevent individuals from seeking medical help when needed.</w:t>
      </w:r>
    </w:p>
    <w:p w14:paraId="5EF045E7" w14:textId="77777777" w:rsidR="00D34280" w:rsidRPr="00D34280" w:rsidRDefault="00D34280" w:rsidP="00711413">
      <w:pPr>
        <w:spacing w:line="360" w:lineRule="auto"/>
        <w:jc w:val="both"/>
        <w:rPr>
          <w:rFonts w:ascii="Arial" w:hAnsi="Arial" w:cs="Arial"/>
        </w:rPr>
      </w:pPr>
      <w:r w:rsidRPr="00D34280">
        <w:rPr>
          <w:rFonts w:ascii="Arial" w:hAnsi="Arial" w:cs="Arial"/>
        </w:rPr>
        <w:t>Another important aspect of SDG 3 is its focus on strengthening health systems. This includes improving the availability of trained healthcare professionals, investing in medical infrastructure, increasing access to essential medicines and vaccines, and ensuring that health services are delivered in a safe and effective way. Strong health systems are essential for responding to emergencies such as pandemics, natural disasters and disease outbreaks. The COVID-19 pandemic highlighted how fragile health systems can be and demonstrated the importance of global cooperation, investment in public health and equitable access to healthcare resources.</w:t>
      </w:r>
    </w:p>
    <w:p w14:paraId="42B69A4A" w14:textId="77777777" w:rsidR="00D34280" w:rsidRPr="00D34280" w:rsidRDefault="00D34280" w:rsidP="00711413">
      <w:pPr>
        <w:spacing w:line="360" w:lineRule="auto"/>
        <w:jc w:val="both"/>
        <w:rPr>
          <w:rFonts w:ascii="Arial" w:hAnsi="Arial" w:cs="Arial"/>
        </w:rPr>
      </w:pPr>
      <w:r w:rsidRPr="00D34280">
        <w:rPr>
          <w:rFonts w:ascii="Arial" w:hAnsi="Arial" w:cs="Arial"/>
        </w:rPr>
        <w:t>SDG 3 also recognises the influence of environmental and social factors on health. Issues such as air pollution, unsafe housing, climate change, poor sanitation and limited access to clean water can significantly increase the risk of disease and reduce life expectancy. Addressing these challenges requires collaboration across sectors such as transport, housing, education and environmental protection. By acknowledging the links between health and wider social determinants, SDG 3 encourages governments to adopt holistic approaches that improve wellbeing at both individual and community levels.</w:t>
      </w:r>
    </w:p>
    <w:p w14:paraId="7249EDE2" w14:textId="7B06DF08" w:rsidR="00D34280" w:rsidRPr="00D34280" w:rsidRDefault="00D34280" w:rsidP="00711413">
      <w:pPr>
        <w:spacing w:line="360" w:lineRule="auto"/>
        <w:jc w:val="both"/>
        <w:rPr>
          <w:rFonts w:ascii="Arial" w:hAnsi="Arial" w:cs="Arial"/>
        </w:rPr>
      </w:pPr>
      <w:r w:rsidRPr="00D34280">
        <w:rPr>
          <w:rFonts w:ascii="Arial" w:hAnsi="Arial" w:cs="Arial"/>
        </w:rPr>
        <w:t>Overall, SDG 3 provides a comprehensive and forward-looking framework for improving global health outcomes. By focusing on prevention, access to care, mental health and reducing inequalities, it aims to ensure that all individuals</w:t>
      </w:r>
      <w:r w:rsidR="00146021">
        <w:rPr>
          <w:rFonts w:ascii="Arial" w:hAnsi="Arial" w:cs="Arial"/>
        </w:rPr>
        <w:t xml:space="preserve">, regardless of age, income or background, </w:t>
      </w:r>
      <w:r w:rsidRPr="00D34280">
        <w:rPr>
          <w:rFonts w:ascii="Arial" w:hAnsi="Arial" w:cs="Arial"/>
        </w:rPr>
        <w:t>can live healthy, fulfilling lives. Continued commitment to SDG 3 will be essential for building resilient health systems and promoting wellbeing for future generations.</w:t>
      </w:r>
    </w:p>
    <w:p w14:paraId="206BED15" w14:textId="77777777" w:rsidR="007A0B62" w:rsidRDefault="007A0B62" w:rsidP="007A0B62">
      <w:pPr>
        <w:rPr>
          <w:rFonts w:ascii="Arial" w:hAnsi="Arial" w:cs="Arial"/>
          <w:b/>
          <w:bCs/>
        </w:rPr>
      </w:pPr>
      <w:r w:rsidRPr="00C76E93">
        <w:rPr>
          <w:rFonts w:ascii="Arial" w:hAnsi="Arial" w:cs="Arial"/>
          <w:b/>
          <w:bCs/>
        </w:rPr>
        <w:t>3. Sustainable Development Goal 4: Quality Education</w:t>
      </w:r>
    </w:p>
    <w:p w14:paraId="058C961E" w14:textId="77777777" w:rsidR="00B47AF1" w:rsidRPr="004D05DF" w:rsidRDefault="00B47AF1" w:rsidP="00146021">
      <w:pPr>
        <w:spacing w:line="360" w:lineRule="auto"/>
        <w:jc w:val="both"/>
        <w:rPr>
          <w:rFonts w:ascii="Arial" w:hAnsi="Arial" w:cs="Arial"/>
        </w:rPr>
      </w:pPr>
      <w:r w:rsidRPr="004D05DF">
        <w:rPr>
          <w:rFonts w:ascii="Arial" w:hAnsi="Arial" w:cs="Arial"/>
        </w:rPr>
        <w:t xml:space="preserve">Sustainable Development Goal 4 (SDG 4) aims to "ensure inclusive and equitable quality education and promote lifelong learning opportunities for all" (United Nations, 2015). Although education is often viewed as separate from healthcare, research consistently shows that educational attainment has a significant influence on physical health, mental wellbeing and life expectancy (UNESCO, 2024). Individuals with access </w:t>
      </w:r>
      <w:r w:rsidRPr="004D05DF">
        <w:rPr>
          <w:rFonts w:ascii="Arial" w:hAnsi="Arial" w:cs="Arial"/>
        </w:rPr>
        <w:lastRenderedPageBreak/>
        <w:t>to quality education are more likely to make informed health decisions, secure stable employment and achieve higher incomes, all of which contribute to better overall wellbeing. Education also plays a vital role in shaping social mobility, reducing poverty and supporting long-term economic development.</w:t>
      </w:r>
    </w:p>
    <w:p w14:paraId="7D67BC82" w14:textId="28EADD6F" w:rsidR="00B47AF1" w:rsidRPr="004D05DF" w:rsidRDefault="00B47AF1" w:rsidP="00146021">
      <w:pPr>
        <w:spacing w:line="360" w:lineRule="auto"/>
        <w:jc w:val="both"/>
        <w:rPr>
          <w:rFonts w:ascii="Arial" w:hAnsi="Arial" w:cs="Arial"/>
        </w:rPr>
      </w:pPr>
      <w:r w:rsidRPr="004D05DF">
        <w:rPr>
          <w:rFonts w:ascii="Arial" w:hAnsi="Arial" w:cs="Arial"/>
        </w:rPr>
        <w:t>SDG 4 focuses on ensuring that everyone has access to free and inclusive primary and secondary education, increasing participation in further and higher education, improving literacy and numeracy, eliminating gender inequalities and promoting lifelong learning (United Nations, 2015). It also encourages education that develops knowledge of sustainable development, environmental protection, human rights and responsible citizenship. These targets recognise that education equips people with the knowledge and skills needed to improve both individual lives and wider society. In addition, SDG 4 emphasises the importance of safe learning environments, qualified teachers</w:t>
      </w:r>
      <w:r w:rsidR="00580C71">
        <w:rPr>
          <w:rFonts w:ascii="Arial" w:hAnsi="Arial" w:cs="Arial"/>
        </w:rPr>
        <w:t>, and access to digital technology, all of which have</w:t>
      </w:r>
      <w:r w:rsidRPr="004D05DF">
        <w:rPr>
          <w:rFonts w:ascii="Arial" w:hAnsi="Arial" w:cs="Arial"/>
        </w:rPr>
        <w:t xml:space="preserve"> become increasingly important in modern education systems.</w:t>
      </w:r>
    </w:p>
    <w:p w14:paraId="0FB7CF99" w14:textId="77777777" w:rsidR="00B47AF1" w:rsidRPr="004D05DF" w:rsidRDefault="00B47AF1" w:rsidP="00146021">
      <w:pPr>
        <w:spacing w:line="360" w:lineRule="auto"/>
        <w:jc w:val="both"/>
        <w:rPr>
          <w:rFonts w:ascii="Arial" w:hAnsi="Arial" w:cs="Arial"/>
        </w:rPr>
      </w:pPr>
      <w:r w:rsidRPr="004D05DF">
        <w:rPr>
          <w:rFonts w:ascii="Arial" w:hAnsi="Arial" w:cs="Arial"/>
        </w:rPr>
        <w:t>Education contributes to health in several ways. Firstly, it improves health literacy, enabling people to understand health information, access healthcare services and make informed choices about diet, physical activity and disease prevention (World Health Organization, 2025). Individuals with higher levels of education are generally less likely to engage in behaviours that increase health risks, such as smoking or excessive alcohol consumption, and are more likely to participate in preventive healthcare programmes, including vaccinations and health screening (Office for Health Improvement and Disparities, 2023). Education also supports critical thinking skills, which help individuals evaluate health information and make informed decisions.</w:t>
      </w:r>
    </w:p>
    <w:p w14:paraId="19A3EA8A" w14:textId="77777777" w:rsidR="00B47AF1" w:rsidRPr="004D05DF" w:rsidRDefault="00B47AF1" w:rsidP="00146021">
      <w:pPr>
        <w:spacing w:line="360" w:lineRule="auto"/>
        <w:jc w:val="both"/>
        <w:rPr>
          <w:rFonts w:ascii="Arial" w:hAnsi="Arial" w:cs="Arial"/>
        </w:rPr>
      </w:pPr>
      <w:r w:rsidRPr="004D05DF">
        <w:rPr>
          <w:rFonts w:ascii="Arial" w:hAnsi="Arial" w:cs="Arial"/>
        </w:rPr>
        <w:t>The relationship between education and mental wellbeing is equally important. Educational settings provide opportunities for social interaction, personal development and emotional support, all of which contribute to resilience and self-confidence. Schools, colleges and universities increasingly recognise the importance of mental health by providing counselling services, wellbeing programmes and early intervention for students experiencing psychological difficulties (UNESCO, 2024). Such initiatives not only improve academic achievement but also help reduce the long-term impact of mental health conditions on employment and quality of life.</w:t>
      </w:r>
    </w:p>
    <w:p w14:paraId="40696E53" w14:textId="77777777" w:rsidR="00B47AF1" w:rsidRPr="004D05DF" w:rsidRDefault="00B47AF1" w:rsidP="00146021">
      <w:pPr>
        <w:spacing w:line="360" w:lineRule="auto"/>
        <w:jc w:val="both"/>
        <w:rPr>
          <w:rFonts w:ascii="Arial" w:hAnsi="Arial" w:cs="Arial"/>
        </w:rPr>
      </w:pPr>
      <w:r w:rsidRPr="004D05DF">
        <w:rPr>
          <w:rFonts w:ascii="Arial" w:hAnsi="Arial" w:cs="Arial"/>
        </w:rPr>
        <w:lastRenderedPageBreak/>
        <w:t>Education also plays a central role in reducing health inequalities. According to Marmot et al. (2020), educational opportunities are closely linked to employment, income and housing, which are recognised as key social determinants of health. Individuals with higher educational attainment generally experience greater financial security, improved living conditions and better access to healthcare. In contrast, educational disadvantage can contribute to cycles of poverty, poor health and social exclusion. This demonstrates that improving educational outcomes can have long-term benefits that extend well beyond the classroom.</w:t>
      </w:r>
    </w:p>
    <w:p w14:paraId="27BA36DA" w14:textId="77777777" w:rsidR="00B47AF1" w:rsidRPr="00B47AF1" w:rsidRDefault="00B47AF1" w:rsidP="00146021">
      <w:pPr>
        <w:spacing w:line="360" w:lineRule="auto"/>
        <w:jc w:val="both"/>
        <w:rPr>
          <w:rFonts w:ascii="Arial" w:hAnsi="Arial" w:cs="Arial"/>
          <w:b/>
          <w:bCs/>
        </w:rPr>
      </w:pPr>
      <w:r w:rsidRPr="004D05DF">
        <w:rPr>
          <w:rFonts w:ascii="Arial" w:hAnsi="Arial" w:cs="Arial"/>
        </w:rPr>
        <w:t>Despite global progress, achieving SDG 4 remains challenging. Many communities continue to experience unequal access to quality education due to poverty, disability, discrimination and digital exclusion. The COVID-19 pandemic further widened educational inequalities, particularly among disadvantaged children who had limited access to online learning resources (UNESCO, 2024). In England, regional differences in educational attainment continue to influence future employment opportunities and health outcomes, highlighting the need for targeted support for disadvantaged learners (Department for Education, 2024). Continued investment in inclusive education, digital learning and student wellbeing will be essential if the ambitions of SDG 4 are to be achieved by 2030</w:t>
      </w:r>
      <w:r w:rsidRPr="00B47AF1">
        <w:rPr>
          <w:rFonts w:ascii="Arial" w:hAnsi="Arial" w:cs="Arial"/>
          <w:b/>
          <w:bCs/>
        </w:rPr>
        <w:t>.</w:t>
      </w:r>
    </w:p>
    <w:p w14:paraId="1DF39F4D" w14:textId="77777777" w:rsidR="001C30BD" w:rsidRPr="00C76E93" w:rsidRDefault="001C30BD" w:rsidP="00146021">
      <w:pPr>
        <w:spacing w:line="360" w:lineRule="auto"/>
        <w:jc w:val="both"/>
        <w:rPr>
          <w:rFonts w:ascii="Arial" w:hAnsi="Arial" w:cs="Arial"/>
          <w:b/>
          <w:bCs/>
        </w:rPr>
      </w:pPr>
    </w:p>
    <w:p w14:paraId="57DE0C97" w14:textId="77777777" w:rsidR="007A0B62" w:rsidRDefault="007A0B62" w:rsidP="00146021">
      <w:pPr>
        <w:spacing w:line="360" w:lineRule="auto"/>
        <w:jc w:val="both"/>
        <w:rPr>
          <w:rFonts w:ascii="Arial" w:hAnsi="Arial" w:cs="Arial"/>
          <w:b/>
          <w:bCs/>
        </w:rPr>
      </w:pPr>
      <w:r w:rsidRPr="00C76E93">
        <w:rPr>
          <w:rFonts w:ascii="Arial" w:hAnsi="Arial" w:cs="Arial"/>
          <w:b/>
          <w:bCs/>
        </w:rPr>
        <w:t>5. Local Wellbeing Initiatives</w:t>
      </w:r>
    </w:p>
    <w:p w14:paraId="099A9C3F" w14:textId="77777777" w:rsidR="007857C7" w:rsidRPr="004D05DF" w:rsidRDefault="007857C7" w:rsidP="00146021">
      <w:pPr>
        <w:spacing w:line="360" w:lineRule="auto"/>
        <w:jc w:val="both"/>
        <w:rPr>
          <w:rFonts w:ascii="Arial" w:hAnsi="Arial" w:cs="Arial"/>
        </w:rPr>
      </w:pPr>
      <w:r w:rsidRPr="004D05DF">
        <w:rPr>
          <w:rFonts w:ascii="Arial" w:hAnsi="Arial" w:cs="Arial"/>
        </w:rPr>
        <w:t>National policies play a crucial role in improving population health by addressing both healthcare provision and the wider factors that influence wellbeing. In England, two significant initiatives are the NHS Long Term Plan and the Office for National Statistics (ONS) National Well-being Programme. While both aim to improve quality of life, they differ in their objectives and methods. The NHS Long Term Plan focuses on transforming healthcare delivery, whereas the ONS programme provides evidence that informs public policy and decision-making.</w:t>
      </w:r>
    </w:p>
    <w:p w14:paraId="0B68CD5E" w14:textId="77777777" w:rsidR="007857C7" w:rsidRPr="004D05DF" w:rsidRDefault="007857C7" w:rsidP="00146021">
      <w:pPr>
        <w:spacing w:line="360" w:lineRule="auto"/>
        <w:jc w:val="both"/>
        <w:rPr>
          <w:rFonts w:ascii="Arial" w:hAnsi="Arial" w:cs="Arial"/>
        </w:rPr>
      </w:pPr>
      <w:r w:rsidRPr="004D05DF">
        <w:rPr>
          <w:rFonts w:ascii="Arial" w:hAnsi="Arial" w:cs="Arial"/>
        </w:rPr>
        <w:t xml:space="preserve">The NHS Long Term Plan, published in 2019, outlines a ten-year strategy to improve healthcare services in England (NHS England, 2019). Its priorities include preventing avoidable illness, expanding mental health services, improving cancer survival rates, strengthening community healthcare and reducing health inequalities. The plan also </w:t>
      </w:r>
      <w:r w:rsidRPr="004D05DF">
        <w:rPr>
          <w:rFonts w:ascii="Arial" w:hAnsi="Arial" w:cs="Arial"/>
        </w:rPr>
        <w:lastRenderedPageBreak/>
        <w:t>promotes personalised care and greater use of digital technology, such as virtual consultations and electronic patient records, to improve access to healthcare services.</w:t>
      </w:r>
    </w:p>
    <w:p w14:paraId="4E9B56A1" w14:textId="11A913C7" w:rsidR="007857C7" w:rsidRPr="004D05DF" w:rsidRDefault="007857C7" w:rsidP="00146021">
      <w:pPr>
        <w:spacing w:line="360" w:lineRule="auto"/>
        <w:jc w:val="both"/>
        <w:rPr>
          <w:rFonts w:ascii="Arial" w:hAnsi="Arial" w:cs="Arial"/>
        </w:rPr>
      </w:pPr>
      <w:r w:rsidRPr="004D05DF">
        <w:rPr>
          <w:rFonts w:ascii="Arial" w:hAnsi="Arial" w:cs="Arial"/>
        </w:rPr>
        <w:t>The effectiveness of the NHS Long Term Plan can be seen in several areas. Investment in community mental health services has increased access to support for adults and young people, while expanded screening programmes have contributed to earlier diagnosis of conditions including cancer and cardiovascular disease (NHS England, 2024). The increased use of digital healthcare has also improved convenience for many patients, particularly those living with long-term conditions. However, despite these achievements, the plan has faced considerable challenges. Workforce shortages, rising demand for healthcare, financial pressures</w:t>
      </w:r>
      <w:r w:rsidR="00580C71">
        <w:rPr>
          <w:rFonts w:ascii="Arial" w:hAnsi="Arial" w:cs="Arial"/>
        </w:rPr>
        <w:t xml:space="preserve">, and long waiting lists continue to affect service delivery </w:t>
      </w:r>
      <w:r w:rsidRPr="004D05DF">
        <w:rPr>
          <w:rFonts w:ascii="Arial" w:hAnsi="Arial" w:cs="Arial"/>
        </w:rPr>
        <w:t xml:space="preserve">(The King's Fund, 2024). These issues have </w:t>
      </w:r>
      <w:r w:rsidR="00580C71">
        <w:rPr>
          <w:rFonts w:ascii="Arial" w:hAnsi="Arial" w:cs="Arial"/>
        </w:rPr>
        <w:t xml:space="preserve">slowed implementation and contributed to inequalities in access to care across </w:t>
      </w:r>
      <w:r w:rsidRPr="004D05DF">
        <w:rPr>
          <w:rFonts w:ascii="Arial" w:hAnsi="Arial" w:cs="Arial"/>
        </w:rPr>
        <w:t>regions of England.</w:t>
      </w:r>
    </w:p>
    <w:p w14:paraId="38574345" w14:textId="77777777" w:rsidR="007857C7" w:rsidRPr="004D05DF" w:rsidRDefault="007857C7" w:rsidP="00146021">
      <w:pPr>
        <w:spacing w:line="360" w:lineRule="auto"/>
        <w:jc w:val="both"/>
        <w:rPr>
          <w:rFonts w:ascii="Arial" w:hAnsi="Arial" w:cs="Arial"/>
        </w:rPr>
      </w:pPr>
      <w:r w:rsidRPr="004D05DF">
        <w:rPr>
          <w:rFonts w:ascii="Arial" w:hAnsi="Arial" w:cs="Arial"/>
        </w:rPr>
        <w:t>The Office for National Statistics (ONS) National Well-being Programme provides another important national initiative. Unlike traditional economic measures such as Gross Domestic Product (GDP), the programme measures wellbeing using indicators including life satisfaction, happiness, anxiety, personal relationships, employment, health and environmental quality (Office for National Statistics, 2024). This broader approach recognises that wellbeing is influenced by a combination of social, economic and environmental factors rather than healthcare alone.</w:t>
      </w:r>
    </w:p>
    <w:p w14:paraId="06BC6D4F" w14:textId="77777777" w:rsidR="007857C7" w:rsidRPr="004D05DF" w:rsidRDefault="007857C7" w:rsidP="00146021">
      <w:pPr>
        <w:spacing w:line="360" w:lineRule="auto"/>
        <w:jc w:val="both"/>
        <w:rPr>
          <w:rFonts w:ascii="Arial" w:hAnsi="Arial" w:cs="Arial"/>
        </w:rPr>
      </w:pPr>
      <w:r w:rsidRPr="004D05DF">
        <w:rPr>
          <w:rFonts w:ascii="Arial" w:hAnsi="Arial" w:cs="Arial"/>
        </w:rPr>
        <w:t>The programme has improved understanding of population wellbeing by providing reliable evidence to support government policy and local planning. Public health organisations and local authorities use ONS data to identify inequalities and prioritise interventions for communities most at risk. However, the programme has limitations. Many of its indicators rely on self-reported data, meaning that personal experiences and cultural differences may influence responses. In addition, although the programme identifies areas requiring improvement, it does not directly implement policies or guarantee that identified problems will be addressed.</w:t>
      </w:r>
    </w:p>
    <w:p w14:paraId="05BA2EDE" w14:textId="77777777" w:rsidR="007857C7" w:rsidRPr="004D05DF" w:rsidRDefault="007857C7" w:rsidP="00146021">
      <w:pPr>
        <w:spacing w:line="360" w:lineRule="auto"/>
        <w:jc w:val="both"/>
        <w:rPr>
          <w:rFonts w:ascii="Arial" w:hAnsi="Arial" w:cs="Arial"/>
        </w:rPr>
      </w:pPr>
      <w:r w:rsidRPr="004D05DF">
        <w:rPr>
          <w:rFonts w:ascii="Arial" w:hAnsi="Arial" w:cs="Arial"/>
        </w:rPr>
        <w:t xml:space="preserve">Overall, both initiatives have contributed positively to improving health and wellbeing in England, although neither is sufficient on its own. Greater investment in the NHS workforce, continued expansion of preventive healthcare and improved access to mental health services would strengthen the NHS Long Term Plan. Similarly, closer </w:t>
      </w:r>
      <w:r w:rsidRPr="004D05DF">
        <w:rPr>
          <w:rFonts w:ascii="Arial" w:hAnsi="Arial" w:cs="Arial"/>
        </w:rPr>
        <w:lastRenderedPageBreak/>
        <w:t>collaboration between the ONS, healthcare providers and local authorities could ensure that wellbeing data are translated more effectively into practical policies.</w:t>
      </w:r>
    </w:p>
    <w:p w14:paraId="531302E6" w14:textId="77777777" w:rsidR="00262758" w:rsidRPr="00C76E93" w:rsidRDefault="00262758" w:rsidP="00146021">
      <w:pPr>
        <w:spacing w:line="360" w:lineRule="auto"/>
        <w:jc w:val="both"/>
        <w:rPr>
          <w:rFonts w:ascii="Arial" w:hAnsi="Arial" w:cs="Arial"/>
          <w:b/>
          <w:bCs/>
        </w:rPr>
      </w:pPr>
    </w:p>
    <w:p w14:paraId="61F2A581" w14:textId="77777777" w:rsidR="007A0B62" w:rsidRPr="00C76E93" w:rsidRDefault="007A0B62" w:rsidP="00146021">
      <w:pPr>
        <w:spacing w:line="360" w:lineRule="auto"/>
        <w:jc w:val="both"/>
        <w:rPr>
          <w:rFonts w:ascii="Arial" w:hAnsi="Arial" w:cs="Arial"/>
          <w:b/>
          <w:bCs/>
        </w:rPr>
      </w:pPr>
      <w:r w:rsidRPr="00C76E93">
        <w:rPr>
          <w:rFonts w:ascii="Arial" w:hAnsi="Arial" w:cs="Arial"/>
          <w:b/>
          <w:bCs/>
        </w:rPr>
        <w:t>Conclusion</w:t>
      </w:r>
    </w:p>
    <w:p w14:paraId="34C42D44" w14:textId="54FAD3EE" w:rsidR="007A0B62" w:rsidRPr="00C76E93" w:rsidRDefault="007A0B62" w:rsidP="00146021">
      <w:pPr>
        <w:spacing w:line="360" w:lineRule="auto"/>
        <w:jc w:val="both"/>
        <w:rPr>
          <w:rFonts w:ascii="Arial" w:hAnsi="Arial" w:cs="Arial"/>
        </w:rPr>
      </w:pPr>
      <w:r w:rsidRPr="00C76E93">
        <w:rPr>
          <w:rFonts w:ascii="Arial" w:hAnsi="Arial" w:cs="Arial"/>
        </w:rPr>
        <w:t xml:space="preserve">In conclusion, sustainable development is essential for improving population health and reducing inequalities. This report has shown that </w:t>
      </w:r>
      <w:r w:rsidRPr="004D05DF">
        <w:rPr>
          <w:rFonts w:ascii="Arial" w:hAnsi="Arial" w:cs="Arial"/>
        </w:rPr>
        <w:t>Sustainable Development Goal 3 and Sustainable Development Goal 4</w:t>
      </w:r>
      <w:r w:rsidRPr="00C76E93">
        <w:rPr>
          <w:rFonts w:ascii="Arial" w:hAnsi="Arial" w:cs="Arial"/>
        </w:rPr>
        <w:t xml:space="preserve"> are closely connected, as good health and quality education work together to enhance wellbeing and build stronger communities (United Nations, 2015). The evaluation of national initiatives</w:t>
      </w:r>
      <w:r w:rsidR="004D05DF">
        <w:rPr>
          <w:rFonts w:ascii="Arial" w:hAnsi="Arial" w:cs="Arial"/>
        </w:rPr>
        <w:t xml:space="preserve"> </w:t>
      </w:r>
      <w:r w:rsidRPr="00C76E93">
        <w:rPr>
          <w:rFonts w:ascii="Arial" w:hAnsi="Arial" w:cs="Arial"/>
        </w:rPr>
        <w:t xml:space="preserve">such as the </w:t>
      </w:r>
      <w:r w:rsidRPr="004D05DF">
        <w:rPr>
          <w:rFonts w:ascii="Arial" w:hAnsi="Arial" w:cs="Arial"/>
        </w:rPr>
        <w:t>NHS Long Term Plan</w:t>
      </w:r>
      <w:r w:rsidRPr="00C76E93">
        <w:rPr>
          <w:rFonts w:ascii="Arial" w:hAnsi="Arial" w:cs="Arial"/>
        </w:rPr>
        <w:t xml:space="preserve"> and the </w:t>
      </w:r>
      <w:r w:rsidRPr="004D05DF">
        <w:rPr>
          <w:rFonts w:ascii="Arial" w:hAnsi="Arial" w:cs="Arial"/>
        </w:rPr>
        <w:t>ONS National Well-being Programme</w:t>
      </w:r>
      <w:r w:rsidR="004D05DF">
        <w:rPr>
          <w:rFonts w:ascii="Arial" w:hAnsi="Arial" w:cs="Arial"/>
        </w:rPr>
        <w:t xml:space="preserve"> </w:t>
      </w:r>
      <w:r w:rsidRPr="00C76E93">
        <w:rPr>
          <w:rFonts w:ascii="Arial" w:hAnsi="Arial" w:cs="Arial"/>
        </w:rPr>
        <w:t xml:space="preserve">alongside local initiatives including the </w:t>
      </w:r>
      <w:r w:rsidRPr="004D05DF">
        <w:rPr>
          <w:rFonts w:ascii="Arial" w:hAnsi="Arial" w:cs="Arial"/>
        </w:rPr>
        <w:t>London Health and Care Partnership</w:t>
      </w:r>
      <w:r w:rsidRPr="00C76E93">
        <w:rPr>
          <w:rFonts w:ascii="Arial" w:hAnsi="Arial" w:cs="Arial"/>
        </w:rPr>
        <w:t xml:space="preserve"> and the </w:t>
      </w:r>
      <w:r w:rsidRPr="004D05DF">
        <w:rPr>
          <w:rFonts w:ascii="Arial" w:hAnsi="Arial" w:cs="Arial"/>
        </w:rPr>
        <w:t>London Living Wage</w:t>
      </w:r>
      <w:r w:rsidRPr="00C76E93">
        <w:rPr>
          <w:rFonts w:ascii="Arial" w:hAnsi="Arial" w:cs="Arial"/>
        </w:rPr>
        <w:t xml:space="preserve"> demonstrates meaningful progress. However, challenges such as persistent health inequalities, workforce pressures and financial constraints remain. Achieving the Sustainable Development Goals by 2030 will require sustained investment, stronger cross</w:t>
      </w:r>
      <w:r w:rsidRPr="00C76E93">
        <w:rPr>
          <w:rFonts w:ascii="Arial" w:hAnsi="Arial" w:cs="Arial"/>
        </w:rPr>
        <w:noBreakHyphen/>
        <w:t>sector collaboration and evidence</w:t>
      </w:r>
      <w:r w:rsidRPr="00C76E93">
        <w:rPr>
          <w:rFonts w:ascii="Arial" w:hAnsi="Arial" w:cs="Arial"/>
        </w:rPr>
        <w:noBreakHyphen/>
        <w:t>based policies that address the wider social determinants of health.</w:t>
      </w:r>
    </w:p>
    <w:p w14:paraId="375FE6DF" w14:textId="77777777" w:rsidR="001250C8" w:rsidRDefault="001250C8" w:rsidP="00146021">
      <w:pPr>
        <w:spacing w:line="360" w:lineRule="auto"/>
        <w:jc w:val="both"/>
        <w:rPr>
          <w:rFonts w:ascii="Arial" w:hAnsi="Arial" w:cs="Arial"/>
        </w:rPr>
      </w:pPr>
    </w:p>
    <w:p w14:paraId="3930D240" w14:textId="77777777" w:rsidR="001250C8" w:rsidRDefault="001250C8" w:rsidP="00146021">
      <w:pPr>
        <w:spacing w:line="360" w:lineRule="auto"/>
        <w:jc w:val="both"/>
        <w:rPr>
          <w:rFonts w:ascii="Arial" w:hAnsi="Arial" w:cs="Arial"/>
        </w:rPr>
      </w:pPr>
    </w:p>
    <w:p w14:paraId="642BD7C1" w14:textId="77777777" w:rsidR="001250C8" w:rsidRDefault="001250C8" w:rsidP="00146021">
      <w:pPr>
        <w:spacing w:line="360" w:lineRule="auto"/>
        <w:jc w:val="both"/>
        <w:rPr>
          <w:rFonts w:ascii="Arial" w:hAnsi="Arial" w:cs="Arial"/>
        </w:rPr>
      </w:pPr>
    </w:p>
    <w:p w14:paraId="1C9CE177" w14:textId="77777777" w:rsidR="001250C8" w:rsidRDefault="001250C8" w:rsidP="00146021">
      <w:pPr>
        <w:spacing w:line="360" w:lineRule="auto"/>
        <w:jc w:val="both"/>
        <w:rPr>
          <w:rFonts w:ascii="Arial" w:hAnsi="Arial" w:cs="Arial"/>
        </w:rPr>
      </w:pPr>
    </w:p>
    <w:p w14:paraId="29C3DF5F" w14:textId="77777777" w:rsidR="001250C8" w:rsidRDefault="001250C8" w:rsidP="00146021">
      <w:pPr>
        <w:spacing w:line="360" w:lineRule="auto"/>
        <w:jc w:val="both"/>
        <w:rPr>
          <w:rFonts w:ascii="Arial" w:hAnsi="Arial" w:cs="Arial"/>
        </w:rPr>
      </w:pPr>
    </w:p>
    <w:p w14:paraId="3EE4D76A" w14:textId="77777777" w:rsidR="001250C8" w:rsidRDefault="001250C8" w:rsidP="00146021">
      <w:pPr>
        <w:spacing w:line="360" w:lineRule="auto"/>
        <w:jc w:val="both"/>
        <w:rPr>
          <w:rFonts w:ascii="Arial" w:hAnsi="Arial" w:cs="Arial"/>
        </w:rPr>
      </w:pPr>
    </w:p>
    <w:p w14:paraId="73C67AED" w14:textId="77777777" w:rsidR="001250C8" w:rsidRDefault="001250C8" w:rsidP="00146021">
      <w:pPr>
        <w:spacing w:line="360" w:lineRule="auto"/>
        <w:jc w:val="both"/>
        <w:rPr>
          <w:rFonts w:ascii="Arial" w:hAnsi="Arial" w:cs="Arial"/>
        </w:rPr>
      </w:pPr>
    </w:p>
    <w:p w14:paraId="236EE2C6" w14:textId="77777777" w:rsidR="001250C8" w:rsidRDefault="001250C8" w:rsidP="00146021">
      <w:pPr>
        <w:spacing w:line="360" w:lineRule="auto"/>
        <w:jc w:val="both"/>
        <w:rPr>
          <w:rFonts w:ascii="Arial" w:hAnsi="Arial" w:cs="Arial"/>
        </w:rPr>
      </w:pPr>
    </w:p>
    <w:p w14:paraId="147B0ECE" w14:textId="77777777" w:rsidR="001250C8" w:rsidRDefault="001250C8" w:rsidP="00146021">
      <w:pPr>
        <w:spacing w:line="360" w:lineRule="auto"/>
        <w:jc w:val="both"/>
        <w:rPr>
          <w:rFonts w:ascii="Arial" w:hAnsi="Arial" w:cs="Arial"/>
        </w:rPr>
      </w:pPr>
    </w:p>
    <w:p w14:paraId="51F45214" w14:textId="77777777" w:rsidR="001250C8" w:rsidRDefault="001250C8" w:rsidP="00146021">
      <w:pPr>
        <w:spacing w:line="360" w:lineRule="auto"/>
        <w:jc w:val="both"/>
        <w:rPr>
          <w:rFonts w:ascii="Arial" w:hAnsi="Arial" w:cs="Arial"/>
        </w:rPr>
      </w:pPr>
    </w:p>
    <w:p w14:paraId="32194C77" w14:textId="77777777" w:rsidR="001250C8" w:rsidRDefault="001250C8" w:rsidP="00146021">
      <w:pPr>
        <w:spacing w:line="360" w:lineRule="auto"/>
        <w:jc w:val="both"/>
        <w:rPr>
          <w:rFonts w:ascii="Arial" w:hAnsi="Arial" w:cs="Arial"/>
        </w:rPr>
      </w:pPr>
    </w:p>
    <w:p w14:paraId="0EAEEF98" w14:textId="24FDA7C1" w:rsidR="007A0B62" w:rsidRPr="00C76E93" w:rsidRDefault="007A0B62" w:rsidP="00146021">
      <w:pPr>
        <w:spacing w:line="360" w:lineRule="auto"/>
        <w:jc w:val="both"/>
        <w:rPr>
          <w:rFonts w:ascii="Arial" w:hAnsi="Arial" w:cs="Arial"/>
        </w:rPr>
      </w:pPr>
      <w:r w:rsidRPr="00C76E93">
        <w:rPr>
          <w:rFonts w:ascii="Arial" w:hAnsi="Arial" w:cs="Arial"/>
        </w:rPr>
        <w:t>.</w:t>
      </w:r>
    </w:p>
    <w:p w14:paraId="1AE22166" w14:textId="28DAB94E" w:rsidR="007A0B62" w:rsidRPr="00C76E93" w:rsidRDefault="007A0B62" w:rsidP="007A0B62">
      <w:pPr>
        <w:rPr>
          <w:rFonts w:ascii="Arial" w:hAnsi="Arial" w:cs="Arial"/>
          <w:b/>
          <w:bCs/>
        </w:rPr>
      </w:pPr>
      <w:r w:rsidRPr="00C76E93">
        <w:rPr>
          <w:rFonts w:ascii="Arial" w:hAnsi="Arial" w:cs="Arial"/>
          <w:b/>
          <w:bCs/>
        </w:rPr>
        <w:lastRenderedPageBreak/>
        <w:t xml:space="preserve">References </w:t>
      </w:r>
    </w:p>
    <w:p w14:paraId="702814BA" w14:textId="77777777" w:rsidR="007A0B62" w:rsidRPr="00C76E93" w:rsidRDefault="007A0B62" w:rsidP="007A0B62">
      <w:pPr>
        <w:rPr>
          <w:rFonts w:ascii="Arial" w:hAnsi="Arial" w:cs="Arial"/>
        </w:rPr>
      </w:pPr>
      <w:r w:rsidRPr="00C76E93">
        <w:rPr>
          <w:rFonts w:ascii="Arial" w:hAnsi="Arial" w:cs="Arial"/>
        </w:rPr>
        <w:t xml:space="preserve">Department for Education (2024) </w:t>
      </w:r>
      <w:r w:rsidRPr="00C76E93">
        <w:rPr>
          <w:rFonts w:ascii="Arial" w:hAnsi="Arial" w:cs="Arial"/>
          <w:i/>
          <w:iCs/>
        </w:rPr>
        <w:t>Educational outcomes in England</w:t>
      </w:r>
      <w:r w:rsidRPr="00C76E93">
        <w:rPr>
          <w:rFonts w:ascii="Arial" w:hAnsi="Arial" w:cs="Arial"/>
        </w:rPr>
        <w:t xml:space="preserve">. Available at: https://www.gov.uk/government/organisations/department-for-education </w:t>
      </w:r>
      <w:hyperlink r:id="rId5" w:history="1">
        <w:r w:rsidRPr="00C76E93">
          <w:rPr>
            <w:rStyle w:val="Hyperlink"/>
            <w:rFonts w:ascii="Arial" w:hAnsi="Arial" w:cs="Arial"/>
          </w:rPr>
          <w:t>(gov.uk in Bing)</w:t>
        </w:r>
      </w:hyperlink>
      <w:r w:rsidRPr="00C76E93">
        <w:rPr>
          <w:rFonts w:ascii="Arial" w:hAnsi="Arial" w:cs="Arial"/>
        </w:rPr>
        <w:t xml:space="preserve"> (Accessed: 4 August 2026).</w:t>
      </w:r>
    </w:p>
    <w:p w14:paraId="4CB01922" w14:textId="77777777" w:rsidR="007A0B62" w:rsidRPr="00C76E93" w:rsidRDefault="007A0B62" w:rsidP="007A0B62">
      <w:pPr>
        <w:rPr>
          <w:rFonts w:ascii="Arial" w:hAnsi="Arial" w:cs="Arial"/>
        </w:rPr>
      </w:pPr>
      <w:r w:rsidRPr="00C76E93">
        <w:rPr>
          <w:rFonts w:ascii="Arial" w:hAnsi="Arial" w:cs="Arial"/>
        </w:rPr>
        <w:t xml:space="preserve">Greater London Authority (2024) </w:t>
      </w:r>
      <w:r w:rsidRPr="00C76E93">
        <w:rPr>
          <w:rFonts w:ascii="Arial" w:hAnsi="Arial" w:cs="Arial"/>
          <w:i/>
          <w:iCs/>
        </w:rPr>
        <w:t>Health inequalities in London</w:t>
      </w:r>
      <w:r w:rsidRPr="00C76E93">
        <w:rPr>
          <w:rFonts w:ascii="Arial" w:hAnsi="Arial" w:cs="Arial"/>
        </w:rPr>
        <w:t xml:space="preserve">. Available at: </w:t>
      </w:r>
      <w:hyperlink r:id="rId6" w:history="1">
        <w:r w:rsidRPr="00C76E93">
          <w:rPr>
            <w:rStyle w:val="Hyperlink"/>
            <w:rFonts w:ascii="Arial" w:hAnsi="Arial" w:cs="Arial"/>
          </w:rPr>
          <w:t>https://www.london.gov.uk</w:t>
        </w:r>
      </w:hyperlink>
      <w:r w:rsidRPr="00C76E93">
        <w:rPr>
          <w:rFonts w:ascii="Arial" w:hAnsi="Arial" w:cs="Arial"/>
        </w:rPr>
        <w:t xml:space="preserve"> (Accessed: 4 August 2026).</w:t>
      </w:r>
    </w:p>
    <w:p w14:paraId="1AC1070B" w14:textId="77777777" w:rsidR="007A0B62" w:rsidRPr="00C76E93" w:rsidRDefault="007A0B62" w:rsidP="007A0B62">
      <w:pPr>
        <w:rPr>
          <w:rFonts w:ascii="Arial" w:hAnsi="Arial" w:cs="Arial"/>
        </w:rPr>
      </w:pPr>
      <w:r w:rsidRPr="00C76E93">
        <w:rPr>
          <w:rFonts w:ascii="Arial" w:hAnsi="Arial" w:cs="Arial"/>
        </w:rPr>
        <w:t xml:space="preserve">Living Wage Foundation (2025) </w:t>
      </w:r>
      <w:r w:rsidRPr="00C76E93">
        <w:rPr>
          <w:rFonts w:ascii="Arial" w:hAnsi="Arial" w:cs="Arial"/>
          <w:i/>
          <w:iCs/>
        </w:rPr>
        <w:t>London Living Wage report</w:t>
      </w:r>
      <w:r w:rsidRPr="00C76E93">
        <w:rPr>
          <w:rFonts w:ascii="Arial" w:hAnsi="Arial" w:cs="Arial"/>
        </w:rPr>
        <w:t xml:space="preserve">. Available at: </w:t>
      </w:r>
      <w:hyperlink r:id="rId7" w:history="1">
        <w:r w:rsidRPr="00C76E93">
          <w:rPr>
            <w:rStyle w:val="Hyperlink"/>
            <w:rFonts w:ascii="Arial" w:hAnsi="Arial" w:cs="Arial"/>
          </w:rPr>
          <w:t>https://www.livingwage.org.uk</w:t>
        </w:r>
      </w:hyperlink>
      <w:r w:rsidRPr="00C76E93">
        <w:rPr>
          <w:rFonts w:ascii="Arial" w:hAnsi="Arial" w:cs="Arial"/>
        </w:rPr>
        <w:t xml:space="preserve"> (Accessed: 4 August 2026).</w:t>
      </w:r>
    </w:p>
    <w:p w14:paraId="7A37F4BA" w14:textId="77777777" w:rsidR="007A0B62" w:rsidRPr="00C76E93" w:rsidRDefault="007A0B62" w:rsidP="007A0B62">
      <w:pPr>
        <w:rPr>
          <w:rFonts w:ascii="Arial" w:hAnsi="Arial" w:cs="Arial"/>
        </w:rPr>
      </w:pPr>
      <w:r w:rsidRPr="00C76E93">
        <w:rPr>
          <w:rFonts w:ascii="Arial" w:hAnsi="Arial" w:cs="Arial"/>
        </w:rPr>
        <w:t xml:space="preserve">Marmot, M., Allen, J., Boyce, T., Goldblatt, P. and Morrison, J. (2020) </w:t>
      </w:r>
      <w:r w:rsidRPr="00C76E93">
        <w:rPr>
          <w:rFonts w:ascii="Arial" w:hAnsi="Arial" w:cs="Arial"/>
          <w:i/>
          <w:iCs/>
        </w:rPr>
        <w:t>Health equity in England: The Marmot Review 10 years on</w:t>
      </w:r>
      <w:r w:rsidRPr="00C76E93">
        <w:rPr>
          <w:rFonts w:ascii="Arial" w:hAnsi="Arial" w:cs="Arial"/>
        </w:rPr>
        <w:t xml:space="preserve">. Institute of Health Equity. Available at: </w:t>
      </w:r>
      <w:hyperlink r:id="rId8" w:history="1">
        <w:r w:rsidRPr="00C76E93">
          <w:rPr>
            <w:rStyle w:val="Hyperlink"/>
            <w:rFonts w:ascii="Arial" w:hAnsi="Arial" w:cs="Arial"/>
          </w:rPr>
          <w:t>https://www.instituteofhealthequity.org</w:t>
        </w:r>
      </w:hyperlink>
      <w:r w:rsidRPr="00C76E93">
        <w:rPr>
          <w:rFonts w:ascii="Arial" w:hAnsi="Arial" w:cs="Arial"/>
        </w:rPr>
        <w:t xml:space="preserve"> (Accessed: 4 August 2026).</w:t>
      </w:r>
    </w:p>
    <w:p w14:paraId="4FB48B91" w14:textId="77777777" w:rsidR="007A0B62" w:rsidRPr="00C76E93" w:rsidRDefault="007A0B62" w:rsidP="007A0B62">
      <w:pPr>
        <w:rPr>
          <w:rFonts w:ascii="Arial" w:hAnsi="Arial" w:cs="Arial"/>
        </w:rPr>
      </w:pPr>
      <w:r w:rsidRPr="00C76E93">
        <w:rPr>
          <w:rFonts w:ascii="Arial" w:hAnsi="Arial" w:cs="Arial"/>
        </w:rPr>
        <w:t xml:space="preserve">NHS England (2019) </w:t>
      </w:r>
      <w:r w:rsidRPr="00C76E93">
        <w:rPr>
          <w:rFonts w:ascii="Arial" w:hAnsi="Arial" w:cs="Arial"/>
          <w:i/>
          <w:iCs/>
        </w:rPr>
        <w:t>The NHS Long Term Plan</w:t>
      </w:r>
      <w:r w:rsidRPr="00C76E93">
        <w:rPr>
          <w:rFonts w:ascii="Arial" w:hAnsi="Arial" w:cs="Arial"/>
        </w:rPr>
        <w:t xml:space="preserve">. Available at: https://www.longtermplan.nhs.uk </w:t>
      </w:r>
      <w:hyperlink r:id="rId9" w:history="1">
        <w:r w:rsidRPr="00C76E93">
          <w:rPr>
            <w:rStyle w:val="Hyperlink"/>
            <w:rFonts w:ascii="Arial" w:hAnsi="Arial" w:cs="Arial"/>
          </w:rPr>
          <w:t>(longtermplan.nhs.uk in Bing)</w:t>
        </w:r>
      </w:hyperlink>
      <w:r w:rsidRPr="00C76E93">
        <w:rPr>
          <w:rFonts w:ascii="Arial" w:hAnsi="Arial" w:cs="Arial"/>
        </w:rPr>
        <w:t xml:space="preserve"> (Accessed: 4 August 2026).</w:t>
      </w:r>
    </w:p>
    <w:p w14:paraId="5C5B073A" w14:textId="77777777" w:rsidR="007A0B62" w:rsidRPr="00C76E93" w:rsidRDefault="007A0B62" w:rsidP="007A0B62">
      <w:pPr>
        <w:rPr>
          <w:rFonts w:ascii="Arial" w:hAnsi="Arial" w:cs="Arial"/>
        </w:rPr>
      </w:pPr>
      <w:r w:rsidRPr="00C76E93">
        <w:rPr>
          <w:rFonts w:ascii="Arial" w:hAnsi="Arial" w:cs="Arial"/>
        </w:rPr>
        <w:t xml:space="preserve">NHS England (2024) </w:t>
      </w:r>
      <w:r w:rsidRPr="00C76E93">
        <w:rPr>
          <w:rFonts w:ascii="Arial" w:hAnsi="Arial" w:cs="Arial"/>
          <w:i/>
          <w:iCs/>
        </w:rPr>
        <w:t>NHS annual performance report</w:t>
      </w:r>
      <w:r w:rsidRPr="00C76E93">
        <w:rPr>
          <w:rFonts w:ascii="Arial" w:hAnsi="Arial" w:cs="Arial"/>
        </w:rPr>
        <w:t xml:space="preserve">. Available at: </w:t>
      </w:r>
      <w:hyperlink r:id="rId10" w:history="1">
        <w:r w:rsidRPr="00C76E93">
          <w:rPr>
            <w:rStyle w:val="Hyperlink"/>
            <w:rFonts w:ascii="Arial" w:hAnsi="Arial" w:cs="Arial"/>
          </w:rPr>
          <w:t>https://www.england.nhs.uk</w:t>
        </w:r>
      </w:hyperlink>
      <w:r w:rsidRPr="00C76E93">
        <w:rPr>
          <w:rFonts w:ascii="Arial" w:hAnsi="Arial" w:cs="Arial"/>
        </w:rPr>
        <w:t xml:space="preserve"> (Accessed: 4 August 2026).</w:t>
      </w:r>
    </w:p>
    <w:p w14:paraId="2B3115D6" w14:textId="59A73364" w:rsidR="007A0B62" w:rsidRPr="00C76E93" w:rsidRDefault="007A0B62" w:rsidP="007A0B62">
      <w:pPr>
        <w:rPr>
          <w:rFonts w:ascii="Arial" w:hAnsi="Arial" w:cs="Arial"/>
        </w:rPr>
      </w:pPr>
      <w:r w:rsidRPr="00C76E93">
        <w:rPr>
          <w:rFonts w:ascii="Arial" w:hAnsi="Arial" w:cs="Arial"/>
        </w:rPr>
        <w:t xml:space="preserve">Office for Health Improvement and Disparities (2023) </w:t>
      </w:r>
      <w:r w:rsidRPr="00C76E93">
        <w:rPr>
          <w:rFonts w:ascii="Arial" w:hAnsi="Arial" w:cs="Arial"/>
          <w:i/>
          <w:iCs/>
        </w:rPr>
        <w:t>Health literacy and prevention</w:t>
      </w:r>
      <w:r w:rsidRPr="00C76E93">
        <w:rPr>
          <w:rFonts w:ascii="Arial" w:hAnsi="Arial" w:cs="Arial"/>
        </w:rPr>
        <w:t xml:space="preserve">. Available at: https://www.gov.uk/government/organisations/office-for-health-improvement-and-disparities </w:t>
      </w:r>
      <w:hyperlink r:id="rId11" w:history="1">
        <w:r w:rsidRPr="00C76E93">
          <w:rPr>
            <w:rStyle w:val="Hyperlink"/>
            <w:rFonts w:ascii="Arial" w:hAnsi="Arial" w:cs="Arial"/>
          </w:rPr>
          <w:t>(gov.uk in Bing)</w:t>
        </w:r>
      </w:hyperlink>
      <w:r w:rsidRPr="00C76E93">
        <w:rPr>
          <w:rFonts w:ascii="Arial" w:hAnsi="Arial" w:cs="Arial"/>
        </w:rPr>
        <w:t xml:space="preserve"> (Accessed: </w:t>
      </w:r>
      <w:r w:rsidR="004D05DF">
        <w:rPr>
          <w:rFonts w:ascii="Arial" w:hAnsi="Arial" w:cs="Arial"/>
        </w:rPr>
        <w:t xml:space="preserve"> 3 </w:t>
      </w:r>
      <w:r w:rsidRPr="00C76E93">
        <w:rPr>
          <w:rFonts w:ascii="Arial" w:hAnsi="Arial" w:cs="Arial"/>
        </w:rPr>
        <w:t>August 2026).</w:t>
      </w:r>
    </w:p>
    <w:p w14:paraId="151F7D73" w14:textId="094BFD98" w:rsidR="007A0B62" w:rsidRPr="00C76E93" w:rsidRDefault="007A0B62" w:rsidP="007A0B62">
      <w:pPr>
        <w:rPr>
          <w:rFonts w:ascii="Arial" w:hAnsi="Arial" w:cs="Arial"/>
        </w:rPr>
      </w:pPr>
      <w:r w:rsidRPr="00C76E93">
        <w:rPr>
          <w:rFonts w:ascii="Arial" w:hAnsi="Arial" w:cs="Arial"/>
        </w:rPr>
        <w:t xml:space="preserve">Office for National Statistics (2024) </w:t>
      </w:r>
      <w:r w:rsidRPr="00C76E93">
        <w:rPr>
          <w:rFonts w:ascii="Arial" w:hAnsi="Arial" w:cs="Arial"/>
          <w:i/>
          <w:iCs/>
        </w:rPr>
        <w:t>National well-being measures</w:t>
      </w:r>
      <w:r w:rsidRPr="00C76E93">
        <w:rPr>
          <w:rFonts w:ascii="Arial" w:hAnsi="Arial" w:cs="Arial"/>
        </w:rPr>
        <w:t xml:space="preserve">. Available at: </w:t>
      </w:r>
      <w:hyperlink r:id="rId12" w:history="1">
        <w:r w:rsidRPr="00C76E93">
          <w:rPr>
            <w:rStyle w:val="Hyperlink"/>
            <w:rFonts w:ascii="Arial" w:hAnsi="Arial" w:cs="Arial"/>
          </w:rPr>
          <w:t>https://www.ons.gov.uk</w:t>
        </w:r>
      </w:hyperlink>
      <w:r w:rsidRPr="00C76E93">
        <w:rPr>
          <w:rFonts w:ascii="Arial" w:hAnsi="Arial" w:cs="Arial"/>
        </w:rPr>
        <w:t xml:space="preserve"> (Accessed: </w:t>
      </w:r>
      <w:r w:rsidR="004D05DF">
        <w:rPr>
          <w:rFonts w:ascii="Arial" w:hAnsi="Arial" w:cs="Arial"/>
        </w:rPr>
        <w:t xml:space="preserve">3 </w:t>
      </w:r>
      <w:r w:rsidRPr="00C76E93">
        <w:rPr>
          <w:rFonts w:ascii="Arial" w:hAnsi="Arial" w:cs="Arial"/>
        </w:rPr>
        <w:t>August 2026).</w:t>
      </w:r>
    </w:p>
    <w:p w14:paraId="741C5BEC" w14:textId="2DA122EC" w:rsidR="007A0B62" w:rsidRPr="00C76E93" w:rsidRDefault="007A0B62" w:rsidP="007A0B62">
      <w:pPr>
        <w:rPr>
          <w:rFonts w:ascii="Arial" w:hAnsi="Arial" w:cs="Arial"/>
        </w:rPr>
      </w:pPr>
      <w:r w:rsidRPr="00C76E93">
        <w:rPr>
          <w:rFonts w:ascii="Arial" w:hAnsi="Arial" w:cs="Arial"/>
        </w:rPr>
        <w:t xml:space="preserve">Transformation Partners in Health and Care (2025) </w:t>
      </w:r>
      <w:r w:rsidRPr="00C76E93">
        <w:rPr>
          <w:rFonts w:ascii="Arial" w:hAnsi="Arial" w:cs="Arial"/>
          <w:i/>
          <w:iCs/>
        </w:rPr>
        <w:t>London Health and Care Partnership overview</w:t>
      </w:r>
      <w:r w:rsidRPr="00C76E93">
        <w:rPr>
          <w:rFonts w:ascii="Arial" w:hAnsi="Arial" w:cs="Arial"/>
        </w:rPr>
        <w:t xml:space="preserve">. Available at: https://www.transformationpartners.nhs.uk </w:t>
      </w:r>
      <w:hyperlink r:id="rId13" w:history="1">
        <w:r w:rsidRPr="00C76E93">
          <w:rPr>
            <w:rStyle w:val="Hyperlink"/>
            <w:rFonts w:ascii="Arial" w:hAnsi="Arial" w:cs="Arial"/>
          </w:rPr>
          <w:t>(transformationpartners.nhs.uk in Bing)</w:t>
        </w:r>
      </w:hyperlink>
      <w:r w:rsidRPr="00C76E93">
        <w:rPr>
          <w:rFonts w:ascii="Arial" w:hAnsi="Arial" w:cs="Arial"/>
        </w:rPr>
        <w:t xml:space="preserve"> (Accessed: </w:t>
      </w:r>
      <w:proofErr w:type="gramStart"/>
      <w:r w:rsidR="004D05DF">
        <w:rPr>
          <w:rFonts w:ascii="Arial" w:hAnsi="Arial" w:cs="Arial"/>
        </w:rPr>
        <w:t xml:space="preserve">3 </w:t>
      </w:r>
      <w:r w:rsidRPr="00C76E93">
        <w:rPr>
          <w:rFonts w:ascii="Arial" w:hAnsi="Arial" w:cs="Arial"/>
        </w:rPr>
        <w:t xml:space="preserve"> August</w:t>
      </w:r>
      <w:proofErr w:type="gramEnd"/>
      <w:r w:rsidRPr="00C76E93">
        <w:rPr>
          <w:rFonts w:ascii="Arial" w:hAnsi="Arial" w:cs="Arial"/>
        </w:rPr>
        <w:t xml:space="preserve"> 2026).</w:t>
      </w:r>
    </w:p>
    <w:p w14:paraId="7EFF60F2" w14:textId="77777777" w:rsidR="007A0B62" w:rsidRPr="00C76E93" w:rsidRDefault="007A0B62" w:rsidP="007A0B62">
      <w:pPr>
        <w:rPr>
          <w:rFonts w:ascii="Arial" w:hAnsi="Arial" w:cs="Arial"/>
        </w:rPr>
      </w:pPr>
      <w:r w:rsidRPr="00C76E93">
        <w:rPr>
          <w:rFonts w:ascii="Arial" w:hAnsi="Arial" w:cs="Arial"/>
        </w:rPr>
        <w:t xml:space="preserve">UNESCO (2024) </w:t>
      </w:r>
      <w:r w:rsidRPr="00C76E93">
        <w:rPr>
          <w:rFonts w:ascii="Arial" w:hAnsi="Arial" w:cs="Arial"/>
          <w:i/>
          <w:iCs/>
        </w:rPr>
        <w:t>Education and global wellbeing</w:t>
      </w:r>
      <w:r w:rsidRPr="00C76E93">
        <w:rPr>
          <w:rFonts w:ascii="Arial" w:hAnsi="Arial" w:cs="Arial"/>
        </w:rPr>
        <w:t xml:space="preserve">. Available at: </w:t>
      </w:r>
      <w:hyperlink r:id="rId14" w:history="1">
        <w:r w:rsidRPr="00C76E93">
          <w:rPr>
            <w:rStyle w:val="Hyperlink"/>
            <w:rFonts w:ascii="Arial" w:hAnsi="Arial" w:cs="Arial"/>
          </w:rPr>
          <w:t>https://www.unesco.org</w:t>
        </w:r>
      </w:hyperlink>
      <w:r w:rsidRPr="00C76E93">
        <w:rPr>
          <w:rFonts w:ascii="Arial" w:hAnsi="Arial" w:cs="Arial"/>
        </w:rPr>
        <w:t xml:space="preserve"> (Accessed: 4 August 2026).</w:t>
      </w:r>
    </w:p>
    <w:p w14:paraId="263719A1" w14:textId="77777777" w:rsidR="007A0B62" w:rsidRPr="00C76E93" w:rsidRDefault="007A0B62" w:rsidP="007A0B62">
      <w:pPr>
        <w:rPr>
          <w:rFonts w:ascii="Arial" w:hAnsi="Arial" w:cs="Arial"/>
        </w:rPr>
      </w:pPr>
      <w:r w:rsidRPr="00C76E93">
        <w:rPr>
          <w:rFonts w:ascii="Arial" w:hAnsi="Arial" w:cs="Arial"/>
        </w:rPr>
        <w:t xml:space="preserve">United Nations (2015) </w:t>
      </w:r>
      <w:r w:rsidRPr="00C76E93">
        <w:rPr>
          <w:rFonts w:ascii="Arial" w:hAnsi="Arial" w:cs="Arial"/>
          <w:i/>
          <w:iCs/>
        </w:rPr>
        <w:t>Transforming our world: The 2030 Agenda for Sustainable Development</w:t>
      </w:r>
      <w:r w:rsidRPr="00C76E93">
        <w:rPr>
          <w:rFonts w:ascii="Arial" w:hAnsi="Arial" w:cs="Arial"/>
        </w:rPr>
        <w:t xml:space="preserve">. Available at: </w:t>
      </w:r>
      <w:hyperlink r:id="rId15" w:history="1">
        <w:r w:rsidRPr="00C76E93">
          <w:rPr>
            <w:rStyle w:val="Hyperlink"/>
            <w:rFonts w:ascii="Arial" w:hAnsi="Arial" w:cs="Arial"/>
          </w:rPr>
          <w:t>https://sdgs.un.org/2030agenda</w:t>
        </w:r>
      </w:hyperlink>
      <w:r w:rsidRPr="00C76E93">
        <w:rPr>
          <w:rFonts w:ascii="Arial" w:hAnsi="Arial" w:cs="Arial"/>
        </w:rPr>
        <w:t xml:space="preserve"> (Accessed: 4 August 2026).</w:t>
      </w:r>
    </w:p>
    <w:p w14:paraId="2ADEF6C1" w14:textId="77777777" w:rsidR="007A0B62" w:rsidRPr="00C76E93" w:rsidRDefault="007A0B62" w:rsidP="007A0B62">
      <w:pPr>
        <w:rPr>
          <w:rFonts w:ascii="Arial" w:hAnsi="Arial" w:cs="Arial"/>
        </w:rPr>
      </w:pPr>
      <w:r w:rsidRPr="00C76E93">
        <w:rPr>
          <w:rFonts w:ascii="Arial" w:hAnsi="Arial" w:cs="Arial"/>
        </w:rPr>
        <w:t xml:space="preserve">World Health Organization (2023) </w:t>
      </w:r>
      <w:r w:rsidRPr="00C76E93">
        <w:rPr>
          <w:rFonts w:ascii="Arial" w:hAnsi="Arial" w:cs="Arial"/>
          <w:i/>
          <w:iCs/>
        </w:rPr>
        <w:t>Universal health coverage: Key facts</w:t>
      </w:r>
      <w:r w:rsidRPr="00C76E93">
        <w:rPr>
          <w:rFonts w:ascii="Arial" w:hAnsi="Arial" w:cs="Arial"/>
        </w:rPr>
        <w:t xml:space="preserve">. Available at: https://www.who.int/news-room/fact-sheets/detail/universal-health-coverage </w:t>
      </w:r>
      <w:hyperlink r:id="rId16" w:history="1">
        <w:r w:rsidRPr="00C76E93">
          <w:rPr>
            <w:rStyle w:val="Hyperlink"/>
            <w:rFonts w:ascii="Arial" w:hAnsi="Arial" w:cs="Arial"/>
          </w:rPr>
          <w:t>(who.int in Bing)</w:t>
        </w:r>
      </w:hyperlink>
      <w:r w:rsidRPr="00C76E93">
        <w:rPr>
          <w:rFonts w:ascii="Arial" w:hAnsi="Arial" w:cs="Arial"/>
        </w:rPr>
        <w:t xml:space="preserve"> (Accessed: 4 August 2026).</w:t>
      </w:r>
    </w:p>
    <w:p w14:paraId="46AD059B" w14:textId="77777777" w:rsidR="007A0B62" w:rsidRPr="00C76E93" w:rsidRDefault="007A0B62" w:rsidP="007A0B62">
      <w:pPr>
        <w:rPr>
          <w:rFonts w:ascii="Arial" w:hAnsi="Arial" w:cs="Arial"/>
        </w:rPr>
      </w:pPr>
      <w:r w:rsidRPr="00C76E93">
        <w:rPr>
          <w:rFonts w:ascii="Arial" w:hAnsi="Arial" w:cs="Arial"/>
        </w:rPr>
        <w:t xml:space="preserve">World Health Organization (2024) </w:t>
      </w:r>
      <w:r w:rsidRPr="00C76E93">
        <w:rPr>
          <w:rFonts w:ascii="Arial" w:hAnsi="Arial" w:cs="Arial"/>
          <w:i/>
          <w:iCs/>
        </w:rPr>
        <w:t>World health statistics 2024</w:t>
      </w:r>
      <w:r w:rsidRPr="00C76E93">
        <w:rPr>
          <w:rFonts w:ascii="Arial" w:hAnsi="Arial" w:cs="Arial"/>
        </w:rPr>
        <w:t xml:space="preserve">. Available at: https://www.who.int/data/gho/publications/world-health-statistics </w:t>
      </w:r>
      <w:hyperlink r:id="rId17" w:history="1">
        <w:r w:rsidRPr="00C76E93">
          <w:rPr>
            <w:rStyle w:val="Hyperlink"/>
            <w:rFonts w:ascii="Arial" w:hAnsi="Arial" w:cs="Arial"/>
          </w:rPr>
          <w:t>(who.int in Bing)</w:t>
        </w:r>
      </w:hyperlink>
      <w:r w:rsidRPr="00C76E93">
        <w:rPr>
          <w:rFonts w:ascii="Arial" w:hAnsi="Arial" w:cs="Arial"/>
        </w:rPr>
        <w:t xml:space="preserve"> (Accessed: 4 August 2026).</w:t>
      </w:r>
    </w:p>
    <w:p w14:paraId="76BCEDB0" w14:textId="77777777" w:rsidR="007A0B62" w:rsidRPr="00C76E93" w:rsidRDefault="007A0B62" w:rsidP="007A0B62">
      <w:pPr>
        <w:rPr>
          <w:rFonts w:ascii="Arial" w:hAnsi="Arial" w:cs="Arial"/>
        </w:rPr>
      </w:pPr>
      <w:r w:rsidRPr="00C76E93">
        <w:rPr>
          <w:rFonts w:ascii="Arial" w:hAnsi="Arial" w:cs="Arial"/>
        </w:rPr>
        <w:lastRenderedPageBreak/>
        <w:t xml:space="preserve">World Health Organization (2025) </w:t>
      </w:r>
      <w:r w:rsidRPr="00C76E93">
        <w:rPr>
          <w:rFonts w:ascii="Arial" w:hAnsi="Arial" w:cs="Arial"/>
          <w:i/>
          <w:iCs/>
        </w:rPr>
        <w:t>Health literacy and public health guidance</w:t>
      </w:r>
      <w:r w:rsidRPr="00C76E93">
        <w:rPr>
          <w:rFonts w:ascii="Arial" w:hAnsi="Arial" w:cs="Arial"/>
        </w:rPr>
        <w:t xml:space="preserve">. Available at: </w:t>
      </w:r>
      <w:hyperlink r:id="rId18" w:history="1">
        <w:r w:rsidRPr="00C76E93">
          <w:rPr>
            <w:rStyle w:val="Hyperlink"/>
            <w:rFonts w:ascii="Arial" w:hAnsi="Arial" w:cs="Arial"/>
          </w:rPr>
          <w:t>https://www.who.int</w:t>
        </w:r>
      </w:hyperlink>
      <w:r w:rsidRPr="00C76E93">
        <w:rPr>
          <w:rFonts w:ascii="Arial" w:hAnsi="Arial" w:cs="Arial"/>
        </w:rPr>
        <w:t xml:space="preserve"> (Accessed: 4 August 2026).</w:t>
      </w:r>
    </w:p>
    <w:p w14:paraId="52E3624C" w14:textId="77777777" w:rsidR="00CF128E" w:rsidRPr="00C76E93" w:rsidRDefault="00CF128E">
      <w:pPr>
        <w:rPr>
          <w:rFonts w:ascii="Arial" w:hAnsi="Arial" w:cs="Arial"/>
        </w:rPr>
      </w:pPr>
    </w:p>
    <w:sectPr w:rsidR="00CF128E" w:rsidRPr="00C76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26164"/>
    <w:multiLevelType w:val="multilevel"/>
    <w:tmpl w:val="0CDE1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0E26F5"/>
    <w:multiLevelType w:val="multilevel"/>
    <w:tmpl w:val="99B2E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CD5DD4"/>
    <w:multiLevelType w:val="multilevel"/>
    <w:tmpl w:val="A8069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B061C8"/>
    <w:multiLevelType w:val="multilevel"/>
    <w:tmpl w:val="E010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892517">
    <w:abstractNumId w:val="1"/>
  </w:num>
  <w:num w:numId="2" w16cid:durableId="2091846578">
    <w:abstractNumId w:val="2"/>
  </w:num>
  <w:num w:numId="3" w16cid:durableId="380716680">
    <w:abstractNumId w:val="3"/>
  </w:num>
  <w:num w:numId="4" w16cid:durableId="889539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B62"/>
    <w:rsid w:val="000831C8"/>
    <w:rsid w:val="000A7912"/>
    <w:rsid w:val="001250C8"/>
    <w:rsid w:val="00146021"/>
    <w:rsid w:val="001C30BD"/>
    <w:rsid w:val="00262758"/>
    <w:rsid w:val="002E2A99"/>
    <w:rsid w:val="00365856"/>
    <w:rsid w:val="00492997"/>
    <w:rsid w:val="004D05DF"/>
    <w:rsid w:val="00572A4D"/>
    <w:rsid w:val="00580C71"/>
    <w:rsid w:val="00581A32"/>
    <w:rsid w:val="005C7983"/>
    <w:rsid w:val="00711413"/>
    <w:rsid w:val="007857C7"/>
    <w:rsid w:val="007A0B62"/>
    <w:rsid w:val="00A1093D"/>
    <w:rsid w:val="00AB5DD6"/>
    <w:rsid w:val="00B47AF1"/>
    <w:rsid w:val="00C10CC7"/>
    <w:rsid w:val="00C139DE"/>
    <w:rsid w:val="00C76E93"/>
    <w:rsid w:val="00CF128E"/>
    <w:rsid w:val="00D34280"/>
    <w:rsid w:val="00D37150"/>
    <w:rsid w:val="00DE41F0"/>
    <w:rsid w:val="00F519FB"/>
    <w:rsid w:val="00F70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8E838"/>
  <w15:chartTrackingRefBased/>
  <w15:docId w15:val="{34716548-DE61-4053-AAA4-E92F26EDA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B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0B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0B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0B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0B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0B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0B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0B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0B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B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0B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0B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0B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0B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0B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0B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0B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0B62"/>
    <w:rPr>
      <w:rFonts w:eastAsiaTheme="majorEastAsia" w:cstheme="majorBidi"/>
      <w:color w:val="272727" w:themeColor="text1" w:themeTint="D8"/>
    </w:rPr>
  </w:style>
  <w:style w:type="paragraph" w:styleId="Title">
    <w:name w:val="Title"/>
    <w:basedOn w:val="Normal"/>
    <w:next w:val="Normal"/>
    <w:link w:val="TitleChar"/>
    <w:uiPriority w:val="10"/>
    <w:qFormat/>
    <w:rsid w:val="007A0B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0B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0B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0B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0B62"/>
    <w:pPr>
      <w:spacing w:before="160"/>
      <w:jc w:val="center"/>
    </w:pPr>
    <w:rPr>
      <w:i/>
      <w:iCs/>
      <w:color w:val="404040" w:themeColor="text1" w:themeTint="BF"/>
    </w:rPr>
  </w:style>
  <w:style w:type="character" w:customStyle="1" w:styleId="QuoteChar">
    <w:name w:val="Quote Char"/>
    <w:basedOn w:val="DefaultParagraphFont"/>
    <w:link w:val="Quote"/>
    <w:uiPriority w:val="29"/>
    <w:rsid w:val="007A0B62"/>
    <w:rPr>
      <w:i/>
      <w:iCs/>
      <w:color w:val="404040" w:themeColor="text1" w:themeTint="BF"/>
    </w:rPr>
  </w:style>
  <w:style w:type="paragraph" w:styleId="ListParagraph">
    <w:name w:val="List Paragraph"/>
    <w:basedOn w:val="Normal"/>
    <w:uiPriority w:val="34"/>
    <w:qFormat/>
    <w:rsid w:val="007A0B62"/>
    <w:pPr>
      <w:ind w:left="720"/>
      <w:contextualSpacing/>
    </w:pPr>
  </w:style>
  <w:style w:type="character" w:styleId="IntenseEmphasis">
    <w:name w:val="Intense Emphasis"/>
    <w:basedOn w:val="DefaultParagraphFont"/>
    <w:uiPriority w:val="21"/>
    <w:qFormat/>
    <w:rsid w:val="007A0B62"/>
    <w:rPr>
      <w:i/>
      <w:iCs/>
      <w:color w:val="0F4761" w:themeColor="accent1" w:themeShade="BF"/>
    </w:rPr>
  </w:style>
  <w:style w:type="paragraph" w:styleId="IntenseQuote">
    <w:name w:val="Intense Quote"/>
    <w:basedOn w:val="Normal"/>
    <w:next w:val="Normal"/>
    <w:link w:val="IntenseQuoteChar"/>
    <w:uiPriority w:val="30"/>
    <w:qFormat/>
    <w:rsid w:val="007A0B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0B62"/>
    <w:rPr>
      <w:i/>
      <w:iCs/>
      <w:color w:val="0F4761" w:themeColor="accent1" w:themeShade="BF"/>
    </w:rPr>
  </w:style>
  <w:style w:type="character" w:styleId="IntenseReference">
    <w:name w:val="Intense Reference"/>
    <w:basedOn w:val="DefaultParagraphFont"/>
    <w:uiPriority w:val="32"/>
    <w:qFormat/>
    <w:rsid w:val="007A0B62"/>
    <w:rPr>
      <w:b/>
      <w:bCs/>
      <w:smallCaps/>
      <w:color w:val="0F4761" w:themeColor="accent1" w:themeShade="BF"/>
      <w:spacing w:val="5"/>
    </w:rPr>
  </w:style>
  <w:style w:type="character" w:styleId="Hyperlink">
    <w:name w:val="Hyperlink"/>
    <w:basedOn w:val="DefaultParagraphFont"/>
    <w:uiPriority w:val="99"/>
    <w:unhideWhenUsed/>
    <w:rsid w:val="007A0B62"/>
    <w:rPr>
      <w:color w:val="467886" w:themeColor="hyperlink"/>
      <w:u w:val="single"/>
    </w:rPr>
  </w:style>
  <w:style w:type="character" w:styleId="UnresolvedMention">
    <w:name w:val="Unresolved Mention"/>
    <w:basedOn w:val="DefaultParagraphFont"/>
    <w:uiPriority w:val="99"/>
    <w:semiHidden/>
    <w:unhideWhenUsed/>
    <w:rsid w:val="007A0B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ofhealthequity.org" TargetMode="External"/><Relationship Id="rId13" Type="http://schemas.openxmlformats.org/officeDocument/2006/relationships/hyperlink" Target="https://www.bing.com/search?q=%22https%3A%2F%2Fwww.transformationpartners.nhs.uk%2F%22" TargetMode="External"/><Relationship Id="rId18" Type="http://schemas.openxmlformats.org/officeDocument/2006/relationships/hyperlink" Target="https://www.who.int" TargetMode="External"/><Relationship Id="rId3" Type="http://schemas.openxmlformats.org/officeDocument/2006/relationships/settings" Target="settings.xml"/><Relationship Id="rId7" Type="http://schemas.openxmlformats.org/officeDocument/2006/relationships/hyperlink" Target="https://www.livingwage.org.uk" TargetMode="External"/><Relationship Id="rId12" Type="http://schemas.openxmlformats.org/officeDocument/2006/relationships/hyperlink" Target="https://www.ons.gov.uk" TargetMode="External"/><Relationship Id="rId17" Type="http://schemas.openxmlformats.org/officeDocument/2006/relationships/hyperlink" Target="https://www.bing.com/search?q=%22https%3A%2F%2Fwww.who.int%2Fdata%2Fgho%2Fpublications%2Fworld-health-statistics%22" TargetMode="External"/><Relationship Id="rId2" Type="http://schemas.openxmlformats.org/officeDocument/2006/relationships/styles" Target="styles.xml"/><Relationship Id="rId16" Type="http://schemas.openxmlformats.org/officeDocument/2006/relationships/hyperlink" Target="https://www.bing.com/search?q=%22https%3A%2F%2Fwww.who.int%2Fnews-room%2Ffact-sheets%2Fdetail%2Funiversal-health-coverage%2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london.gov.uk" TargetMode="External"/><Relationship Id="rId11" Type="http://schemas.openxmlformats.org/officeDocument/2006/relationships/hyperlink" Target="https://www.bing.com/search?q=%22https%3A%2F%2Fwww.gov.uk%2Fgovernment%2Forganisations%2Foffice-for-health-improvement-and-disparities%22" TargetMode="External"/><Relationship Id="rId5" Type="http://schemas.openxmlformats.org/officeDocument/2006/relationships/hyperlink" Target="https://www.bing.com/search?q=%22https%3A%2F%2Fwww.gov.uk%2Fgovernment%2Forganisations%2Fdepartment-for-education%22" TargetMode="External"/><Relationship Id="rId15" Type="http://schemas.openxmlformats.org/officeDocument/2006/relationships/hyperlink" Target="https://sdgs.un.org/2030agenda" TargetMode="External"/><Relationship Id="rId10" Type="http://schemas.openxmlformats.org/officeDocument/2006/relationships/hyperlink" Target="https://www.england.nhs.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ng.com/search?q=%22https%3A%2F%2Fwww.longtermplan.nhs.uk%2F%22" TargetMode="External"/><Relationship Id="rId14" Type="http://schemas.openxmlformats.org/officeDocument/2006/relationships/hyperlink" Target="https://www.unesc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2561</Words>
  <Characters>14599</Characters>
  <Application>Microsoft Office Word</Application>
  <DocSecurity>0</DocSecurity>
  <Lines>121</Lines>
  <Paragraphs>34</Paragraphs>
  <ScaleCrop>false</ScaleCrop>
  <Company/>
  <LinksUpToDate>false</LinksUpToDate>
  <CharactersWithSpaces>17126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selma pacheco</dc:creator>
  <cp:keywords/>
  <dc:description/>
  <cp:lastModifiedBy>selma pacheco</cp:lastModifiedBy>
  <cp:revision>2</cp:revision>
  <dcterms:created xsi:type="dcterms:W3CDTF">2026-08-04T11:24:00Z</dcterms:created>
  <dcterms:modified xsi:type="dcterms:W3CDTF">2026-08-04T11:24:00Z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e415e4bd-44fb-468e-a2b6-cc8438727274</vt:lpwstr>
  </property>
</Properties>
</file>