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4F5B5A" w14:textId="77777777" w:rsidR="00A9563D" w:rsidRDefault="00A9563D" w:rsidP="00A9563D">
      <w:pPr>
        <w:pStyle w:val="NormalWeb"/>
        <w:spacing w:before="0" w:beforeAutospacing="0" w:after="0" w:afterAutospacing="0"/>
        <w:ind w:left="-180" w:right="-334"/>
      </w:pPr>
      <w:r>
        <w:rPr>
          <w:noProof/>
          <w:lang w:eastAsia="en-GB"/>
        </w:rPr>
        <w:drawing>
          <wp:inline distT="0" distB="0" distL="0" distR="0" wp14:anchorId="1F72FBDB" wp14:editId="1934B4DC">
            <wp:extent cx="1819275" cy="729615"/>
            <wp:effectExtent l="0" t="0" r="9525" b="6985"/>
            <wp:docPr id="1"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19275" cy="729615"/>
                    </a:xfrm>
                    <a:prstGeom prst="rect">
                      <a:avLst/>
                    </a:prstGeom>
                    <a:noFill/>
                    <a:ln>
                      <a:noFill/>
                    </a:ln>
                  </pic:spPr>
                </pic:pic>
              </a:graphicData>
            </a:graphic>
          </wp:inline>
        </w:drawing>
      </w:r>
    </w:p>
    <w:p w14:paraId="06706444" w14:textId="77777777" w:rsidR="00A9563D" w:rsidRDefault="00A9563D" w:rsidP="00A9563D">
      <w:pPr>
        <w:pStyle w:val="NormalWeb"/>
        <w:spacing w:before="0" w:beforeAutospacing="0" w:after="0" w:afterAutospacing="0"/>
        <w:ind w:left="-180" w:right="-334"/>
      </w:pPr>
    </w:p>
    <w:p w14:paraId="20C32CA4" w14:textId="77777777" w:rsidR="00A9563D" w:rsidRDefault="00A9563D" w:rsidP="00A9563D">
      <w:pPr>
        <w:pStyle w:val="NormalWeb"/>
        <w:spacing w:before="0" w:beforeAutospacing="0" w:after="0" w:afterAutospacing="0"/>
        <w:ind w:left="-180" w:right="-334"/>
      </w:pPr>
    </w:p>
    <w:p w14:paraId="7A94624C" w14:textId="77777777" w:rsidR="00A9563D" w:rsidRDefault="00A9563D" w:rsidP="00A9563D">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298BEBD5" w14:textId="77777777" w:rsidR="00A9563D" w:rsidRPr="00230F35" w:rsidRDefault="00A9563D" w:rsidP="00A9563D">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77E30558" w14:textId="77777777" w:rsidR="00A9563D" w:rsidRPr="00230F35" w:rsidRDefault="00A9563D" w:rsidP="00A9563D">
      <w:pPr>
        <w:rPr>
          <w:rFonts w:ascii="Arial" w:hAnsi="Arial" w:cs="Arial"/>
          <w:sz w:val="28"/>
          <w:szCs w:val="28"/>
          <w:lang w:val="cy-GB"/>
        </w:rPr>
      </w:pPr>
    </w:p>
    <w:p w14:paraId="5B50FF4C" w14:textId="77777777" w:rsidR="00A9563D" w:rsidRDefault="00A9563D" w:rsidP="00A9563D">
      <w:pPr>
        <w:pStyle w:val="Heading3"/>
        <w:jc w:val="center"/>
        <w:rPr>
          <w:lang w:val="cy-GB"/>
        </w:rPr>
      </w:pPr>
      <w:r>
        <w:rPr>
          <w:lang w:val="cy-GB"/>
        </w:rPr>
        <w:t>THIS SHEET MUST BE THE FIRST PAGE OF THE ASSIGNMENT YOU ARE SUBMITTING  (DO NOT SEND AS A SEPARATE FILE)</w:t>
      </w:r>
    </w:p>
    <w:p w14:paraId="4D5EEA0A" w14:textId="77777777" w:rsidR="00A9563D" w:rsidRDefault="00A9563D" w:rsidP="00A9563D">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A9563D" w:rsidRPr="00230F35" w14:paraId="7909A02B" w14:textId="77777777" w:rsidTr="00DF4ADF">
        <w:trPr>
          <w:trHeight w:val="614"/>
        </w:trPr>
        <w:tc>
          <w:tcPr>
            <w:tcW w:w="8856" w:type="dxa"/>
            <w:gridSpan w:val="5"/>
          </w:tcPr>
          <w:p w14:paraId="4D455CE5" w14:textId="77777777" w:rsidR="00A9563D" w:rsidRPr="00230F35" w:rsidRDefault="00A9563D" w:rsidP="00DF4ADF">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A9563D" w:rsidRPr="00230F35" w14:paraId="1A9382B7" w14:textId="77777777" w:rsidTr="00DF4ADF">
        <w:trPr>
          <w:trHeight w:val="718"/>
        </w:trPr>
        <w:tc>
          <w:tcPr>
            <w:tcW w:w="8856" w:type="dxa"/>
            <w:gridSpan w:val="5"/>
          </w:tcPr>
          <w:p w14:paraId="01528FCE" w14:textId="77777777" w:rsidR="00A9563D" w:rsidRDefault="00A9563D" w:rsidP="00DF4AD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Paul Kiernan</w:t>
            </w:r>
          </w:p>
          <w:p w14:paraId="576380D1" w14:textId="77777777" w:rsidR="00A9563D" w:rsidRPr="00230F35" w:rsidRDefault="00A9563D" w:rsidP="00DF4ADF">
            <w:pPr>
              <w:pStyle w:val="NormalWeb"/>
              <w:spacing w:before="0" w:beforeAutospacing="0" w:after="0" w:afterAutospacing="0"/>
              <w:ind w:right="34"/>
              <w:rPr>
                <w:rFonts w:ascii="Arial" w:hAnsi="Arial" w:cs="Arial"/>
                <w:sz w:val="22"/>
                <w:szCs w:val="22"/>
              </w:rPr>
            </w:pPr>
          </w:p>
          <w:p w14:paraId="1F51A77F" w14:textId="77777777" w:rsidR="00A9563D" w:rsidRPr="00230F35" w:rsidRDefault="00A9563D" w:rsidP="00DF4AD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Pr="001F2CC9">
              <w:rPr>
                <w:rFonts w:ascii="Arial" w:hAnsi="Arial" w:cs="Arial"/>
                <w:sz w:val="22"/>
                <w:szCs w:val="22"/>
              </w:rPr>
              <w:t>1704194@student.uwtsd.ac.uk</w:t>
            </w:r>
          </w:p>
        </w:tc>
      </w:tr>
      <w:tr w:rsidR="00A9563D" w:rsidRPr="00230F35" w14:paraId="41F48947" w14:textId="77777777" w:rsidTr="00DF4ADF">
        <w:trPr>
          <w:trHeight w:val="849"/>
        </w:trPr>
        <w:tc>
          <w:tcPr>
            <w:tcW w:w="4788" w:type="dxa"/>
          </w:tcPr>
          <w:p w14:paraId="280A5636" w14:textId="45DE19BD" w:rsidR="00A9563D" w:rsidRPr="00230F35" w:rsidRDefault="00A9563D" w:rsidP="00DF4AD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t xml:space="preserve"> </w:t>
            </w:r>
            <w:r>
              <w:rPr>
                <w:rFonts w:ascii="Arial" w:hAnsi="Arial" w:cs="Arial"/>
                <w:sz w:val="22"/>
                <w:szCs w:val="22"/>
              </w:rPr>
              <w:t>HPCA7002</w:t>
            </w:r>
          </w:p>
          <w:p w14:paraId="2F9A2425" w14:textId="77777777" w:rsidR="00A9563D" w:rsidRPr="00230F35" w:rsidRDefault="00A9563D" w:rsidP="00DF4ADF">
            <w:pPr>
              <w:pStyle w:val="NormalWeb"/>
              <w:spacing w:before="0" w:beforeAutospacing="0" w:after="0" w:afterAutospacing="0"/>
              <w:ind w:right="34"/>
              <w:rPr>
                <w:rFonts w:ascii="Arial" w:hAnsi="Arial" w:cs="Arial"/>
                <w:sz w:val="22"/>
                <w:szCs w:val="22"/>
              </w:rPr>
            </w:pPr>
          </w:p>
          <w:p w14:paraId="476960B4" w14:textId="55278259" w:rsidR="00A9563D" w:rsidRDefault="00A9563D" w:rsidP="00DF4AD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Rese</w:t>
            </w:r>
            <w:r w:rsidR="00E25103">
              <w:rPr>
                <w:rFonts w:ascii="Arial" w:hAnsi="Arial" w:cs="Arial"/>
                <w:sz w:val="22"/>
                <w:szCs w:val="22"/>
              </w:rPr>
              <w:t>arching Contemoprary Cosmologies</w:t>
            </w:r>
          </w:p>
          <w:p w14:paraId="30AFBB40" w14:textId="77777777" w:rsidR="00A9563D" w:rsidRPr="00230F35" w:rsidRDefault="00A9563D" w:rsidP="00DF4ADF">
            <w:pPr>
              <w:pStyle w:val="NormalWeb"/>
              <w:spacing w:before="0" w:beforeAutospacing="0" w:after="0" w:afterAutospacing="0"/>
              <w:ind w:right="34"/>
              <w:rPr>
                <w:rFonts w:ascii="Arial" w:hAnsi="Arial" w:cs="Arial"/>
                <w:sz w:val="22"/>
                <w:szCs w:val="22"/>
              </w:rPr>
            </w:pPr>
          </w:p>
        </w:tc>
        <w:tc>
          <w:tcPr>
            <w:tcW w:w="2266" w:type="dxa"/>
            <w:gridSpan w:val="3"/>
          </w:tcPr>
          <w:p w14:paraId="60AF4244" w14:textId="77777777" w:rsidR="00A9563D" w:rsidRDefault="00A9563D" w:rsidP="00DF4AD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3E8E1780" w14:textId="77777777" w:rsidR="00A9563D" w:rsidRDefault="00A9563D" w:rsidP="00DF4ADF">
            <w:pPr>
              <w:pStyle w:val="NormalWeb"/>
              <w:spacing w:before="0" w:beforeAutospacing="0" w:after="0" w:afterAutospacing="0"/>
              <w:ind w:right="34"/>
              <w:rPr>
                <w:rFonts w:ascii="Arial" w:hAnsi="Arial" w:cs="Arial"/>
                <w:sz w:val="22"/>
                <w:szCs w:val="22"/>
              </w:rPr>
            </w:pPr>
          </w:p>
          <w:p w14:paraId="6C285972" w14:textId="77777777" w:rsidR="00A9563D" w:rsidRPr="00230F35" w:rsidRDefault="00A9563D" w:rsidP="00DF4ADF">
            <w:pPr>
              <w:pStyle w:val="NormalWeb"/>
              <w:spacing w:before="0" w:beforeAutospacing="0" w:after="0" w:afterAutospacing="0"/>
              <w:ind w:right="34"/>
              <w:rPr>
                <w:rFonts w:ascii="Arial" w:hAnsi="Arial" w:cs="Arial"/>
                <w:sz w:val="22"/>
                <w:szCs w:val="22"/>
              </w:rPr>
            </w:pPr>
            <w:r>
              <w:rPr>
                <w:rFonts w:ascii="Arial" w:hAnsi="Arial" w:cs="Arial"/>
                <w:sz w:val="22"/>
                <w:szCs w:val="22"/>
              </w:rPr>
              <w:t>1704194</w:t>
            </w:r>
          </w:p>
        </w:tc>
        <w:tc>
          <w:tcPr>
            <w:tcW w:w="1802" w:type="dxa"/>
          </w:tcPr>
          <w:p w14:paraId="62FC6359" w14:textId="77777777" w:rsidR="00A9563D" w:rsidRPr="00230F35" w:rsidRDefault="00A9563D" w:rsidP="00DF4AD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077C2DC5" w14:textId="77777777" w:rsidR="00A9563D" w:rsidRPr="00230F35" w:rsidRDefault="00A9563D" w:rsidP="00DF4AD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A9563D" w:rsidRPr="00230F35" w14:paraId="7FC78900" w14:textId="77777777" w:rsidTr="00DF4ADF">
        <w:trPr>
          <w:trHeight w:val="1139"/>
        </w:trPr>
        <w:tc>
          <w:tcPr>
            <w:tcW w:w="8856" w:type="dxa"/>
            <w:gridSpan w:val="5"/>
          </w:tcPr>
          <w:p w14:paraId="5D4330CC" w14:textId="4FBD3CB7" w:rsidR="00A9563D" w:rsidRPr="00230F35" w:rsidRDefault="00A9563D" w:rsidP="00DF4AD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A critic</w:t>
            </w:r>
            <w:r w:rsidR="00E25103">
              <w:rPr>
                <w:rFonts w:ascii="Arial" w:hAnsi="Arial" w:cs="Arial"/>
                <w:sz w:val="22"/>
                <w:szCs w:val="22"/>
              </w:rPr>
              <w:t>al review of two papers</w:t>
            </w:r>
          </w:p>
          <w:p w14:paraId="75B3F14D" w14:textId="7AA3D4AC" w:rsidR="00A9563D" w:rsidRPr="00D32B4C" w:rsidRDefault="00A9563D" w:rsidP="00DF4ADF">
            <w:pPr>
              <w:spacing w:line="240" w:lineRule="auto"/>
              <w:rPr>
                <w:rFonts w:ascii="Times New Roman" w:eastAsia="Times New Roman" w:hAnsi="Times New Roman"/>
              </w:rPr>
            </w:pPr>
            <w:r>
              <w:rPr>
                <w:rFonts w:ascii="Times New Roman" w:eastAsia="Times New Roman" w:hAnsi="Times New Roman"/>
              </w:rPr>
              <w:t xml:space="preserve">(word count </w:t>
            </w:r>
            <w:r w:rsidR="005B22D0">
              <w:rPr>
                <w:rFonts w:ascii="Times New Roman" w:eastAsia="Times New Roman" w:hAnsi="Times New Roman"/>
              </w:rPr>
              <w:t>1043</w:t>
            </w:r>
            <w:bookmarkStart w:id="0" w:name="_GoBack"/>
            <w:bookmarkEnd w:id="0"/>
            <w:r>
              <w:rPr>
                <w:rFonts w:ascii="Times New Roman" w:eastAsia="Times New Roman" w:hAnsi="Times New Roman"/>
              </w:rPr>
              <w:t>)</w:t>
            </w:r>
          </w:p>
          <w:p w14:paraId="133D0618" w14:textId="77777777" w:rsidR="00A9563D" w:rsidRDefault="00A9563D" w:rsidP="00DF4ADF">
            <w:pPr>
              <w:pStyle w:val="NormalWeb"/>
              <w:spacing w:before="0" w:beforeAutospacing="0" w:after="0" w:afterAutospacing="0"/>
              <w:ind w:right="34"/>
              <w:rPr>
                <w:rFonts w:ascii="Arial" w:hAnsi="Arial" w:cs="Arial"/>
                <w:sz w:val="22"/>
                <w:szCs w:val="22"/>
              </w:rPr>
            </w:pPr>
          </w:p>
          <w:p w14:paraId="271F8895" w14:textId="57ABCE08" w:rsidR="00A9563D" w:rsidRPr="00230F35" w:rsidRDefault="00A9563D" w:rsidP="00E2510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00E25103">
              <w:rPr>
                <w:rFonts w:ascii="Arial" w:hAnsi="Arial" w:cs="Arial"/>
                <w:sz w:val="22"/>
                <w:szCs w:val="22"/>
              </w:rPr>
              <w:t>1</w:t>
            </w:r>
            <w:r w:rsidR="00E25103">
              <w:rPr>
                <w:rFonts w:ascii="Arial" w:hAnsi="Arial" w:cs="Arial"/>
                <w:sz w:val="22"/>
                <w:szCs w:val="22"/>
                <w:vertAlign w:val="superscript"/>
              </w:rPr>
              <w:t>st</w:t>
            </w:r>
            <w:r>
              <w:rPr>
                <w:rFonts w:ascii="Arial" w:hAnsi="Arial" w:cs="Arial"/>
                <w:sz w:val="22"/>
                <w:szCs w:val="22"/>
              </w:rPr>
              <w:t xml:space="preserve"> </w:t>
            </w:r>
            <w:r w:rsidR="00E25103">
              <w:rPr>
                <w:rFonts w:ascii="Arial" w:hAnsi="Arial" w:cs="Arial"/>
                <w:sz w:val="22"/>
                <w:szCs w:val="22"/>
              </w:rPr>
              <w:t>June</w:t>
            </w:r>
            <w:r>
              <w:rPr>
                <w:rFonts w:ascii="Arial" w:hAnsi="Arial" w:cs="Arial"/>
                <w:sz w:val="22"/>
                <w:szCs w:val="22"/>
              </w:rPr>
              <w:t xml:space="preserve"> 20</w:t>
            </w:r>
            <w:r w:rsidR="00E25103">
              <w:rPr>
                <w:rFonts w:ascii="Arial" w:hAnsi="Arial" w:cs="Arial"/>
                <w:sz w:val="22"/>
                <w:szCs w:val="22"/>
              </w:rPr>
              <w:t>20</w:t>
            </w:r>
          </w:p>
        </w:tc>
      </w:tr>
      <w:tr w:rsidR="00A9563D" w:rsidRPr="00230F35" w14:paraId="39B3D595" w14:textId="77777777" w:rsidTr="00DF4ADF">
        <w:trPr>
          <w:trHeight w:val="978"/>
        </w:trPr>
        <w:tc>
          <w:tcPr>
            <w:tcW w:w="8856" w:type="dxa"/>
            <w:gridSpan w:val="5"/>
            <w:tcBorders>
              <w:bottom w:val="single" w:sz="4" w:space="0" w:color="000000"/>
            </w:tcBorders>
          </w:tcPr>
          <w:p w14:paraId="24DFD324" w14:textId="678A4294" w:rsidR="00A9563D" w:rsidRPr="00230F35" w:rsidRDefault="00A9563D" w:rsidP="00DF4ADF">
            <w:pPr>
              <w:rPr>
                <w:rFonts w:ascii="Arial" w:hAnsi="Arial" w:cs="Arial"/>
                <w:sz w:val="22"/>
                <w:szCs w:val="22"/>
              </w:rPr>
            </w:pPr>
            <w:r>
              <w:rPr>
                <w:rFonts w:ascii="Arial" w:hAnsi="Arial" w:cs="Arial"/>
                <w:sz w:val="22"/>
                <w:szCs w:val="22"/>
              </w:rPr>
              <w:t>This assignment is for the</w:t>
            </w:r>
            <w:r w:rsidRPr="00230F35">
              <w:rPr>
                <w:rFonts w:ascii="Arial" w:hAnsi="Arial" w:cs="Arial"/>
                <w:sz w:val="22"/>
                <w:szCs w:val="22"/>
              </w:rPr>
              <w:t xml:space="preserve"> </w:t>
            </w:r>
            <w:r w:rsidR="00E25103">
              <w:rPr>
                <w:rFonts w:ascii="Arial" w:hAnsi="Arial" w:cs="Arial"/>
                <w:sz w:val="22"/>
                <w:szCs w:val="22"/>
              </w:rPr>
              <w:t>6</w:t>
            </w:r>
            <w:r>
              <w:rPr>
                <w:rFonts w:ascii="Arial" w:hAnsi="Arial" w:cs="Arial"/>
                <w:sz w:val="22"/>
                <w:szCs w:val="22"/>
                <w:vertAlign w:val="superscript"/>
              </w:rPr>
              <w:t>th</w:t>
            </w:r>
            <w:r>
              <w:rPr>
                <w:rFonts w:ascii="Arial" w:hAnsi="Arial" w:cs="Arial"/>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A9563D" w:rsidRPr="00230F35" w14:paraId="2F6569F6" w14:textId="77777777" w:rsidTr="00DF4ADF">
        <w:trPr>
          <w:trHeight w:val="978"/>
        </w:trPr>
        <w:tc>
          <w:tcPr>
            <w:tcW w:w="8856" w:type="dxa"/>
            <w:gridSpan w:val="5"/>
            <w:shd w:val="clear" w:color="auto" w:fill="D9D9D9"/>
          </w:tcPr>
          <w:p w14:paraId="4315963C" w14:textId="77777777" w:rsidR="00A9563D" w:rsidRPr="00230F35" w:rsidRDefault="00A9563D" w:rsidP="00DF4AD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2E316539" w14:textId="77777777" w:rsidR="00A9563D" w:rsidRDefault="00A9563D" w:rsidP="00DF4AD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380504FD" w14:textId="77777777" w:rsidR="00A9563D" w:rsidRDefault="00A9563D" w:rsidP="00DF4ADF">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if you are submitting this form via email, please tick this box </w:t>
            </w:r>
            <w:r>
              <w:rPr>
                <w:rFonts w:ascii="Calibri" w:hAnsi="Calibri" w:cs="Calibri"/>
                <w:b/>
                <w:sz w:val="44"/>
                <w:szCs w:val="44"/>
              </w:rPr>
              <w:sym w:font="Wingdings" w:char="F0FE"/>
            </w:r>
          </w:p>
          <w:p w14:paraId="339D2A1D" w14:textId="77777777" w:rsidR="00A9563D" w:rsidRPr="00230F35" w:rsidRDefault="00A9563D" w:rsidP="00DF4ADF">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A9563D" w:rsidRPr="00230F35" w14:paraId="6A135E36" w14:textId="77777777" w:rsidTr="00DF4ADF">
        <w:trPr>
          <w:trHeight w:val="3972"/>
        </w:trPr>
        <w:tc>
          <w:tcPr>
            <w:tcW w:w="8856" w:type="dxa"/>
            <w:gridSpan w:val="5"/>
          </w:tcPr>
          <w:p w14:paraId="609ECA85" w14:textId="77777777" w:rsidR="00A9563D" w:rsidRDefault="00A9563D" w:rsidP="00DF4ADF">
            <w:pPr>
              <w:rPr>
                <w:rFonts w:ascii="Arial" w:hAnsi="Arial"/>
                <w:b/>
              </w:rPr>
            </w:pPr>
          </w:p>
          <w:p w14:paraId="46CC4D72" w14:textId="77777777" w:rsidR="00A9563D" w:rsidRPr="00116CE6" w:rsidRDefault="00A9563D" w:rsidP="00DF4ADF">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A9563D" w:rsidRPr="00116CE6" w14:paraId="5CE51026" w14:textId="77777777" w:rsidTr="00DF4ADF">
              <w:tc>
                <w:tcPr>
                  <w:tcW w:w="6970" w:type="dxa"/>
                </w:tcPr>
                <w:p w14:paraId="26C3F54B" w14:textId="77777777" w:rsidR="00A9563D" w:rsidRPr="00116CE6" w:rsidRDefault="00A9563D" w:rsidP="00DF4ADF">
                  <w:pPr>
                    <w:rPr>
                      <w:rFonts w:ascii="Arial" w:hAnsi="Arial"/>
                      <w:sz w:val="20"/>
                      <w:szCs w:val="20"/>
                    </w:rPr>
                  </w:pPr>
                </w:p>
                <w:p w14:paraId="46A600C8" w14:textId="77777777" w:rsidR="00A9563D" w:rsidRPr="00116CE6" w:rsidRDefault="00A9563D" w:rsidP="00DF4ADF">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6978DDE2" w14:textId="77777777" w:rsidR="00A9563D" w:rsidRPr="00116CE6" w:rsidRDefault="00A9563D" w:rsidP="00DF4ADF">
                  <w:pPr>
                    <w:rPr>
                      <w:rFonts w:ascii="Arial" w:hAnsi="Arial"/>
                      <w:sz w:val="20"/>
                      <w:szCs w:val="20"/>
                    </w:rPr>
                  </w:pPr>
                </w:p>
              </w:tc>
            </w:tr>
            <w:tr w:rsidR="00A9563D" w:rsidRPr="00116CE6" w14:paraId="0AD5D25D" w14:textId="77777777" w:rsidTr="00DF4ADF">
              <w:tc>
                <w:tcPr>
                  <w:tcW w:w="6970" w:type="dxa"/>
                </w:tcPr>
                <w:p w14:paraId="5AA974F8" w14:textId="77777777" w:rsidR="00A9563D" w:rsidRPr="00116CE6" w:rsidRDefault="00A9563D" w:rsidP="00DF4ADF">
                  <w:pPr>
                    <w:rPr>
                      <w:rFonts w:ascii="Arial" w:hAnsi="Arial"/>
                      <w:sz w:val="20"/>
                      <w:szCs w:val="20"/>
                    </w:rPr>
                  </w:pPr>
                </w:p>
                <w:p w14:paraId="31F92EE7" w14:textId="77777777" w:rsidR="00A9563D" w:rsidRPr="00116CE6" w:rsidRDefault="00A9563D" w:rsidP="00DF4ADF">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3F892178" w14:textId="77777777" w:rsidR="00A9563D" w:rsidRPr="00116CE6" w:rsidRDefault="00A9563D" w:rsidP="00DF4ADF">
                  <w:pPr>
                    <w:rPr>
                      <w:rFonts w:ascii="Arial" w:hAnsi="Arial"/>
                      <w:sz w:val="20"/>
                      <w:szCs w:val="20"/>
                    </w:rPr>
                  </w:pPr>
                </w:p>
              </w:tc>
            </w:tr>
            <w:tr w:rsidR="00A9563D" w:rsidRPr="00116CE6" w14:paraId="674EED06" w14:textId="77777777" w:rsidTr="00DF4ADF">
              <w:tc>
                <w:tcPr>
                  <w:tcW w:w="6970" w:type="dxa"/>
                </w:tcPr>
                <w:p w14:paraId="47F3DE20" w14:textId="77777777" w:rsidR="00A9563D" w:rsidRPr="00116CE6" w:rsidRDefault="00A9563D" w:rsidP="00DF4ADF">
                  <w:pPr>
                    <w:rPr>
                      <w:rFonts w:ascii="Arial" w:hAnsi="Arial"/>
                      <w:sz w:val="20"/>
                      <w:szCs w:val="20"/>
                    </w:rPr>
                  </w:pPr>
                </w:p>
                <w:p w14:paraId="719D4F22" w14:textId="77777777" w:rsidR="00A9563D" w:rsidRPr="00116CE6" w:rsidRDefault="00A9563D" w:rsidP="00DF4ADF">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3AF1BF91" w14:textId="77777777" w:rsidR="00A9563D" w:rsidRPr="00116CE6" w:rsidRDefault="00A9563D" w:rsidP="00DF4ADF">
                  <w:pPr>
                    <w:rPr>
                      <w:rFonts w:ascii="Arial" w:hAnsi="Arial"/>
                      <w:sz w:val="20"/>
                      <w:szCs w:val="20"/>
                    </w:rPr>
                  </w:pPr>
                </w:p>
              </w:tc>
            </w:tr>
            <w:tr w:rsidR="00A9563D" w:rsidRPr="00116CE6" w14:paraId="27077362" w14:textId="77777777" w:rsidTr="00DF4ADF">
              <w:tc>
                <w:tcPr>
                  <w:tcW w:w="6970" w:type="dxa"/>
                </w:tcPr>
                <w:p w14:paraId="59E7E6BB" w14:textId="77777777" w:rsidR="00A9563D" w:rsidRDefault="00A9563D" w:rsidP="00DF4ADF">
                  <w:pPr>
                    <w:rPr>
                      <w:rFonts w:ascii="Arial" w:hAnsi="Arial"/>
                      <w:sz w:val="20"/>
                      <w:szCs w:val="20"/>
                    </w:rPr>
                  </w:pPr>
                </w:p>
                <w:p w14:paraId="308B6ED3" w14:textId="77777777" w:rsidR="00A9563D" w:rsidRPr="00022345" w:rsidRDefault="00A9563D" w:rsidP="00DF4ADF">
                  <w:pPr>
                    <w:rPr>
                      <w:rFonts w:ascii="Arial" w:hAnsi="Arial"/>
                      <w:b/>
                      <w:sz w:val="20"/>
                      <w:szCs w:val="20"/>
                    </w:rPr>
                  </w:pPr>
                  <w:r w:rsidRPr="00022345">
                    <w:rPr>
                      <w:rFonts w:ascii="Arial" w:hAnsi="Arial"/>
                      <w:b/>
                      <w:sz w:val="20"/>
                      <w:szCs w:val="20"/>
                    </w:rPr>
                    <w:t>Final Mark</w:t>
                  </w:r>
                </w:p>
                <w:p w14:paraId="702754CA" w14:textId="77777777" w:rsidR="00A9563D" w:rsidRPr="00116CE6" w:rsidRDefault="00A9563D" w:rsidP="00DF4ADF">
                  <w:pPr>
                    <w:rPr>
                      <w:rFonts w:ascii="Arial" w:hAnsi="Arial"/>
                      <w:sz w:val="20"/>
                      <w:szCs w:val="20"/>
                    </w:rPr>
                  </w:pPr>
                </w:p>
              </w:tc>
              <w:tc>
                <w:tcPr>
                  <w:tcW w:w="1660" w:type="dxa"/>
                </w:tcPr>
                <w:p w14:paraId="2FECB5CE" w14:textId="77777777" w:rsidR="00A9563D" w:rsidRPr="00116CE6" w:rsidRDefault="00A9563D" w:rsidP="00DF4ADF">
                  <w:pPr>
                    <w:rPr>
                      <w:rFonts w:ascii="Arial" w:hAnsi="Arial"/>
                      <w:sz w:val="20"/>
                      <w:szCs w:val="20"/>
                    </w:rPr>
                  </w:pPr>
                </w:p>
              </w:tc>
            </w:tr>
          </w:tbl>
          <w:p w14:paraId="63E23E62" w14:textId="77777777" w:rsidR="00A9563D" w:rsidRDefault="00A9563D" w:rsidP="00DF4ADF">
            <w:pPr>
              <w:pStyle w:val="NormalWeb"/>
              <w:spacing w:before="0" w:beforeAutospacing="0" w:after="0" w:afterAutospacing="0"/>
              <w:ind w:left="142" w:right="34"/>
              <w:rPr>
                <w:rFonts w:ascii="Arial" w:hAnsi="Arial" w:cs="Arial"/>
                <w:b/>
                <w:sz w:val="22"/>
                <w:szCs w:val="22"/>
              </w:rPr>
            </w:pPr>
          </w:p>
          <w:p w14:paraId="79800FE3" w14:textId="77777777" w:rsidR="00A9563D" w:rsidRPr="00502993" w:rsidRDefault="00A9563D" w:rsidP="00DF4ADF">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40EE72F2" w14:textId="77777777" w:rsidR="00A9563D" w:rsidRDefault="00A9563D" w:rsidP="00DF4ADF">
            <w:pPr>
              <w:pStyle w:val="NormalWeb"/>
              <w:spacing w:before="0" w:beforeAutospacing="0" w:after="0" w:afterAutospacing="0"/>
              <w:rPr>
                <w:rFonts w:ascii="Arial" w:hAnsi="Arial" w:cs="Arial"/>
                <w:b/>
                <w:sz w:val="22"/>
                <w:szCs w:val="22"/>
              </w:rPr>
            </w:pPr>
          </w:p>
          <w:p w14:paraId="16BC94F1" w14:textId="77777777" w:rsidR="00A9563D" w:rsidRDefault="00A9563D" w:rsidP="00DF4ADF">
            <w:pPr>
              <w:pStyle w:val="NormalWeb"/>
              <w:spacing w:before="0" w:beforeAutospacing="0" w:after="0" w:afterAutospacing="0"/>
              <w:rPr>
                <w:rFonts w:ascii="Arial" w:hAnsi="Arial" w:cs="Arial"/>
                <w:b/>
                <w:sz w:val="22"/>
                <w:szCs w:val="22"/>
              </w:rPr>
            </w:pPr>
          </w:p>
          <w:p w14:paraId="5BAAB206" w14:textId="77777777" w:rsidR="00A9563D" w:rsidRDefault="00A9563D" w:rsidP="00DF4ADF">
            <w:pPr>
              <w:pStyle w:val="NormalWeb"/>
              <w:spacing w:before="0" w:beforeAutospacing="0" w:after="0" w:afterAutospacing="0"/>
              <w:rPr>
                <w:rFonts w:ascii="Arial" w:hAnsi="Arial" w:cs="Arial"/>
                <w:b/>
                <w:sz w:val="22"/>
                <w:szCs w:val="22"/>
              </w:rPr>
            </w:pPr>
          </w:p>
          <w:p w14:paraId="3E7C6D2B" w14:textId="77777777" w:rsidR="00A9563D" w:rsidRPr="00230F35" w:rsidRDefault="00A9563D" w:rsidP="00DF4ADF">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4674CE0E" w14:textId="77777777" w:rsidR="00A9563D" w:rsidRDefault="00A9563D" w:rsidP="00DF4ADF">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0A11DB36" w14:textId="77777777" w:rsidR="00A9563D" w:rsidRPr="00001C3B" w:rsidRDefault="00A9563D" w:rsidP="00DF4ADF">
            <w:pPr>
              <w:pStyle w:val="NormalWeb"/>
              <w:rPr>
                <w:rFonts w:ascii="Arial" w:hAnsi="Arial" w:cs="Arial"/>
                <w:sz w:val="22"/>
                <w:szCs w:val="22"/>
              </w:rPr>
            </w:pPr>
          </w:p>
        </w:tc>
      </w:tr>
      <w:tr w:rsidR="00A9563D" w:rsidRPr="00230F35" w14:paraId="1E1DF939" w14:textId="77777777" w:rsidTr="00DF4ADF">
        <w:trPr>
          <w:trHeight w:val="492"/>
        </w:trPr>
        <w:tc>
          <w:tcPr>
            <w:tcW w:w="6768" w:type="dxa"/>
            <w:gridSpan w:val="3"/>
          </w:tcPr>
          <w:p w14:paraId="04123548" w14:textId="77777777" w:rsidR="00A9563D" w:rsidRPr="00230F35" w:rsidRDefault="00A9563D" w:rsidP="00DF4ADF">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4992C1B4" w14:textId="77777777" w:rsidR="00A9563D" w:rsidRPr="00230F35" w:rsidRDefault="00A9563D" w:rsidP="00DF4ADF">
            <w:pPr>
              <w:pStyle w:val="NormalWeb"/>
              <w:spacing w:after="0"/>
              <w:ind w:left="142" w:right="34"/>
              <w:rPr>
                <w:rFonts w:ascii="Arial" w:hAnsi="Arial" w:cs="Arial"/>
                <w:sz w:val="22"/>
                <w:szCs w:val="22"/>
              </w:rPr>
            </w:pPr>
            <w:r w:rsidRPr="00230F35">
              <w:rPr>
                <w:rFonts w:ascii="Arial" w:hAnsi="Arial" w:cs="Arial"/>
                <w:sz w:val="22"/>
                <w:szCs w:val="22"/>
              </w:rPr>
              <w:t>Date:</w:t>
            </w:r>
          </w:p>
        </w:tc>
      </w:tr>
      <w:tr w:rsidR="00A9563D" w:rsidRPr="002F467C" w14:paraId="3E25B96A" w14:textId="77777777" w:rsidTr="00DF4ADF">
        <w:tc>
          <w:tcPr>
            <w:tcW w:w="8856" w:type="dxa"/>
            <w:gridSpan w:val="5"/>
          </w:tcPr>
          <w:p w14:paraId="7EEEC995" w14:textId="77777777" w:rsidR="00A9563D" w:rsidRPr="00230F35" w:rsidRDefault="00A9563D" w:rsidP="00DF4ADF">
            <w:pPr>
              <w:pStyle w:val="NormalWeb"/>
              <w:spacing w:before="0" w:beforeAutospacing="0" w:after="0" w:afterAutospacing="0"/>
              <w:ind w:right="-334"/>
              <w:rPr>
                <w:rFonts w:ascii="Arial" w:hAnsi="Arial" w:cs="Arial"/>
                <w:bCs/>
                <w:i/>
                <w:sz w:val="22"/>
                <w:szCs w:val="22"/>
              </w:rPr>
            </w:pPr>
          </w:p>
          <w:p w14:paraId="29B85D14" w14:textId="77777777" w:rsidR="00A9563D" w:rsidRPr="00230F35" w:rsidRDefault="00A9563D" w:rsidP="00DF4ADF">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20D79D29" w14:textId="77777777" w:rsidR="00A9563D" w:rsidRPr="00230F35" w:rsidRDefault="00A9563D" w:rsidP="00DF4ADF">
            <w:pPr>
              <w:pStyle w:val="NormalWeb"/>
              <w:spacing w:before="0" w:beforeAutospacing="0" w:after="0" w:afterAutospacing="0"/>
              <w:ind w:right="-334"/>
              <w:rPr>
                <w:rFonts w:ascii="Arial" w:hAnsi="Arial" w:cs="Arial"/>
                <w:b/>
                <w:bCs/>
                <w:sz w:val="22"/>
                <w:szCs w:val="22"/>
              </w:rPr>
            </w:pPr>
          </w:p>
          <w:p w14:paraId="0AB50005" w14:textId="77777777" w:rsidR="00A9563D" w:rsidRPr="00230F35" w:rsidRDefault="00A9563D" w:rsidP="00DF4ADF">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5CCE764A" w14:textId="77777777" w:rsidR="00A9563D" w:rsidRPr="00230F35" w:rsidRDefault="00A9563D" w:rsidP="00DF4ADF">
            <w:pPr>
              <w:pStyle w:val="NormalWeb"/>
              <w:spacing w:before="0" w:beforeAutospacing="0" w:after="0" w:afterAutospacing="0"/>
              <w:ind w:right="-334"/>
              <w:rPr>
                <w:rFonts w:ascii="Arial" w:hAnsi="Arial" w:cs="Arial"/>
                <w:bCs/>
                <w:sz w:val="22"/>
                <w:szCs w:val="22"/>
              </w:rPr>
            </w:pPr>
          </w:p>
          <w:p w14:paraId="779CD0BE" w14:textId="77777777" w:rsidR="00A9563D" w:rsidRPr="00230F35" w:rsidRDefault="00A9563D" w:rsidP="00DF4ADF">
            <w:pPr>
              <w:pStyle w:val="NormalWeb"/>
              <w:spacing w:before="0" w:beforeAutospacing="0" w:after="0" w:afterAutospacing="0"/>
              <w:ind w:right="-334"/>
              <w:rPr>
                <w:rFonts w:ascii="Arial" w:hAnsi="Arial" w:cs="Arial"/>
                <w:bCs/>
                <w:sz w:val="22"/>
                <w:szCs w:val="22"/>
              </w:rPr>
            </w:pPr>
          </w:p>
          <w:p w14:paraId="5600FD63" w14:textId="77777777" w:rsidR="00A9563D" w:rsidRPr="00230F35" w:rsidRDefault="00A9563D" w:rsidP="00DF4ADF">
            <w:pPr>
              <w:pStyle w:val="NormalWeb"/>
              <w:spacing w:before="0" w:beforeAutospacing="0" w:after="0" w:afterAutospacing="0"/>
              <w:ind w:right="-334"/>
              <w:rPr>
                <w:rFonts w:ascii="Arial" w:hAnsi="Arial" w:cs="Arial"/>
                <w:bCs/>
                <w:sz w:val="22"/>
                <w:szCs w:val="22"/>
              </w:rPr>
            </w:pPr>
          </w:p>
          <w:p w14:paraId="7F059C3F" w14:textId="77777777" w:rsidR="00A9563D" w:rsidRPr="00230F35" w:rsidRDefault="00A9563D" w:rsidP="00DF4ADF">
            <w:pPr>
              <w:pStyle w:val="NormalWeb"/>
              <w:spacing w:before="0" w:beforeAutospacing="0" w:after="0" w:afterAutospacing="0"/>
              <w:ind w:right="-334"/>
              <w:rPr>
                <w:rFonts w:ascii="Arial" w:hAnsi="Arial" w:cs="Arial"/>
                <w:bCs/>
                <w:sz w:val="22"/>
                <w:szCs w:val="22"/>
              </w:rPr>
            </w:pPr>
          </w:p>
          <w:p w14:paraId="15482290" w14:textId="77777777" w:rsidR="00A9563D" w:rsidRDefault="00A9563D" w:rsidP="00DF4ADF">
            <w:pPr>
              <w:pStyle w:val="NormalWeb"/>
              <w:spacing w:before="0" w:beforeAutospacing="0" w:after="0" w:afterAutospacing="0"/>
              <w:ind w:right="-334"/>
              <w:rPr>
                <w:rFonts w:ascii="Arial" w:hAnsi="Arial" w:cs="Arial"/>
                <w:bCs/>
                <w:sz w:val="22"/>
                <w:szCs w:val="22"/>
              </w:rPr>
            </w:pPr>
          </w:p>
          <w:p w14:paraId="0B62A397" w14:textId="77777777" w:rsidR="00A9563D" w:rsidRPr="00230F35" w:rsidRDefault="00A9563D" w:rsidP="00DF4ADF">
            <w:pPr>
              <w:pStyle w:val="NormalWeb"/>
              <w:spacing w:before="0" w:beforeAutospacing="0" w:after="0" w:afterAutospacing="0"/>
              <w:ind w:right="-334"/>
              <w:rPr>
                <w:rFonts w:ascii="Arial" w:hAnsi="Arial" w:cs="Arial"/>
                <w:bCs/>
                <w:sz w:val="22"/>
                <w:szCs w:val="22"/>
              </w:rPr>
            </w:pPr>
          </w:p>
          <w:p w14:paraId="622A90F3" w14:textId="77777777" w:rsidR="00A9563D" w:rsidRPr="00230F35" w:rsidRDefault="00A9563D" w:rsidP="00DF4ADF">
            <w:pPr>
              <w:pStyle w:val="NormalWeb"/>
              <w:spacing w:before="0" w:beforeAutospacing="0" w:after="0" w:afterAutospacing="0"/>
              <w:ind w:right="-334"/>
              <w:rPr>
                <w:rFonts w:ascii="Arial" w:hAnsi="Arial" w:cs="Arial"/>
                <w:bCs/>
                <w:sz w:val="22"/>
                <w:szCs w:val="22"/>
              </w:rPr>
            </w:pPr>
          </w:p>
          <w:p w14:paraId="1607A3DB" w14:textId="77777777" w:rsidR="00A9563D" w:rsidRPr="00230F35" w:rsidRDefault="00A9563D" w:rsidP="00DF4ADF">
            <w:pPr>
              <w:pStyle w:val="NormalWeb"/>
              <w:spacing w:before="0" w:beforeAutospacing="0" w:after="0" w:afterAutospacing="0"/>
              <w:ind w:right="-334"/>
              <w:rPr>
                <w:rFonts w:ascii="Arial" w:hAnsi="Arial" w:cs="Arial"/>
                <w:bCs/>
                <w:sz w:val="22"/>
                <w:szCs w:val="22"/>
              </w:rPr>
            </w:pPr>
          </w:p>
        </w:tc>
      </w:tr>
      <w:tr w:rsidR="00A9563D" w:rsidRPr="002F467C" w14:paraId="7BCCF8AD" w14:textId="77777777" w:rsidTr="00DF4ADF">
        <w:trPr>
          <w:trHeight w:val="720"/>
        </w:trPr>
        <w:tc>
          <w:tcPr>
            <w:tcW w:w="5211" w:type="dxa"/>
            <w:gridSpan w:val="2"/>
          </w:tcPr>
          <w:p w14:paraId="4846DB78" w14:textId="77777777" w:rsidR="00A9563D" w:rsidRPr="00230F35" w:rsidRDefault="00A9563D" w:rsidP="00DF4ADF">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615E5AC4" w14:textId="77777777" w:rsidR="00A9563D" w:rsidRPr="00230F35" w:rsidRDefault="00A9563D" w:rsidP="00DF4ADF">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A9563D" w:rsidRPr="002F467C" w14:paraId="4EA47EC7" w14:textId="77777777" w:rsidTr="00DF4ADF">
        <w:trPr>
          <w:trHeight w:val="720"/>
        </w:trPr>
        <w:tc>
          <w:tcPr>
            <w:tcW w:w="8856" w:type="dxa"/>
            <w:gridSpan w:val="5"/>
          </w:tcPr>
          <w:p w14:paraId="016CFF23" w14:textId="77777777" w:rsidR="00A9563D" w:rsidRPr="00B34964" w:rsidRDefault="00A9563D" w:rsidP="00DF4ADF">
            <w:pPr>
              <w:rPr>
                <w:rFonts w:ascii="Arial" w:hAnsi="Arial" w:cs="Arial"/>
                <w:b/>
                <w:sz w:val="22"/>
                <w:szCs w:val="22"/>
              </w:rPr>
            </w:pPr>
            <w:r w:rsidRPr="00B34964">
              <w:rPr>
                <w:rFonts w:ascii="Arial" w:hAnsi="Arial" w:cs="Arial"/>
                <w:b/>
                <w:sz w:val="22"/>
                <w:szCs w:val="22"/>
              </w:rPr>
              <w:t>External Examiner’s comments (if relevant)</w:t>
            </w:r>
          </w:p>
          <w:p w14:paraId="4D847F9C" w14:textId="77777777" w:rsidR="00A9563D" w:rsidRPr="00230F35" w:rsidRDefault="00A9563D" w:rsidP="00DF4ADF">
            <w:pPr>
              <w:pStyle w:val="NormalWeb"/>
              <w:spacing w:before="0" w:beforeAutospacing="0" w:after="0" w:afterAutospacing="0"/>
              <w:ind w:right="-334"/>
              <w:rPr>
                <w:rFonts w:ascii="Arial" w:hAnsi="Arial" w:cs="Arial"/>
                <w:bCs/>
                <w:sz w:val="22"/>
                <w:szCs w:val="22"/>
              </w:rPr>
            </w:pPr>
          </w:p>
          <w:p w14:paraId="6F206FB8" w14:textId="77777777" w:rsidR="00A9563D" w:rsidRPr="00230F35" w:rsidRDefault="00A9563D" w:rsidP="00DF4ADF">
            <w:pPr>
              <w:pStyle w:val="NormalWeb"/>
              <w:spacing w:before="0" w:beforeAutospacing="0" w:after="0" w:afterAutospacing="0"/>
              <w:ind w:right="-334"/>
              <w:rPr>
                <w:rFonts w:ascii="Arial" w:hAnsi="Arial" w:cs="Arial"/>
                <w:bCs/>
                <w:sz w:val="22"/>
                <w:szCs w:val="22"/>
              </w:rPr>
            </w:pPr>
          </w:p>
          <w:p w14:paraId="4A6AC84D" w14:textId="77777777" w:rsidR="00A9563D" w:rsidRPr="00230F35" w:rsidRDefault="00A9563D" w:rsidP="00DF4ADF">
            <w:pPr>
              <w:pStyle w:val="NormalWeb"/>
              <w:spacing w:before="0" w:beforeAutospacing="0" w:after="0" w:afterAutospacing="0"/>
              <w:ind w:right="-334"/>
              <w:rPr>
                <w:rFonts w:ascii="Arial" w:hAnsi="Arial" w:cs="Arial"/>
                <w:bCs/>
                <w:sz w:val="22"/>
                <w:szCs w:val="22"/>
              </w:rPr>
            </w:pPr>
          </w:p>
          <w:p w14:paraId="7D92FF85" w14:textId="77777777" w:rsidR="00A9563D" w:rsidRPr="00230F35" w:rsidRDefault="00A9563D" w:rsidP="00DF4ADF">
            <w:pPr>
              <w:pStyle w:val="NormalWeb"/>
              <w:spacing w:before="0" w:beforeAutospacing="0" w:after="0" w:afterAutospacing="0"/>
              <w:ind w:right="-334"/>
              <w:rPr>
                <w:rFonts w:ascii="Arial" w:hAnsi="Arial" w:cs="Arial"/>
                <w:bCs/>
                <w:sz w:val="22"/>
                <w:szCs w:val="22"/>
              </w:rPr>
            </w:pPr>
          </w:p>
          <w:p w14:paraId="0B619173" w14:textId="77777777" w:rsidR="00A9563D" w:rsidRPr="00230F35" w:rsidRDefault="00A9563D" w:rsidP="00DF4ADF">
            <w:pPr>
              <w:pStyle w:val="NormalWeb"/>
              <w:spacing w:before="0" w:beforeAutospacing="0" w:after="0" w:afterAutospacing="0"/>
              <w:ind w:right="-334"/>
              <w:rPr>
                <w:rFonts w:ascii="Arial" w:hAnsi="Arial" w:cs="Arial"/>
                <w:bCs/>
                <w:sz w:val="22"/>
                <w:szCs w:val="22"/>
              </w:rPr>
            </w:pPr>
          </w:p>
          <w:p w14:paraId="39158D45" w14:textId="77777777" w:rsidR="00A9563D" w:rsidRPr="00230F35" w:rsidRDefault="00A9563D" w:rsidP="00DF4ADF">
            <w:pPr>
              <w:pStyle w:val="NormalWeb"/>
              <w:spacing w:before="0" w:beforeAutospacing="0" w:after="0" w:afterAutospacing="0"/>
              <w:ind w:right="-334"/>
              <w:rPr>
                <w:rFonts w:ascii="Arial" w:hAnsi="Arial" w:cs="Arial"/>
                <w:bCs/>
                <w:sz w:val="22"/>
                <w:szCs w:val="22"/>
              </w:rPr>
            </w:pPr>
          </w:p>
          <w:p w14:paraId="0AD95527" w14:textId="77777777" w:rsidR="00A9563D" w:rsidRPr="00230F35" w:rsidRDefault="00A9563D" w:rsidP="00DF4ADF">
            <w:pPr>
              <w:pStyle w:val="NormalWeb"/>
              <w:spacing w:before="0" w:beforeAutospacing="0" w:after="0" w:afterAutospacing="0"/>
              <w:ind w:right="-334"/>
              <w:rPr>
                <w:rFonts w:ascii="Arial" w:hAnsi="Arial" w:cs="Arial"/>
                <w:bCs/>
                <w:sz w:val="22"/>
                <w:szCs w:val="22"/>
              </w:rPr>
            </w:pPr>
          </w:p>
        </w:tc>
      </w:tr>
      <w:tr w:rsidR="00A9563D" w:rsidRPr="002F467C" w14:paraId="3A6713E5" w14:textId="77777777" w:rsidTr="00DF4ADF">
        <w:trPr>
          <w:trHeight w:val="720"/>
        </w:trPr>
        <w:tc>
          <w:tcPr>
            <w:tcW w:w="5211" w:type="dxa"/>
            <w:gridSpan w:val="2"/>
          </w:tcPr>
          <w:p w14:paraId="17A06852" w14:textId="77777777" w:rsidR="00A9563D" w:rsidRPr="00230F35" w:rsidRDefault="00A9563D" w:rsidP="00DF4ADF">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7FCEC4F6" w14:textId="77777777" w:rsidR="00A9563D" w:rsidRPr="00230F35" w:rsidRDefault="00A9563D" w:rsidP="00DF4ADF">
            <w:pPr>
              <w:rPr>
                <w:rFonts w:ascii="Arial" w:hAnsi="Arial" w:cs="Arial"/>
                <w:sz w:val="22"/>
                <w:szCs w:val="22"/>
              </w:rPr>
            </w:pPr>
            <w:r w:rsidRPr="00230F35">
              <w:rPr>
                <w:rFonts w:ascii="Arial" w:hAnsi="Arial" w:cs="Arial"/>
                <w:sz w:val="22"/>
                <w:szCs w:val="22"/>
              </w:rPr>
              <w:t>Date:</w:t>
            </w:r>
          </w:p>
        </w:tc>
      </w:tr>
    </w:tbl>
    <w:p w14:paraId="08E1CD8B" w14:textId="77777777" w:rsidR="00722E02" w:rsidRPr="00556D29" w:rsidRDefault="00722E02" w:rsidP="00722E02">
      <w:pPr>
        <w:pStyle w:val="Heading1"/>
      </w:pPr>
      <w:r w:rsidRPr="00556D29">
        <w:t>Introduction</w:t>
      </w:r>
    </w:p>
    <w:p w14:paraId="59970F22" w14:textId="4C0F2E9C" w:rsidR="00722E02" w:rsidRDefault="00FC7385" w:rsidP="00722E02">
      <w:r>
        <w:t>This</w:t>
      </w:r>
      <w:r w:rsidR="00722E02">
        <w:t xml:space="preserve"> essay will </w:t>
      </w:r>
      <w:r w:rsidR="00DF7CE4">
        <w:t>critically review</w:t>
      </w:r>
      <w:r w:rsidR="009B179F">
        <w:t xml:space="preserve"> two papers, focusing particula</w:t>
      </w:r>
      <w:r w:rsidR="0031672E">
        <w:t>rly on ethics and methodologies:</w:t>
      </w:r>
      <w:r w:rsidR="00722E02">
        <w:t xml:space="preserve"> </w:t>
      </w:r>
      <w:r w:rsidR="00722E02" w:rsidRPr="002F5552">
        <w:rPr>
          <w:i/>
        </w:rPr>
        <w:t>“If I Knew You Were Coming, I’d Have Baked a Cake” The Folklore of Foreknowledge in a Neighborhood Group</w:t>
      </w:r>
      <w:r w:rsidR="00722E02">
        <w:t xml:space="preserve"> by Gillian Bennett</w:t>
      </w:r>
      <w:r w:rsidR="00DF7CE4">
        <w:t xml:space="preserve">, and </w:t>
      </w:r>
      <w:r w:rsidR="00B47C7B" w:rsidRPr="007D1F79">
        <w:rPr>
          <w:i/>
        </w:rPr>
        <w:t>Inconsistency of Belief a</w:t>
      </w:r>
      <w:r w:rsidR="007D1F79" w:rsidRPr="007D1F79">
        <w:rPr>
          <w:i/>
        </w:rPr>
        <w:t xml:space="preserve">mong Roman Catholic Girls: Concerning Religion, Astrology, Reincarnation </w:t>
      </w:r>
      <w:r w:rsidR="00EA35FC">
        <w:t>by T.L. Brink</w:t>
      </w:r>
      <w:r w:rsidR="00722E02">
        <w:t>.</w:t>
      </w:r>
      <w:r w:rsidR="00722E02">
        <w:rPr>
          <w:rStyle w:val="FootnoteReference"/>
        </w:rPr>
        <w:footnoteReference w:id="1"/>
      </w:r>
    </w:p>
    <w:p w14:paraId="132C69B0" w14:textId="77777777" w:rsidR="00722E02" w:rsidRDefault="00722E02" w:rsidP="00722E02">
      <w:pPr>
        <w:pStyle w:val="Heading1"/>
      </w:pPr>
      <w:r>
        <w:t>Overview</w:t>
      </w:r>
    </w:p>
    <w:p w14:paraId="29DF52B7" w14:textId="4BA9D257" w:rsidR="006414A2" w:rsidRDefault="00FC7385">
      <w:r w:rsidRPr="00FC7385">
        <w:rPr>
          <w:i/>
        </w:rPr>
        <w:t>If I Knew You Were Coming</w:t>
      </w:r>
      <w:r>
        <w:t xml:space="preserve"> </w:t>
      </w:r>
      <w:r w:rsidR="00621187">
        <w:t>focus</w:t>
      </w:r>
      <w:r w:rsidR="00A911BB">
        <w:t xml:space="preserve">ed on elderly women’s belief about </w:t>
      </w:r>
      <w:r w:rsidR="00621187">
        <w:t xml:space="preserve">knowledge of the future via astrology or psychic perceptions and </w:t>
      </w:r>
      <w:r>
        <w:t xml:space="preserve">appeared in </w:t>
      </w:r>
      <w:r w:rsidRPr="00EE0896">
        <w:rPr>
          <w:i/>
        </w:rPr>
        <w:t>Out of the Ordinary</w:t>
      </w:r>
      <w:r w:rsidRPr="004D2C14">
        <w:t xml:space="preserve">, </w:t>
      </w:r>
      <w:r>
        <w:t xml:space="preserve">a collection of essays published </w:t>
      </w:r>
      <w:r w:rsidR="00621187">
        <w:t xml:space="preserve">in 1995 which </w:t>
      </w:r>
      <w:r w:rsidR="005A1797">
        <w:t xml:space="preserve">aim to </w:t>
      </w:r>
      <w:r w:rsidR="00621187">
        <w:t>place supernatural experience with</w:t>
      </w:r>
      <w:r w:rsidR="006D3123">
        <w:t>in</w:t>
      </w:r>
      <w:r w:rsidR="00621187">
        <w:t xml:space="preserve"> the ordinary</w:t>
      </w:r>
      <w:r>
        <w:t>.</w:t>
      </w:r>
      <w:r>
        <w:rPr>
          <w:rStyle w:val="FootnoteReference"/>
        </w:rPr>
        <w:footnoteReference w:id="2"/>
      </w:r>
      <w:r w:rsidR="00954CAE">
        <w:t xml:space="preserve"> </w:t>
      </w:r>
      <w:r w:rsidRPr="00FC7385">
        <w:rPr>
          <w:i/>
        </w:rPr>
        <w:t>Inconsistency of Belief</w:t>
      </w:r>
      <w:r w:rsidR="006D7BB5">
        <w:t xml:space="preserve"> </w:t>
      </w:r>
      <w:r w:rsidR="00621187">
        <w:t xml:space="preserve">focused on Catholic schoolgirls’ attitudes to religion, astrology and reincarnation, and </w:t>
      </w:r>
      <w:r w:rsidR="006D7BB5">
        <w:t>appeared</w:t>
      </w:r>
      <w:r>
        <w:t xml:space="preserve"> in </w:t>
      </w:r>
      <w:r w:rsidR="00BB2D23" w:rsidRPr="00BB2D23">
        <w:rPr>
          <w:i/>
        </w:rPr>
        <w:t>Review of Religious Research</w:t>
      </w:r>
      <w:r w:rsidR="00BB2D23">
        <w:t xml:space="preserve"> in 1978, a journal facilitating research into religion</w:t>
      </w:r>
      <w:r w:rsidR="00621187">
        <w:t xml:space="preserve"> within society</w:t>
      </w:r>
      <w:r w:rsidR="00BB2D23">
        <w:t>.</w:t>
      </w:r>
      <w:r w:rsidR="006D7BB5">
        <w:rPr>
          <w:rStyle w:val="FootnoteReference"/>
        </w:rPr>
        <w:footnoteReference w:id="3"/>
      </w:r>
      <w:r w:rsidR="003B7A9E">
        <w:t xml:space="preserve"> </w:t>
      </w:r>
      <w:r w:rsidR="00A33FE2">
        <w:t>Both papers, therefore, appear</w:t>
      </w:r>
      <w:r w:rsidR="00EF28EB">
        <w:t>ed</w:t>
      </w:r>
      <w:r w:rsidR="00A33FE2">
        <w:t xml:space="preserve"> in specialised journals </w:t>
      </w:r>
      <w:r w:rsidR="00280F1B">
        <w:t xml:space="preserve">dealing with </w:t>
      </w:r>
      <w:r w:rsidR="00966332">
        <w:t>reli</w:t>
      </w:r>
      <w:r w:rsidR="003B7A9E">
        <w:t xml:space="preserve">gious or supernatural phenomena, </w:t>
      </w:r>
      <w:r w:rsidR="00011EF9">
        <w:t xml:space="preserve">and </w:t>
      </w:r>
      <w:r w:rsidR="003B7A9E">
        <w:t>both focus</w:t>
      </w:r>
      <w:r w:rsidR="00EF28EB">
        <w:t>ed</w:t>
      </w:r>
      <w:r w:rsidR="003341C8">
        <w:t xml:space="preserve"> on </w:t>
      </w:r>
      <w:r w:rsidR="00011EF9">
        <w:t>female subjects</w:t>
      </w:r>
      <w:r w:rsidR="006B1B37">
        <w:t>, where Bennett focused on elderly women, and Brink</w:t>
      </w:r>
      <w:r w:rsidR="00FA7F13">
        <w:t xml:space="preserve"> focused on schoolgirls</w:t>
      </w:r>
      <w:r w:rsidR="003B7A9E">
        <w:t>.</w:t>
      </w:r>
    </w:p>
    <w:p w14:paraId="66084CB1" w14:textId="0A4A0833" w:rsidR="00573B87" w:rsidRDefault="00FE7341" w:rsidP="00573B87">
      <w:pPr>
        <w:pStyle w:val="Heading1"/>
      </w:pPr>
      <w:r>
        <w:t>Methodologies Employed</w:t>
      </w:r>
    </w:p>
    <w:p w14:paraId="42AF6F05" w14:textId="1AAC72E1" w:rsidR="003E6FB8" w:rsidRDefault="009A4DA5">
      <w:r>
        <w:t xml:space="preserve">Bennett </w:t>
      </w:r>
      <w:r w:rsidR="00EE0279">
        <w:t>interviewed</w:t>
      </w:r>
      <w:r w:rsidR="00780DC1">
        <w:t xml:space="preserve"> mostly elderly</w:t>
      </w:r>
      <w:r w:rsidR="00723F85">
        <w:t xml:space="preserve"> “middle-class”</w:t>
      </w:r>
      <w:r w:rsidR="00780DC1">
        <w:t xml:space="preserve"> women</w:t>
      </w:r>
      <w:r w:rsidR="008704E3">
        <w:t xml:space="preserve"> and analysed the data using mixed-methods</w:t>
      </w:r>
      <w:r w:rsidR="00EE0279">
        <w:t>.</w:t>
      </w:r>
      <w:r w:rsidR="00EE0279">
        <w:rPr>
          <w:rStyle w:val="FootnoteReference"/>
        </w:rPr>
        <w:footnoteReference w:id="4"/>
      </w:r>
      <w:r w:rsidR="005819C5">
        <w:t xml:space="preserve"> </w:t>
      </w:r>
      <w:r w:rsidR="00BC7EA3">
        <w:t xml:space="preserve">Brink </w:t>
      </w:r>
      <w:r w:rsidR="00780DC1">
        <w:t>used</w:t>
      </w:r>
      <w:r w:rsidR="00692F64">
        <w:t xml:space="preserve"> que</w:t>
      </w:r>
      <w:r w:rsidR="00732E6A">
        <w:t>stionnaires</w:t>
      </w:r>
      <w:r w:rsidR="008704E3">
        <w:t xml:space="preserve"> and quantitative analysis</w:t>
      </w:r>
      <w:r w:rsidR="00732E6A">
        <w:t xml:space="preserve"> to </w:t>
      </w:r>
      <w:r w:rsidR="000719AF">
        <w:t>examine</w:t>
      </w:r>
      <w:r w:rsidR="00732E6A">
        <w:t xml:space="preserve"> beliefs </w:t>
      </w:r>
      <w:r w:rsidR="00692F64">
        <w:t xml:space="preserve">of </w:t>
      </w:r>
      <w:r w:rsidR="00BC7EA3">
        <w:t xml:space="preserve">Catholic </w:t>
      </w:r>
      <w:r w:rsidR="00780DC1">
        <w:t>school</w:t>
      </w:r>
      <w:r w:rsidR="00692F64">
        <w:t xml:space="preserve">girls who </w:t>
      </w:r>
      <w:r w:rsidR="00C973E6">
        <w:t xml:space="preserve">came from </w:t>
      </w:r>
      <w:r w:rsidR="00692F64">
        <w:t>“</w:t>
      </w:r>
      <w:r w:rsidR="00692F64" w:rsidRPr="00692F64">
        <w:t>working clas</w:t>
      </w:r>
      <w:r w:rsidR="00692F64">
        <w:t>s”</w:t>
      </w:r>
      <w:r w:rsidR="00C973E6">
        <w:t xml:space="preserve"> backgrounds</w:t>
      </w:r>
      <w:r w:rsidR="00692F64">
        <w:t>.</w:t>
      </w:r>
      <w:r w:rsidR="00692F64">
        <w:rPr>
          <w:rStyle w:val="FootnoteReference"/>
        </w:rPr>
        <w:footnoteReference w:id="5"/>
      </w:r>
      <w:r w:rsidR="00692F64">
        <w:t xml:space="preserve"> </w:t>
      </w:r>
      <w:r w:rsidR="00BA4B43">
        <w:t>Hennink, Hutter and Bailey demonstrated the need to conduct research in locations that “make the interviewee feel most at ease” and warned that “the presence of other people will influence the information that an interviewee is willing to share”, suggesting that research should take place in private settings appropriate to the participants’ comfort.</w:t>
      </w:r>
      <w:r w:rsidR="00BA4B43">
        <w:rPr>
          <w:rStyle w:val="FootnoteReference"/>
        </w:rPr>
        <w:footnoteReference w:id="6"/>
      </w:r>
      <w:r w:rsidR="00BA4B43">
        <w:t xml:space="preserve"> However, Bennett conducted interviews</w:t>
      </w:r>
      <w:r w:rsidR="00E70892">
        <w:t xml:space="preserve"> </w:t>
      </w:r>
      <w:r w:rsidR="00BA4B43">
        <w:t>whilst participants underwent medical treatment</w:t>
      </w:r>
      <w:r w:rsidR="00A80BD5">
        <w:t xml:space="preserve">, having </w:t>
      </w:r>
      <w:r w:rsidR="00A80BD5">
        <w:t xml:space="preserve">“recorded </w:t>
      </w:r>
      <w:r w:rsidR="00A80BD5" w:rsidRPr="00BC7EA3">
        <w:t>everything that was said</w:t>
      </w:r>
      <w:r w:rsidR="00A80BD5">
        <w:t>”</w:t>
      </w:r>
      <w:r w:rsidR="00A80BD5">
        <w:t>, whilst</w:t>
      </w:r>
      <w:r w:rsidR="00BA4B43">
        <w:t xml:space="preserve"> her f</w:t>
      </w:r>
      <w:r w:rsidR="00E70892">
        <w:t>ather, the podiatrist,</w:t>
      </w:r>
      <w:r w:rsidR="00D344CC">
        <w:t xml:space="preserve"> was</w:t>
      </w:r>
      <w:r w:rsidR="00E70892">
        <w:t xml:space="preserve"> present, </w:t>
      </w:r>
      <w:r w:rsidR="00D344CC">
        <w:t>and</w:t>
      </w:r>
      <w:r w:rsidR="00E70892">
        <w:t xml:space="preserve"> Brink</w:t>
      </w:r>
      <w:r w:rsidR="00BA4B43">
        <w:t xml:space="preserve"> “administered the questionnaire” to “whoever was in [mand</w:t>
      </w:r>
      <w:r w:rsidR="00E70892">
        <w:t>atory] religion class that day”, presumably with a teacher present</w:t>
      </w:r>
      <w:r w:rsidR="00BD5CD9">
        <w:t xml:space="preserve">, </w:t>
      </w:r>
      <w:r w:rsidR="006738DD">
        <w:t>which perhaps influenced</w:t>
      </w:r>
      <w:r w:rsidR="00BD5CD9">
        <w:t>, as per Hennink et al</w:t>
      </w:r>
      <w:r w:rsidR="006C2731">
        <w:t>’s argument</w:t>
      </w:r>
      <w:r w:rsidR="00BD5CD9">
        <w:t>, the information the participants</w:t>
      </w:r>
      <w:r w:rsidR="00A9097A">
        <w:t xml:space="preserve"> in both papers</w:t>
      </w:r>
      <w:r w:rsidR="00BD5CD9">
        <w:t xml:space="preserve"> were willing to share</w:t>
      </w:r>
      <w:r w:rsidR="00BA4B43">
        <w:t>.</w:t>
      </w:r>
      <w:r w:rsidR="00BA4B43">
        <w:rPr>
          <w:rStyle w:val="FootnoteReference"/>
        </w:rPr>
        <w:footnoteReference w:id="7"/>
      </w:r>
      <w:r w:rsidR="00A60E69">
        <w:t xml:space="preserve"> </w:t>
      </w:r>
      <w:r w:rsidR="00131A1A">
        <w:t>Hennink, Hutter and Bailey</w:t>
      </w:r>
      <w:r w:rsidR="000B2806">
        <w:t xml:space="preserve"> further</w:t>
      </w:r>
      <w:r w:rsidR="00131A1A">
        <w:t xml:space="preserve"> warn that the researcher must ethically ensure the participants “are not coerced by the gatekeeper to take part in the research”, recognising that coercion includes social coercion.</w:t>
      </w:r>
      <w:r w:rsidR="00131A1A">
        <w:rPr>
          <w:rStyle w:val="FootnoteReference"/>
        </w:rPr>
        <w:footnoteReference w:id="8"/>
      </w:r>
      <w:r w:rsidR="00131A1A">
        <w:t xml:space="preserve"> However, Bennet’s choice of location and presence of her </w:t>
      </w:r>
      <w:r w:rsidR="009649E3">
        <w:t>father</w:t>
      </w:r>
      <w:r w:rsidR="00B46491">
        <w:t xml:space="preserve"> </w:t>
      </w:r>
      <w:r w:rsidR="00131A1A">
        <w:t>may have meant participants</w:t>
      </w:r>
      <w:r w:rsidR="00B67D24">
        <w:t xml:space="preserve"> </w:t>
      </w:r>
      <w:r w:rsidR="00131A1A">
        <w:t xml:space="preserve">socially coerced </w:t>
      </w:r>
      <w:r w:rsidR="00B67D24">
        <w:t>into</w:t>
      </w:r>
      <w:r w:rsidR="00131A1A">
        <w:t xml:space="preserve"> </w:t>
      </w:r>
      <w:r w:rsidR="00B67D24">
        <w:t>participating</w:t>
      </w:r>
      <w:r w:rsidR="00131A1A">
        <w:t>, whilst</w:t>
      </w:r>
      <w:r w:rsidR="00AA0D6E">
        <w:t xml:space="preserve"> Brink’s mandatory classroom setting, might </w:t>
      </w:r>
      <w:r w:rsidR="00131A1A">
        <w:t>equally sugg</w:t>
      </w:r>
      <w:r w:rsidR="00AA0D6E">
        <w:t>est</w:t>
      </w:r>
      <w:r w:rsidR="00131A1A">
        <w:t xml:space="preserve"> that the participants </w:t>
      </w:r>
      <w:r w:rsidR="00AA0D6E">
        <w:t>would have found it difficult to refuse participation</w:t>
      </w:r>
      <w:r w:rsidR="00131A1A">
        <w:t xml:space="preserve">. Both papers, therefore, appear to have recruited </w:t>
      </w:r>
      <w:r w:rsidR="0013675C">
        <w:t>women</w:t>
      </w:r>
      <w:r w:rsidR="004F3B77">
        <w:t>, from different social groups</w:t>
      </w:r>
      <w:r w:rsidR="0013675C">
        <w:t xml:space="preserve"> and ages</w:t>
      </w:r>
      <w:r w:rsidR="004F3B77">
        <w:t>,</w:t>
      </w:r>
      <w:r w:rsidR="00131A1A">
        <w:t xml:space="preserve"> who may </w:t>
      </w:r>
      <w:r w:rsidR="003E6FB8">
        <w:t xml:space="preserve">have felt coerced to participate, whilst the presence of others, and the settings chosen, may have influenced the honesty of their reports. </w:t>
      </w:r>
    </w:p>
    <w:p w14:paraId="0049B515" w14:textId="350FE895" w:rsidR="00D44CD5" w:rsidRDefault="00D44CD5" w:rsidP="00D44CD5">
      <w:pPr>
        <w:pStyle w:val="Heading1"/>
      </w:pPr>
      <w:r>
        <w:t>Inconclusive Results</w:t>
      </w:r>
    </w:p>
    <w:p w14:paraId="57D61F1A" w14:textId="4EA7BF5B" w:rsidR="00D23BB9" w:rsidRDefault="006149A7">
      <w:r>
        <w:t xml:space="preserve">Neither paper </w:t>
      </w:r>
      <w:r w:rsidR="00AA5E88">
        <w:t>demonstrate</w:t>
      </w:r>
      <w:r w:rsidR="001604CF">
        <w:t>s</w:t>
      </w:r>
      <w:r>
        <w:t xml:space="preserve"> concl</w:t>
      </w:r>
      <w:r w:rsidR="00C84179">
        <w:t xml:space="preserve">usive results. Brink, contrary to his assumed </w:t>
      </w:r>
      <w:r w:rsidR="00583EDE">
        <w:t>premise</w:t>
      </w:r>
      <w:r w:rsidR="00C84179">
        <w:t xml:space="preserve">, concluded that </w:t>
      </w:r>
      <w:r w:rsidR="00583EDE">
        <w:t xml:space="preserve">“acceptance of one belief system was no assurance that incompatible beliefs would be rejected”, </w:t>
      </w:r>
      <w:r w:rsidR="005E0A9E">
        <w:t>but</w:t>
      </w:r>
      <w:r w:rsidR="00583EDE">
        <w:t xml:space="preserve"> the limitations of the quantitative survey meant that further insight </w:t>
      </w:r>
      <w:r w:rsidR="00DF14C3">
        <w:t xml:space="preserve">or more nuanced </w:t>
      </w:r>
      <w:r w:rsidR="005E0A9E">
        <w:t xml:space="preserve">explanation </w:t>
      </w:r>
      <w:r w:rsidR="00583EDE">
        <w:t xml:space="preserve">could not be </w:t>
      </w:r>
      <w:r w:rsidR="008C78F9">
        <w:t>teased out to explain why</w:t>
      </w:r>
      <w:r w:rsidR="00583EDE">
        <w:t>.</w:t>
      </w:r>
      <w:r w:rsidR="00633C11">
        <w:rPr>
          <w:rStyle w:val="FootnoteReference"/>
        </w:rPr>
        <w:footnoteReference w:id="9"/>
      </w:r>
      <w:r w:rsidR="004F68E4">
        <w:t xml:space="preserve"> </w:t>
      </w:r>
      <w:r w:rsidR="00080487">
        <w:t>Alan</w:t>
      </w:r>
      <w:r w:rsidR="00583EDE">
        <w:t xml:space="preserve"> </w:t>
      </w:r>
      <w:r w:rsidR="004F68E4">
        <w:t>Bryman noted a problem with surveys where “subjects may be influenced by what they perceive to be the underlying aims of the investigation”</w:t>
      </w:r>
      <w:r w:rsidR="006F20E7">
        <w:t>, a problem which may apply to Brink’s schoolroom context, where participants may</w:t>
      </w:r>
      <w:r w:rsidR="003E65C4">
        <w:t>, for example,</w:t>
      </w:r>
      <w:r w:rsidR="006F20E7">
        <w:t xml:space="preserve"> have imagined the</w:t>
      </w:r>
      <w:r w:rsidR="00AE2C90">
        <w:t xml:space="preserve"> classroom</w:t>
      </w:r>
      <w:r w:rsidR="006F20E7">
        <w:t xml:space="preserve"> questionnaire </w:t>
      </w:r>
      <w:r w:rsidR="003D7409">
        <w:t>w</w:t>
      </w:r>
      <w:r w:rsidR="006F20E7">
        <w:t>as a</w:t>
      </w:r>
      <w:r w:rsidR="003D7409">
        <w:t xml:space="preserve"> school test, with</w:t>
      </w:r>
      <w:r w:rsidR="006F20E7">
        <w:t xml:space="preserve"> right and wrong answers.</w:t>
      </w:r>
      <w:r w:rsidR="006F20E7">
        <w:rPr>
          <w:rStyle w:val="FootnoteReference"/>
        </w:rPr>
        <w:footnoteReference w:id="10"/>
      </w:r>
      <w:r w:rsidR="006F20E7">
        <w:t xml:space="preserve"> </w:t>
      </w:r>
      <w:r w:rsidR="003822FB">
        <w:t>Bryman concluded</w:t>
      </w:r>
      <w:r w:rsidR="00454331">
        <w:t>, however,</w:t>
      </w:r>
      <w:r w:rsidR="003822FB">
        <w:t xml:space="preserve"> that when “</w:t>
      </w:r>
      <w:r w:rsidR="003822FB" w:rsidRPr="003E31C1">
        <w:t>quantitative and qualit</w:t>
      </w:r>
      <w:r w:rsidR="003822FB">
        <w:t>ative research are jointly pur</w:t>
      </w:r>
      <w:r w:rsidR="003822FB" w:rsidRPr="003E31C1">
        <w:t>sued, much more complete accounts of social reality can ensue</w:t>
      </w:r>
      <w:r w:rsidR="003822FB">
        <w:t xml:space="preserve">”, </w:t>
      </w:r>
      <w:r w:rsidR="003822FB">
        <w:t xml:space="preserve">but Brink, in the absence of qualitative research, </w:t>
      </w:r>
      <w:r w:rsidR="00BF098D">
        <w:t>admitted</w:t>
      </w:r>
      <w:r w:rsidR="003822FB">
        <w:t xml:space="preserve"> that </w:t>
      </w:r>
      <w:r w:rsidR="003822FB">
        <w:t>the “</w:t>
      </w:r>
      <w:r w:rsidR="003822FB" w:rsidRPr="00583EDE">
        <w:t>survey raises more questions t</w:t>
      </w:r>
      <w:r w:rsidR="003822FB">
        <w:t>han it answers”,</w:t>
      </w:r>
      <w:r w:rsidR="003822FB">
        <w:t xml:space="preserve"> suggesting that Brink’s methodological </w:t>
      </w:r>
      <w:r w:rsidR="00BF098D">
        <w:t xml:space="preserve">exclusivity of </w:t>
      </w:r>
      <w:r w:rsidR="003822FB">
        <w:t>quantitative data alone lead him to a dead-end in his research</w:t>
      </w:r>
      <w:r w:rsidR="001A5974">
        <w:t>, once his hypothesis was not quantitatively confirmed</w:t>
      </w:r>
      <w:r w:rsidR="003822FB">
        <w:t>.</w:t>
      </w:r>
      <w:r w:rsidR="003822FB">
        <w:rPr>
          <w:rStyle w:val="FootnoteReference"/>
        </w:rPr>
        <w:footnoteReference w:id="11"/>
      </w:r>
      <w:r w:rsidR="005A516A">
        <w:t xml:space="preserve"> </w:t>
      </w:r>
    </w:p>
    <w:p w14:paraId="23678E36" w14:textId="0DB04639" w:rsidR="006404FE" w:rsidRDefault="00633804">
      <w:r>
        <w:t>Bennet, conversely, employed mixed-methods, but formed conclusions not deduced from her research, particularly centring a conclusion on the women’s belief that their “</w:t>
      </w:r>
      <w:r>
        <w:t>natural role is to support, nurse, helpmate”</w:t>
      </w:r>
      <w:r>
        <w:t xml:space="preserve">, a subject not enquired by the research, </w:t>
      </w:r>
      <w:r w:rsidR="004B24DB">
        <w:t xml:space="preserve">in turn </w:t>
      </w:r>
      <w:r>
        <w:t>based on the women’s “age, class and religion”, which was</w:t>
      </w:r>
      <w:r w:rsidR="00E35C66">
        <w:t xml:space="preserve"> information</w:t>
      </w:r>
      <w:r>
        <w:t xml:space="preserve"> derived from her father’</w:t>
      </w:r>
      <w:r w:rsidR="00AE1FB0">
        <w:t>s gossip</w:t>
      </w:r>
      <w:r w:rsidR="00416ECA">
        <w:t xml:space="preserve"> rather than interview</w:t>
      </w:r>
      <w:r w:rsidR="00DC7825">
        <w:t>-based research itself</w:t>
      </w:r>
      <w:r w:rsidR="00200E90">
        <w:t>.</w:t>
      </w:r>
      <w:r w:rsidR="00200E90">
        <w:rPr>
          <w:rStyle w:val="FootnoteReference"/>
        </w:rPr>
        <w:footnoteReference w:id="12"/>
      </w:r>
      <w:r w:rsidR="00200E90" w:rsidRPr="00200E90">
        <w:t xml:space="preserve"> </w:t>
      </w:r>
      <w:r w:rsidR="00200E90">
        <w:t>Bennett</w:t>
      </w:r>
      <w:r w:rsidR="00F53E70">
        <w:t xml:space="preserve"> further</w:t>
      </w:r>
      <w:r w:rsidR="00200E90">
        <w:t xml:space="preserve"> categorised omen belief as passive, and concluded that omen belief in women was due to </w:t>
      </w:r>
      <w:r w:rsidR="00C7278B">
        <w:t xml:space="preserve">similar </w:t>
      </w:r>
      <w:r w:rsidR="00200E90">
        <w:t xml:space="preserve">gender restrictions, but </w:t>
      </w:r>
      <w:r w:rsidR="00DD5653">
        <w:t xml:space="preserve">then </w:t>
      </w:r>
      <w:r w:rsidR="00200E90">
        <w:t xml:space="preserve">also noted that more men than women believed in omens, </w:t>
      </w:r>
      <w:r w:rsidR="00E82C4E">
        <w:t>contradicting the notion</w:t>
      </w:r>
      <w:r w:rsidR="00200E90">
        <w:t xml:space="preserve"> that perceived gender roles </w:t>
      </w:r>
      <w:r w:rsidR="00E82C4E">
        <w:t xml:space="preserve">played </w:t>
      </w:r>
      <w:r w:rsidR="00200E90">
        <w:t xml:space="preserve">a </w:t>
      </w:r>
      <w:r w:rsidR="00D753E3">
        <w:t xml:space="preserve">major </w:t>
      </w:r>
      <w:r w:rsidR="00200E90">
        <w:t>part.</w:t>
      </w:r>
      <w:r w:rsidR="00200E90">
        <w:rPr>
          <w:rStyle w:val="FootnoteReference"/>
        </w:rPr>
        <w:footnoteReference w:id="13"/>
      </w:r>
      <w:r w:rsidR="00200E90">
        <w:t xml:space="preserve"> </w:t>
      </w:r>
      <w:r w:rsidR="00457B27">
        <w:t>Bennett’s</w:t>
      </w:r>
      <w:r w:rsidR="00F562AA">
        <w:t xml:space="preserve"> conclusion</w:t>
      </w:r>
      <w:r w:rsidR="001F1EC7">
        <w:t>s</w:t>
      </w:r>
      <w:r w:rsidR="0040701E">
        <w:t xml:space="preserve"> </w:t>
      </w:r>
      <w:r w:rsidR="00F562AA">
        <w:t>were</w:t>
      </w:r>
      <w:r w:rsidR="0040701E">
        <w:t xml:space="preserve"> based on these</w:t>
      </w:r>
      <w:r w:rsidR="00457B27">
        <w:t xml:space="preserve"> </w:t>
      </w:r>
      <w:r w:rsidR="00F562AA">
        <w:t xml:space="preserve">arguments, which, </w:t>
      </w:r>
      <w:r w:rsidR="00116C08">
        <w:t>therefore,</w:t>
      </w:r>
      <w:r w:rsidR="00457B27">
        <w:t xml:space="preserve"> appear</w:t>
      </w:r>
      <w:r w:rsidR="00F562AA">
        <w:t xml:space="preserve"> not</w:t>
      </w:r>
      <w:r w:rsidR="00457B27">
        <w:t xml:space="preserve"> to be</w:t>
      </w:r>
      <w:r w:rsidR="00F562AA">
        <w:t xml:space="preserve"> actually</w:t>
      </w:r>
      <w:r w:rsidR="00457B27">
        <w:t xml:space="preserve"> sourced in her research data</w:t>
      </w:r>
      <w:r w:rsidR="001F1EC7">
        <w:t>, placing a question mark on its validity</w:t>
      </w:r>
      <w:r w:rsidR="00457B27">
        <w:t xml:space="preserve">. </w:t>
      </w:r>
    </w:p>
    <w:p w14:paraId="41AD6BDE" w14:textId="214F8AB9" w:rsidR="00D44CD5" w:rsidRDefault="00457B27">
      <w:r>
        <w:t>The methodologies employed by both papers arguably have restricted the scope and surety of what can be concluded from the research, in Brink’s case the quantitative nature of the study restricts nuance of belief, whilst Bennett’s conclusions appea</w:t>
      </w:r>
      <w:r w:rsidR="00DA3A4A">
        <w:t>r not derived from the research</w:t>
      </w:r>
      <w:r>
        <w:t>.</w:t>
      </w:r>
    </w:p>
    <w:p w14:paraId="58E5C790" w14:textId="0225CBAA" w:rsidR="00573B87" w:rsidRDefault="00573B87" w:rsidP="00573B87">
      <w:pPr>
        <w:pStyle w:val="Heading1"/>
      </w:pPr>
      <w:r>
        <w:t>Conclusion</w:t>
      </w:r>
    </w:p>
    <w:p w14:paraId="25A7AD81" w14:textId="66F06DEB" w:rsidR="00457B27" w:rsidRDefault="00457B27" w:rsidP="00457B27">
      <w:r>
        <w:t xml:space="preserve">Bennet and Brink focus on women’s belief in supernatural or </w:t>
      </w:r>
      <w:r w:rsidR="00FE7341">
        <w:t xml:space="preserve">religious phenomena, with Brink focusing on </w:t>
      </w:r>
      <w:r w:rsidR="00A7710A">
        <w:t>working-class</w:t>
      </w:r>
      <w:r w:rsidR="00FE7341">
        <w:t xml:space="preserve"> </w:t>
      </w:r>
      <w:r w:rsidR="00A7710A">
        <w:t>schoolgirls</w:t>
      </w:r>
      <w:r w:rsidR="00FE7341">
        <w:t xml:space="preserve">, and Bennett on </w:t>
      </w:r>
      <w:r w:rsidR="00B42D20">
        <w:t>elderly</w:t>
      </w:r>
      <w:r w:rsidR="00FE7341">
        <w:t xml:space="preserve"> </w:t>
      </w:r>
      <w:r w:rsidR="00A7710A">
        <w:t xml:space="preserve">middle-class </w:t>
      </w:r>
      <w:r w:rsidR="00FE7341">
        <w:t xml:space="preserve">women. The participants of both papers may </w:t>
      </w:r>
      <w:r w:rsidR="00B42D20">
        <w:t>have felt coerced to participate</w:t>
      </w:r>
      <w:r w:rsidR="00C6415C">
        <w:t>,</w:t>
      </w:r>
      <w:r w:rsidR="00B42D20">
        <w:t xml:space="preserve"> and </w:t>
      </w:r>
      <w:r w:rsidR="00B0016B">
        <w:t xml:space="preserve">included the presence of others during </w:t>
      </w:r>
      <w:r w:rsidR="00B42D20">
        <w:t>the research, which</w:t>
      </w:r>
      <w:r w:rsidR="00E25D74">
        <w:t>, alongside the settings chosen,</w:t>
      </w:r>
      <w:r w:rsidR="00FE7341">
        <w:t xml:space="preserve"> may not </w:t>
      </w:r>
      <w:r w:rsidR="00C6415C">
        <w:t>encourage</w:t>
      </w:r>
      <w:r w:rsidR="00FE7341">
        <w:t xml:space="preserve"> honest responses. The methodologies employed by both papers restrict the scope of insight capable of being extracted from the research, with Brink accepting a dead-end</w:t>
      </w:r>
      <w:r w:rsidR="00BD3550">
        <w:t xml:space="preserve"> with quantitative data</w:t>
      </w:r>
      <w:r w:rsidR="00FE7341">
        <w:t xml:space="preserve">, and with Bennett pushing a gender narrative </w:t>
      </w:r>
      <w:r w:rsidR="004B2847">
        <w:t>not derived from her research data but instead driven by her father’s gossip, with the research data itself at times contradicting it</w:t>
      </w:r>
      <w:r w:rsidR="00FE7341">
        <w:t xml:space="preserve">. </w:t>
      </w:r>
    </w:p>
    <w:p w14:paraId="6FF1D3E9" w14:textId="77777777" w:rsidR="00E512C9" w:rsidRDefault="00E512C9" w:rsidP="00457B27"/>
    <w:p w14:paraId="2B5B87E2" w14:textId="77777777" w:rsidR="00E512C9" w:rsidRDefault="00E512C9" w:rsidP="00457B27"/>
    <w:p w14:paraId="7178B4DA" w14:textId="77777777" w:rsidR="00E512C9" w:rsidRDefault="00E512C9" w:rsidP="00457B27"/>
    <w:p w14:paraId="3EBF0189" w14:textId="77777777" w:rsidR="00E512C9" w:rsidRDefault="00E512C9" w:rsidP="00457B27"/>
    <w:p w14:paraId="40AAC5CD" w14:textId="77777777" w:rsidR="00E512C9" w:rsidRDefault="00E512C9" w:rsidP="00457B27"/>
    <w:p w14:paraId="72732BED" w14:textId="77777777" w:rsidR="00E512C9" w:rsidRDefault="00E512C9" w:rsidP="00457B27"/>
    <w:p w14:paraId="476916DD" w14:textId="77777777" w:rsidR="00E512C9" w:rsidRDefault="00E512C9" w:rsidP="00457B27"/>
    <w:p w14:paraId="259EE831" w14:textId="77777777" w:rsidR="00E512C9" w:rsidRDefault="00E512C9" w:rsidP="00457B27"/>
    <w:p w14:paraId="5C3E535A" w14:textId="77777777" w:rsidR="00E512C9" w:rsidRDefault="00E512C9" w:rsidP="00457B27"/>
    <w:p w14:paraId="5E107C55" w14:textId="77777777" w:rsidR="00E512C9" w:rsidRDefault="00E512C9" w:rsidP="00457B27"/>
    <w:p w14:paraId="397EC483" w14:textId="77777777" w:rsidR="00E512C9" w:rsidRDefault="00E512C9" w:rsidP="00457B27"/>
    <w:p w14:paraId="4F45A430" w14:textId="77777777" w:rsidR="00E512C9" w:rsidRDefault="00E512C9" w:rsidP="00457B27"/>
    <w:p w14:paraId="3DB8B408" w14:textId="77777777" w:rsidR="00E512C9" w:rsidRDefault="00E512C9" w:rsidP="00457B27"/>
    <w:p w14:paraId="71DF74A4" w14:textId="77777777" w:rsidR="00E512C9" w:rsidRDefault="00E512C9" w:rsidP="00457B27"/>
    <w:p w14:paraId="248A9A56" w14:textId="77777777" w:rsidR="00E512C9" w:rsidRDefault="00E512C9" w:rsidP="00457B27"/>
    <w:p w14:paraId="744F984D" w14:textId="77777777" w:rsidR="00E512C9" w:rsidRDefault="00E512C9" w:rsidP="00457B27"/>
    <w:p w14:paraId="2C92B19E" w14:textId="77777777" w:rsidR="00E512C9" w:rsidRDefault="00E512C9" w:rsidP="00457B27"/>
    <w:p w14:paraId="12B4C6C1" w14:textId="77777777" w:rsidR="00E512C9" w:rsidRDefault="00E512C9" w:rsidP="00457B27"/>
    <w:p w14:paraId="3C39911C" w14:textId="77777777" w:rsidR="00E512C9" w:rsidRDefault="00E512C9" w:rsidP="00457B27"/>
    <w:p w14:paraId="0780C574" w14:textId="77777777" w:rsidR="00E512C9" w:rsidRDefault="00E512C9" w:rsidP="00457B27"/>
    <w:p w14:paraId="7223A44A" w14:textId="77777777" w:rsidR="00E512C9" w:rsidRDefault="00E512C9" w:rsidP="00457B27"/>
    <w:p w14:paraId="5C62B114" w14:textId="77777777" w:rsidR="00E512C9" w:rsidRDefault="00E512C9" w:rsidP="00457B27"/>
    <w:p w14:paraId="51303264" w14:textId="77777777" w:rsidR="00E512C9" w:rsidRDefault="00E512C9" w:rsidP="00457B27"/>
    <w:p w14:paraId="410A1645" w14:textId="77777777" w:rsidR="00E512C9" w:rsidRDefault="00E512C9" w:rsidP="00457B27"/>
    <w:p w14:paraId="3B053D24" w14:textId="77777777" w:rsidR="00E512C9" w:rsidRDefault="00E512C9" w:rsidP="00457B27"/>
    <w:p w14:paraId="5FE24041" w14:textId="77777777" w:rsidR="00E512C9" w:rsidRDefault="00E512C9" w:rsidP="00457B27"/>
    <w:p w14:paraId="55C1B071" w14:textId="06D5FBEF" w:rsidR="000F33B1" w:rsidRDefault="000F33B1" w:rsidP="000F33B1">
      <w:pPr>
        <w:pStyle w:val="Heading1"/>
      </w:pPr>
      <w:r>
        <w:t>Bibliography</w:t>
      </w:r>
    </w:p>
    <w:p w14:paraId="029AC721" w14:textId="7FC0F04B" w:rsidR="000F33B1" w:rsidRDefault="00D06683" w:rsidP="00430278">
      <w:pPr>
        <w:spacing w:line="240" w:lineRule="auto"/>
      </w:pPr>
      <w:r>
        <w:t xml:space="preserve">Bennett, Gillian, </w:t>
      </w:r>
      <w:r w:rsidRPr="00EE0279">
        <w:rPr>
          <w:i/>
        </w:rPr>
        <w:t>“If I Knew You Were Coming, I’d Have Baked a Cake” the Folklore of Foreknowledge in a Neighborhood Group</w:t>
      </w:r>
      <w:r w:rsidRPr="002F5552">
        <w:t xml:space="preserve">, in </w:t>
      </w:r>
      <w:r w:rsidRPr="002F5552">
        <w:rPr>
          <w:i/>
        </w:rPr>
        <w:t>Out of the Ordinary</w:t>
      </w:r>
      <w:r w:rsidRPr="002F5552">
        <w:t>, ed. by Barbara Walker (University Press</w:t>
      </w:r>
      <w:r>
        <w:t xml:space="preserve"> of Colorado, 1995)</w:t>
      </w:r>
      <w:r w:rsidR="00FA4764">
        <w:t>.</w:t>
      </w:r>
    </w:p>
    <w:p w14:paraId="4665F540" w14:textId="77777777" w:rsidR="00430278" w:rsidRDefault="00430278" w:rsidP="00430278">
      <w:pPr>
        <w:spacing w:line="240" w:lineRule="auto"/>
      </w:pPr>
    </w:p>
    <w:p w14:paraId="16B6DEBA" w14:textId="417D5209" w:rsidR="00D06683" w:rsidRDefault="00D06683" w:rsidP="00430278">
      <w:pPr>
        <w:spacing w:line="240" w:lineRule="auto"/>
      </w:pPr>
      <w:r w:rsidRPr="007D1F79">
        <w:t>Brink,</w:t>
      </w:r>
      <w:r>
        <w:t xml:space="preserve"> T. L.,</w:t>
      </w:r>
      <w:r w:rsidRPr="007D1F79">
        <w:t xml:space="preserve"> </w:t>
      </w:r>
      <w:r w:rsidRPr="00131A1A">
        <w:rPr>
          <w:i/>
        </w:rPr>
        <w:t>'Inconsistency of Belief among Roman Catholic Girls: Concerning Religion, Astrology, Reincarnation'</w:t>
      </w:r>
      <w:r w:rsidRPr="007D1F79">
        <w:t>, Review of Religious Research, 20 (1978)</w:t>
      </w:r>
      <w:r w:rsidR="00FA4764">
        <w:t>.</w:t>
      </w:r>
    </w:p>
    <w:p w14:paraId="7768A5D4" w14:textId="77777777" w:rsidR="008070BC" w:rsidRDefault="008070BC" w:rsidP="00430278">
      <w:pPr>
        <w:spacing w:line="240" w:lineRule="auto"/>
      </w:pPr>
    </w:p>
    <w:p w14:paraId="04AEBC84" w14:textId="3F6B459E" w:rsidR="008070BC" w:rsidRDefault="008070BC" w:rsidP="00430278">
      <w:pPr>
        <w:spacing w:line="240" w:lineRule="auto"/>
      </w:pPr>
      <w:r>
        <w:t>Bryman</w:t>
      </w:r>
      <w:r w:rsidRPr="00635402">
        <w:t>,</w:t>
      </w:r>
      <w:r>
        <w:t xml:space="preserve"> Alan,</w:t>
      </w:r>
      <w:r w:rsidRPr="00635402">
        <w:t xml:space="preserve"> </w:t>
      </w:r>
      <w:r w:rsidRPr="00635402">
        <w:rPr>
          <w:i/>
        </w:rPr>
        <w:t>Quantity and Quality in Social Research</w:t>
      </w:r>
      <w:r w:rsidRPr="00635402">
        <w:t>, Contemporary Social Research Series (Unwin Hyman, 1988).</w:t>
      </w:r>
    </w:p>
    <w:p w14:paraId="37FFA63C" w14:textId="77777777" w:rsidR="00D06683" w:rsidRDefault="00D06683" w:rsidP="00430278">
      <w:pPr>
        <w:spacing w:line="240" w:lineRule="auto"/>
      </w:pPr>
    </w:p>
    <w:p w14:paraId="6599130D" w14:textId="372FD7FA" w:rsidR="00D06683" w:rsidRDefault="00D06683" w:rsidP="00430278">
      <w:pPr>
        <w:spacing w:line="240" w:lineRule="auto"/>
      </w:pPr>
      <w:r>
        <w:t xml:space="preserve">Flannelly, Kevin, </w:t>
      </w:r>
      <w:r w:rsidRPr="006575B6">
        <w:rPr>
          <w:i/>
        </w:rPr>
        <w:t>Review of Astrological Research</w:t>
      </w:r>
      <w:r>
        <w:t xml:space="preserve">, </w:t>
      </w:r>
      <w:hyperlink r:id="rId8" w:history="1">
        <w:r w:rsidRPr="005205D5">
          <w:rPr>
            <w:rStyle w:val="Hyperlink"/>
          </w:rPr>
          <w:t>https://www.springer.com/journal/13644</w:t>
        </w:r>
      </w:hyperlink>
      <w:r>
        <w:t xml:space="preserve"> [Accessed 17th May 2020]</w:t>
      </w:r>
      <w:r w:rsidR="00FA4764">
        <w:t>.</w:t>
      </w:r>
    </w:p>
    <w:p w14:paraId="7B992AAE" w14:textId="77777777" w:rsidR="00D06683" w:rsidRDefault="00D06683" w:rsidP="00430278">
      <w:pPr>
        <w:spacing w:line="240" w:lineRule="auto"/>
      </w:pPr>
    </w:p>
    <w:p w14:paraId="1E0BA565" w14:textId="0E099547" w:rsidR="00430278" w:rsidRDefault="00430278" w:rsidP="00430278">
      <w:pPr>
        <w:spacing w:line="240" w:lineRule="auto"/>
      </w:pPr>
      <w:r>
        <w:t>Hennik, Monique,</w:t>
      </w:r>
      <w:r w:rsidRPr="00C10BB5">
        <w:t xml:space="preserve"> Hutter</w:t>
      </w:r>
      <w:r>
        <w:t xml:space="preserve">, Inge and </w:t>
      </w:r>
      <w:r w:rsidRPr="00C10BB5">
        <w:t>Bailey</w:t>
      </w:r>
      <w:r>
        <w:t xml:space="preserve"> Ajay</w:t>
      </w:r>
      <w:r w:rsidRPr="00C10BB5">
        <w:t>, ‘Qualitative Research Methods’ (As</w:t>
      </w:r>
      <w:r>
        <w:t>hford, Sage Publications, 2013).</w:t>
      </w:r>
      <w:r w:rsidRPr="00430278">
        <w:t xml:space="preserve"> </w:t>
      </w:r>
    </w:p>
    <w:p w14:paraId="3FD4E224" w14:textId="77777777" w:rsidR="00430278" w:rsidRDefault="00430278" w:rsidP="00430278">
      <w:pPr>
        <w:spacing w:line="240" w:lineRule="auto"/>
      </w:pPr>
    </w:p>
    <w:p w14:paraId="64F45FBC" w14:textId="577824FD" w:rsidR="00430278" w:rsidRDefault="00430278" w:rsidP="00430278">
      <w:pPr>
        <w:spacing w:line="240" w:lineRule="auto"/>
      </w:pPr>
      <w:r>
        <w:t xml:space="preserve">Introduction. In: </w:t>
      </w:r>
      <w:r w:rsidRPr="002F5552">
        <w:rPr>
          <w:i/>
        </w:rPr>
        <w:t>Out of the Ordinary</w:t>
      </w:r>
      <w:r w:rsidRPr="002F5552">
        <w:t xml:space="preserve">, ed. by Barbara Walker (University </w:t>
      </w:r>
      <w:r>
        <w:t>Press of Colorado, 1995)</w:t>
      </w:r>
      <w:r w:rsidR="00FA4764">
        <w:t>.</w:t>
      </w:r>
    </w:p>
    <w:p w14:paraId="2997F206" w14:textId="77777777" w:rsidR="00430278" w:rsidRDefault="00430278" w:rsidP="00430278"/>
    <w:p w14:paraId="3E07412F" w14:textId="77777777" w:rsidR="00D06683" w:rsidRDefault="00D06683" w:rsidP="00457B27"/>
    <w:p w14:paraId="375C83B6" w14:textId="77777777" w:rsidR="00D06683" w:rsidRDefault="00D06683" w:rsidP="00457B27"/>
    <w:p w14:paraId="7335BC93" w14:textId="77777777" w:rsidR="00D06683" w:rsidRPr="00457B27" w:rsidRDefault="00D06683" w:rsidP="00457B27"/>
    <w:sectPr w:rsidR="00D06683" w:rsidRPr="00457B27" w:rsidSect="009A6ED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650FE7" w14:textId="77777777" w:rsidR="007055FE" w:rsidRDefault="007055FE" w:rsidP="00722E02">
      <w:pPr>
        <w:spacing w:line="240" w:lineRule="auto"/>
      </w:pPr>
      <w:r>
        <w:separator/>
      </w:r>
    </w:p>
  </w:endnote>
  <w:endnote w:type="continuationSeparator" w:id="0">
    <w:p w14:paraId="1B120726" w14:textId="77777777" w:rsidR="007055FE" w:rsidRDefault="007055FE" w:rsidP="00722E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Helvetica Neue Light">
    <w:panose1 w:val="02000403000000020004"/>
    <w:charset w:val="00"/>
    <w:family w:val="swiss"/>
    <w:pitch w:val="variable"/>
    <w:sig w:usb0="A00002FF" w:usb1="5000205B" w:usb2="00000002" w:usb3="00000000" w:csb0="00000007" w:csb1="00000000"/>
  </w:font>
  <w:font w:name="Georgia">
    <w:panose1 w:val="02040502050405020303"/>
    <w:charset w:val="00"/>
    <w:family w:val="roman"/>
    <w:pitch w:val="variable"/>
    <w:sig w:usb0="00000287" w:usb1="00000000" w:usb2="00000000" w:usb3="00000000" w:csb0="0000009F" w:csb1="00000000"/>
  </w:font>
  <w:font w:name="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5445DC" w14:textId="77777777" w:rsidR="007055FE" w:rsidRDefault="007055FE" w:rsidP="00722E02">
      <w:pPr>
        <w:spacing w:line="240" w:lineRule="auto"/>
      </w:pPr>
      <w:r>
        <w:separator/>
      </w:r>
    </w:p>
  </w:footnote>
  <w:footnote w:type="continuationSeparator" w:id="0">
    <w:p w14:paraId="676C9880" w14:textId="77777777" w:rsidR="007055FE" w:rsidRDefault="007055FE" w:rsidP="00722E02">
      <w:pPr>
        <w:spacing w:line="240" w:lineRule="auto"/>
      </w:pPr>
      <w:r>
        <w:continuationSeparator/>
      </w:r>
    </w:p>
  </w:footnote>
  <w:footnote w:id="1">
    <w:p w14:paraId="1BC94561" w14:textId="6A5D9DF8" w:rsidR="00722E02" w:rsidRDefault="00722E02" w:rsidP="00722E02">
      <w:pPr>
        <w:pStyle w:val="FootnoteText"/>
      </w:pPr>
      <w:r>
        <w:rPr>
          <w:rStyle w:val="FootnoteReference"/>
        </w:rPr>
        <w:footnoteRef/>
      </w:r>
      <w:r>
        <w:t xml:space="preserve"> Gillian Bennett, </w:t>
      </w:r>
      <w:r w:rsidRPr="00EE0279">
        <w:rPr>
          <w:i/>
        </w:rPr>
        <w:t>“If I Knew You Were Coming, I’d Have Baked a Cake” the Folklore of Foreknowledge in a Neighborhood Group</w:t>
      </w:r>
      <w:r w:rsidRPr="002F5552">
        <w:t xml:space="preserve">, in </w:t>
      </w:r>
      <w:r w:rsidRPr="002F5552">
        <w:rPr>
          <w:i/>
        </w:rPr>
        <w:t>Out of the Ordinary</w:t>
      </w:r>
      <w:r w:rsidRPr="002F5552">
        <w:t>, ed. by Barbara Walker (University Press</w:t>
      </w:r>
      <w:r w:rsidR="007D1F79">
        <w:t xml:space="preserve"> of Colorado, 1995), pp. 122-42; </w:t>
      </w:r>
      <w:r w:rsidR="007D1F79" w:rsidRPr="007D1F79">
        <w:t xml:space="preserve">T. L. Brink, </w:t>
      </w:r>
      <w:r w:rsidR="007D1F79" w:rsidRPr="00131A1A">
        <w:rPr>
          <w:i/>
        </w:rPr>
        <w:t>'Inconsistency of Belief among Roman Catholic Girls: Concerning Religion, Astrology, Reincarnation'</w:t>
      </w:r>
      <w:r w:rsidR="007D1F79" w:rsidRPr="007D1F79">
        <w:t>, Review of Reli</w:t>
      </w:r>
      <w:r w:rsidR="00BB05BB">
        <w:t>gious Research, 20 (1978).</w:t>
      </w:r>
    </w:p>
  </w:footnote>
  <w:footnote w:id="2">
    <w:p w14:paraId="4CA48D4A" w14:textId="334E21EC" w:rsidR="00FC7385" w:rsidRDefault="00FC7385" w:rsidP="00FC7385">
      <w:pPr>
        <w:pStyle w:val="FootnoteText"/>
      </w:pPr>
      <w:r>
        <w:rPr>
          <w:rStyle w:val="FootnoteReference"/>
        </w:rPr>
        <w:footnoteRef/>
      </w:r>
      <w:r>
        <w:t xml:space="preserve"> Introduction. In: </w:t>
      </w:r>
      <w:r w:rsidRPr="002F5552">
        <w:rPr>
          <w:i/>
        </w:rPr>
        <w:t>Out of the Ordinary</w:t>
      </w:r>
      <w:r w:rsidRPr="002F5552">
        <w:t xml:space="preserve">, ed. by Barbara Walker (University </w:t>
      </w:r>
      <w:r w:rsidR="00FA4764">
        <w:t>Press of Colorado, 1995), pp.</w:t>
      </w:r>
      <w:r>
        <w:t>1-7</w:t>
      </w:r>
      <w:r w:rsidR="00FA4764">
        <w:t>.</w:t>
      </w:r>
    </w:p>
  </w:footnote>
  <w:footnote w:id="3">
    <w:p w14:paraId="3A94A39C" w14:textId="70F5ADFE" w:rsidR="006D7BB5" w:rsidRDefault="006D7BB5">
      <w:pPr>
        <w:pStyle w:val="FootnoteText"/>
      </w:pPr>
      <w:r>
        <w:rPr>
          <w:rStyle w:val="FootnoteReference"/>
        </w:rPr>
        <w:footnoteRef/>
      </w:r>
      <w:r>
        <w:t xml:space="preserve"> Kevin J. Flannelly, </w:t>
      </w:r>
      <w:r w:rsidRPr="006575B6">
        <w:rPr>
          <w:i/>
        </w:rPr>
        <w:t>Review of Astrological Research</w:t>
      </w:r>
      <w:r>
        <w:t xml:space="preserve">, </w:t>
      </w:r>
      <w:hyperlink r:id="rId1" w:history="1">
        <w:r w:rsidR="006575B6" w:rsidRPr="005205D5">
          <w:rPr>
            <w:rStyle w:val="Hyperlink"/>
          </w:rPr>
          <w:t>https://www.springer.com/journal/13644</w:t>
        </w:r>
      </w:hyperlink>
      <w:r w:rsidR="006575B6">
        <w:t xml:space="preserve"> [Accessed 17th May 2020]</w:t>
      </w:r>
      <w:r w:rsidR="00FA4764">
        <w:t>.</w:t>
      </w:r>
    </w:p>
  </w:footnote>
  <w:footnote w:id="4">
    <w:p w14:paraId="5E1DCA70" w14:textId="1616ABBC" w:rsidR="00EE0279" w:rsidRDefault="00EE0279" w:rsidP="00EE0279">
      <w:pPr>
        <w:pStyle w:val="FootnoteText"/>
      </w:pPr>
      <w:r>
        <w:rPr>
          <w:rStyle w:val="FootnoteReference"/>
        </w:rPr>
        <w:footnoteRef/>
      </w:r>
      <w:r>
        <w:t xml:space="preserve"> Bennett, </w:t>
      </w:r>
      <w:r w:rsidRPr="00EE0279">
        <w:rPr>
          <w:i/>
        </w:rPr>
        <w:t>If I Knew You Were Coming</w:t>
      </w:r>
      <w:r w:rsidR="00FA4764">
        <w:t>, p.</w:t>
      </w:r>
      <w:r>
        <w:t>127</w:t>
      </w:r>
      <w:r w:rsidR="00FA4764">
        <w:t>.</w:t>
      </w:r>
    </w:p>
  </w:footnote>
  <w:footnote w:id="5">
    <w:p w14:paraId="7A108B48" w14:textId="34454F1B" w:rsidR="00692F64" w:rsidRDefault="00692F64">
      <w:pPr>
        <w:pStyle w:val="FootnoteText"/>
      </w:pPr>
      <w:r>
        <w:rPr>
          <w:rStyle w:val="FootnoteReference"/>
        </w:rPr>
        <w:footnoteRef/>
      </w:r>
      <w:r>
        <w:t xml:space="preserve"> </w:t>
      </w:r>
      <w:r w:rsidR="00BC7EA3">
        <w:t>Brink</w:t>
      </w:r>
      <w:r>
        <w:t xml:space="preserve">, </w:t>
      </w:r>
      <w:r w:rsidRPr="00BC7EA3">
        <w:rPr>
          <w:i/>
        </w:rPr>
        <w:t>Inconsistency of Belief</w:t>
      </w:r>
      <w:r>
        <w:t>, p.83</w:t>
      </w:r>
      <w:r w:rsidR="00FA4764">
        <w:t>.</w:t>
      </w:r>
    </w:p>
  </w:footnote>
  <w:footnote w:id="6">
    <w:p w14:paraId="39FB391A" w14:textId="28CC54B2" w:rsidR="00BA4B43" w:rsidRDefault="00BA4B43">
      <w:pPr>
        <w:pStyle w:val="FootnoteText"/>
      </w:pPr>
      <w:r>
        <w:rPr>
          <w:rStyle w:val="FootnoteReference"/>
        </w:rPr>
        <w:footnoteRef/>
      </w:r>
      <w:r>
        <w:t xml:space="preserve"> </w:t>
      </w:r>
      <w:r w:rsidRPr="00D440ED">
        <w:t xml:space="preserve">Monique Hennik; Inge Hutter; Ajay Bailey, ‘Qualitative Research Methods’ (Ashford, Sage Publications, 2013), pp. </w:t>
      </w:r>
      <w:r w:rsidR="00BD61A6">
        <w:t>120-123.</w:t>
      </w:r>
    </w:p>
  </w:footnote>
  <w:footnote w:id="7">
    <w:p w14:paraId="2E870D36" w14:textId="41D9ED6E" w:rsidR="00BA4B43" w:rsidRDefault="00BA4B43" w:rsidP="00BA4B43">
      <w:pPr>
        <w:pStyle w:val="FootnoteText"/>
      </w:pPr>
      <w:r>
        <w:rPr>
          <w:rStyle w:val="FootnoteReference"/>
        </w:rPr>
        <w:footnoteRef/>
      </w:r>
      <w:r>
        <w:t xml:space="preserve"> Bennett, </w:t>
      </w:r>
      <w:r w:rsidRPr="00131A1A">
        <w:rPr>
          <w:i/>
        </w:rPr>
        <w:t>If I Knew You Were Coming</w:t>
      </w:r>
      <w:r>
        <w:t xml:space="preserve">, p. 127; Brink, </w:t>
      </w:r>
      <w:r w:rsidRPr="00BC7EA3">
        <w:rPr>
          <w:i/>
        </w:rPr>
        <w:t>Inconsistency of Belief</w:t>
      </w:r>
      <w:r>
        <w:t>, p.83</w:t>
      </w:r>
      <w:r w:rsidR="00BD61A6">
        <w:t>.</w:t>
      </w:r>
    </w:p>
  </w:footnote>
  <w:footnote w:id="8">
    <w:p w14:paraId="61F6E6D0" w14:textId="60767AB6" w:rsidR="00131A1A" w:rsidRDefault="00131A1A" w:rsidP="00131A1A">
      <w:pPr>
        <w:pStyle w:val="FootnoteText"/>
      </w:pPr>
      <w:r>
        <w:rPr>
          <w:rStyle w:val="FootnoteReference"/>
        </w:rPr>
        <w:footnoteRef/>
      </w:r>
      <w:r>
        <w:t xml:space="preserve"> </w:t>
      </w:r>
      <w:r w:rsidRPr="00354691">
        <w:t xml:space="preserve">Hennink et al, </w:t>
      </w:r>
      <w:r w:rsidRPr="00131A1A">
        <w:rPr>
          <w:i/>
        </w:rPr>
        <w:t>Qualitative Research Methods</w:t>
      </w:r>
      <w:r w:rsidRPr="00354691">
        <w:t>,</w:t>
      </w:r>
      <w:r>
        <w:t xml:space="preserve"> p.68</w:t>
      </w:r>
      <w:r w:rsidR="00BD61A6">
        <w:t>.</w:t>
      </w:r>
    </w:p>
  </w:footnote>
  <w:footnote w:id="9">
    <w:p w14:paraId="5E37ADC9" w14:textId="3C4E8B95" w:rsidR="00633C11" w:rsidRDefault="00633C11">
      <w:pPr>
        <w:pStyle w:val="FootnoteText"/>
      </w:pPr>
      <w:r>
        <w:rPr>
          <w:rStyle w:val="FootnoteReference"/>
        </w:rPr>
        <w:footnoteRef/>
      </w:r>
      <w:r>
        <w:t xml:space="preserve"> Brink, </w:t>
      </w:r>
      <w:r w:rsidRPr="00BC7EA3">
        <w:rPr>
          <w:i/>
        </w:rPr>
        <w:t>Inconsistency of Belief</w:t>
      </w:r>
      <w:r>
        <w:t>, p.84</w:t>
      </w:r>
      <w:r w:rsidR="00BD61A6">
        <w:t>.</w:t>
      </w:r>
    </w:p>
  </w:footnote>
  <w:footnote w:id="10">
    <w:p w14:paraId="46C69BA0" w14:textId="4DBEC09C" w:rsidR="006F20E7" w:rsidRDefault="006F20E7">
      <w:pPr>
        <w:pStyle w:val="FootnoteText"/>
      </w:pPr>
      <w:r>
        <w:rPr>
          <w:rStyle w:val="FootnoteReference"/>
        </w:rPr>
        <w:footnoteRef/>
      </w:r>
      <w:r>
        <w:t xml:space="preserve"> Alan Bryman, </w:t>
      </w:r>
      <w:r w:rsidR="008D3DA9" w:rsidRPr="00635402">
        <w:rPr>
          <w:i/>
        </w:rPr>
        <w:t>Quantity and Quality in Social Research</w:t>
      </w:r>
      <w:r w:rsidR="008D3DA9" w:rsidRPr="00635402">
        <w:t>, Contemporary Social Rese</w:t>
      </w:r>
      <w:r w:rsidR="008D3DA9">
        <w:t>arch Series (Unwin Hyman, 1988), pp.111-112</w:t>
      </w:r>
    </w:p>
  </w:footnote>
  <w:footnote w:id="11">
    <w:p w14:paraId="763C9134" w14:textId="540F7D17" w:rsidR="003822FB" w:rsidRDefault="003822FB">
      <w:pPr>
        <w:pStyle w:val="FootnoteText"/>
      </w:pPr>
      <w:r>
        <w:rPr>
          <w:rStyle w:val="FootnoteReference"/>
        </w:rPr>
        <w:footnoteRef/>
      </w:r>
      <w:r>
        <w:t xml:space="preserve"> </w:t>
      </w:r>
      <w:r>
        <w:t xml:space="preserve">Bryman, </w:t>
      </w:r>
      <w:r w:rsidRPr="00215CDD">
        <w:rPr>
          <w:i/>
        </w:rPr>
        <w:t>Quality and Quantity in Social Research</w:t>
      </w:r>
      <w:r>
        <w:t xml:space="preserve">, p.125; Brink, </w:t>
      </w:r>
      <w:r w:rsidRPr="00BC7EA3">
        <w:rPr>
          <w:i/>
        </w:rPr>
        <w:t>Inconsistency of Belief</w:t>
      </w:r>
      <w:r>
        <w:t>, p.84.</w:t>
      </w:r>
    </w:p>
  </w:footnote>
  <w:footnote w:id="12">
    <w:p w14:paraId="667D76A5" w14:textId="3A6A5DD8" w:rsidR="00200E90" w:rsidRDefault="00200E90" w:rsidP="00200E90">
      <w:pPr>
        <w:pStyle w:val="FootnoteText"/>
      </w:pPr>
      <w:r>
        <w:rPr>
          <w:rStyle w:val="FootnoteReference"/>
        </w:rPr>
        <w:footnoteRef/>
      </w:r>
      <w:r>
        <w:t xml:space="preserve"> Bennett, If I Knew You Were Coming,</w:t>
      </w:r>
      <w:r w:rsidRPr="00591D5C">
        <w:t xml:space="preserve"> </w:t>
      </w:r>
      <w:r>
        <w:t>p. 133</w:t>
      </w:r>
      <w:r w:rsidR="00BD61A6">
        <w:t>.</w:t>
      </w:r>
    </w:p>
  </w:footnote>
  <w:footnote w:id="13">
    <w:p w14:paraId="192C919D" w14:textId="2C4DA973" w:rsidR="00200E90" w:rsidRDefault="00200E90" w:rsidP="00200E90">
      <w:pPr>
        <w:pStyle w:val="FootnoteText"/>
      </w:pPr>
      <w:r>
        <w:rPr>
          <w:rStyle w:val="FootnoteReference"/>
        </w:rPr>
        <w:footnoteRef/>
      </w:r>
      <w:r>
        <w:t xml:space="preserve"> Bennett, If I Knew You Were Coming,</w:t>
      </w:r>
      <w:r w:rsidRPr="00591D5C">
        <w:t xml:space="preserve"> </w:t>
      </w:r>
      <w:r>
        <w:t>pp. 139-140</w:t>
      </w:r>
      <w:r w:rsidR="00BD61A6">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2E02"/>
    <w:rsid w:val="00011EF9"/>
    <w:rsid w:val="00066C6E"/>
    <w:rsid w:val="000719AF"/>
    <w:rsid w:val="00080487"/>
    <w:rsid w:val="000A2B62"/>
    <w:rsid w:val="000A73B7"/>
    <w:rsid w:val="000B2806"/>
    <w:rsid w:val="000B2DD9"/>
    <w:rsid w:val="000B4363"/>
    <w:rsid w:val="000E5419"/>
    <w:rsid w:val="000F0D04"/>
    <w:rsid w:val="000F33B1"/>
    <w:rsid w:val="00106575"/>
    <w:rsid w:val="0011088D"/>
    <w:rsid w:val="001160DD"/>
    <w:rsid w:val="00116C08"/>
    <w:rsid w:val="00131A1A"/>
    <w:rsid w:val="0013675C"/>
    <w:rsid w:val="00142039"/>
    <w:rsid w:val="00142051"/>
    <w:rsid w:val="001604CF"/>
    <w:rsid w:val="00163ECF"/>
    <w:rsid w:val="00165A05"/>
    <w:rsid w:val="001A33E4"/>
    <w:rsid w:val="001A5974"/>
    <w:rsid w:val="001B530A"/>
    <w:rsid w:val="001F1EC7"/>
    <w:rsid w:val="00200E90"/>
    <w:rsid w:val="00215CDD"/>
    <w:rsid w:val="00232473"/>
    <w:rsid w:val="002372BA"/>
    <w:rsid w:val="00270D66"/>
    <w:rsid w:val="00280F1B"/>
    <w:rsid w:val="002A3257"/>
    <w:rsid w:val="002C395D"/>
    <w:rsid w:val="002F0117"/>
    <w:rsid w:val="0031672E"/>
    <w:rsid w:val="003341C8"/>
    <w:rsid w:val="00347537"/>
    <w:rsid w:val="00351A5D"/>
    <w:rsid w:val="003678F4"/>
    <w:rsid w:val="00373D8F"/>
    <w:rsid w:val="003822FB"/>
    <w:rsid w:val="00396F97"/>
    <w:rsid w:val="003B7A9E"/>
    <w:rsid w:val="003C5D67"/>
    <w:rsid w:val="003D7409"/>
    <w:rsid w:val="003E31C1"/>
    <w:rsid w:val="003E65C4"/>
    <w:rsid w:val="003E6FB8"/>
    <w:rsid w:val="003F44FF"/>
    <w:rsid w:val="003F7722"/>
    <w:rsid w:val="0040701E"/>
    <w:rsid w:val="00416ECA"/>
    <w:rsid w:val="00430278"/>
    <w:rsid w:val="00432E9C"/>
    <w:rsid w:val="00437A88"/>
    <w:rsid w:val="004511F5"/>
    <w:rsid w:val="00454331"/>
    <w:rsid w:val="00457B27"/>
    <w:rsid w:val="004750F0"/>
    <w:rsid w:val="004A070B"/>
    <w:rsid w:val="004B24DB"/>
    <w:rsid w:val="004B2847"/>
    <w:rsid w:val="004F3B77"/>
    <w:rsid w:val="004F68E4"/>
    <w:rsid w:val="00546E07"/>
    <w:rsid w:val="00573B87"/>
    <w:rsid w:val="005819C5"/>
    <w:rsid w:val="00583EDE"/>
    <w:rsid w:val="005A1797"/>
    <w:rsid w:val="005A516A"/>
    <w:rsid w:val="005B22D0"/>
    <w:rsid w:val="005D0101"/>
    <w:rsid w:val="005E0A9E"/>
    <w:rsid w:val="005F08B7"/>
    <w:rsid w:val="006149A7"/>
    <w:rsid w:val="00621187"/>
    <w:rsid w:val="00633804"/>
    <w:rsid w:val="00633C11"/>
    <w:rsid w:val="00635402"/>
    <w:rsid w:val="006360E4"/>
    <w:rsid w:val="006404FE"/>
    <w:rsid w:val="0065553E"/>
    <w:rsid w:val="006575B6"/>
    <w:rsid w:val="006738DD"/>
    <w:rsid w:val="00692F64"/>
    <w:rsid w:val="006A2E30"/>
    <w:rsid w:val="006B1B37"/>
    <w:rsid w:val="006C2731"/>
    <w:rsid w:val="006D3123"/>
    <w:rsid w:val="006D7BB5"/>
    <w:rsid w:val="006F20E7"/>
    <w:rsid w:val="007055FE"/>
    <w:rsid w:val="00712867"/>
    <w:rsid w:val="00722E02"/>
    <w:rsid w:val="00723F85"/>
    <w:rsid w:val="00732E6A"/>
    <w:rsid w:val="00755A75"/>
    <w:rsid w:val="0076752C"/>
    <w:rsid w:val="00780DC1"/>
    <w:rsid w:val="00785BA5"/>
    <w:rsid w:val="007D1F79"/>
    <w:rsid w:val="008070BC"/>
    <w:rsid w:val="008167A1"/>
    <w:rsid w:val="008218AF"/>
    <w:rsid w:val="008514AC"/>
    <w:rsid w:val="008704E3"/>
    <w:rsid w:val="008C78F9"/>
    <w:rsid w:val="008D342A"/>
    <w:rsid w:val="008D3DA9"/>
    <w:rsid w:val="008E0E2B"/>
    <w:rsid w:val="009021B6"/>
    <w:rsid w:val="00923FB9"/>
    <w:rsid w:val="00954CAE"/>
    <w:rsid w:val="009649E3"/>
    <w:rsid w:val="00966332"/>
    <w:rsid w:val="00974362"/>
    <w:rsid w:val="009A4DA5"/>
    <w:rsid w:val="009A6ED2"/>
    <w:rsid w:val="009B179F"/>
    <w:rsid w:val="00A33FE2"/>
    <w:rsid w:val="00A4563A"/>
    <w:rsid w:val="00A55CF9"/>
    <w:rsid w:val="00A60E69"/>
    <w:rsid w:val="00A7201F"/>
    <w:rsid w:val="00A7710A"/>
    <w:rsid w:val="00A80BD5"/>
    <w:rsid w:val="00A8691A"/>
    <w:rsid w:val="00A9097A"/>
    <w:rsid w:val="00A911BB"/>
    <w:rsid w:val="00A9563D"/>
    <w:rsid w:val="00AA0D6E"/>
    <w:rsid w:val="00AA28FA"/>
    <w:rsid w:val="00AA5E88"/>
    <w:rsid w:val="00AB47F0"/>
    <w:rsid w:val="00AD0160"/>
    <w:rsid w:val="00AE1FB0"/>
    <w:rsid w:val="00AE2C90"/>
    <w:rsid w:val="00B0016B"/>
    <w:rsid w:val="00B032D5"/>
    <w:rsid w:val="00B42D20"/>
    <w:rsid w:val="00B46491"/>
    <w:rsid w:val="00B47C7B"/>
    <w:rsid w:val="00B67D24"/>
    <w:rsid w:val="00BA4B43"/>
    <w:rsid w:val="00BB05BB"/>
    <w:rsid w:val="00BB2D23"/>
    <w:rsid w:val="00BC7EA3"/>
    <w:rsid w:val="00BD3550"/>
    <w:rsid w:val="00BD5CD9"/>
    <w:rsid w:val="00BD61A6"/>
    <w:rsid w:val="00BF098D"/>
    <w:rsid w:val="00C301BD"/>
    <w:rsid w:val="00C47C97"/>
    <w:rsid w:val="00C57BD2"/>
    <w:rsid w:val="00C6415C"/>
    <w:rsid w:val="00C7278B"/>
    <w:rsid w:val="00C74DE8"/>
    <w:rsid w:val="00C75655"/>
    <w:rsid w:val="00C8199F"/>
    <w:rsid w:val="00C82450"/>
    <w:rsid w:val="00C84179"/>
    <w:rsid w:val="00C973E6"/>
    <w:rsid w:val="00CA228D"/>
    <w:rsid w:val="00CF4246"/>
    <w:rsid w:val="00D0404A"/>
    <w:rsid w:val="00D06683"/>
    <w:rsid w:val="00D15185"/>
    <w:rsid w:val="00D17B0E"/>
    <w:rsid w:val="00D23BB9"/>
    <w:rsid w:val="00D2425B"/>
    <w:rsid w:val="00D344CC"/>
    <w:rsid w:val="00D44CD5"/>
    <w:rsid w:val="00D753E3"/>
    <w:rsid w:val="00D83453"/>
    <w:rsid w:val="00DA3A4A"/>
    <w:rsid w:val="00DB2547"/>
    <w:rsid w:val="00DC7825"/>
    <w:rsid w:val="00DD5653"/>
    <w:rsid w:val="00DF14C3"/>
    <w:rsid w:val="00DF7CE4"/>
    <w:rsid w:val="00E06695"/>
    <w:rsid w:val="00E25103"/>
    <w:rsid w:val="00E25D74"/>
    <w:rsid w:val="00E27E96"/>
    <w:rsid w:val="00E35C66"/>
    <w:rsid w:val="00E512C9"/>
    <w:rsid w:val="00E70892"/>
    <w:rsid w:val="00E82C4E"/>
    <w:rsid w:val="00EA35FC"/>
    <w:rsid w:val="00EC2AD3"/>
    <w:rsid w:val="00EE0279"/>
    <w:rsid w:val="00EE13DA"/>
    <w:rsid w:val="00EF28EB"/>
    <w:rsid w:val="00EF787F"/>
    <w:rsid w:val="00F53E70"/>
    <w:rsid w:val="00F562AA"/>
    <w:rsid w:val="00FA4764"/>
    <w:rsid w:val="00FA7F13"/>
    <w:rsid w:val="00FC5E01"/>
    <w:rsid w:val="00FC7385"/>
    <w:rsid w:val="00FC77EA"/>
    <w:rsid w:val="00FE73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107DDE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22E02"/>
    <w:pPr>
      <w:spacing w:line="360" w:lineRule="auto"/>
    </w:pPr>
    <w:rPr>
      <w:rFonts w:cs="Times New Roman"/>
    </w:rPr>
  </w:style>
  <w:style w:type="paragraph" w:styleId="Heading1">
    <w:name w:val="heading 1"/>
    <w:basedOn w:val="Normal"/>
    <w:next w:val="Normal"/>
    <w:link w:val="Heading1Char"/>
    <w:uiPriority w:val="9"/>
    <w:qFormat/>
    <w:rsid w:val="00722E0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9563D"/>
    <w:pPr>
      <w:keepNext/>
      <w:keepLines/>
      <w:spacing w:before="40"/>
      <w:outlineLvl w:val="2"/>
    </w:pPr>
    <w:rPr>
      <w:rFonts w:asciiTheme="majorHAnsi" w:eastAsiaTheme="majorEastAsia" w:hAnsiTheme="majorHAnsi" w:cstheme="majorBidi"/>
      <w:color w:val="1F3763" w:themeColor="accent1" w:themeShade="7F"/>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ableofFigures">
    <w:name w:val="table of figures"/>
    <w:basedOn w:val="Normal"/>
    <w:next w:val="Normal"/>
    <w:uiPriority w:val="99"/>
    <w:unhideWhenUsed/>
    <w:rsid w:val="00CA228D"/>
    <w:pPr>
      <w:spacing w:after="240"/>
      <w:ind w:left="851" w:hanging="851"/>
    </w:pPr>
    <w:rPr>
      <w:rFonts w:ascii="Helvetica Neue Light" w:hAnsi="Helvetica Neue Light"/>
      <w:sz w:val="22"/>
      <w:szCs w:val="20"/>
    </w:rPr>
  </w:style>
  <w:style w:type="character" w:customStyle="1" w:styleId="Heading1Char">
    <w:name w:val="Heading 1 Char"/>
    <w:basedOn w:val="DefaultParagraphFont"/>
    <w:link w:val="Heading1"/>
    <w:uiPriority w:val="9"/>
    <w:rsid w:val="00722E02"/>
    <w:rPr>
      <w:rFonts w:asciiTheme="majorHAnsi" w:eastAsiaTheme="majorEastAsia" w:hAnsiTheme="majorHAnsi" w:cstheme="majorBidi"/>
      <w:color w:val="2F5496" w:themeColor="accent1" w:themeShade="BF"/>
      <w:sz w:val="32"/>
      <w:szCs w:val="32"/>
    </w:rPr>
  </w:style>
  <w:style w:type="paragraph" w:styleId="FootnoteText">
    <w:name w:val="footnote text"/>
    <w:basedOn w:val="Normal"/>
    <w:link w:val="FootnoteTextChar"/>
    <w:uiPriority w:val="99"/>
    <w:unhideWhenUsed/>
    <w:rsid w:val="00722E02"/>
    <w:pPr>
      <w:spacing w:line="240" w:lineRule="auto"/>
    </w:pPr>
  </w:style>
  <w:style w:type="character" w:customStyle="1" w:styleId="FootnoteTextChar">
    <w:name w:val="Footnote Text Char"/>
    <w:basedOn w:val="DefaultParagraphFont"/>
    <w:link w:val="FootnoteText"/>
    <w:uiPriority w:val="99"/>
    <w:rsid w:val="00722E02"/>
    <w:rPr>
      <w:rFonts w:cs="Times New Roman"/>
    </w:rPr>
  </w:style>
  <w:style w:type="character" w:styleId="FootnoteReference">
    <w:name w:val="footnote reference"/>
    <w:basedOn w:val="DefaultParagraphFont"/>
    <w:uiPriority w:val="99"/>
    <w:unhideWhenUsed/>
    <w:rsid w:val="00722E02"/>
    <w:rPr>
      <w:vertAlign w:val="superscript"/>
    </w:rPr>
  </w:style>
  <w:style w:type="character" w:styleId="Hyperlink">
    <w:name w:val="Hyperlink"/>
    <w:basedOn w:val="DefaultParagraphFont"/>
    <w:uiPriority w:val="99"/>
    <w:unhideWhenUsed/>
    <w:rsid w:val="006575B6"/>
    <w:rPr>
      <w:color w:val="0563C1" w:themeColor="hyperlink"/>
      <w:u w:val="single"/>
    </w:rPr>
  </w:style>
  <w:style w:type="character" w:customStyle="1" w:styleId="Heading3Char">
    <w:name w:val="Heading 3 Char"/>
    <w:basedOn w:val="DefaultParagraphFont"/>
    <w:link w:val="Heading3"/>
    <w:uiPriority w:val="9"/>
    <w:semiHidden/>
    <w:rsid w:val="00A9563D"/>
    <w:rPr>
      <w:rFonts w:asciiTheme="majorHAnsi" w:eastAsiaTheme="majorEastAsia" w:hAnsiTheme="majorHAnsi" w:cstheme="majorBidi"/>
      <w:color w:val="1F3763" w:themeColor="accent1" w:themeShade="7F"/>
      <w:lang w:val="en-US"/>
    </w:rPr>
  </w:style>
  <w:style w:type="paragraph" w:styleId="NormalWeb">
    <w:name w:val="Normal (Web)"/>
    <w:basedOn w:val="Normal"/>
    <w:rsid w:val="00A9563D"/>
    <w:pPr>
      <w:spacing w:before="100" w:beforeAutospacing="1" w:after="100" w:afterAutospacing="1" w:line="240" w:lineRule="auto"/>
    </w:pPr>
    <w:rPr>
      <w:rFonts w:ascii="Georgia" w:eastAsia="SimSun" w:hAnsi="Georgia"/>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5247326">
      <w:bodyDiv w:val="1"/>
      <w:marLeft w:val="0"/>
      <w:marRight w:val="0"/>
      <w:marTop w:val="0"/>
      <w:marBottom w:val="0"/>
      <w:divBdr>
        <w:top w:val="none" w:sz="0" w:space="0" w:color="auto"/>
        <w:left w:val="none" w:sz="0" w:space="0" w:color="auto"/>
        <w:bottom w:val="none" w:sz="0" w:space="0" w:color="auto"/>
        <w:right w:val="none" w:sz="0" w:space="0" w:color="auto"/>
      </w:divBdr>
    </w:div>
    <w:div w:id="87249730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hyperlink" Target="https://www.springer.com/journal/13644"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s://www.springer.com/journal/136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F6387F35-D54C-C54D-B56B-0F760B0E3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TotalTime>
  <Pages>7</Pages>
  <Words>1218</Words>
  <Characters>6945</Characters>
  <Application>Microsoft Macintosh Word</Application>
  <DocSecurity>0</DocSecurity>
  <Lines>57</Lines>
  <Paragraphs>16</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        THIS SHEET MUST BE THE FIRST PAGE OF THE ASSIGNMENT YOU ARE SUBMITTING  (DO NOT </vt:lpstr>
      <vt:lpstr>        </vt:lpstr>
      <vt:lpstr>Introduction</vt:lpstr>
      <vt:lpstr>Overview</vt:lpstr>
      <vt:lpstr>Methodologies Employed</vt:lpstr>
      <vt:lpstr>Inconclusive Results</vt:lpstr>
      <vt:lpstr>Conclusion</vt:lpstr>
      <vt:lpstr>Bibliography</vt:lpstr>
    </vt:vector>
  </TitlesOfParts>
  <LinksUpToDate>false</LinksUpToDate>
  <CharactersWithSpaces>8147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xpaulk@outlook.com</dc:creator>
  <cp:keywords/>
  <dc:description/>
  <cp:lastModifiedBy>xpaulk@outlook.com</cp:lastModifiedBy>
  <cp:revision>162</cp:revision>
  <dcterms:created xsi:type="dcterms:W3CDTF">2020-05-16T09:34:00Z</dcterms:created>
  <dcterms:modified xsi:type="dcterms:W3CDTF">2020-05-31T19:16:00Z</dcterms:modified>
</cp:coreProperties>
</file>