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09DAD" w14:textId="77777777" w:rsidR="00650C62" w:rsidRDefault="00650C62" w:rsidP="00650C62">
      <w:pPr>
        <w:spacing w:line="360" w:lineRule="auto"/>
        <w:rPr>
          <w:rFonts w:ascii="Arial" w:hAnsi="Arial" w:cs="Arial"/>
          <w:b/>
          <w:bCs/>
          <w:sz w:val="36"/>
          <w:szCs w:val="36"/>
        </w:rPr>
      </w:pPr>
      <w:r>
        <w:rPr>
          <w:rFonts w:ascii="Arial" w:hAnsi="Arial" w:cs="Arial"/>
          <w:b/>
          <w:bCs/>
          <w:sz w:val="36"/>
          <w:szCs w:val="36"/>
        </w:rPr>
        <w:t xml:space="preserve">UNIVERSITY OF WALES. TRINITY ST DAVID </w:t>
      </w:r>
    </w:p>
    <w:p w14:paraId="6B7260C7" w14:textId="46C84B96" w:rsidR="00650C62" w:rsidRDefault="00650C62" w:rsidP="00650C62">
      <w:pPr>
        <w:spacing w:line="360" w:lineRule="auto"/>
        <w:rPr>
          <w:rFonts w:ascii="Arial" w:hAnsi="Arial" w:cs="Arial"/>
          <w:b/>
          <w:bCs/>
          <w:sz w:val="36"/>
          <w:szCs w:val="36"/>
        </w:rPr>
      </w:pPr>
      <w:r>
        <w:rPr>
          <w:rFonts w:ascii="Arial" w:hAnsi="Arial" w:cs="Arial"/>
          <w:b/>
          <w:bCs/>
          <w:sz w:val="36"/>
          <w:szCs w:val="36"/>
        </w:rPr>
        <w:t>MODULE TITLE:</w:t>
      </w:r>
      <w:r>
        <w:rPr>
          <w:rFonts w:ascii="Arial" w:hAnsi="Arial" w:cs="Arial"/>
          <w:b/>
          <w:bCs/>
          <w:sz w:val="36"/>
          <w:szCs w:val="36"/>
        </w:rPr>
        <w:t xml:space="preserve"> DIGITAL TRANSFORMATION IN THE HEALTH AND CARE PROFESSIONS</w:t>
      </w:r>
    </w:p>
    <w:p w14:paraId="1B4889BA" w14:textId="412D9DC5" w:rsidR="00650C62" w:rsidRDefault="00650C62" w:rsidP="00650C62">
      <w:pPr>
        <w:spacing w:line="360" w:lineRule="auto"/>
        <w:rPr>
          <w:rFonts w:ascii="Arial" w:hAnsi="Arial" w:cs="Arial"/>
          <w:b/>
          <w:bCs/>
          <w:sz w:val="36"/>
          <w:szCs w:val="36"/>
        </w:rPr>
      </w:pPr>
      <w:r>
        <w:rPr>
          <w:rFonts w:ascii="Arial" w:hAnsi="Arial" w:cs="Arial"/>
          <w:b/>
          <w:bCs/>
          <w:sz w:val="36"/>
          <w:szCs w:val="36"/>
        </w:rPr>
        <w:t>MODULE CODE: BMHP</w:t>
      </w:r>
      <w:r w:rsidR="00690368">
        <w:rPr>
          <w:rFonts w:ascii="Arial" w:hAnsi="Arial" w:cs="Arial"/>
          <w:b/>
          <w:bCs/>
          <w:sz w:val="36"/>
          <w:szCs w:val="36"/>
        </w:rPr>
        <w:t>6026_BIRM</w:t>
      </w:r>
    </w:p>
    <w:p w14:paraId="1DF7A71C" w14:textId="4EA19937" w:rsidR="00650C62" w:rsidRDefault="00650C62" w:rsidP="00650C62">
      <w:pPr>
        <w:spacing w:line="360" w:lineRule="auto"/>
        <w:rPr>
          <w:rFonts w:ascii="Arial" w:hAnsi="Arial" w:cs="Arial"/>
          <w:b/>
          <w:bCs/>
          <w:sz w:val="36"/>
          <w:szCs w:val="36"/>
        </w:rPr>
      </w:pPr>
      <w:r>
        <w:rPr>
          <w:rFonts w:ascii="Arial" w:hAnsi="Arial" w:cs="Arial"/>
          <w:b/>
          <w:bCs/>
          <w:sz w:val="36"/>
          <w:szCs w:val="36"/>
        </w:rPr>
        <w:t xml:space="preserve">MODULE TUTOR: </w:t>
      </w:r>
      <w:r w:rsidR="00690368">
        <w:rPr>
          <w:rFonts w:ascii="Arial" w:hAnsi="Arial" w:cs="Arial"/>
          <w:b/>
          <w:bCs/>
          <w:sz w:val="36"/>
          <w:szCs w:val="36"/>
        </w:rPr>
        <w:t>ZAKIYYAH AHMED</w:t>
      </w:r>
    </w:p>
    <w:p w14:paraId="40D2978B" w14:textId="77777777" w:rsidR="00650C62" w:rsidRDefault="00650C62" w:rsidP="00650C62">
      <w:pPr>
        <w:rPr>
          <w:rFonts w:ascii="Arial" w:hAnsi="Arial" w:cs="Arial"/>
          <w:b/>
          <w:bCs/>
          <w:sz w:val="36"/>
          <w:szCs w:val="36"/>
        </w:rPr>
      </w:pPr>
      <w:r>
        <w:rPr>
          <w:rFonts w:ascii="Arial" w:hAnsi="Arial" w:cs="Arial"/>
          <w:b/>
          <w:bCs/>
          <w:sz w:val="36"/>
          <w:szCs w:val="36"/>
        </w:rPr>
        <w:t xml:space="preserve">STUDENT NAME: NAUREEN HUSSAIN </w:t>
      </w:r>
    </w:p>
    <w:p w14:paraId="6A0C7614" w14:textId="77777777" w:rsidR="00650C62" w:rsidRDefault="00650C62" w:rsidP="00650C62">
      <w:pPr>
        <w:spacing w:line="360" w:lineRule="auto"/>
        <w:rPr>
          <w:rFonts w:ascii="Arial" w:hAnsi="Arial" w:cs="Arial"/>
          <w:b/>
          <w:bCs/>
          <w:sz w:val="36"/>
          <w:szCs w:val="36"/>
        </w:rPr>
      </w:pPr>
      <w:r>
        <w:rPr>
          <w:rFonts w:ascii="Arial" w:hAnsi="Arial" w:cs="Arial"/>
          <w:b/>
          <w:bCs/>
          <w:sz w:val="36"/>
          <w:szCs w:val="36"/>
        </w:rPr>
        <w:t>STUDENT NUMBER:  2410266</w:t>
      </w:r>
    </w:p>
    <w:p w14:paraId="444F6EE2" w14:textId="6D3A5C09" w:rsidR="00690368" w:rsidRDefault="00690368" w:rsidP="00650C62">
      <w:pPr>
        <w:spacing w:line="360" w:lineRule="auto"/>
        <w:rPr>
          <w:rFonts w:ascii="Arial" w:hAnsi="Arial" w:cs="Arial"/>
          <w:b/>
          <w:bCs/>
          <w:sz w:val="36"/>
          <w:szCs w:val="36"/>
        </w:rPr>
      </w:pPr>
      <w:r>
        <w:rPr>
          <w:rFonts w:ascii="Arial" w:hAnsi="Arial" w:cs="Arial"/>
          <w:b/>
          <w:bCs/>
          <w:sz w:val="36"/>
          <w:szCs w:val="36"/>
        </w:rPr>
        <w:t>ASSIGNMENT: COMPONENT 1</w:t>
      </w:r>
    </w:p>
    <w:p w14:paraId="011D261B" w14:textId="77777777" w:rsidR="00650C62" w:rsidRDefault="00650C62" w:rsidP="00972472">
      <w:pPr>
        <w:spacing w:line="360" w:lineRule="auto"/>
        <w:rPr>
          <w:rFonts w:ascii="Arial" w:hAnsi="Arial" w:cs="Arial"/>
          <w:b/>
          <w:bCs/>
          <w:sz w:val="22"/>
          <w:szCs w:val="22"/>
        </w:rPr>
      </w:pPr>
    </w:p>
    <w:p w14:paraId="2C49D1C1" w14:textId="77777777" w:rsidR="00650C62" w:rsidRDefault="00650C62">
      <w:pPr>
        <w:rPr>
          <w:rFonts w:ascii="Arial" w:hAnsi="Arial" w:cs="Arial"/>
          <w:b/>
          <w:bCs/>
          <w:sz w:val="22"/>
          <w:szCs w:val="22"/>
        </w:rPr>
      </w:pPr>
      <w:r>
        <w:rPr>
          <w:rFonts w:ascii="Arial" w:hAnsi="Arial" w:cs="Arial"/>
          <w:b/>
          <w:bCs/>
          <w:sz w:val="22"/>
          <w:szCs w:val="22"/>
        </w:rPr>
        <w:br w:type="page"/>
      </w:r>
    </w:p>
    <w:p w14:paraId="0FB44817" w14:textId="564B92C1" w:rsidR="00720006" w:rsidRPr="00972472" w:rsidRDefault="00720006" w:rsidP="00972472">
      <w:pPr>
        <w:spacing w:line="360" w:lineRule="auto"/>
        <w:rPr>
          <w:rFonts w:ascii="Arial" w:hAnsi="Arial" w:cs="Arial"/>
          <w:b/>
          <w:bCs/>
          <w:sz w:val="22"/>
          <w:szCs w:val="22"/>
        </w:rPr>
      </w:pPr>
      <w:r w:rsidRPr="00972472">
        <w:rPr>
          <w:rFonts w:ascii="Arial" w:hAnsi="Arial" w:cs="Arial"/>
          <w:b/>
          <w:bCs/>
          <w:sz w:val="22"/>
          <w:szCs w:val="22"/>
        </w:rPr>
        <w:lastRenderedPageBreak/>
        <w:t>A Critical Evaluation of the Implementation of the FreeStyle Libre 2 Digital Glucose Monitoring System in Health and Social Care: Implications for Service Delivery and Patient Experience</w:t>
      </w:r>
    </w:p>
    <w:p w14:paraId="17BCE972" w14:textId="77777777" w:rsidR="00720006" w:rsidRPr="00972472" w:rsidRDefault="00720006" w:rsidP="00972472">
      <w:pPr>
        <w:spacing w:line="360" w:lineRule="auto"/>
        <w:jc w:val="center"/>
        <w:rPr>
          <w:rFonts w:ascii="Arial" w:hAnsi="Arial" w:cs="Arial"/>
          <w:sz w:val="22"/>
          <w:szCs w:val="22"/>
        </w:rPr>
      </w:pPr>
    </w:p>
    <w:p w14:paraId="7C4698BE" w14:textId="77777777" w:rsidR="00CF6B19" w:rsidRPr="00972472" w:rsidRDefault="00CF6B19" w:rsidP="00972472">
      <w:pPr>
        <w:spacing w:line="360" w:lineRule="auto"/>
        <w:rPr>
          <w:rFonts w:ascii="Arial" w:hAnsi="Arial" w:cs="Arial"/>
          <w:sz w:val="22"/>
          <w:szCs w:val="22"/>
        </w:rPr>
      </w:pPr>
    </w:p>
    <w:p w14:paraId="54C90153" w14:textId="02E9BCC5" w:rsidR="00720006" w:rsidRPr="00972472" w:rsidRDefault="00815276" w:rsidP="00972472">
      <w:pPr>
        <w:spacing w:line="360" w:lineRule="auto"/>
        <w:rPr>
          <w:rFonts w:ascii="Arial" w:hAnsi="Arial" w:cs="Arial"/>
          <w:b/>
          <w:bCs/>
          <w:sz w:val="22"/>
          <w:szCs w:val="22"/>
          <w:u w:val="single"/>
        </w:rPr>
      </w:pPr>
      <w:r w:rsidRPr="00972472">
        <w:rPr>
          <w:rFonts w:ascii="Arial" w:hAnsi="Arial" w:cs="Arial"/>
          <w:b/>
          <w:bCs/>
          <w:sz w:val="22"/>
          <w:szCs w:val="22"/>
          <w:u w:val="single"/>
        </w:rPr>
        <w:t>Introduction</w:t>
      </w:r>
    </w:p>
    <w:p w14:paraId="3E1F0117" w14:textId="77777777" w:rsidR="00037ED7" w:rsidRPr="00972472" w:rsidRDefault="00037ED7" w:rsidP="00972472">
      <w:pPr>
        <w:spacing w:line="360" w:lineRule="auto"/>
        <w:rPr>
          <w:rFonts w:ascii="Arial" w:hAnsi="Arial" w:cs="Arial"/>
          <w:sz w:val="22"/>
          <w:szCs w:val="22"/>
        </w:rPr>
      </w:pPr>
      <w:r w:rsidRPr="00972472">
        <w:rPr>
          <w:rFonts w:ascii="Arial" w:hAnsi="Arial" w:cs="Arial"/>
          <w:sz w:val="22"/>
          <w:szCs w:val="22"/>
        </w:rPr>
        <w:t>The advancement of digital technologies is reshaping health and social care by transforming service delivery, changing how clinical data is collected, and enabling individuals to take greater responsibility for managing chronic conditions. Diabetes care exemplifies an area where digital innovations offer alternatives to traditional monitoring, potentially improving clinical decision-making and patient experiences. The FreeStyle Libre 2, an Abbott-manufactured sensor-based glucose monitoring device, enables individuals to monitor glucose fluctuations whilst reducing reliance on conventional finger-prick testing. Its implementation represents a shift towards more continuous, data-driven and patient-directed diabetes management.</w:t>
      </w:r>
    </w:p>
    <w:p w14:paraId="4679938A" w14:textId="77777777" w:rsidR="00037ED7" w:rsidRPr="00972472" w:rsidRDefault="00037ED7" w:rsidP="00972472">
      <w:pPr>
        <w:spacing w:line="360" w:lineRule="auto"/>
        <w:rPr>
          <w:rFonts w:ascii="Arial" w:hAnsi="Arial" w:cs="Arial"/>
          <w:sz w:val="22"/>
          <w:szCs w:val="22"/>
        </w:rPr>
      </w:pPr>
      <w:r w:rsidRPr="00972472">
        <w:rPr>
          <w:rFonts w:ascii="Arial" w:hAnsi="Arial" w:cs="Arial"/>
          <w:sz w:val="22"/>
          <w:szCs w:val="22"/>
        </w:rPr>
        <w:t>This assignment critically examines the implementation of FreeStyle Libre 2 within health and social care, focusing on two dimensions: service delivery and patient/service-user experiences. It explores how the technology influences clinical procedures, information sharing and diabetes management, whilst evaluating its implications for patient autonomy, safety, psychological wellbeing and quality of life. Although research suggests that flash glucose monitoring can reduce the burden of conventional testing and improve certain patient-reported outcomes, these benefits cannot be assumed to apply universally. Clinical effectiveness, accessibility, digital inequalities and professional support require careful consideration. Drawing on clinical studies, literature reviews and National Institute for Health and Care Excellence (NICE) guidance, this assignment argues that successful implementation depends not simply on technological access, but on its integration into equitable, person-centred and evidence-based care.</w:t>
      </w:r>
    </w:p>
    <w:p w14:paraId="45C2F061" w14:textId="77777777" w:rsidR="00950E53" w:rsidRPr="00972472" w:rsidRDefault="00950E53" w:rsidP="00972472">
      <w:pPr>
        <w:spacing w:line="360" w:lineRule="auto"/>
        <w:rPr>
          <w:rFonts w:ascii="Arial" w:hAnsi="Arial" w:cs="Arial"/>
          <w:sz w:val="22"/>
          <w:szCs w:val="22"/>
        </w:rPr>
      </w:pPr>
    </w:p>
    <w:p w14:paraId="46ED4CB0" w14:textId="6C28AAD0" w:rsidR="00950E53" w:rsidRPr="00972472" w:rsidRDefault="000D2EC6" w:rsidP="00972472">
      <w:pPr>
        <w:spacing w:line="360" w:lineRule="auto"/>
        <w:rPr>
          <w:rFonts w:ascii="Arial" w:hAnsi="Arial" w:cs="Arial"/>
          <w:b/>
          <w:bCs/>
          <w:sz w:val="22"/>
          <w:szCs w:val="22"/>
          <w:u w:val="single"/>
        </w:rPr>
      </w:pPr>
      <w:r w:rsidRPr="00972472">
        <w:rPr>
          <w:rFonts w:ascii="Arial" w:hAnsi="Arial" w:cs="Arial"/>
          <w:b/>
          <w:bCs/>
          <w:sz w:val="22"/>
          <w:szCs w:val="22"/>
          <w:u w:val="single"/>
        </w:rPr>
        <w:t>Background</w:t>
      </w:r>
      <w:r w:rsidR="00950E53" w:rsidRPr="00972472">
        <w:rPr>
          <w:rFonts w:ascii="Arial" w:hAnsi="Arial" w:cs="Arial"/>
          <w:b/>
          <w:bCs/>
          <w:sz w:val="22"/>
          <w:szCs w:val="22"/>
          <w:u w:val="single"/>
        </w:rPr>
        <w:t xml:space="preserve"> and imple</w:t>
      </w:r>
      <w:r w:rsidRPr="00972472">
        <w:rPr>
          <w:rFonts w:ascii="Arial" w:hAnsi="Arial" w:cs="Arial"/>
          <w:b/>
          <w:bCs/>
          <w:sz w:val="22"/>
          <w:szCs w:val="22"/>
          <w:u w:val="single"/>
        </w:rPr>
        <w:t>mentation of the innovation</w:t>
      </w:r>
    </w:p>
    <w:p w14:paraId="66DEB41F" w14:textId="77777777" w:rsidR="00F04AD3" w:rsidRPr="00972472" w:rsidRDefault="00F04AD3" w:rsidP="00972472">
      <w:pPr>
        <w:spacing w:line="360" w:lineRule="auto"/>
        <w:rPr>
          <w:rFonts w:ascii="Arial" w:hAnsi="Arial" w:cs="Arial"/>
          <w:sz w:val="22"/>
          <w:szCs w:val="22"/>
        </w:rPr>
      </w:pPr>
      <w:r w:rsidRPr="00972472">
        <w:rPr>
          <w:rFonts w:ascii="Arial" w:hAnsi="Arial" w:cs="Arial"/>
          <w:sz w:val="22"/>
          <w:szCs w:val="22"/>
        </w:rPr>
        <w:t>The FreeStyle Libre 2 uses a compact sensor worn on the upper arm to measure glucose concentrations in interstitial fluid. Users can access readings and glucose trends through a compatible reader or smartphone application, with certain configurations supporting glucose alerts and digital data transmission. Capabilities vary according to the sensor, compatible hardware and software settings, making it important to distinguish Libre 2 from newer technologies (Abbott, n.d.).</w:t>
      </w:r>
    </w:p>
    <w:p w14:paraId="08B105A5" w14:textId="77777777" w:rsidR="00F04AD3" w:rsidRPr="00972472" w:rsidRDefault="00F04AD3" w:rsidP="00972472">
      <w:pPr>
        <w:spacing w:line="360" w:lineRule="auto"/>
        <w:rPr>
          <w:rFonts w:ascii="Arial" w:hAnsi="Arial" w:cs="Arial"/>
          <w:sz w:val="22"/>
          <w:szCs w:val="22"/>
        </w:rPr>
      </w:pPr>
      <w:r w:rsidRPr="00972472">
        <w:rPr>
          <w:rFonts w:ascii="Arial" w:hAnsi="Arial" w:cs="Arial"/>
          <w:sz w:val="22"/>
          <w:szCs w:val="22"/>
        </w:rPr>
        <w:t xml:space="preserve">This technology transforms conventional glucose monitoring, which relies on individual measurements obtained through finger-prick blood tests. Sensor-based monitoring provides </w:t>
      </w:r>
      <w:r w:rsidRPr="00972472">
        <w:rPr>
          <w:rFonts w:ascii="Arial" w:hAnsi="Arial" w:cs="Arial"/>
          <w:sz w:val="22"/>
          <w:szCs w:val="22"/>
        </w:rPr>
        <w:lastRenderedPageBreak/>
        <w:t>a more comprehensive picture of glucose fluctuations during daily activities, helping patients and healthcare professionals identify patterns associated with diet, exercise and treatment. Bolinder et al. (2016) found that flash glucose-sensing technology reduced hypoglycaemia in adults with type 1 diabetes compared with standard self-monitoring. Similarly, Haak et al. (2017) investigated its use in people with insulin-treated type 2 diabetes, demonstrating its relevance across different diabetes populations.</w:t>
      </w:r>
    </w:p>
    <w:p w14:paraId="0A325280" w14:textId="77777777" w:rsidR="00F04AD3" w:rsidRPr="00972472" w:rsidRDefault="00F04AD3" w:rsidP="00972472">
      <w:pPr>
        <w:spacing w:line="360" w:lineRule="auto"/>
        <w:rPr>
          <w:rFonts w:ascii="Arial" w:hAnsi="Arial" w:cs="Arial"/>
          <w:sz w:val="22"/>
          <w:szCs w:val="22"/>
        </w:rPr>
      </w:pPr>
      <w:r w:rsidRPr="00972472">
        <w:rPr>
          <w:rFonts w:ascii="Arial" w:hAnsi="Arial" w:cs="Arial"/>
          <w:sz w:val="22"/>
          <w:szCs w:val="22"/>
        </w:rPr>
        <w:t>In England, implementation takes place within the NHS, where eligibility, individual needs and clinical suitability influence access. NICE recommends offering adults with type 1 diabetes a choice between real-time and intermittently scanned continuous glucose monitoring, according to their preferences and requirements. Its guidance also emphasises professional training, ongoing review and measures to address inequalities in access (NICE, 2022).</w:t>
      </w:r>
    </w:p>
    <w:p w14:paraId="4793BDE2" w14:textId="77777777" w:rsidR="00F04AD3" w:rsidRPr="00972472" w:rsidRDefault="00F04AD3" w:rsidP="00972472">
      <w:pPr>
        <w:spacing w:line="360" w:lineRule="auto"/>
        <w:rPr>
          <w:rFonts w:ascii="Arial" w:hAnsi="Arial" w:cs="Arial"/>
          <w:sz w:val="22"/>
          <w:szCs w:val="22"/>
        </w:rPr>
      </w:pPr>
      <w:r w:rsidRPr="00972472">
        <w:rPr>
          <w:rFonts w:ascii="Arial" w:hAnsi="Arial" w:cs="Arial"/>
          <w:sz w:val="22"/>
          <w:szCs w:val="22"/>
        </w:rPr>
        <w:t>Therefore, implementing Libre 2 involves more than supplying a sensor; it requires appropriate prescribing, patient education, clinical interpretation and integration into individual diabetes care plans.</w:t>
      </w:r>
    </w:p>
    <w:p w14:paraId="644DA869" w14:textId="77777777" w:rsidR="00AA14DD" w:rsidRPr="00972472" w:rsidRDefault="00AA14DD" w:rsidP="00972472">
      <w:pPr>
        <w:spacing w:line="360" w:lineRule="auto"/>
        <w:rPr>
          <w:rFonts w:ascii="Arial" w:hAnsi="Arial" w:cs="Arial"/>
          <w:sz w:val="22"/>
          <w:szCs w:val="22"/>
        </w:rPr>
      </w:pPr>
    </w:p>
    <w:p w14:paraId="6C727556" w14:textId="6B09A885" w:rsidR="00AA14DD" w:rsidRPr="00972472" w:rsidRDefault="00AA14DD" w:rsidP="00972472">
      <w:pPr>
        <w:spacing w:line="360" w:lineRule="auto"/>
        <w:rPr>
          <w:rFonts w:ascii="Arial" w:hAnsi="Arial" w:cs="Arial"/>
          <w:b/>
          <w:bCs/>
          <w:sz w:val="22"/>
          <w:szCs w:val="22"/>
          <w:u w:val="single"/>
        </w:rPr>
      </w:pPr>
      <w:r w:rsidRPr="00972472">
        <w:rPr>
          <w:rFonts w:ascii="Arial" w:hAnsi="Arial" w:cs="Arial"/>
          <w:b/>
          <w:bCs/>
          <w:sz w:val="22"/>
          <w:szCs w:val="22"/>
          <w:u w:val="single"/>
        </w:rPr>
        <w:t>Impact on service delivery</w:t>
      </w:r>
    </w:p>
    <w:p w14:paraId="618330DD"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The implementation of Libre 2 transforms diabetes service delivery by shifting glucose monitoring from occasional measurements towards the systematic collection of glucose data. Traditionally, clinical decisions have relied on HbA1c results, patient-reported symptoms and readings obtained at specific intervals. Sensor-based monitoring provides additional information about glucose fluctuations, time within target ranges and episodes of hyperglycaemia or hypoglycaemia, offering healthcare professionals a more comprehensive understanding of patients' diabetes management between consultations.</w:t>
      </w:r>
    </w:p>
    <w:p w14:paraId="00F67BC2"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Bolinder et al. (2016) conducted a multicentre randomised controlled trial involving adults with type 1 diabetes and found that flash glucose monitoring reduced hypoglycaemia. This supports the adoption of sensor-based technologies, as they can identify patterns that conventional testing may overlook. However, the study's specific population limits the extent to which its findings can be generalised to other patient groups.</w:t>
      </w:r>
    </w:p>
    <w:p w14:paraId="0AF6836B"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Similarly, Haak et al. (2017) investigated flash glucose-sensing technology in people with insulin-treated type 2 diabetes, demonstrating its potential to improve monitoring and reduce the burden of conventional testing. Although these studies support the benefits of sensor-based monitoring across different populations, they examined flash monitoring technology rather than every subsequent Libre 2 feature. Their findings should therefore be applied cautiously to specific device configurations.</w:t>
      </w:r>
    </w:p>
    <w:p w14:paraId="2E1C4D5B"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 xml:space="preserve">Libre 2 also influences clinical consultations. Glucose reports enable diabetes specialist nurses and other healthcare professionals to identify recurring patterns and discuss </w:t>
      </w:r>
      <w:r w:rsidRPr="00972472">
        <w:rPr>
          <w:rFonts w:ascii="Arial" w:hAnsi="Arial" w:cs="Arial"/>
          <w:sz w:val="22"/>
          <w:szCs w:val="22"/>
        </w:rPr>
        <w:lastRenderedPageBreak/>
        <w:t>treatment decisions using information from patients' everyday lives. This may improve communication and support more personalised care. However, research by Lawton et al. (2022) highlights that although flash glucose monitoring can support person-centred diabetes management, it may also introduce additional demands on clinical practice.</w:t>
      </w:r>
    </w:p>
    <w:p w14:paraId="0ED064DB"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This illustrates a key challenge of digital transformation: improved access to information does not necessarily reduce professional workload. Healthcare staff require appropriate skills to interpret glucose profiles, explain their significance and identify clinically important patterns. Services must also establish procedures for reviewing shared data and responding to concerns. Without adequate training and clearly defined responsibilities, digital monitoring may increase workload rather than improve efficiency.</w:t>
      </w:r>
    </w:p>
    <w:p w14:paraId="6BB9D7A5"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NICE (2022) emphasises the importance of professional expertise, structured patient education and ongoing review when implementing continuous glucose monitoring. This demonstrates that successful implementation requires coordinated clinical support rather than simply supplying devices.</w:t>
      </w:r>
    </w:p>
    <w:p w14:paraId="5392D255"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The financial implications also require consideration. Reducing finger-prick testing and potentially preventing hypoglycaemic episodes may ease some pressures on healthcare services. However, cost effectiveness depends on sensor expenditure, staff training and whether improved monitoring reduces complications or hospital attendance. Investment should therefore be assessed against measurable clinical and economic outcomes rather than assuming digital technologies automatically generate savings.</w:t>
      </w:r>
    </w:p>
    <w:p w14:paraId="429BF300"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Furthermore, access to glucose data does not eliminate the need for clinical judgement. Readings must be interpreted alongside symptoms, medication and individual circumstances. NICE (2022) highlights the importance of retaining access to capillary blood glucose testing when necessary, including when device accuracy is uncertain or the system fails. Digital monitoring should therefore complement, rather than replace, professional expertise.</w:t>
      </w:r>
    </w:p>
    <w:p w14:paraId="73C624F5" w14:textId="77777777" w:rsidR="00FA792A" w:rsidRPr="00972472" w:rsidRDefault="00FA792A" w:rsidP="00972472">
      <w:pPr>
        <w:spacing w:line="360" w:lineRule="auto"/>
        <w:rPr>
          <w:rFonts w:ascii="Arial" w:hAnsi="Arial" w:cs="Arial"/>
          <w:sz w:val="22"/>
          <w:szCs w:val="22"/>
        </w:rPr>
      </w:pPr>
      <w:r w:rsidRPr="00972472">
        <w:rPr>
          <w:rFonts w:ascii="Arial" w:hAnsi="Arial" w:cs="Arial"/>
          <w:sz w:val="22"/>
          <w:szCs w:val="22"/>
        </w:rPr>
        <w:t>Overall, Libre 2 can improve service delivery through more comprehensive clinical information, informed consultations and personalised diabetes management. However, these benefits depend on effective implementation, professional competence and integration into existing services. Its success should ultimately be evaluated through the quality and safety of care it supports, rather than device adoption alone.</w:t>
      </w:r>
    </w:p>
    <w:p w14:paraId="60F22ACD" w14:textId="77777777" w:rsidR="00C65BDF" w:rsidRPr="00972472" w:rsidRDefault="00C65BDF" w:rsidP="00972472">
      <w:pPr>
        <w:spacing w:line="360" w:lineRule="auto"/>
        <w:rPr>
          <w:rFonts w:ascii="Arial" w:hAnsi="Arial" w:cs="Arial"/>
          <w:sz w:val="22"/>
          <w:szCs w:val="22"/>
        </w:rPr>
      </w:pPr>
    </w:p>
    <w:p w14:paraId="16C0305A" w14:textId="5125A924" w:rsidR="00C65BDF" w:rsidRPr="00972472" w:rsidRDefault="00C65BDF" w:rsidP="00972472">
      <w:pPr>
        <w:spacing w:line="360" w:lineRule="auto"/>
        <w:rPr>
          <w:rFonts w:ascii="Arial" w:hAnsi="Arial" w:cs="Arial"/>
          <w:b/>
          <w:bCs/>
          <w:sz w:val="22"/>
          <w:szCs w:val="22"/>
          <w:u w:val="single"/>
        </w:rPr>
      </w:pPr>
      <w:r w:rsidRPr="00972472">
        <w:rPr>
          <w:rFonts w:ascii="Arial" w:hAnsi="Arial" w:cs="Arial"/>
          <w:b/>
          <w:bCs/>
          <w:sz w:val="22"/>
          <w:szCs w:val="22"/>
          <w:u w:val="single"/>
        </w:rPr>
        <w:t>Impact on patient and service-user experiences</w:t>
      </w:r>
    </w:p>
    <w:p w14:paraId="66FC6117"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 xml:space="preserve">One significant potential benefit of Libre 2 concerns its influence on the daily experiences of people managing diabetes. Diabetes requires ongoing decisions about nutrition, exercise, medication and hypoglycaemia prevention. Traditional finger-prick testing can cause discomfort, inconvenience and social embarrassment, particularly for individuals requiring </w:t>
      </w:r>
      <w:r w:rsidRPr="00972472">
        <w:rPr>
          <w:rFonts w:ascii="Arial" w:hAnsi="Arial" w:cs="Arial"/>
          <w:sz w:val="22"/>
          <w:szCs w:val="22"/>
        </w:rPr>
        <w:lastRenderedPageBreak/>
        <w:t>frequent monitoring. Sensor-based systems may reduce this burden by providing more convenient access to glucose information during everyday activities.</w:t>
      </w:r>
    </w:p>
    <w:p w14:paraId="7B2597CD"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Research suggests that these practical benefits may improve patient satisfaction and health-related quality of life. Castellana et al. (2021) reviewed evidence concerning flash glucose monitoring, patient satisfaction and quality of life. Their findings suggested improvements compared with conventional self-monitoring. However, variations in study quality, assessment methods and the clinical significance of reported outcomes limit the strength of these conclusions. Therefore, although positive patient experiences are supported by research, the extent of these benefits remains uncertain.</w:t>
      </w:r>
    </w:p>
    <w:p w14:paraId="6C3D9B9D"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Access to glucose trends may also improve patients' understanding of their condition. By examining readings alongside diet, exercise and medication, individuals can recognise how everyday activities influence glucose levels. This may strengthen self-management and support more informed discussions with healthcare professionals. NICE (2022) emphasises shared decision-making when selecting monitoring technologies, recognising that patients have different clinical needs and preferences. Libre 2 should therefore be introduced through individual assessment rather than assuming universal suitability.</w:t>
      </w:r>
    </w:p>
    <w:p w14:paraId="1287D7E4"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However, access to information does not automatically produce greater independence. Patients need to understand glucose readings, respond appropriately and recognise when professional advice is necessary. Without adequate education, frequent readings may cause confusion or inappropriate responses to normal fluctuations. Safe use therefore depends on health literacy and appropriate professional support.</w:t>
      </w:r>
    </w:p>
    <w:p w14:paraId="0071F111"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Psychological wellbeing is another important consideration. For individuals experiencing recurrent hypoglycaemia, glucose monitoring and alerts may provide reassurance by making changes easier to recognise. The reduction in hypoglycaemia reported by Bolinder et al. (2016) supports the potential for improved everyday safety. Nevertheless, frequent notifications may also cause anxiety, encourage excessive attention to glucose fluctuations or create pressure to maintain ideal readings. Consequently, Libre 2 may improve confidence for some users whilst introducing additional psychological demands for others.</w:t>
      </w:r>
    </w:p>
    <w:p w14:paraId="2E39C53C"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Physical comfort and usability also influence patient experience. Although sensor-based monitoring reduces reliance on finger-prick testing, wearing a sensor may cause skin irritation, adhesion difficulties or concerns about appearance. NICE (2017) reported generally positive user preferences but also identified practical difficulties associated with sensor use. Clinical effectiveness therefore does not guarantee acceptability for every patient. Individuals should be able to discuss these challenges and consider alternatives where appropriate.</w:t>
      </w:r>
    </w:p>
    <w:p w14:paraId="79506124"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 xml:space="preserve">Digital inequality presents further barriers. Some Libre 2 functions require compatible devices, software and sufficient digital skills. Financial hardship, visual impairment, limited </w:t>
      </w:r>
      <w:r w:rsidRPr="00972472">
        <w:rPr>
          <w:rFonts w:ascii="Arial" w:hAnsi="Arial" w:cs="Arial"/>
          <w:sz w:val="22"/>
          <w:szCs w:val="22"/>
        </w:rPr>
        <w:lastRenderedPageBreak/>
        <w:t>dexterity, language barriers and inaccessible educational resources may restrict effective use. NICE (2022) emphasises the importance of addressing inequalities in access and uptake. Importantly, access involves more than owning a smartphone: individuals may also require assistance interpreting readings, maintaining sensors and obtaining professional support. Assessment should therefore consider individual circumstances rather than assume that particular age groups lack digital competence.</w:t>
      </w:r>
    </w:p>
    <w:p w14:paraId="1BAB9F53"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Family members and carers may also influence patient experiences. Where individuals consent to sharing glucose information through compatible applications, relatives may provide additional support and recognise potential concerns, particularly for people with impaired awareness of hypoglycaemia. However, information sharing can raise concerns about privacy, independence and unwanted monitoring. Family involvement should therefore reflect patients' preferences and informed consent rather than being assumed beneficial in every situation.</w:t>
      </w:r>
    </w:p>
    <w:p w14:paraId="220BEAFA" w14:textId="77777777" w:rsidR="00C64037" w:rsidRPr="00972472" w:rsidRDefault="00C64037" w:rsidP="00972472">
      <w:pPr>
        <w:spacing w:line="360" w:lineRule="auto"/>
        <w:rPr>
          <w:rFonts w:ascii="Arial" w:hAnsi="Arial" w:cs="Arial"/>
          <w:sz w:val="22"/>
          <w:szCs w:val="22"/>
        </w:rPr>
      </w:pPr>
      <w:r w:rsidRPr="00972472">
        <w:rPr>
          <w:rFonts w:ascii="Arial" w:hAnsi="Arial" w:cs="Arial"/>
          <w:sz w:val="22"/>
          <w:szCs w:val="22"/>
        </w:rPr>
        <w:t>Overall, Libre 2 can support independence, convenience and greater participation in diabetes management, but its effects vary according to individual needs and circumstances. Person-centred care requires professionals to consider clinical requirements alongside psychological wellbeing, accessibility, usability and patient choice.</w:t>
      </w:r>
    </w:p>
    <w:p w14:paraId="3CE1A1D2" w14:textId="1352C3FC" w:rsidR="00352A85" w:rsidRPr="00972472" w:rsidRDefault="00012572" w:rsidP="00972472">
      <w:pPr>
        <w:spacing w:line="360" w:lineRule="auto"/>
        <w:rPr>
          <w:rFonts w:ascii="Arial" w:hAnsi="Arial" w:cs="Arial"/>
          <w:sz w:val="22"/>
          <w:szCs w:val="22"/>
        </w:rPr>
      </w:pPr>
      <w:r w:rsidRPr="00972472">
        <w:rPr>
          <w:rFonts w:ascii="Arial" w:hAnsi="Arial" w:cs="Arial"/>
          <w:sz w:val="22"/>
          <w:szCs w:val="22"/>
        </w:rPr>
        <w:t xml:space="preserve"> </w:t>
      </w:r>
    </w:p>
    <w:p w14:paraId="7E0B10A8" w14:textId="77777777" w:rsidR="00012572" w:rsidRPr="00972472" w:rsidRDefault="00012572" w:rsidP="00972472">
      <w:pPr>
        <w:spacing w:line="360" w:lineRule="auto"/>
        <w:rPr>
          <w:rFonts w:ascii="Arial" w:hAnsi="Arial" w:cs="Arial"/>
          <w:sz w:val="22"/>
          <w:szCs w:val="22"/>
        </w:rPr>
      </w:pPr>
    </w:p>
    <w:p w14:paraId="310B520F" w14:textId="77777777" w:rsidR="00B5447D" w:rsidRPr="00972472" w:rsidRDefault="00B5447D" w:rsidP="00972472">
      <w:pPr>
        <w:spacing w:line="360" w:lineRule="auto"/>
        <w:rPr>
          <w:rFonts w:ascii="Arial" w:hAnsi="Arial" w:cs="Arial"/>
          <w:sz w:val="22"/>
          <w:szCs w:val="22"/>
        </w:rPr>
      </w:pPr>
    </w:p>
    <w:p w14:paraId="39585850" w14:textId="1035155C" w:rsidR="00B5447D" w:rsidRPr="00972472" w:rsidRDefault="00B5447D" w:rsidP="00972472">
      <w:pPr>
        <w:spacing w:line="360" w:lineRule="auto"/>
        <w:rPr>
          <w:rFonts w:ascii="Arial" w:hAnsi="Arial" w:cs="Arial"/>
          <w:b/>
          <w:bCs/>
          <w:sz w:val="22"/>
          <w:szCs w:val="22"/>
          <w:u w:val="single"/>
        </w:rPr>
      </w:pPr>
      <w:r w:rsidRPr="00972472">
        <w:rPr>
          <w:rFonts w:ascii="Arial" w:hAnsi="Arial" w:cs="Arial"/>
          <w:b/>
          <w:bCs/>
          <w:sz w:val="22"/>
          <w:szCs w:val="22"/>
          <w:u w:val="single"/>
        </w:rPr>
        <w:t>Critical discussion and recommendations</w:t>
      </w:r>
    </w:p>
    <w:p w14:paraId="577FB282" w14:textId="77777777" w:rsidR="000B2DE4" w:rsidRPr="00972472" w:rsidRDefault="000B2DE4" w:rsidP="00972472">
      <w:pPr>
        <w:spacing w:line="360" w:lineRule="auto"/>
        <w:rPr>
          <w:rFonts w:ascii="Arial" w:hAnsi="Arial" w:cs="Arial"/>
          <w:sz w:val="22"/>
          <w:szCs w:val="22"/>
        </w:rPr>
      </w:pPr>
      <w:r w:rsidRPr="00972472">
        <w:rPr>
          <w:rFonts w:ascii="Arial" w:hAnsi="Arial" w:cs="Arial"/>
          <w:sz w:val="22"/>
          <w:szCs w:val="22"/>
        </w:rPr>
        <w:t>The deployment of Libre 2 demonstrates both the potential and constraints inherent in the digital transformation of health and social care. While clinical trials and systematic reviews reveal advantages of sensor-based glucose monitoring, it is essential to differentiate between technological efficacy, effective implementation, and enhancements to patients' wellbeing. Although interconnected, these outcomes remain distinct. A technology may improve glucose monitoring without necessarily reducing operational expenses, treatment burden, or enhancing quality of life for all patients.</w:t>
      </w:r>
    </w:p>
    <w:p w14:paraId="58F016F7" w14:textId="77777777" w:rsidR="000B2DE4" w:rsidRPr="00972472" w:rsidRDefault="000B2DE4" w:rsidP="00972472">
      <w:pPr>
        <w:spacing w:line="360" w:lineRule="auto"/>
        <w:rPr>
          <w:rFonts w:ascii="Arial" w:hAnsi="Arial" w:cs="Arial"/>
          <w:sz w:val="22"/>
          <w:szCs w:val="22"/>
        </w:rPr>
      </w:pPr>
      <w:r w:rsidRPr="00972472">
        <w:rPr>
          <w:rFonts w:ascii="Arial" w:hAnsi="Arial" w:cs="Arial"/>
          <w:sz w:val="22"/>
          <w:szCs w:val="22"/>
        </w:rPr>
        <w:t xml:space="preserve">A notable advantage of the evidence base is the presence of randomised controlled trials, such as those conducted by Bolinder et al. (2016) and Haak et al. (2017). These investigations furnish robust evidence regarding clinical effectiveness compared with approaches dependent solely on retrospective patient narratives. Trial outcomes must be evaluated within the context of participant populations, observation periods, and the specific glucose monitoring technologies employed. Additionally, systematic reviews examining patient satisfaction reveal inconsistencies in the standardisation and quality of measurement instruments (Castellana et al., 2021). This underscores the significance of integrating clinical </w:t>
      </w:r>
      <w:r w:rsidRPr="00972472">
        <w:rPr>
          <w:rFonts w:ascii="Arial" w:hAnsi="Arial" w:cs="Arial"/>
          <w:sz w:val="22"/>
          <w:szCs w:val="22"/>
        </w:rPr>
        <w:lastRenderedPageBreak/>
        <w:t>evidence with qualitative research exploring how individuals engage with the technology in daily life.</w:t>
      </w:r>
    </w:p>
    <w:p w14:paraId="0DADF799" w14:textId="77777777" w:rsidR="000B2DE4" w:rsidRPr="00972472" w:rsidRDefault="000B2DE4" w:rsidP="00972472">
      <w:pPr>
        <w:spacing w:line="360" w:lineRule="auto"/>
        <w:rPr>
          <w:rFonts w:ascii="Arial" w:hAnsi="Arial" w:cs="Arial"/>
          <w:sz w:val="22"/>
          <w:szCs w:val="22"/>
        </w:rPr>
      </w:pPr>
      <w:r w:rsidRPr="00972472">
        <w:rPr>
          <w:rFonts w:ascii="Arial" w:hAnsi="Arial" w:cs="Arial"/>
          <w:sz w:val="22"/>
          <w:szCs w:val="22"/>
        </w:rPr>
        <w:t>The evidence further indicates that successful implementation necessitates organisational and professional transformation. Healthcare organisations must deliver training programmes, accessible educational materials, and opportunities for patients to address concerns. Healthcare professionals must possess the competency to analyse glucose data whilst considering patients' broader health and social circumstances. Evaluations should encompass clinical metrics, user experience, mental health outcomes, treatment burden, and whether the technology remains appropriate for individual requirements.</w:t>
      </w:r>
    </w:p>
    <w:p w14:paraId="66005157" w14:textId="77777777" w:rsidR="000B2DE4" w:rsidRPr="00972472" w:rsidRDefault="000B2DE4" w:rsidP="00972472">
      <w:pPr>
        <w:spacing w:line="360" w:lineRule="auto"/>
        <w:rPr>
          <w:rFonts w:ascii="Arial" w:hAnsi="Arial" w:cs="Arial"/>
          <w:sz w:val="22"/>
          <w:szCs w:val="22"/>
        </w:rPr>
      </w:pPr>
      <w:r w:rsidRPr="00972472">
        <w:rPr>
          <w:rFonts w:ascii="Arial" w:hAnsi="Arial" w:cs="Arial"/>
          <w:sz w:val="22"/>
          <w:szCs w:val="22"/>
        </w:rPr>
        <w:t>Equity must remain a fundamental consideration throughout implementation. NICE (2022) advises monitoring disparities in access and utilisation, alongside developing targeted strategies to reach eligible populations demonstrating lower engagement with continuous glucose monitoring. Consequently, healthcare services must provide suitable alternatives, comprehensible information, and personalised assistance to prevent digital solutions from becoming barriers to healthcare delivery.</w:t>
      </w:r>
    </w:p>
    <w:p w14:paraId="353D6F9E" w14:textId="77777777" w:rsidR="000B2DE4" w:rsidRPr="00972472" w:rsidRDefault="000B2DE4" w:rsidP="00972472">
      <w:pPr>
        <w:spacing w:line="360" w:lineRule="auto"/>
        <w:rPr>
          <w:rFonts w:ascii="Arial" w:hAnsi="Arial" w:cs="Arial"/>
          <w:sz w:val="22"/>
          <w:szCs w:val="22"/>
        </w:rPr>
      </w:pPr>
      <w:r w:rsidRPr="00972472">
        <w:rPr>
          <w:rFonts w:ascii="Arial" w:hAnsi="Arial" w:cs="Arial"/>
          <w:sz w:val="22"/>
          <w:szCs w:val="22"/>
        </w:rPr>
        <w:t>Additionally, individuals must maintain autonomy in treatment decisions. Collaborative decision-making can establish whether Libre 2 represents an appropriate intervention and whether its advantages justify potential drawbacks for individual patients. This approach acknowledges that successful digital transformation is not measured by technological implementation alone, but by its capacity to enhance safe, equitable, and patient-centred healthcare.</w:t>
      </w:r>
    </w:p>
    <w:p w14:paraId="036D49B9" w14:textId="7A8B6640" w:rsidR="00352A85" w:rsidRPr="00972472" w:rsidRDefault="00352A85" w:rsidP="00972472">
      <w:pPr>
        <w:spacing w:line="360" w:lineRule="auto"/>
        <w:rPr>
          <w:rFonts w:ascii="Arial" w:hAnsi="Arial" w:cs="Arial"/>
          <w:sz w:val="22"/>
          <w:szCs w:val="22"/>
        </w:rPr>
      </w:pPr>
    </w:p>
    <w:p w14:paraId="36498EDE" w14:textId="040D8828" w:rsidR="00ED45D0" w:rsidRPr="00972472" w:rsidRDefault="007D14EC" w:rsidP="00972472">
      <w:pPr>
        <w:spacing w:line="360" w:lineRule="auto"/>
        <w:rPr>
          <w:rFonts w:ascii="Arial" w:hAnsi="Arial" w:cs="Arial"/>
          <w:b/>
          <w:bCs/>
          <w:sz w:val="22"/>
          <w:szCs w:val="22"/>
          <w:u w:val="single"/>
        </w:rPr>
      </w:pPr>
      <w:r w:rsidRPr="00972472">
        <w:rPr>
          <w:rFonts w:ascii="Arial" w:hAnsi="Arial" w:cs="Arial"/>
          <w:b/>
          <w:bCs/>
          <w:sz w:val="22"/>
          <w:szCs w:val="22"/>
          <w:u w:val="single"/>
        </w:rPr>
        <w:t>Conclusion</w:t>
      </w:r>
    </w:p>
    <w:p w14:paraId="741ED767" w14:textId="10908EFA" w:rsidR="007D14EC" w:rsidRPr="00972472" w:rsidRDefault="0055758E" w:rsidP="00972472">
      <w:pPr>
        <w:spacing w:line="360" w:lineRule="auto"/>
        <w:rPr>
          <w:rFonts w:ascii="Arial" w:hAnsi="Arial" w:cs="Arial"/>
          <w:sz w:val="22"/>
          <w:szCs w:val="22"/>
        </w:rPr>
      </w:pPr>
      <w:r w:rsidRPr="00972472">
        <w:rPr>
          <w:rFonts w:ascii="Arial" w:hAnsi="Arial" w:cs="Arial"/>
          <w:sz w:val="22"/>
          <w:szCs w:val="22"/>
        </w:rPr>
        <w:t xml:space="preserve">The FreeStyle Libre 2 constitutes a meaningful advancement in diabetes management by facilitating comprehensive glucose monitoring and encouraging patient engagement in their own care. Its adoption has the potential to enhance service delivery through provision of more granular clinical data, more informed clinical discussions, and the capacity for tailored therapeutic interventions. For patients, prospective advantages encompass diminished dependence on capillary blood sampling, enhanced recognition of glucose fluctuations, and strengthened self-efficacy in diabetes self-management. Nevertheless, these advantages are not uniformly experienced. Increased clinical workload, challenges with device operation, emotional strain, and disparities in technological accessibility may constrain the effectiveness of deployment. Research further demonstrates that enhancements in measurable clinical outcomes should not necessarily be construed as improvements across all dimensions of patient satisfaction or operational efficiency. Ultimately, the efficacy of Libre 2 is contingent upon adequate clinical governance, comprehensive professional training, readily available assistance, and collaborative decision-making processes. Technological </w:t>
      </w:r>
      <w:r w:rsidRPr="00972472">
        <w:rPr>
          <w:rFonts w:ascii="Arial" w:hAnsi="Arial" w:cs="Arial"/>
          <w:sz w:val="22"/>
          <w:szCs w:val="22"/>
        </w:rPr>
        <w:lastRenderedPageBreak/>
        <w:t>advancement achieves its greatest utility when it operates in conjunction with professional clinical judgment and addresses the heterogeneous requirements of individuals managing diabetes.</w:t>
      </w:r>
    </w:p>
    <w:p w14:paraId="2A9B0301" w14:textId="77777777" w:rsidR="0055758E" w:rsidRPr="00972472" w:rsidRDefault="0055758E" w:rsidP="00972472">
      <w:pPr>
        <w:spacing w:line="360" w:lineRule="auto"/>
        <w:rPr>
          <w:rFonts w:ascii="Arial" w:hAnsi="Arial" w:cs="Arial"/>
          <w:sz w:val="22"/>
          <w:szCs w:val="22"/>
        </w:rPr>
      </w:pPr>
    </w:p>
    <w:p w14:paraId="7BD738CC" w14:textId="77777777" w:rsidR="0055758E" w:rsidRPr="00972472" w:rsidRDefault="0055758E" w:rsidP="00972472">
      <w:pPr>
        <w:spacing w:line="360" w:lineRule="auto"/>
        <w:rPr>
          <w:rFonts w:ascii="Arial" w:hAnsi="Arial" w:cs="Arial"/>
          <w:sz w:val="22"/>
          <w:szCs w:val="22"/>
        </w:rPr>
      </w:pPr>
    </w:p>
    <w:p w14:paraId="5798CB81" w14:textId="77777777" w:rsidR="0055758E" w:rsidRPr="00972472" w:rsidRDefault="0055758E" w:rsidP="00972472">
      <w:pPr>
        <w:spacing w:line="360" w:lineRule="auto"/>
        <w:rPr>
          <w:rFonts w:ascii="Arial" w:hAnsi="Arial" w:cs="Arial"/>
          <w:sz w:val="22"/>
          <w:szCs w:val="22"/>
        </w:rPr>
      </w:pPr>
    </w:p>
    <w:p w14:paraId="47CD7531" w14:textId="77777777" w:rsidR="0055758E" w:rsidRPr="00972472" w:rsidRDefault="0055758E" w:rsidP="00972472">
      <w:pPr>
        <w:spacing w:line="360" w:lineRule="auto"/>
        <w:rPr>
          <w:rFonts w:ascii="Arial" w:hAnsi="Arial" w:cs="Arial"/>
          <w:sz w:val="22"/>
          <w:szCs w:val="22"/>
        </w:rPr>
      </w:pPr>
    </w:p>
    <w:p w14:paraId="4959876F" w14:textId="77777777" w:rsidR="0055758E" w:rsidRPr="00972472" w:rsidRDefault="0055758E" w:rsidP="00972472">
      <w:pPr>
        <w:spacing w:line="360" w:lineRule="auto"/>
        <w:rPr>
          <w:rFonts w:ascii="Arial" w:hAnsi="Arial" w:cs="Arial"/>
          <w:sz w:val="22"/>
          <w:szCs w:val="22"/>
        </w:rPr>
      </w:pPr>
    </w:p>
    <w:p w14:paraId="3E9742E3" w14:textId="77777777" w:rsidR="0055758E" w:rsidRPr="00972472" w:rsidRDefault="0055758E" w:rsidP="00972472">
      <w:pPr>
        <w:spacing w:line="360" w:lineRule="auto"/>
        <w:rPr>
          <w:rFonts w:ascii="Arial" w:hAnsi="Arial" w:cs="Arial"/>
          <w:sz w:val="22"/>
          <w:szCs w:val="22"/>
        </w:rPr>
      </w:pPr>
    </w:p>
    <w:p w14:paraId="7D67E753" w14:textId="77777777" w:rsidR="0055758E" w:rsidRPr="00972472" w:rsidRDefault="0055758E" w:rsidP="00972472">
      <w:pPr>
        <w:spacing w:line="360" w:lineRule="auto"/>
        <w:rPr>
          <w:rFonts w:ascii="Arial" w:hAnsi="Arial" w:cs="Arial"/>
          <w:sz w:val="22"/>
          <w:szCs w:val="22"/>
        </w:rPr>
      </w:pPr>
    </w:p>
    <w:p w14:paraId="3F65203D" w14:textId="77777777" w:rsidR="0055758E" w:rsidRPr="00972472" w:rsidRDefault="0055758E" w:rsidP="00972472">
      <w:pPr>
        <w:spacing w:line="360" w:lineRule="auto"/>
        <w:rPr>
          <w:rFonts w:ascii="Arial" w:hAnsi="Arial" w:cs="Arial"/>
          <w:sz w:val="22"/>
          <w:szCs w:val="22"/>
        </w:rPr>
      </w:pPr>
    </w:p>
    <w:p w14:paraId="054591DB" w14:textId="77777777" w:rsidR="0055758E" w:rsidRPr="00972472" w:rsidRDefault="0055758E" w:rsidP="00972472">
      <w:pPr>
        <w:spacing w:line="360" w:lineRule="auto"/>
        <w:rPr>
          <w:rFonts w:ascii="Arial" w:hAnsi="Arial" w:cs="Arial"/>
          <w:sz w:val="22"/>
          <w:szCs w:val="22"/>
        </w:rPr>
      </w:pPr>
    </w:p>
    <w:p w14:paraId="6BE46AB9" w14:textId="77777777" w:rsidR="0055758E" w:rsidRPr="00972472" w:rsidRDefault="0055758E" w:rsidP="00972472">
      <w:pPr>
        <w:spacing w:line="360" w:lineRule="auto"/>
        <w:rPr>
          <w:rFonts w:ascii="Arial" w:hAnsi="Arial" w:cs="Arial"/>
          <w:sz w:val="22"/>
          <w:szCs w:val="22"/>
        </w:rPr>
      </w:pPr>
    </w:p>
    <w:p w14:paraId="21BD7D1B" w14:textId="77777777" w:rsidR="004516FA" w:rsidRPr="00972472" w:rsidRDefault="004516FA" w:rsidP="00972472">
      <w:pPr>
        <w:spacing w:line="360" w:lineRule="auto"/>
        <w:rPr>
          <w:rFonts w:ascii="Arial" w:hAnsi="Arial" w:cs="Arial"/>
          <w:sz w:val="22"/>
          <w:szCs w:val="22"/>
        </w:rPr>
      </w:pPr>
    </w:p>
    <w:p w14:paraId="10AEB34F" w14:textId="77777777" w:rsidR="00972472" w:rsidRDefault="00972472" w:rsidP="00972472">
      <w:pPr>
        <w:spacing w:line="360" w:lineRule="auto"/>
        <w:rPr>
          <w:rFonts w:ascii="Arial" w:hAnsi="Arial" w:cs="Arial"/>
          <w:sz w:val="22"/>
          <w:szCs w:val="22"/>
        </w:rPr>
      </w:pPr>
    </w:p>
    <w:p w14:paraId="39916896" w14:textId="77777777" w:rsidR="00972472" w:rsidRDefault="00972472" w:rsidP="00972472">
      <w:pPr>
        <w:spacing w:line="360" w:lineRule="auto"/>
        <w:rPr>
          <w:rFonts w:ascii="Arial" w:hAnsi="Arial" w:cs="Arial"/>
          <w:sz w:val="22"/>
          <w:szCs w:val="22"/>
        </w:rPr>
      </w:pPr>
    </w:p>
    <w:p w14:paraId="5A70B984" w14:textId="77777777" w:rsidR="00972472" w:rsidRDefault="00972472" w:rsidP="00972472">
      <w:pPr>
        <w:spacing w:line="360" w:lineRule="auto"/>
        <w:rPr>
          <w:rFonts w:ascii="Arial" w:hAnsi="Arial" w:cs="Arial"/>
          <w:sz w:val="22"/>
          <w:szCs w:val="22"/>
        </w:rPr>
      </w:pPr>
    </w:p>
    <w:p w14:paraId="10BFB2E3" w14:textId="77777777" w:rsidR="00972472" w:rsidRDefault="00972472" w:rsidP="00972472">
      <w:pPr>
        <w:spacing w:line="360" w:lineRule="auto"/>
        <w:rPr>
          <w:rFonts w:ascii="Arial" w:hAnsi="Arial" w:cs="Arial"/>
          <w:sz w:val="22"/>
          <w:szCs w:val="22"/>
        </w:rPr>
      </w:pPr>
    </w:p>
    <w:p w14:paraId="64AAB2F2" w14:textId="77777777" w:rsidR="00972472" w:rsidRDefault="00972472" w:rsidP="00972472">
      <w:pPr>
        <w:spacing w:line="360" w:lineRule="auto"/>
        <w:rPr>
          <w:rFonts w:ascii="Arial" w:hAnsi="Arial" w:cs="Arial"/>
          <w:sz w:val="22"/>
          <w:szCs w:val="22"/>
        </w:rPr>
      </w:pPr>
    </w:p>
    <w:p w14:paraId="270C22C4" w14:textId="77777777" w:rsidR="00972472" w:rsidRDefault="00972472" w:rsidP="00972472">
      <w:pPr>
        <w:spacing w:line="360" w:lineRule="auto"/>
        <w:rPr>
          <w:rFonts w:ascii="Arial" w:hAnsi="Arial" w:cs="Arial"/>
          <w:sz w:val="22"/>
          <w:szCs w:val="22"/>
        </w:rPr>
      </w:pPr>
    </w:p>
    <w:p w14:paraId="361205FC" w14:textId="77777777" w:rsidR="00972472" w:rsidRDefault="00972472" w:rsidP="00972472">
      <w:pPr>
        <w:spacing w:line="360" w:lineRule="auto"/>
        <w:rPr>
          <w:rFonts w:ascii="Arial" w:hAnsi="Arial" w:cs="Arial"/>
          <w:sz w:val="22"/>
          <w:szCs w:val="22"/>
        </w:rPr>
      </w:pPr>
    </w:p>
    <w:p w14:paraId="7A98752C" w14:textId="77777777" w:rsidR="00972472" w:rsidRDefault="00972472" w:rsidP="00972472">
      <w:pPr>
        <w:spacing w:line="360" w:lineRule="auto"/>
        <w:rPr>
          <w:rFonts w:ascii="Arial" w:hAnsi="Arial" w:cs="Arial"/>
          <w:sz w:val="22"/>
          <w:szCs w:val="22"/>
        </w:rPr>
      </w:pPr>
    </w:p>
    <w:p w14:paraId="7230B6B4" w14:textId="77777777" w:rsidR="00972472" w:rsidRDefault="00972472" w:rsidP="00972472">
      <w:pPr>
        <w:spacing w:line="360" w:lineRule="auto"/>
        <w:rPr>
          <w:rFonts w:ascii="Arial" w:hAnsi="Arial" w:cs="Arial"/>
          <w:sz w:val="22"/>
          <w:szCs w:val="22"/>
        </w:rPr>
      </w:pPr>
    </w:p>
    <w:p w14:paraId="4D7BB3BA" w14:textId="77777777" w:rsidR="00972472" w:rsidRDefault="00972472" w:rsidP="00972472">
      <w:pPr>
        <w:spacing w:line="360" w:lineRule="auto"/>
        <w:rPr>
          <w:rFonts w:ascii="Arial" w:hAnsi="Arial" w:cs="Arial"/>
          <w:sz w:val="22"/>
          <w:szCs w:val="22"/>
        </w:rPr>
      </w:pPr>
    </w:p>
    <w:p w14:paraId="38BE83AC" w14:textId="77777777" w:rsidR="00972472" w:rsidRDefault="00972472" w:rsidP="00972472">
      <w:pPr>
        <w:spacing w:line="360" w:lineRule="auto"/>
        <w:rPr>
          <w:rFonts w:ascii="Arial" w:hAnsi="Arial" w:cs="Arial"/>
          <w:sz w:val="22"/>
          <w:szCs w:val="22"/>
        </w:rPr>
      </w:pPr>
    </w:p>
    <w:p w14:paraId="25FF1363" w14:textId="77777777" w:rsidR="00972472" w:rsidRDefault="00972472" w:rsidP="00972472">
      <w:pPr>
        <w:spacing w:line="360" w:lineRule="auto"/>
        <w:rPr>
          <w:rFonts w:ascii="Arial" w:hAnsi="Arial" w:cs="Arial"/>
          <w:sz w:val="22"/>
          <w:szCs w:val="22"/>
        </w:rPr>
      </w:pPr>
    </w:p>
    <w:p w14:paraId="5E9BE6E4" w14:textId="77777777" w:rsidR="00972472" w:rsidRDefault="00972472" w:rsidP="00972472">
      <w:pPr>
        <w:spacing w:line="360" w:lineRule="auto"/>
        <w:rPr>
          <w:rFonts w:ascii="Arial" w:hAnsi="Arial" w:cs="Arial"/>
          <w:sz w:val="22"/>
          <w:szCs w:val="22"/>
        </w:rPr>
      </w:pPr>
    </w:p>
    <w:p w14:paraId="75C58537" w14:textId="77777777" w:rsidR="00972472" w:rsidRDefault="00972472" w:rsidP="00972472">
      <w:pPr>
        <w:spacing w:line="360" w:lineRule="auto"/>
        <w:rPr>
          <w:rFonts w:ascii="Arial" w:hAnsi="Arial" w:cs="Arial"/>
          <w:sz w:val="22"/>
          <w:szCs w:val="22"/>
        </w:rPr>
      </w:pPr>
    </w:p>
    <w:p w14:paraId="1D4BE696" w14:textId="77777777" w:rsidR="00972472" w:rsidRDefault="00972472" w:rsidP="00972472">
      <w:pPr>
        <w:spacing w:line="360" w:lineRule="auto"/>
        <w:rPr>
          <w:rFonts w:ascii="Arial" w:hAnsi="Arial" w:cs="Arial"/>
          <w:sz w:val="22"/>
          <w:szCs w:val="22"/>
        </w:rPr>
      </w:pPr>
    </w:p>
    <w:p w14:paraId="537D05B9" w14:textId="77777777" w:rsidR="00972472" w:rsidRDefault="00972472" w:rsidP="00972472">
      <w:pPr>
        <w:spacing w:line="360" w:lineRule="auto"/>
        <w:rPr>
          <w:rFonts w:ascii="Arial" w:hAnsi="Arial" w:cs="Arial"/>
          <w:sz w:val="22"/>
          <w:szCs w:val="22"/>
        </w:rPr>
      </w:pPr>
    </w:p>
    <w:p w14:paraId="124FDF5B" w14:textId="77777777" w:rsidR="00972472" w:rsidRDefault="00972472" w:rsidP="00972472">
      <w:pPr>
        <w:spacing w:line="360" w:lineRule="auto"/>
        <w:rPr>
          <w:rFonts w:ascii="Arial" w:hAnsi="Arial" w:cs="Arial"/>
          <w:sz w:val="22"/>
          <w:szCs w:val="22"/>
        </w:rPr>
      </w:pPr>
    </w:p>
    <w:p w14:paraId="16202AD3" w14:textId="77777777" w:rsidR="00972472" w:rsidRDefault="00972472" w:rsidP="00972472">
      <w:pPr>
        <w:spacing w:line="360" w:lineRule="auto"/>
        <w:rPr>
          <w:rFonts w:ascii="Arial" w:hAnsi="Arial" w:cs="Arial"/>
          <w:sz w:val="22"/>
          <w:szCs w:val="22"/>
        </w:rPr>
      </w:pPr>
    </w:p>
    <w:p w14:paraId="027DC8F5" w14:textId="77777777" w:rsidR="00972472" w:rsidRDefault="00972472" w:rsidP="00972472">
      <w:pPr>
        <w:spacing w:line="360" w:lineRule="auto"/>
        <w:rPr>
          <w:rFonts w:ascii="Arial" w:hAnsi="Arial" w:cs="Arial"/>
          <w:sz w:val="22"/>
          <w:szCs w:val="22"/>
        </w:rPr>
      </w:pPr>
    </w:p>
    <w:p w14:paraId="5B94C638" w14:textId="77777777" w:rsidR="00972472" w:rsidRDefault="00972472" w:rsidP="00972472">
      <w:pPr>
        <w:spacing w:line="360" w:lineRule="auto"/>
        <w:rPr>
          <w:rFonts w:ascii="Arial" w:hAnsi="Arial" w:cs="Arial"/>
          <w:sz w:val="22"/>
          <w:szCs w:val="22"/>
        </w:rPr>
      </w:pPr>
    </w:p>
    <w:p w14:paraId="11DA2ECB" w14:textId="77777777" w:rsidR="00972472" w:rsidRDefault="00972472" w:rsidP="00972472">
      <w:pPr>
        <w:spacing w:line="360" w:lineRule="auto"/>
        <w:rPr>
          <w:rFonts w:ascii="Arial" w:hAnsi="Arial" w:cs="Arial"/>
          <w:sz w:val="22"/>
          <w:szCs w:val="22"/>
        </w:rPr>
      </w:pPr>
    </w:p>
    <w:p w14:paraId="48FFD000" w14:textId="77777777" w:rsidR="00972472" w:rsidRDefault="00972472" w:rsidP="00972472">
      <w:pPr>
        <w:spacing w:line="360" w:lineRule="auto"/>
        <w:rPr>
          <w:rFonts w:ascii="Arial" w:hAnsi="Arial" w:cs="Arial"/>
          <w:sz w:val="22"/>
          <w:szCs w:val="22"/>
        </w:rPr>
      </w:pPr>
    </w:p>
    <w:p w14:paraId="371E9042" w14:textId="77777777" w:rsidR="00972472" w:rsidRDefault="00972472" w:rsidP="00972472">
      <w:pPr>
        <w:spacing w:line="360" w:lineRule="auto"/>
        <w:rPr>
          <w:rFonts w:ascii="Arial" w:hAnsi="Arial" w:cs="Arial"/>
          <w:sz w:val="22"/>
          <w:szCs w:val="22"/>
        </w:rPr>
      </w:pPr>
    </w:p>
    <w:p w14:paraId="3DBD2C1C" w14:textId="7AC83587" w:rsidR="0097350A" w:rsidRPr="00DD07FD" w:rsidRDefault="0097350A" w:rsidP="0097350A">
      <w:pPr>
        <w:spacing w:line="360" w:lineRule="auto"/>
        <w:rPr>
          <w:rFonts w:ascii="Arial" w:hAnsi="Arial" w:cs="Arial"/>
          <w:sz w:val="22"/>
          <w:szCs w:val="22"/>
        </w:rPr>
      </w:pPr>
      <w:r>
        <w:rPr>
          <w:rFonts w:ascii="Arial" w:hAnsi="Arial" w:cs="Arial"/>
          <w:sz w:val="22"/>
          <w:szCs w:val="22"/>
        </w:rPr>
        <w:lastRenderedPageBreak/>
        <w:t>References:</w:t>
      </w:r>
    </w:p>
    <w:p w14:paraId="1D520B4F" w14:textId="77777777" w:rsidR="0097350A" w:rsidRPr="00DD07FD" w:rsidRDefault="0097350A" w:rsidP="0097350A">
      <w:pPr>
        <w:spacing w:line="360" w:lineRule="auto"/>
        <w:rPr>
          <w:rFonts w:ascii="Arial" w:hAnsi="Arial" w:cs="Arial"/>
          <w:sz w:val="22"/>
          <w:szCs w:val="22"/>
        </w:rPr>
      </w:pPr>
    </w:p>
    <w:p w14:paraId="6F88A712"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Abbott (n.d.) FreeStyle Libre 2 system. Available at: </w:t>
      </w:r>
      <w:hyperlink r:id="rId4" w:history="1">
        <w:r w:rsidRPr="00DD07FD">
          <w:rPr>
            <w:rStyle w:val="Hyperlink"/>
            <w:rFonts w:ascii="Arial" w:hAnsi="Arial" w:cs="Arial"/>
            <w:sz w:val="22"/>
            <w:szCs w:val="22"/>
          </w:rPr>
          <w:t>https://www.freestyle.abbott/uk-en/products/freestyle-libre-2.html</w:t>
        </w:r>
      </w:hyperlink>
      <w:r w:rsidRPr="00DD07FD">
        <w:rPr>
          <w:rFonts w:ascii="Arial" w:hAnsi="Arial" w:cs="Arial"/>
          <w:sz w:val="22"/>
          <w:szCs w:val="22"/>
        </w:rPr>
        <w:t>(Accessed: 16 October 2026).</w:t>
      </w:r>
    </w:p>
    <w:p w14:paraId="687E416B" w14:textId="77777777" w:rsidR="0097350A" w:rsidRPr="00DD07FD" w:rsidRDefault="0097350A" w:rsidP="0097350A">
      <w:pPr>
        <w:spacing w:line="360" w:lineRule="auto"/>
        <w:rPr>
          <w:rFonts w:ascii="Arial" w:hAnsi="Arial" w:cs="Arial"/>
          <w:sz w:val="22"/>
          <w:szCs w:val="22"/>
        </w:rPr>
      </w:pPr>
    </w:p>
    <w:p w14:paraId="4EA084A8"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Abbott (n.d.) Realworld evidence: FreeStyle Libre. Available at: </w:t>
      </w:r>
      <w:hyperlink r:id="rId5" w:history="1">
        <w:r w:rsidRPr="00DD07FD">
          <w:rPr>
            <w:rStyle w:val="Hyperlink"/>
            <w:rFonts w:ascii="Arial" w:hAnsi="Arial" w:cs="Arial"/>
            <w:sz w:val="22"/>
            <w:szCs w:val="22"/>
          </w:rPr>
          <w:t>https://www.freestyle.abbott/uk-en/discover/realworldevidence.html</w:t>
        </w:r>
      </w:hyperlink>
      <w:r w:rsidRPr="00DD07FD">
        <w:rPr>
          <w:rFonts w:ascii="Arial" w:hAnsi="Arial" w:cs="Arial"/>
          <w:sz w:val="22"/>
          <w:szCs w:val="22"/>
        </w:rPr>
        <w:t> (Accessed: 18 October 2026).</w:t>
      </w:r>
    </w:p>
    <w:p w14:paraId="7F0DF240" w14:textId="77777777" w:rsidR="0097350A" w:rsidRPr="00DD07FD" w:rsidRDefault="0097350A" w:rsidP="0097350A">
      <w:pPr>
        <w:spacing w:line="360" w:lineRule="auto"/>
        <w:rPr>
          <w:rFonts w:ascii="Arial" w:hAnsi="Arial" w:cs="Arial"/>
          <w:sz w:val="22"/>
          <w:szCs w:val="22"/>
        </w:rPr>
      </w:pPr>
    </w:p>
    <w:p w14:paraId="55137D8E"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Bolinder, J., Antuna, R., Geelhoed-Duijvestijn, P., Kröger, J. and Weitgasser, R. (2016) ‘Novel glucose-sensing               technology </w:t>
      </w:r>
      <w:proofErr w:type="gramStart"/>
      <w:r w:rsidRPr="00DD07FD">
        <w:rPr>
          <w:rFonts w:ascii="Arial" w:hAnsi="Arial" w:cs="Arial"/>
          <w:sz w:val="22"/>
          <w:szCs w:val="22"/>
        </w:rPr>
        <w:t>and  hypoglycaemia</w:t>
      </w:r>
      <w:proofErr w:type="gramEnd"/>
      <w:r w:rsidRPr="00DD07FD">
        <w:rPr>
          <w:rFonts w:ascii="Arial" w:hAnsi="Arial" w:cs="Arial"/>
          <w:sz w:val="22"/>
          <w:szCs w:val="22"/>
        </w:rPr>
        <w:t> in type 1 diabetes: a multicentre, nonmasked, randomised </w:t>
      </w:r>
      <w:r>
        <w:rPr>
          <w:rFonts w:ascii="Arial" w:hAnsi="Arial" w:cs="Arial"/>
          <w:sz w:val="22"/>
          <w:szCs w:val="22"/>
        </w:rPr>
        <w:t xml:space="preserve">  </w:t>
      </w:r>
      <w:r w:rsidRPr="00DD07FD">
        <w:rPr>
          <w:rFonts w:ascii="Arial" w:hAnsi="Arial" w:cs="Arial"/>
          <w:sz w:val="22"/>
          <w:szCs w:val="22"/>
        </w:rPr>
        <w:t>controlled trial</w:t>
      </w:r>
      <w:proofErr w:type="gramStart"/>
      <w:r w:rsidRPr="00DD07FD">
        <w:rPr>
          <w:rFonts w:ascii="Arial" w:hAnsi="Arial" w:cs="Arial"/>
          <w:sz w:val="22"/>
          <w:szCs w:val="22"/>
        </w:rPr>
        <w:t>’,The</w:t>
      </w:r>
      <w:proofErr w:type="gramEnd"/>
      <w:r w:rsidRPr="00DD07FD">
        <w:rPr>
          <w:rFonts w:ascii="Arial" w:hAnsi="Arial" w:cs="Arial"/>
          <w:sz w:val="22"/>
          <w:szCs w:val="22"/>
        </w:rPr>
        <w:t> Lancet, 388(10057), pp. 2254–2263. doi: 10.1016/S0140-6736(16)31535-5.</w:t>
      </w:r>
    </w:p>
    <w:p w14:paraId="67C4979C" w14:textId="77777777" w:rsidR="0097350A" w:rsidRPr="00DD07FD" w:rsidRDefault="0097350A" w:rsidP="0097350A">
      <w:pPr>
        <w:spacing w:line="360" w:lineRule="auto"/>
        <w:rPr>
          <w:rFonts w:ascii="Arial" w:hAnsi="Arial" w:cs="Arial"/>
          <w:sz w:val="22"/>
          <w:szCs w:val="22"/>
        </w:rPr>
      </w:pPr>
    </w:p>
    <w:p w14:paraId="7BF93281"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Castellana, M. et al. (2021) ‘Flash glucose monitoring and patient </w:t>
      </w:r>
      <w:proofErr w:type="gramStart"/>
      <w:r w:rsidRPr="00DD07FD">
        <w:rPr>
          <w:rFonts w:ascii="Arial" w:hAnsi="Arial" w:cs="Arial"/>
          <w:sz w:val="22"/>
          <w:szCs w:val="22"/>
        </w:rPr>
        <w:t>satisfaction:a</w:t>
      </w:r>
      <w:proofErr w:type="gramEnd"/>
      <w:r w:rsidRPr="00DD07FD">
        <w:rPr>
          <w:rFonts w:ascii="Arial" w:hAnsi="Arial" w:cs="Arial"/>
          <w:sz w:val="22"/>
          <w:szCs w:val="22"/>
        </w:rPr>
        <w:t> meta-review of systematic reviews’, Journal of Diabetes Research. Verify the complete author list, volume and article number from the journal record before submission. Available at: </w:t>
      </w:r>
      <w:hyperlink r:id="rId6" w:history="1">
        <w:r w:rsidRPr="00DD07FD">
          <w:rPr>
            <w:rStyle w:val="Hyperlink"/>
            <w:rFonts w:ascii="Arial" w:hAnsi="Arial" w:cs="Arial"/>
            <w:sz w:val="22"/>
            <w:szCs w:val="22"/>
          </w:rPr>
          <w:t>https://pmc.ncbi.nlm.nih.gov/articles/PMC8003041/</w:t>
        </w:r>
      </w:hyperlink>
    </w:p>
    <w:p w14:paraId="22138237" w14:textId="77777777" w:rsidR="0097350A" w:rsidRDefault="0097350A" w:rsidP="0097350A">
      <w:pPr>
        <w:spacing w:line="360" w:lineRule="auto"/>
        <w:rPr>
          <w:rFonts w:ascii="Arial" w:hAnsi="Arial" w:cs="Arial"/>
          <w:sz w:val="22"/>
          <w:szCs w:val="22"/>
        </w:rPr>
      </w:pPr>
    </w:p>
    <w:p w14:paraId="61773B7D"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Haak, T., Hanaire, H., Ajjan, R., Hermanns, N., Riveline, J.P. and Rayman, G. (2017) ‘Flash glucosesensing technology as a replacement for blood glucose monitoring for the management of insulin-treated type 2 diabetes: a </w:t>
      </w:r>
      <w:proofErr w:type="spellStart"/>
      <w:r w:rsidRPr="00DD07FD">
        <w:rPr>
          <w:rFonts w:ascii="Arial" w:hAnsi="Arial" w:cs="Arial"/>
          <w:sz w:val="22"/>
          <w:szCs w:val="22"/>
        </w:rPr>
        <w:t>multicenter</w:t>
      </w:r>
      <w:proofErr w:type="spellEnd"/>
      <w:r w:rsidRPr="00DD07FD">
        <w:rPr>
          <w:rFonts w:ascii="Arial" w:hAnsi="Arial" w:cs="Arial"/>
          <w:sz w:val="22"/>
          <w:szCs w:val="22"/>
        </w:rPr>
        <w:t>, open label randomized controlled trial’, Diabetes Therapy, 8, pp. 55–73. doi: 10.1007/s13300-016-0223-6.</w:t>
      </w:r>
    </w:p>
    <w:p w14:paraId="36321D80" w14:textId="77777777" w:rsidR="0097350A" w:rsidRDefault="0097350A" w:rsidP="0097350A">
      <w:pPr>
        <w:spacing w:line="360" w:lineRule="auto"/>
        <w:rPr>
          <w:rFonts w:ascii="Arial" w:hAnsi="Arial" w:cs="Arial"/>
          <w:sz w:val="22"/>
          <w:szCs w:val="22"/>
        </w:rPr>
      </w:pPr>
    </w:p>
    <w:p w14:paraId="3BA29157"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Lawton, J. et al. (2022) ‘The impact of flash glucose monitoring on the clinical practice of      healthcare professionals working in diabetes care’. Verify the complete publication details    and author list against the PubMed record before submission. Available at: </w:t>
      </w:r>
      <w:hyperlink r:id="rId7" w:history="1">
        <w:r w:rsidRPr="00DD07FD">
          <w:rPr>
            <w:rStyle w:val="Hyperlink"/>
            <w:rFonts w:ascii="Arial" w:hAnsi="Arial" w:cs="Arial"/>
            <w:sz w:val="22"/>
            <w:szCs w:val="22"/>
          </w:rPr>
          <w:t>https://pubmed.ncbi.nlm.nih.gov/34863717/</w:t>
        </w:r>
      </w:hyperlink>
    </w:p>
    <w:p w14:paraId="66AE8846" w14:textId="77777777" w:rsidR="0097350A" w:rsidRDefault="0097350A" w:rsidP="0097350A">
      <w:pPr>
        <w:spacing w:line="360" w:lineRule="auto"/>
        <w:rPr>
          <w:rFonts w:ascii="Arial" w:hAnsi="Arial" w:cs="Arial"/>
          <w:sz w:val="22"/>
          <w:szCs w:val="22"/>
        </w:rPr>
      </w:pPr>
    </w:p>
    <w:p w14:paraId="50AEE52F"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National Institute for Health and Care Excellence (NICE) (2017) FreeStyle Libre for glucose monitoring. Medtech innovation briefing MIB110. Available at: </w:t>
      </w:r>
      <w:hyperlink r:id="rId8" w:history="1">
        <w:r w:rsidRPr="00DD07FD">
          <w:rPr>
            <w:rStyle w:val="Hyperlink"/>
            <w:rFonts w:ascii="Arial" w:hAnsi="Arial" w:cs="Arial"/>
            <w:sz w:val="22"/>
            <w:szCs w:val="22"/>
          </w:rPr>
          <w:t>https://www.nice.org.uk/advice/mib110</w:t>
        </w:r>
      </w:hyperlink>
      <w:r w:rsidRPr="00DD07FD">
        <w:rPr>
          <w:rFonts w:ascii="Arial" w:hAnsi="Arial" w:cs="Arial"/>
          <w:sz w:val="22"/>
          <w:szCs w:val="22"/>
        </w:rPr>
        <w:t> (Accessed: 15 October 2026).</w:t>
      </w:r>
    </w:p>
    <w:p w14:paraId="609B0A4C" w14:textId="77777777" w:rsidR="0097350A" w:rsidRDefault="0097350A" w:rsidP="0097350A">
      <w:pPr>
        <w:spacing w:line="360" w:lineRule="auto"/>
        <w:rPr>
          <w:rFonts w:ascii="Arial" w:hAnsi="Arial" w:cs="Arial"/>
          <w:sz w:val="22"/>
          <w:szCs w:val="22"/>
        </w:rPr>
      </w:pPr>
    </w:p>
    <w:p w14:paraId="36E6F7BA"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National Institute for Health and Care Excellence (NICE) (2022) Type 1 diabetes in adults:   diagnosis and management. NICE guideline NG17. Available at: </w:t>
      </w:r>
      <w:hyperlink r:id="rId9" w:history="1">
        <w:r w:rsidRPr="00DD07FD">
          <w:rPr>
            <w:rStyle w:val="Hyperlink"/>
            <w:rFonts w:ascii="Arial" w:hAnsi="Arial" w:cs="Arial"/>
            <w:sz w:val="22"/>
            <w:szCs w:val="22"/>
          </w:rPr>
          <w:t>https://www.nice.org.uk/guidance/ng17</w:t>
        </w:r>
      </w:hyperlink>
      <w:r w:rsidRPr="00DD07FD">
        <w:rPr>
          <w:rFonts w:ascii="Arial" w:hAnsi="Arial" w:cs="Arial"/>
          <w:sz w:val="22"/>
          <w:szCs w:val="22"/>
        </w:rPr>
        <w:t> (Accessed: 11 October 2026).</w:t>
      </w:r>
    </w:p>
    <w:p w14:paraId="55BA668C"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lastRenderedPageBreak/>
        <w:t>National Institute for Health and Care Excellence (NICE) (2022) Type 2 diabetes in adults:  management. NICE guideline NG28. Available at: </w:t>
      </w:r>
      <w:hyperlink r:id="rId10" w:history="1">
        <w:r w:rsidRPr="00DD07FD">
          <w:rPr>
            <w:rStyle w:val="Hyperlink"/>
            <w:rFonts w:ascii="Arial" w:hAnsi="Arial" w:cs="Arial"/>
            <w:sz w:val="22"/>
            <w:szCs w:val="22"/>
          </w:rPr>
          <w:t>https://www.nice.org.uk/guidance/ng28</w:t>
        </w:r>
      </w:hyperlink>
      <w:r w:rsidRPr="00DD07FD">
        <w:rPr>
          <w:rFonts w:ascii="Arial" w:hAnsi="Arial" w:cs="Arial"/>
          <w:sz w:val="22"/>
          <w:szCs w:val="22"/>
        </w:rPr>
        <w:t xml:space="preserve">  </w:t>
      </w:r>
      <w:proofErr w:type="gramStart"/>
      <w:r w:rsidRPr="00DD07FD">
        <w:rPr>
          <w:rFonts w:ascii="Arial" w:hAnsi="Arial" w:cs="Arial"/>
          <w:sz w:val="22"/>
          <w:szCs w:val="22"/>
        </w:rPr>
        <w:t xml:space="preserve">   (</w:t>
      </w:r>
      <w:proofErr w:type="gramEnd"/>
      <w:r w:rsidRPr="00DD07FD">
        <w:rPr>
          <w:rFonts w:ascii="Arial" w:hAnsi="Arial" w:cs="Arial"/>
          <w:sz w:val="22"/>
          <w:szCs w:val="22"/>
        </w:rPr>
        <w:t>Accessed: 18 October 2026).</w:t>
      </w:r>
    </w:p>
    <w:p w14:paraId="6AFCE9BD" w14:textId="77777777" w:rsidR="0097350A" w:rsidRPr="00DD07FD" w:rsidRDefault="0097350A" w:rsidP="0097350A">
      <w:pPr>
        <w:spacing w:line="360" w:lineRule="auto"/>
        <w:rPr>
          <w:rFonts w:ascii="Arial" w:hAnsi="Arial" w:cs="Arial"/>
          <w:sz w:val="22"/>
          <w:szCs w:val="22"/>
        </w:rPr>
      </w:pPr>
    </w:p>
    <w:p w14:paraId="039FF28C"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National Institute for Health and Care Excellence (NICE) (2023) Type 1 diabetes in adults:   quality statement 2 – continuous glucose monitoring. Quality standard QS208. Available at: </w:t>
      </w:r>
      <w:hyperlink r:id="rId11" w:history="1">
        <w:r w:rsidRPr="00DD07FD">
          <w:rPr>
            <w:rStyle w:val="Hyperlink"/>
            <w:rFonts w:ascii="Arial" w:hAnsi="Arial" w:cs="Arial"/>
            <w:sz w:val="22"/>
            <w:szCs w:val="22"/>
          </w:rPr>
          <w:t>https://www.nice.org.uk/guidance/qs208/chapter/quality-statement-2-continuous-glucose-monitoring</w:t>
        </w:r>
      </w:hyperlink>
      <w:r w:rsidRPr="00DD07FD">
        <w:rPr>
          <w:rFonts w:ascii="Arial" w:hAnsi="Arial" w:cs="Arial"/>
          <w:sz w:val="22"/>
          <w:szCs w:val="22"/>
        </w:rPr>
        <w:t> (Accessed: 15 October 2026).</w:t>
      </w:r>
    </w:p>
    <w:p w14:paraId="2A289424" w14:textId="77777777" w:rsidR="0097350A" w:rsidRDefault="0097350A" w:rsidP="0097350A">
      <w:pPr>
        <w:spacing w:line="360" w:lineRule="auto"/>
        <w:rPr>
          <w:rFonts w:ascii="Arial" w:hAnsi="Arial" w:cs="Arial"/>
          <w:sz w:val="22"/>
          <w:szCs w:val="22"/>
        </w:rPr>
      </w:pPr>
    </w:p>
    <w:p w14:paraId="71C7F427"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National Institute for Health and Care Excellence (NICE) (2023) Type 1 diabetes in adults.  Quality standard QS208. Available at: </w:t>
      </w:r>
      <w:hyperlink r:id="rId12" w:history="1">
        <w:r w:rsidRPr="00DD07FD">
          <w:rPr>
            <w:rStyle w:val="Hyperlink"/>
            <w:rFonts w:ascii="Arial" w:hAnsi="Arial" w:cs="Arial"/>
            <w:sz w:val="22"/>
            <w:szCs w:val="22"/>
          </w:rPr>
          <w:t>https://www.nice.org.uk/guidance/qs208</w:t>
        </w:r>
      </w:hyperlink>
      <w:r w:rsidRPr="00DD07FD">
        <w:rPr>
          <w:rFonts w:ascii="Arial" w:hAnsi="Arial" w:cs="Arial"/>
          <w:sz w:val="22"/>
          <w:szCs w:val="22"/>
        </w:rPr>
        <w:t xml:space="preserve">                      </w:t>
      </w:r>
      <w:proofErr w:type="gramStart"/>
      <w:r w:rsidRPr="00DD07FD">
        <w:rPr>
          <w:rFonts w:ascii="Arial" w:hAnsi="Arial" w:cs="Arial"/>
          <w:sz w:val="22"/>
          <w:szCs w:val="22"/>
        </w:rPr>
        <w:t xml:space="preserve">  </w:t>
      </w:r>
      <w:r>
        <w:rPr>
          <w:rFonts w:ascii="Arial" w:hAnsi="Arial" w:cs="Arial"/>
          <w:sz w:val="22"/>
          <w:szCs w:val="22"/>
        </w:rPr>
        <w:t xml:space="preserve"> </w:t>
      </w:r>
      <w:r w:rsidRPr="00DD07FD">
        <w:rPr>
          <w:rFonts w:ascii="Arial" w:hAnsi="Arial" w:cs="Arial"/>
          <w:sz w:val="22"/>
          <w:szCs w:val="22"/>
        </w:rPr>
        <w:t>(</w:t>
      </w:r>
      <w:proofErr w:type="gramEnd"/>
      <w:r w:rsidRPr="00DD07FD">
        <w:rPr>
          <w:rFonts w:ascii="Arial" w:hAnsi="Arial" w:cs="Arial"/>
          <w:sz w:val="22"/>
          <w:szCs w:val="22"/>
        </w:rPr>
        <w:t>Accessed: 16 October 2026).</w:t>
      </w:r>
    </w:p>
    <w:p w14:paraId="1EEE7C86" w14:textId="77777777" w:rsidR="0097350A" w:rsidRDefault="0097350A" w:rsidP="0097350A">
      <w:pPr>
        <w:spacing w:line="360" w:lineRule="auto"/>
        <w:rPr>
          <w:rFonts w:ascii="Arial" w:hAnsi="Arial" w:cs="Arial"/>
          <w:sz w:val="22"/>
          <w:szCs w:val="22"/>
        </w:rPr>
      </w:pPr>
    </w:p>
    <w:p w14:paraId="3E2BDA00" w14:textId="77777777" w:rsidR="0097350A" w:rsidRPr="00DD07FD" w:rsidRDefault="0097350A" w:rsidP="0097350A">
      <w:pPr>
        <w:spacing w:line="360" w:lineRule="auto"/>
        <w:rPr>
          <w:rFonts w:ascii="Arial" w:hAnsi="Arial" w:cs="Arial"/>
          <w:sz w:val="22"/>
          <w:szCs w:val="22"/>
        </w:rPr>
      </w:pPr>
      <w:r w:rsidRPr="00DD07FD">
        <w:rPr>
          <w:rFonts w:ascii="Arial" w:hAnsi="Arial" w:cs="Arial"/>
          <w:sz w:val="22"/>
          <w:szCs w:val="22"/>
        </w:rPr>
        <w:t>NHS (n.d.) Continuous glucose monitoring and hybrid closed loop for diabetes. Available at: </w:t>
      </w:r>
      <w:hyperlink r:id="rId13" w:history="1">
        <w:r w:rsidRPr="00DD07FD">
          <w:rPr>
            <w:rStyle w:val="Hyperlink"/>
            <w:rFonts w:ascii="Arial" w:hAnsi="Arial" w:cs="Arial"/>
            <w:sz w:val="22"/>
            <w:szCs w:val="22"/>
          </w:rPr>
          <w:t>https://www.nhs.uk/tests-and-treatments/cgm-and-hcl-for-diabetes/</w:t>
        </w:r>
      </w:hyperlink>
      <w:r w:rsidRPr="00DD07FD">
        <w:rPr>
          <w:rFonts w:ascii="Arial" w:hAnsi="Arial" w:cs="Arial"/>
          <w:sz w:val="22"/>
          <w:szCs w:val="22"/>
        </w:rPr>
        <w:t> (Accessed: 16 October 2026).</w:t>
      </w:r>
    </w:p>
    <w:p w14:paraId="78505AED" w14:textId="77777777" w:rsidR="0097350A" w:rsidRDefault="0097350A" w:rsidP="00972472">
      <w:pPr>
        <w:spacing w:line="360" w:lineRule="auto"/>
        <w:rPr>
          <w:rFonts w:ascii="Arial" w:hAnsi="Arial" w:cs="Arial"/>
          <w:sz w:val="22"/>
          <w:szCs w:val="22"/>
        </w:rPr>
      </w:pPr>
    </w:p>
    <w:sectPr w:rsidR="00973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300"/>
    <w:rsid w:val="00012572"/>
    <w:rsid w:val="00037ED7"/>
    <w:rsid w:val="000459BD"/>
    <w:rsid w:val="000B2DE4"/>
    <w:rsid w:val="000D2EC6"/>
    <w:rsid w:val="0011549D"/>
    <w:rsid w:val="00123FAA"/>
    <w:rsid w:val="00145EF4"/>
    <w:rsid w:val="001D10ED"/>
    <w:rsid w:val="002B3120"/>
    <w:rsid w:val="00326113"/>
    <w:rsid w:val="00352A85"/>
    <w:rsid w:val="003562B7"/>
    <w:rsid w:val="003B147A"/>
    <w:rsid w:val="003C172B"/>
    <w:rsid w:val="004516FA"/>
    <w:rsid w:val="004A6BA5"/>
    <w:rsid w:val="004E0BD6"/>
    <w:rsid w:val="0055758E"/>
    <w:rsid w:val="00564909"/>
    <w:rsid w:val="00617821"/>
    <w:rsid w:val="00650C62"/>
    <w:rsid w:val="00671653"/>
    <w:rsid w:val="00690368"/>
    <w:rsid w:val="006D7651"/>
    <w:rsid w:val="00720006"/>
    <w:rsid w:val="007D14EC"/>
    <w:rsid w:val="00815276"/>
    <w:rsid w:val="00914F36"/>
    <w:rsid w:val="00950E53"/>
    <w:rsid w:val="009603D1"/>
    <w:rsid w:val="00972472"/>
    <w:rsid w:val="0097350A"/>
    <w:rsid w:val="009B5300"/>
    <w:rsid w:val="00A44601"/>
    <w:rsid w:val="00AA14DD"/>
    <w:rsid w:val="00B5447D"/>
    <w:rsid w:val="00C36E4D"/>
    <w:rsid w:val="00C5163D"/>
    <w:rsid w:val="00C64037"/>
    <w:rsid w:val="00C65BDF"/>
    <w:rsid w:val="00C95753"/>
    <w:rsid w:val="00CF6B19"/>
    <w:rsid w:val="00DD2DA8"/>
    <w:rsid w:val="00E35A41"/>
    <w:rsid w:val="00ED3739"/>
    <w:rsid w:val="00ED45D0"/>
    <w:rsid w:val="00EF3CEE"/>
    <w:rsid w:val="00F04AD3"/>
    <w:rsid w:val="00F156FB"/>
    <w:rsid w:val="00FA792A"/>
    <w:rsid w:val="00FD6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B7D54"/>
  <w15:chartTrackingRefBased/>
  <w15:docId w15:val="{BA6F91D8-2334-DE4D-B81E-63EDF133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3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53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53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53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53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53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3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3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3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3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53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53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53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53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5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300"/>
    <w:rPr>
      <w:rFonts w:eastAsiaTheme="majorEastAsia" w:cstheme="majorBidi"/>
      <w:color w:val="272727" w:themeColor="text1" w:themeTint="D8"/>
    </w:rPr>
  </w:style>
  <w:style w:type="paragraph" w:styleId="Title">
    <w:name w:val="Title"/>
    <w:basedOn w:val="Normal"/>
    <w:next w:val="Normal"/>
    <w:link w:val="TitleChar"/>
    <w:uiPriority w:val="10"/>
    <w:qFormat/>
    <w:rsid w:val="009B53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30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3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5300"/>
    <w:rPr>
      <w:i/>
      <w:iCs/>
      <w:color w:val="404040" w:themeColor="text1" w:themeTint="BF"/>
    </w:rPr>
  </w:style>
  <w:style w:type="paragraph" w:styleId="ListParagraph">
    <w:name w:val="List Paragraph"/>
    <w:basedOn w:val="Normal"/>
    <w:uiPriority w:val="34"/>
    <w:qFormat/>
    <w:rsid w:val="009B5300"/>
    <w:pPr>
      <w:ind w:left="720"/>
      <w:contextualSpacing/>
    </w:pPr>
  </w:style>
  <w:style w:type="character" w:styleId="IntenseEmphasis">
    <w:name w:val="Intense Emphasis"/>
    <w:basedOn w:val="DefaultParagraphFont"/>
    <w:uiPriority w:val="21"/>
    <w:qFormat/>
    <w:rsid w:val="009B5300"/>
    <w:rPr>
      <w:i/>
      <w:iCs/>
      <w:color w:val="2F5496" w:themeColor="accent1" w:themeShade="BF"/>
    </w:rPr>
  </w:style>
  <w:style w:type="paragraph" w:styleId="IntenseQuote">
    <w:name w:val="Intense Quote"/>
    <w:basedOn w:val="Normal"/>
    <w:next w:val="Normal"/>
    <w:link w:val="IntenseQuoteChar"/>
    <w:uiPriority w:val="30"/>
    <w:qFormat/>
    <w:rsid w:val="009B53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5300"/>
    <w:rPr>
      <w:i/>
      <w:iCs/>
      <w:color w:val="2F5496" w:themeColor="accent1" w:themeShade="BF"/>
    </w:rPr>
  </w:style>
  <w:style w:type="character" w:styleId="IntenseReference">
    <w:name w:val="Intense Reference"/>
    <w:basedOn w:val="DefaultParagraphFont"/>
    <w:uiPriority w:val="32"/>
    <w:qFormat/>
    <w:rsid w:val="009B5300"/>
    <w:rPr>
      <w:b/>
      <w:bCs/>
      <w:smallCaps/>
      <w:color w:val="2F5496" w:themeColor="accent1" w:themeShade="BF"/>
      <w:spacing w:val="5"/>
    </w:rPr>
  </w:style>
  <w:style w:type="character" w:styleId="Hyperlink">
    <w:name w:val="Hyperlink"/>
    <w:basedOn w:val="DefaultParagraphFont"/>
    <w:uiPriority w:val="99"/>
    <w:unhideWhenUsed/>
    <w:rsid w:val="00617821"/>
    <w:rPr>
      <w:color w:val="0563C1" w:themeColor="hyperlink"/>
      <w:u w:val="single"/>
    </w:rPr>
  </w:style>
  <w:style w:type="character" w:styleId="UnresolvedMention">
    <w:name w:val="Unresolved Mention"/>
    <w:basedOn w:val="DefaultParagraphFont"/>
    <w:uiPriority w:val="99"/>
    <w:semiHidden/>
    <w:unhideWhenUsed/>
    <w:rsid w:val="00617821"/>
    <w:rPr>
      <w:color w:val="605E5C"/>
      <w:shd w:val="clear" w:color="auto" w:fill="E1DFDD"/>
    </w:rPr>
  </w:style>
  <w:style w:type="character" w:styleId="FollowedHyperlink">
    <w:name w:val="FollowedHyperlink"/>
    <w:basedOn w:val="DefaultParagraphFont"/>
    <w:uiPriority w:val="99"/>
    <w:semiHidden/>
    <w:unhideWhenUsed/>
    <w:rsid w:val="00617821"/>
    <w:rPr>
      <w:color w:val="954F72" w:themeColor="followedHyperlink"/>
      <w:u w:val="single"/>
    </w:rPr>
  </w:style>
  <w:style w:type="paragraph" w:styleId="NoSpacing">
    <w:name w:val="No Spacing"/>
    <w:link w:val="NoSpacingChar"/>
    <w:uiPriority w:val="1"/>
    <w:qFormat/>
    <w:rsid w:val="00650C62"/>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0C6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2540">
      <w:bodyDiv w:val="1"/>
      <w:marLeft w:val="0"/>
      <w:marRight w:val="0"/>
      <w:marTop w:val="0"/>
      <w:marBottom w:val="0"/>
      <w:divBdr>
        <w:top w:val="none" w:sz="0" w:space="0" w:color="auto"/>
        <w:left w:val="none" w:sz="0" w:space="0" w:color="auto"/>
        <w:bottom w:val="none" w:sz="0" w:space="0" w:color="auto"/>
        <w:right w:val="none" w:sz="0" w:space="0" w:color="auto"/>
      </w:divBdr>
    </w:div>
    <w:div w:id="505290233">
      <w:bodyDiv w:val="1"/>
      <w:marLeft w:val="0"/>
      <w:marRight w:val="0"/>
      <w:marTop w:val="0"/>
      <w:marBottom w:val="0"/>
      <w:divBdr>
        <w:top w:val="none" w:sz="0" w:space="0" w:color="auto"/>
        <w:left w:val="none" w:sz="0" w:space="0" w:color="auto"/>
        <w:bottom w:val="none" w:sz="0" w:space="0" w:color="auto"/>
        <w:right w:val="none" w:sz="0" w:space="0" w:color="auto"/>
      </w:divBdr>
    </w:div>
    <w:div w:id="555699820">
      <w:bodyDiv w:val="1"/>
      <w:marLeft w:val="0"/>
      <w:marRight w:val="0"/>
      <w:marTop w:val="0"/>
      <w:marBottom w:val="0"/>
      <w:divBdr>
        <w:top w:val="none" w:sz="0" w:space="0" w:color="auto"/>
        <w:left w:val="none" w:sz="0" w:space="0" w:color="auto"/>
        <w:bottom w:val="none" w:sz="0" w:space="0" w:color="auto"/>
        <w:right w:val="none" w:sz="0" w:space="0" w:color="auto"/>
      </w:divBdr>
    </w:div>
    <w:div w:id="882249393">
      <w:bodyDiv w:val="1"/>
      <w:marLeft w:val="0"/>
      <w:marRight w:val="0"/>
      <w:marTop w:val="0"/>
      <w:marBottom w:val="0"/>
      <w:divBdr>
        <w:top w:val="none" w:sz="0" w:space="0" w:color="auto"/>
        <w:left w:val="none" w:sz="0" w:space="0" w:color="auto"/>
        <w:bottom w:val="none" w:sz="0" w:space="0" w:color="auto"/>
        <w:right w:val="none" w:sz="0" w:space="0" w:color="auto"/>
      </w:divBdr>
    </w:div>
    <w:div w:id="917978777">
      <w:bodyDiv w:val="1"/>
      <w:marLeft w:val="0"/>
      <w:marRight w:val="0"/>
      <w:marTop w:val="0"/>
      <w:marBottom w:val="0"/>
      <w:divBdr>
        <w:top w:val="none" w:sz="0" w:space="0" w:color="auto"/>
        <w:left w:val="none" w:sz="0" w:space="0" w:color="auto"/>
        <w:bottom w:val="none" w:sz="0" w:space="0" w:color="auto"/>
        <w:right w:val="none" w:sz="0" w:space="0" w:color="auto"/>
      </w:divBdr>
    </w:div>
    <w:div w:id="1026832793">
      <w:bodyDiv w:val="1"/>
      <w:marLeft w:val="0"/>
      <w:marRight w:val="0"/>
      <w:marTop w:val="0"/>
      <w:marBottom w:val="0"/>
      <w:divBdr>
        <w:top w:val="none" w:sz="0" w:space="0" w:color="auto"/>
        <w:left w:val="none" w:sz="0" w:space="0" w:color="auto"/>
        <w:bottom w:val="none" w:sz="0" w:space="0" w:color="auto"/>
        <w:right w:val="none" w:sz="0" w:space="0" w:color="auto"/>
      </w:divBdr>
    </w:div>
    <w:div w:id="1061758231">
      <w:bodyDiv w:val="1"/>
      <w:marLeft w:val="0"/>
      <w:marRight w:val="0"/>
      <w:marTop w:val="0"/>
      <w:marBottom w:val="0"/>
      <w:divBdr>
        <w:top w:val="none" w:sz="0" w:space="0" w:color="auto"/>
        <w:left w:val="none" w:sz="0" w:space="0" w:color="auto"/>
        <w:bottom w:val="none" w:sz="0" w:space="0" w:color="auto"/>
        <w:right w:val="none" w:sz="0" w:space="0" w:color="auto"/>
      </w:divBdr>
    </w:div>
    <w:div w:id="1143430227">
      <w:bodyDiv w:val="1"/>
      <w:marLeft w:val="0"/>
      <w:marRight w:val="0"/>
      <w:marTop w:val="0"/>
      <w:marBottom w:val="0"/>
      <w:divBdr>
        <w:top w:val="none" w:sz="0" w:space="0" w:color="auto"/>
        <w:left w:val="none" w:sz="0" w:space="0" w:color="auto"/>
        <w:bottom w:val="none" w:sz="0" w:space="0" w:color="auto"/>
        <w:right w:val="none" w:sz="0" w:space="0" w:color="auto"/>
      </w:divBdr>
    </w:div>
    <w:div w:id="1206915198">
      <w:bodyDiv w:val="1"/>
      <w:marLeft w:val="0"/>
      <w:marRight w:val="0"/>
      <w:marTop w:val="0"/>
      <w:marBottom w:val="0"/>
      <w:divBdr>
        <w:top w:val="none" w:sz="0" w:space="0" w:color="auto"/>
        <w:left w:val="none" w:sz="0" w:space="0" w:color="auto"/>
        <w:bottom w:val="none" w:sz="0" w:space="0" w:color="auto"/>
        <w:right w:val="none" w:sz="0" w:space="0" w:color="auto"/>
      </w:divBdr>
    </w:div>
    <w:div w:id="1329403250">
      <w:bodyDiv w:val="1"/>
      <w:marLeft w:val="0"/>
      <w:marRight w:val="0"/>
      <w:marTop w:val="0"/>
      <w:marBottom w:val="0"/>
      <w:divBdr>
        <w:top w:val="none" w:sz="0" w:space="0" w:color="auto"/>
        <w:left w:val="none" w:sz="0" w:space="0" w:color="auto"/>
        <w:bottom w:val="none" w:sz="0" w:space="0" w:color="auto"/>
        <w:right w:val="none" w:sz="0" w:space="0" w:color="auto"/>
      </w:divBdr>
    </w:div>
    <w:div w:id="1382093260">
      <w:bodyDiv w:val="1"/>
      <w:marLeft w:val="0"/>
      <w:marRight w:val="0"/>
      <w:marTop w:val="0"/>
      <w:marBottom w:val="0"/>
      <w:divBdr>
        <w:top w:val="none" w:sz="0" w:space="0" w:color="auto"/>
        <w:left w:val="none" w:sz="0" w:space="0" w:color="auto"/>
        <w:bottom w:val="none" w:sz="0" w:space="0" w:color="auto"/>
        <w:right w:val="none" w:sz="0" w:space="0" w:color="auto"/>
      </w:divBdr>
    </w:div>
    <w:div w:id="1419787678">
      <w:bodyDiv w:val="1"/>
      <w:marLeft w:val="0"/>
      <w:marRight w:val="0"/>
      <w:marTop w:val="0"/>
      <w:marBottom w:val="0"/>
      <w:divBdr>
        <w:top w:val="none" w:sz="0" w:space="0" w:color="auto"/>
        <w:left w:val="none" w:sz="0" w:space="0" w:color="auto"/>
        <w:bottom w:val="none" w:sz="0" w:space="0" w:color="auto"/>
        <w:right w:val="none" w:sz="0" w:space="0" w:color="auto"/>
      </w:divBdr>
    </w:div>
    <w:div w:id="1471367411">
      <w:bodyDiv w:val="1"/>
      <w:marLeft w:val="0"/>
      <w:marRight w:val="0"/>
      <w:marTop w:val="0"/>
      <w:marBottom w:val="0"/>
      <w:divBdr>
        <w:top w:val="none" w:sz="0" w:space="0" w:color="auto"/>
        <w:left w:val="none" w:sz="0" w:space="0" w:color="auto"/>
        <w:bottom w:val="none" w:sz="0" w:space="0" w:color="auto"/>
        <w:right w:val="none" w:sz="0" w:space="0" w:color="auto"/>
      </w:divBdr>
    </w:div>
    <w:div w:id="1547445275">
      <w:bodyDiv w:val="1"/>
      <w:marLeft w:val="0"/>
      <w:marRight w:val="0"/>
      <w:marTop w:val="0"/>
      <w:marBottom w:val="0"/>
      <w:divBdr>
        <w:top w:val="none" w:sz="0" w:space="0" w:color="auto"/>
        <w:left w:val="none" w:sz="0" w:space="0" w:color="auto"/>
        <w:bottom w:val="none" w:sz="0" w:space="0" w:color="auto"/>
        <w:right w:val="none" w:sz="0" w:space="0" w:color="auto"/>
      </w:divBdr>
    </w:div>
    <w:div w:id="1819884356">
      <w:bodyDiv w:val="1"/>
      <w:marLeft w:val="0"/>
      <w:marRight w:val="0"/>
      <w:marTop w:val="0"/>
      <w:marBottom w:val="0"/>
      <w:divBdr>
        <w:top w:val="none" w:sz="0" w:space="0" w:color="auto"/>
        <w:left w:val="none" w:sz="0" w:space="0" w:color="auto"/>
        <w:bottom w:val="none" w:sz="0" w:space="0" w:color="auto"/>
        <w:right w:val="none" w:sz="0" w:space="0" w:color="auto"/>
      </w:divBdr>
    </w:div>
    <w:div w:id="1856184543">
      <w:bodyDiv w:val="1"/>
      <w:marLeft w:val="0"/>
      <w:marRight w:val="0"/>
      <w:marTop w:val="0"/>
      <w:marBottom w:val="0"/>
      <w:divBdr>
        <w:top w:val="none" w:sz="0" w:space="0" w:color="auto"/>
        <w:left w:val="none" w:sz="0" w:space="0" w:color="auto"/>
        <w:bottom w:val="none" w:sz="0" w:space="0" w:color="auto"/>
        <w:right w:val="none" w:sz="0" w:space="0" w:color="auto"/>
      </w:divBdr>
    </w:div>
    <w:div w:id="1885211024">
      <w:bodyDiv w:val="1"/>
      <w:marLeft w:val="0"/>
      <w:marRight w:val="0"/>
      <w:marTop w:val="0"/>
      <w:marBottom w:val="0"/>
      <w:divBdr>
        <w:top w:val="none" w:sz="0" w:space="0" w:color="auto"/>
        <w:left w:val="none" w:sz="0" w:space="0" w:color="auto"/>
        <w:bottom w:val="none" w:sz="0" w:space="0" w:color="auto"/>
        <w:right w:val="none" w:sz="0" w:space="0" w:color="auto"/>
      </w:divBdr>
    </w:div>
    <w:div w:id="213058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advice/mib110" TargetMode="External"/><Relationship Id="rId13" Type="http://schemas.openxmlformats.org/officeDocument/2006/relationships/hyperlink" Target="https://www.nhs.uk/tests-and-treatments/cgm-and-hcl-for-diabetes/?utm_source=chatgpt.com" TargetMode="External"/><Relationship Id="rId3" Type="http://schemas.openxmlformats.org/officeDocument/2006/relationships/webSettings" Target="webSettings.xml"/><Relationship Id="rId7" Type="http://schemas.openxmlformats.org/officeDocument/2006/relationships/hyperlink" Target="https://pubmed.ncbi.nlm.nih.gov/34863717/?utm_source=chatgpt.com" TargetMode="External"/><Relationship Id="rId12" Type="http://schemas.openxmlformats.org/officeDocument/2006/relationships/hyperlink" Target="https://www.nice.org.uk/guidance/qs20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mc.ncbi.nlm.nih.gov/articles/PMC8003041/?utm_source=chatgpt.com" TargetMode="External"/><Relationship Id="rId11" Type="http://schemas.openxmlformats.org/officeDocument/2006/relationships/hyperlink" Target="https://www.nice.org.uk/guidance/qs208/chapter/quality-statement-2-continuous-glucose-monitoring" TargetMode="External"/><Relationship Id="rId5" Type="http://schemas.openxmlformats.org/officeDocument/2006/relationships/hyperlink" Target="https://www.freestyle.abbott/uk-en/discover/realworldevidence.html?utm_source=chatgpt.com" TargetMode="External"/><Relationship Id="rId15" Type="http://schemas.openxmlformats.org/officeDocument/2006/relationships/theme" Target="theme/theme1.xml"/><Relationship Id="rId10" Type="http://schemas.openxmlformats.org/officeDocument/2006/relationships/hyperlink" Target="https://www.nice.org.uk/guidance/ng28" TargetMode="External"/><Relationship Id="rId4" Type="http://schemas.openxmlformats.org/officeDocument/2006/relationships/hyperlink" Target="https://www.freestyle.abbott/uk-en/products/freestyle-libre-2.html?utm_source=chatgpt.com" TargetMode="External"/><Relationship Id="rId9" Type="http://schemas.openxmlformats.org/officeDocument/2006/relationships/hyperlink" Target="https://www.nice.org.uk/guidance/ng1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Aiza Hasan (BA Sociology)</dc:creator>
  <cp:keywords/>
  <dc:description/>
  <cp:lastModifiedBy>Naureen Hussain (2410266)</cp:lastModifiedBy>
  <cp:revision>6</cp:revision>
  <dcterms:created xsi:type="dcterms:W3CDTF">2026-10-18T19:38:00Z</dcterms:created>
  <dcterms:modified xsi:type="dcterms:W3CDTF">2026-10-18T20:52:00Z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d82ec24147b383d4054e9794322fb9f0d57fdc51457998fbf512387325cdd390</vt:lpwstr>
  </property>
</Properties>
</file>