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325" w:rsidRPr="00861443" w:rsidRDefault="001818E2" w:rsidP="00861443">
      <w:pPr>
        <w:spacing w:before="800" w:line="360" w:lineRule="auto"/>
        <w:rPr>
          <w:rFonts w:ascii="Arial" w:hAnsi="Arial" w:cs="Arial"/>
          <w:b/>
          <w:sz w:val="32"/>
          <w:szCs w:val="32"/>
        </w:rPr>
      </w:pPr>
      <w:r>
        <w:rPr>
          <w:rFonts w:ascii="Arial" w:eastAsia="Arial" w:hAnsi="Arial" w:cs="Arial"/>
          <w:b/>
          <w:sz w:val="32"/>
          <w:szCs w:val="32"/>
        </w:rPr>
        <w:t xml:space="preserve">STUDENT NAME: </w:t>
      </w:r>
      <w:r>
        <w:rPr>
          <w:rFonts w:ascii="Arial" w:eastAsia="Arial" w:hAnsi="Arial" w:cs="Arial"/>
          <w:sz w:val="32"/>
          <w:szCs w:val="32"/>
        </w:rPr>
        <w:t>ABDA PARVEEN</w:t>
      </w:r>
    </w:p>
    <w:p w:rsidR="001818E2" w:rsidRPr="0006709A" w:rsidRDefault="001818E2" w:rsidP="00861443">
      <w:pPr>
        <w:spacing w:before="100" w:line="360" w:lineRule="auto"/>
        <w:rPr>
          <w:rFonts w:ascii="Arial" w:eastAsia="Arial" w:hAnsi="Arial" w:cs="Arial"/>
          <w:sz w:val="32"/>
          <w:szCs w:val="32"/>
        </w:rPr>
      </w:pPr>
      <w:r>
        <w:rPr>
          <w:rFonts w:ascii="Arial" w:eastAsia="Arial" w:hAnsi="Arial" w:cs="Arial"/>
          <w:b/>
          <w:sz w:val="32"/>
          <w:szCs w:val="32"/>
        </w:rPr>
        <w:t xml:space="preserve">STUDENT NUMBER: </w:t>
      </w:r>
      <w:r>
        <w:rPr>
          <w:rFonts w:ascii="Arial" w:eastAsia="Arial" w:hAnsi="Arial" w:cs="Arial"/>
          <w:sz w:val="32"/>
          <w:szCs w:val="32"/>
        </w:rPr>
        <w:t>2530580</w:t>
      </w:r>
    </w:p>
    <w:p w:rsidR="001818E2" w:rsidRPr="00861443" w:rsidRDefault="001818E2" w:rsidP="00861443">
      <w:pPr>
        <w:spacing w:before="100" w:line="360" w:lineRule="auto"/>
        <w:rPr>
          <w:rFonts w:ascii="Arial" w:eastAsia="Arial" w:hAnsi="Arial" w:cs="Arial"/>
          <w:b/>
          <w:sz w:val="32"/>
          <w:szCs w:val="32"/>
        </w:rPr>
      </w:pPr>
      <w:r>
        <w:rPr>
          <w:rFonts w:ascii="Arial" w:eastAsia="Arial" w:hAnsi="Arial" w:cs="Arial"/>
          <w:b/>
          <w:sz w:val="32"/>
          <w:szCs w:val="32"/>
        </w:rPr>
        <w:t xml:space="preserve"> MODULE CODE: </w:t>
      </w:r>
      <w:r>
        <w:rPr>
          <w:rFonts w:ascii="Arial" w:eastAsia="Arial" w:hAnsi="Arial" w:cs="Arial"/>
          <w:sz w:val="32"/>
          <w:szCs w:val="32"/>
        </w:rPr>
        <w:t>LCHS4003</w:t>
      </w:r>
      <w:r>
        <w:rPr>
          <w:rFonts w:ascii="Arial" w:eastAsia="Arial" w:hAnsi="Arial" w:cs="Arial"/>
          <w:b/>
          <w:sz w:val="32"/>
          <w:szCs w:val="32"/>
        </w:rPr>
        <w:t xml:space="preserve">  </w:t>
      </w:r>
    </w:p>
    <w:p w:rsidR="001818E2" w:rsidRPr="00861443" w:rsidRDefault="001818E2" w:rsidP="00861443">
      <w:pPr>
        <w:spacing w:before="100" w:line="360" w:lineRule="auto"/>
        <w:rPr>
          <w:rFonts w:ascii="Arial" w:eastAsia="Arial" w:hAnsi="Arial" w:cs="Arial"/>
          <w:sz w:val="32"/>
          <w:szCs w:val="32"/>
        </w:rPr>
      </w:pPr>
      <w:r>
        <w:rPr>
          <w:rFonts w:ascii="Arial" w:eastAsia="Arial" w:hAnsi="Arial" w:cs="Arial"/>
          <w:b/>
          <w:sz w:val="32"/>
          <w:szCs w:val="32"/>
        </w:rPr>
        <w:t xml:space="preserve">MODULE TITLE: </w:t>
      </w:r>
      <w:r>
        <w:rPr>
          <w:rFonts w:ascii="Arial" w:eastAsia="Arial" w:hAnsi="Arial" w:cs="Arial"/>
          <w:sz w:val="32"/>
          <w:szCs w:val="32"/>
        </w:rPr>
        <w:t>INTRODUCTION TO HEALTH AND SOCIAL CARE</w:t>
      </w:r>
    </w:p>
    <w:p w:rsidR="00C50325" w:rsidRPr="00861443" w:rsidRDefault="001818E2" w:rsidP="00861443">
      <w:pPr>
        <w:spacing w:before="100" w:line="360" w:lineRule="auto"/>
        <w:rPr>
          <w:rFonts w:ascii="Arial" w:hAnsi="Arial" w:cs="Arial"/>
          <w:sz w:val="32"/>
          <w:szCs w:val="32"/>
        </w:rPr>
      </w:pPr>
      <w:r>
        <w:rPr>
          <w:rFonts w:ascii="Arial" w:eastAsia="Arial" w:hAnsi="Arial" w:cs="Arial"/>
          <w:b/>
          <w:sz w:val="32"/>
          <w:szCs w:val="32"/>
        </w:rPr>
        <w:t xml:space="preserve">MODULE LEADER: </w:t>
      </w:r>
      <w:r>
        <w:rPr>
          <w:rFonts w:ascii="Arial" w:eastAsia="Arial" w:hAnsi="Arial" w:cs="Arial"/>
          <w:sz w:val="32"/>
          <w:szCs w:val="32"/>
        </w:rPr>
        <w:t>DR HELEN PARSONS</w:t>
      </w:r>
    </w:p>
    <w:p w:rsidR="001818E2" w:rsidRPr="00861443" w:rsidRDefault="001818E2" w:rsidP="00861443">
      <w:pPr>
        <w:spacing w:before="100" w:line="360" w:lineRule="auto"/>
        <w:rPr>
          <w:rFonts w:ascii="Arial" w:eastAsia="Arial" w:hAnsi="Arial" w:cs="Arial"/>
          <w:sz w:val="32"/>
          <w:szCs w:val="32"/>
        </w:rPr>
      </w:pPr>
      <w:r>
        <w:rPr>
          <w:rFonts w:ascii="Arial" w:eastAsia="Arial" w:hAnsi="Arial" w:cs="Arial"/>
          <w:b/>
          <w:sz w:val="32"/>
          <w:szCs w:val="32"/>
        </w:rPr>
        <w:t xml:space="preserve">DATE OF SUBMISSION: </w:t>
      </w:r>
      <w:r>
        <w:rPr>
          <w:rFonts w:ascii="Arial" w:eastAsia="Arial" w:hAnsi="Arial" w:cs="Arial"/>
          <w:sz w:val="32"/>
          <w:szCs w:val="32"/>
        </w:rPr>
        <w:t>17/07/2026</w:t>
      </w:r>
    </w:p>
    <w:p w:rsidR="00861443" w:rsidRDefault="00861443" w:rsidP="00861443">
      <w:pPr>
        <w:spacing w:before="100" w:line="360" w:lineRule="auto"/>
        <w:rPr>
          <w:rFonts w:ascii="Arial" w:eastAsia="Arial" w:hAnsi="Arial" w:cs="Arial"/>
          <w:b/>
          <w:sz w:val="32"/>
          <w:szCs w:val="32"/>
        </w:rPr>
      </w:pPr>
    </w:p>
    <w:p w:rsidR="00861443" w:rsidRDefault="00861443" w:rsidP="009E31BD">
      <w:pPr>
        <w:spacing w:before="100" w:line="360" w:lineRule="auto"/>
        <w:jc w:val="center"/>
        <w:rPr>
          <w:rFonts w:ascii="Arial" w:eastAsia="Arial" w:hAnsi="Arial" w:cs="Arial"/>
          <w:b/>
          <w:sz w:val="32"/>
          <w:szCs w:val="32"/>
        </w:rPr>
      </w:pPr>
    </w:p>
    <w:p w:rsidR="00861443" w:rsidRDefault="00861443" w:rsidP="009E31BD">
      <w:pPr>
        <w:spacing w:before="100" w:line="360" w:lineRule="auto"/>
        <w:jc w:val="center"/>
        <w:rPr>
          <w:rFonts w:ascii="Arial" w:eastAsia="Arial" w:hAnsi="Arial" w:cs="Arial"/>
          <w:b/>
          <w:sz w:val="32"/>
          <w:szCs w:val="32"/>
        </w:rPr>
      </w:pPr>
    </w:p>
    <w:p w:rsidR="00C50325" w:rsidRPr="00861443" w:rsidRDefault="001818E2" w:rsidP="009E31BD">
      <w:pPr>
        <w:spacing w:before="100" w:line="360" w:lineRule="auto"/>
        <w:jc w:val="center"/>
        <w:rPr>
          <w:rFonts w:ascii="Arial" w:hAnsi="Arial" w:cs="Arial"/>
          <w:b/>
          <w:sz w:val="36"/>
          <w:szCs w:val="36"/>
        </w:rPr>
      </w:pPr>
      <w:r>
        <w:rPr>
          <w:rFonts w:ascii="Arial" w:eastAsia="Arial" w:hAnsi="Arial" w:cs="Arial"/>
          <w:b/>
          <w:sz w:val="36"/>
          <w:szCs w:val="36"/>
        </w:rPr>
        <w:t>TITLE: A CASE STUDY REPORT OF MRS THOMPSON</w:t>
      </w:r>
    </w:p>
    <w:p w:rsidR="00C50325" w:rsidRPr="009E31BD" w:rsidRDefault="004A2C0A" w:rsidP="009E31BD">
      <w:pPr>
        <w:spacing w:line="360" w:lineRule="auto"/>
        <w:rPr>
          <w:rFonts w:ascii="Arial" w:hAnsi="Arial" w:cs="Arial"/>
          <w:sz w:val="22"/>
          <w:szCs w:val="22"/>
        </w:rPr>
      </w:pPr>
      <w:r>
        <w:rPr>
          <w:rFonts w:ascii="Arial" w:hAnsi="Arial" w:cs="Arial"/>
          <w:sz w:val="22"/>
          <w:szCs w:val="22"/>
        </w:rPr>
        <w:br w:type="page"/>
      </w:r>
    </w:p>
    <w:p w:rsidR="00C50325" w:rsidRPr="009E31BD" w:rsidRDefault="004A2C0A" w:rsidP="009E31BD">
      <w:pPr>
        <w:pStyle w:val="Heading1"/>
        <w:spacing w:before="240" w:after="160" w:line="360" w:lineRule="auto"/>
        <w:rPr>
          <w:rFonts w:cs="Arial"/>
          <w:sz w:val="22"/>
          <w:szCs w:val="22"/>
        </w:rPr>
      </w:pPr>
      <w:bookmarkStart w:id="0" w:name="_Toc235398803"/>
      <w:r>
        <w:rPr>
          <w:rFonts w:eastAsia="Arial" w:cs="Arial"/>
          <w:bCs/>
          <w:sz w:val="22"/>
          <w:szCs w:val="22"/>
        </w:rPr>
        <w:lastRenderedPageBreak/>
        <w:t>Contents</w:t>
      </w:r>
      <w:bookmarkEnd w:id="0"/>
    </w:p>
    <w:sdt>
      <w:sdtPr>
        <w:rPr>
          <w:rFonts w:ascii="Arial" w:hAnsi="Arial" w:cs="Arial"/>
          <w:sz w:val="22"/>
          <w:szCs w:val="22"/>
        </w:rPr>
        <w:alias w:val="Contents"/>
        <w:id w:val="-1849788672"/>
      </w:sdtPr>
      <w:sdtEndPr/>
      <w:sdtContent>
        <w:bookmarkStart w:id="1" w:name="_GoBack" w:displacedByCustomXml="prev"/>
        <w:bookmarkEnd w:id="1" w:displacedByCustomXml="prev"/>
        <w:p w:rsidR="00FE45CE" w:rsidRDefault="004A2C0A">
          <w:pPr>
            <w:pStyle w:val="TOC1"/>
            <w:tabs>
              <w:tab w:val="right" w:leader="dot" w:pos="9016"/>
            </w:tabs>
            <w:rPr>
              <w:rFonts w:asciiTheme="minorHAnsi" w:eastAsiaTheme="minorEastAsia" w:hAnsiTheme="minorHAnsi" w:cstheme="minorBidi"/>
              <w:noProof/>
              <w:sz w:val="22"/>
              <w:szCs w:val="22"/>
            </w:rPr>
          </w:pPr>
          <w:r>
            <w:rPr>
              <w:rFonts w:ascii="Arial" w:hAnsi="Arial" w:cs="Arial"/>
              <w:sz w:val="22"/>
              <w:szCs w:val="22"/>
            </w:rPr>
            <w:fldChar w:fldCharType="begin"/>
          </w:r>
          <w:r>
            <w:rPr>
              <w:rFonts w:ascii="Arial" w:hAnsi="Arial" w:cs="Arial"/>
              <w:sz w:val="22"/>
              <w:szCs w:val="22"/>
            </w:rPr>
            <w:instrText>TOC \h \o "1-2"</w:instrText>
          </w:r>
          <w:r>
            <w:rPr>
              <w:rFonts w:ascii="Arial" w:hAnsi="Arial" w:cs="Arial"/>
              <w:sz w:val="22"/>
              <w:szCs w:val="22"/>
            </w:rPr>
            <w:fldChar w:fldCharType="separate"/>
          </w:r>
          <w:hyperlink w:anchor="_Toc235398803" w:history="1">
            <w:r w:rsidR="00FE45CE" w:rsidRPr="00290C93">
              <w:rPr>
                <w:rStyle w:val="Hyperlink"/>
                <w:rFonts w:eastAsia="Arial" w:cs="Arial"/>
                <w:bCs/>
                <w:noProof/>
              </w:rPr>
              <w:t>Contents</w:t>
            </w:r>
            <w:r w:rsidR="00FE45CE">
              <w:rPr>
                <w:noProof/>
              </w:rPr>
              <w:tab/>
            </w:r>
            <w:r w:rsidR="00FE45CE">
              <w:rPr>
                <w:noProof/>
              </w:rPr>
              <w:fldChar w:fldCharType="begin"/>
            </w:r>
            <w:r w:rsidR="00FE45CE">
              <w:rPr>
                <w:noProof/>
              </w:rPr>
              <w:instrText xml:space="preserve"> PAGEREF _Toc235398803 \h </w:instrText>
            </w:r>
            <w:r w:rsidR="00FE45CE">
              <w:rPr>
                <w:noProof/>
              </w:rPr>
            </w:r>
            <w:r w:rsidR="00FE45CE">
              <w:rPr>
                <w:noProof/>
              </w:rPr>
              <w:fldChar w:fldCharType="separate"/>
            </w:r>
            <w:r w:rsidR="00FE45CE">
              <w:rPr>
                <w:noProof/>
              </w:rPr>
              <w:t>2</w:t>
            </w:r>
            <w:r w:rsidR="00FE45CE">
              <w:rPr>
                <w:noProof/>
              </w:rPr>
              <w:fldChar w:fldCharType="end"/>
            </w:r>
          </w:hyperlink>
        </w:p>
        <w:p w:rsidR="00FE45CE" w:rsidRDefault="00FE45CE">
          <w:pPr>
            <w:pStyle w:val="TOC1"/>
            <w:tabs>
              <w:tab w:val="right" w:leader="dot" w:pos="9016"/>
            </w:tabs>
            <w:rPr>
              <w:rFonts w:asciiTheme="minorHAnsi" w:eastAsiaTheme="minorEastAsia" w:hAnsiTheme="minorHAnsi" w:cstheme="minorBidi"/>
              <w:noProof/>
              <w:sz w:val="22"/>
              <w:szCs w:val="22"/>
            </w:rPr>
          </w:pPr>
          <w:hyperlink w:anchor="_Toc235398804" w:history="1">
            <w:r w:rsidRPr="00290C93">
              <w:rPr>
                <w:rStyle w:val="Hyperlink"/>
                <w:noProof/>
              </w:rPr>
              <w:t>Introduction</w:t>
            </w:r>
            <w:r>
              <w:rPr>
                <w:noProof/>
              </w:rPr>
              <w:tab/>
            </w:r>
            <w:r>
              <w:rPr>
                <w:noProof/>
              </w:rPr>
              <w:fldChar w:fldCharType="begin"/>
            </w:r>
            <w:r>
              <w:rPr>
                <w:noProof/>
              </w:rPr>
              <w:instrText xml:space="preserve"> PAGEREF _Toc235398804 \h </w:instrText>
            </w:r>
            <w:r>
              <w:rPr>
                <w:noProof/>
              </w:rPr>
            </w:r>
            <w:r>
              <w:rPr>
                <w:noProof/>
              </w:rPr>
              <w:fldChar w:fldCharType="separate"/>
            </w:r>
            <w:r>
              <w:rPr>
                <w:noProof/>
              </w:rPr>
              <w:t>3</w:t>
            </w:r>
            <w:r>
              <w:rPr>
                <w:noProof/>
              </w:rPr>
              <w:fldChar w:fldCharType="end"/>
            </w:r>
          </w:hyperlink>
        </w:p>
        <w:p w:rsidR="00FE45CE" w:rsidRDefault="00FE45CE">
          <w:pPr>
            <w:pStyle w:val="TOC1"/>
            <w:tabs>
              <w:tab w:val="right" w:leader="dot" w:pos="9016"/>
            </w:tabs>
            <w:rPr>
              <w:rFonts w:asciiTheme="minorHAnsi" w:eastAsiaTheme="minorEastAsia" w:hAnsiTheme="minorHAnsi" w:cstheme="minorBidi"/>
              <w:noProof/>
              <w:sz w:val="22"/>
              <w:szCs w:val="22"/>
            </w:rPr>
          </w:pPr>
          <w:hyperlink w:anchor="_Toc235398805" w:history="1">
            <w:r w:rsidRPr="00290C93">
              <w:rPr>
                <w:rStyle w:val="Hyperlink"/>
                <w:noProof/>
              </w:rPr>
              <w:t>1. Effective Communication</w:t>
            </w:r>
            <w:r>
              <w:rPr>
                <w:noProof/>
              </w:rPr>
              <w:tab/>
            </w:r>
            <w:r>
              <w:rPr>
                <w:noProof/>
              </w:rPr>
              <w:fldChar w:fldCharType="begin"/>
            </w:r>
            <w:r>
              <w:rPr>
                <w:noProof/>
              </w:rPr>
              <w:instrText xml:space="preserve"> PAGEREF _Toc235398805 \h </w:instrText>
            </w:r>
            <w:r>
              <w:rPr>
                <w:noProof/>
              </w:rPr>
            </w:r>
            <w:r>
              <w:rPr>
                <w:noProof/>
              </w:rPr>
              <w:fldChar w:fldCharType="separate"/>
            </w:r>
            <w:r>
              <w:rPr>
                <w:noProof/>
              </w:rPr>
              <w:t>3</w:t>
            </w:r>
            <w:r>
              <w:rPr>
                <w:noProof/>
              </w:rPr>
              <w:fldChar w:fldCharType="end"/>
            </w:r>
          </w:hyperlink>
        </w:p>
        <w:p w:rsidR="00FE45CE" w:rsidRDefault="00FE45CE">
          <w:pPr>
            <w:pStyle w:val="TOC1"/>
            <w:tabs>
              <w:tab w:val="right" w:leader="dot" w:pos="9016"/>
            </w:tabs>
            <w:rPr>
              <w:rFonts w:asciiTheme="minorHAnsi" w:eastAsiaTheme="minorEastAsia" w:hAnsiTheme="minorHAnsi" w:cstheme="minorBidi"/>
              <w:noProof/>
              <w:sz w:val="22"/>
              <w:szCs w:val="22"/>
            </w:rPr>
          </w:pPr>
          <w:hyperlink w:anchor="_Toc235398806" w:history="1">
            <w:r w:rsidRPr="00290C93">
              <w:rPr>
                <w:rStyle w:val="Hyperlink"/>
                <w:noProof/>
              </w:rPr>
              <w:t>2. Administrative Skills and Record-Keeping</w:t>
            </w:r>
            <w:r>
              <w:rPr>
                <w:noProof/>
              </w:rPr>
              <w:tab/>
            </w:r>
            <w:r>
              <w:rPr>
                <w:noProof/>
              </w:rPr>
              <w:fldChar w:fldCharType="begin"/>
            </w:r>
            <w:r>
              <w:rPr>
                <w:noProof/>
              </w:rPr>
              <w:instrText xml:space="preserve"> PAGEREF _Toc235398806 \h </w:instrText>
            </w:r>
            <w:r>
              <w:rPr>
                <w:noProof/>
              </w:rPr>
            </w:r>
            <w:r>
              <w:rPr>
                <w:noProof/>
              </w:rPr>
              <w:fldChar w:fldCharType="separate"/>
            </w:r>
            <w:r>
              <w:rPr>
                <w:noProof/>
              </w:rPr>
              <w:t>4</w:t>
            </w:r>
            <w:r>
              <w:rPr>
                <w:noProof/>
              </w:rPr>
              <w:fldChar w:fldCharType="end"/>
            </w:r>
          </w:hyperlink>
        </w:p>
        <w:p w:rsidR="00FE45CE" w:rsidRDefault="00FE45CE">
          <w:pPr>
            <w:pStyle w:val="TOC1"/>
            <w:tabs>
              <w:tab w:val="right" w:leader="dot" w:pos="9016"/>
            </w:tabs>
            <w:rPr>
              <w:rFonts w:asciiTheme="minorHAnsi" w:eastAsiaTheme="minorEastAsia" w:hAnsiTheme="minorHAnsi" w:cstheme="minorBidi"/>
              <w:noProof/>
              <w:sz w:val="22"/>
              <w:szCs w:val="22"/>
            </w:rPr>
          </w:pPr>
          <w:hyperlink w:anchor="_Toc235398807" w:history="1">
            <w:r w:rsidRPr="00290C93">
              <w:rPr>
                <w:rStyle w:val="Hyperlink"/>
                <w:noProof/>
              </w:rPr>
              <w:t>3. Collaborative Working</w:t>
            </w:r>
            <w:r>
              <w:rPr>
                <w:noProof/>
              </w:rPr>
              <w:tab/>
            </w:r>
            <w:r>
              <w:rPr>
                <w:noProof/>
              </w:rPr>
              <w:fldChar w:fldCharType="begin"/>
            </w:r>
            <w:r>
              <w:rPr>
                <w:noProof/>
              </w:rPr>
              <w:instrText xml:space="preserve"> PAGEREF _Toc235398807 \h </w:instrText>
            </w:r>
            <w:r>
              <w:rPr>
                <w:noProof/>
              </w:rPr>
            </w:r>
            <w:r>
              <w:rPr>
                <w:noProof/>
              </w:rPr>
              <w:fldChar w:fldCharType="separate"/>
            </w:r>
            <w:r>
              <w:rPr>
                <w:noProof/>
              </w:rPr>
              <w:t>5</w:t>
            </w:r>
            <w:r>
              <w:rPr>
                <w:noProof/>
              </w:rPr>
              <w:fldChar w:fldCharType="end"/>
            </w:r>
          </w:hyperlink>
        </w:p>
        <w:p w:rsidR="00FE45CE" w:rsidRDefault="00FE45CE">
          <w:pPr>
            <w:pStyle w:val="TOC1"/>
            <w:tabs>
              <w:tab w:val="right" w:leader="dot" w:pos="9016"/>
            </w:tabs>
            <w:rPr>
              <w:rFonts w:asciiTheme="minorHAnsi" w:eastAsiaTheme="minorEastAsia" w:hAnsiTheme="minorHAnsi" w:cstheme="minorBidi"/>
              <w:noProof/>
              <w:sz w:val="22"/>
              <w:szCs w:val="22"/>
            </w:rPr>
          </w:pPr>
          <w:hyperlink w:anchor="_Toc235398808" w:history="1">
            <w:r w:rsidRPr="00290C93">
              <w:rPr>
                <w:rStyle w:val="Hyperlink"/>
                <w:noProof/>
              </w:rPr>
              <w:t>Conclusion</w:t>
            </w:r>
            <w:r>
              <w:rPr>
                <w:noProof/>
              </w:rPr>
              <w:tab/>
            </w:r>
            <w:r>
              <w:rPr>
                <w:noProof/>
              </w:rPr>
              <w:fldChar w:fldCharType="begin"/>
            </w:r>
            <w:r>
              <w:rPr>
                <w:noProof/>
              </w:rPr>
              <w:instrText xml:space="preserve"> PAGEREF _Toc235398808 \h </w:instrText>
            </w:r>
            <w:r>
              <w:rPr>
                <w:noProof/>
              </w:rPr>
            </w:r>
            <w:r>
              <w:rPr>
                <w:noProof/>
              </w:rPr>
              <w:fldChar w:fldCharType="separate"/>
            </w:r>
            <w:r>
              <w:rPr>
                <w:noProof/>
              </w:rPr>
              <w:t>6</w:t>
            </w:r>
            <w:r>
              <w:rPr>
                <w:noProof/>
              </w:rPr>
              <w:fldChar w:fldCharType="end"/>
            </w:r>
          </w:hyperlink>
        </w:p>
        <w:p w:rsidR="00FE45CE" w:rsidRDefault="00FE45CE">
          <w:pPr>
            <w:pStyle w:val="TOC1"/>
            <w:tabs>
              <w:tab w:val="right" w:leader="dot" w:pos="9016"/>
            </w:tabs>
            <w:rPr>
              <w:rFonts w:asciiTheme="minorHAnsi" w:eastAsiaTheme="minorEastAsia" w:hAnsiTheme="minorHAnsi" w:cstheme="minorBidi"/>
              <w:noProof/>
              <w:sz w:val="22"/>
              <w:szCs w:val="22"/>
            </w:rPr>
          </w:pPr>
          <w:hyperlink w:anchor="_Toc235398809" w:history="1">
            <w:r w:rsidRPr="00290C93">
              <w:rPr>
                <w:rStyle w:val="Hyperlink"/>
                <w:noProof/>
                <w:shd w:val="clear" w:color="auto" w:fill="FFFFFF"/>
              </w:rPr>
              <w:t>References</w:t>
            </w:r>
            <w:r>
              <w:rPr>
                <w:noProof/>
              </w:rPr>
              <w:tab/>
            </w:r>
            <w:r>
              <w:rPr>
                <w:noProof/>
              </w:rPr>
              <w:fldChar w:fldCharType="begin"/>
            </w:r>
            <w:r>
              <w:rPr>
                <w:noProof/>
              </w:rPr>
              <w:instrText xml:space="preserve"> PAGEREF _Toc235398809 \h </w:instrText>
            </w:r>
            <w:r>
              <w:rPr>
                <w:noProof/>
              </w:rPr>
            </w:r>
            <w:r>
              <w:rPr>
                <w:noProof/>
              </w:rPr>
              <w:fldChar w:fldCharType="separate"/>
            </w:r>
            <w:r>
              <w:rPr>
                <w:noProof/>
              </w:rPr>
              <w:t>6</w:t>
            </w:r>
            <w:r>
              <w:rPr>
                <w:noProof/>
              </w:rPr>
              <w:fldChar w:fldCharType="end"/>
            </w:r>
          </w:hyperlink>
        </w:p>
        <w:p w:rsidR="00C50325" w:rsidRPr="009E31BD" w:rsidRDefault="004A2C0A" w:rsidP="009E31BD">
          <w:pPr>
            <w:spacing w:line="360" w:lineRule="auto"/>
            <w:rPr>
              <w:rFonts w:ascii="Arial" w:hAnsi="Arial" w:cs="Arial"/>
              <w:sz w:val="22"/>
              <w:szCs w:val="22"/>
            </w:rPr>
          </w:pPr>
          <w:r>
            <w:rPr>
              <w:rFonts w:ascii="Arial" w:hAnsi="Arial" w:cs="Arial"/>
              <w:sz w:val="22"/>
              <w:szCs w:val="22"/>
            </w:rPr>
            <w:fldChar w:fldCharType="end"/>
          </w:r>
        </w:p>
      </w:sdtContent>
    </w:sdt>
    <w:p w:rsidR="00C50325" w:rsidRPr="009E31BD" w:rsidRDefault="004A2C0A" w:rsidP="009E31BD">
      <w:pPr>
        <w:spacing w:line="360" w:lineRule="auto"/>
        <w:rPr>
          <w:rFonts w:ascii="Arial" w:hAnsi="Arial" w:cs="Arial"/>
          <w:sz w:val="22"/>
          <w:szCs w:val="22"/>
        </w:rPr>
      </w:pPr>
      <w:r>
        <w:rPr>
          <w:rFonts w:ascii="Arial" w:hAnsi="Arial" w:cs="Arial"/>
          <w:sz w:val="22"/>
          <w:szCs w:val="22"/>
        </w:rPr>
        <w:br w:type="page"/>
      </w:r>
    </w:p>
    <w:p w:rsidR="009E31BD" w:rsidRDefault="009E31BD" w:rsidP="001818E2">
      <w:pPr>
        <w:pStyle w:val="Heading1"/>
      </w:pPr>
      <w:bookmarkStart w:id="2" w:name="_Toc235398804"/>
      <w:r>
        <w:t>Introduction</w:t>
      </w:r>
      <w:bookmarkEnd w:id="2"/>
    </w:p>
    <w:p w:rsidR="001818E2" w:rsidRPr="009E31BD" w:rsidRDefault="001818E2" w:rsidP="001818E2">
      <w:pPr>
        <w:pStyle w:val="Heading1"/>
      </w:pPr>
    </w:p>
    <w:p w:rsidR="001818E2" w:rsidRPr="009E31BD" w:rsidRDefault="004D4FD1" w:rsidP="009E31BD">
      <w:pPr>
        <w:spacing w:line="360" w:lineRule="auto"/>
        <w:rPr>
          <w:rFonts w:ascii="Arial" w:hAnsi="Arial" w:cs="Arial"/>
          <w:sz w:val="22"/>
          <w:szCs w:val="22"/>
        </w:rPr>
      </w:pPr>
      <w:r>
        <w:rPr>
          <w:rFonts w:ascii="Arial" w:hAnsi="Arial" w:cs="Arial"/>
          <w:sz w:val="22"/>
          <w:szCs w:val="22"/>
        </w:rPr>
        <w:t xml:space="preserve">Mrs Thompson is 84 and has recently been discharged from hospital after having had pneumonia. She resides in sheltered accommodation and has 24/7 care provided for her by domiciliary care. Her case is being investigated by the local council and she was recently discovered outside in cold weather without proper clothing as a result of her mild dementia causing her to miss two days of her medication which led to her increased confusion. This report examines three areas of good practice in working with the service user and her family: effective communication; good administrative practice and accurate record keeping in safeguarding the service user; collaborative multi-agency working amongst practitioners, her GP, community nurse and domiciliary care workers. </w:t>
      </w:r>
    </w:p>
    <w:p w:rsidR="009E31BD" w:rsidRPr="001818E2" w:rsidRDefault="009E31BD" w:rsidP="00861443">
      <w:pPr>
        <w:pStyle w:val="Heading1"/>
      </w:pPr>
      <w:bookmarkStart w:id="3" w:name="_Toc235398805"/>
      <w:r>
        <w:t>1. Effective Communication</w:t>
      </w:r>
      <w:bookmarkEnd w:id="3"/>
      <w:r>
        <w:t xml:space="preserve"> </w:t>
      </w:r>
    </w:p>
    <w:p w:rsidR="001818E2" w:rsidRPr="009E31BD" w:rsidRDefault="001818E2" w:rsidP="001818E2">
      <w:pPr>
        <w:pStyle w:val="Heading1"/>
      </w:pPr>
    </w:p>
    <w:p w:rsidR="009E31BD" w:rsidRPr="009E31BD" w:rsidRDefault="009E31BD" w:rsidP="009E31BD">
      <w:pPr>
        <w:spacing w:line="360" w:lineRule="auto"/>
        <w:rPr>
          <w:rFonts w:ascii="Arial" w:hAnsi="Arial" w:cs="Arial"/>
          <w:sz w:val="22"/>
          <w:szCs w:val="22"/>
        </w:rPr>
      </w:pPr>
      <w:r>
        <w:rPr>
          <w:rFonts w:ascii="Arial" w:hAnsi="Arial" w:cs="Arial"/>
          <w:sz w:val="22"/>
          <w:szCs w:val="22"/>
        </w:rPr>
        <w:t>Good communication is essential in the provision of safe care that is centred around the individual, especially for someone like Mrs Thompson, who has mild dementia and lives with some vulnerability. Communication here is not just about exchanging information, but also about understanding their history, building trust, and then adapting the information.</w:t>
      </w:r>
      <w:r>
        <w:t xml:space="preserve"> </w:t>
      </w:r>
      <w:r>
        <w:rPr>
          <w:rFonts w:ascii="Arial" w:hAnsi="Arial" w:cs="Arial"/>
          <w:sz w:val="22"/>
          <w:szCs w:val="22"/>
        </w:rPr>
        <w:t xml:space="preserve">A recent systematic review of dementia care communication identified that ensuring a continual family involvement is an essential component of safe dementia care, and that this lack of involvement may result in reduced capacity for family members to support the person (Sunjaya et al., 2025). </w:t>
      </w:r>
    </w:p>
    <w:p w:rsidR="009E31BD" w:rsidRPr="009E31BD" w:rsidRDefault="005A08C9" w:rsidP="009E31BD">
      <w:pPr>
        <w:spacing w:line="360" w:lineRule="auto"/>
        <w:rPr>
          <w:rFonts w:ascii="Arial" w:hAnsi="Arial" w:cs="Arial"/>
          <w:sz w:val="22"/>
          <w:szCs w:val="22"/>
        </w:rPr>
      </w:pPr>
      <w:r>
        <w:t xml:space="preserve"> </w:t>
      </w:r>
      <w:r>
        <w:rPr>
          <w:rFonts w:ascii="Arial" w:hAnsi="Arial" w:cs="Arial"/>
          <w:sz w:val="22"/>
          <w:szCs w:val="22"/>
        </w:rPr>
        <w:t>One useful model for communication in care situations is that of Argyle (1994) who described communication as a six stage process: sender develops an idea, communicates it in words or actions, sends it out, receiver receives it, interprets it, understands it, or thinks that they do. If a domiciliary care worker is explaining a change to Mrs Thompson's medication, she will need to confirm at every step that she has understood correctly, not assuming that it is clear when spoken. Feedback and repetition is particularly important, as the worker may need to ask her to repeat instructions back and allow extra time due to her dementia. According to Argyle's model, there has been a breakdown in communication if the message sent does not equal the message received and this is what seems to have occurred when Mrs Thompson missed her medication and became even more confused. This is consistent with evidence that some of the most effective methods with people living with dementia are short instructions, extra time to respond and avoiding jargon (Sunjaya et al., 2025).</w:t>
      </w:r>
    </w:p>
    <w:p w:rsidR="009E31BD" w:rsidRPr="009E31BD" w:rsidRDefault="009E31BD" w:rsidP="009E31BD">
      <w:pPr>
        <w:spacing w:line="360" w:lineRule="auto"/>
        <w:rPr>
          <w:rFonts w:ascii="Arial" w:hAnsi="Arial" w:cs="Arial"/>
          <w:sz w:val="22"/>
          <w:szCs w:val="22"/>
        </w:rPr>
      </w:pPr>
      <w:r>
        <w:rPr>
          <w:rFonts w:ascii="Arial" w:hAnsi="Arial" w:cs="Arial"/>
          <w:sz w:val="22"/>
          <w:szCs w:val="22"/>
        </w:rPr>
        <w:t>It is also vital to communicate with Mrs Thompson's family. Family members may be able to provide information about her normal behaviour and help detect the signs of decline. Their involvement, with her permission, helps to ensure continuity of care and minimises risks of incidents like being found outside dressed inappropriately.</w:t>
      </w:r>
    </w:p>
    <w:p w:rsidR="009E31BD" w:rsidRDefault="009E31BD" w:rsidP="009E31BD">
      <w:pPr>
        <w:spacing w:line="360" w:lineRule="auto"/>
        <w:rPr>
          <w:rFonts w:ascii="Arial" w:hAnsi="Arial" w:cs="Arial"/>
          <w:sz w:val="22"/>
          <w:szCs w:val="22"/>
        </w:rPr>
      </w:pPr>
      <w:r>
        <w:rPr>
          <w:rFonts w:ascii="Arial" w:hAnsi="Arial" w:cs="Arial"/>
          <w:sz w:val="22"/>
          <w:szCs w:val="22"/>
        </w:rPr>
        <w:t>Inclusive communication is underpinned by the legal principles of the Equality Act 2010, which protects people against discrimination by reason of protected characteristics, such as age and disability (Equality Act 2010). Mild dementia can also be a disability under the Act and a care provider has a responsibility to make reasonable adjustments such as providing visual aids, written reminders, or simplified instructions, not to assume based on age or diagnosis alone. Evidence from services that have made reasonable adjustments demonstrates that success requires understanding a person's needs from their perspective and for professionals to work well together and coordinate, not as a one-off task (Heslop et al., 2019). Use of Argyle's model in conjunction with the Equality Act would involve two-way communication with Mrs Thompson, being adaptable and checking for understanding. However, poor communication can lead to the type of medication safety issues that occurred in this case.</w:t>
      </w:r>
    </w:p>
    <w:p w:rsidR="001818E2" w:rsidRPr="009E31BD" w:rsidRDefault="001818E2" w:rsidP="009E31BD">
      <w:pPr>
        <w:spacing w:line="360" w:lineRule="auto"/>
        <w:rPr>
          <w:rFonts w:ascii="Arial" w:hAnsi="Arial" w:cs="Arial"/>
          <w:sz w:val="22"/>
          <w:szCs w:val="22"/>
        </w:rPr>
      </w:pPr>
    </w:p>
    <w:p w:rsidR="009E31BD" w:rsidRDefault="009E31BD" w:rsidP="001818E2">
      <w:pPr>
        <w:pStyle w:val="Heading1"/>
      </w:pPr>
      <w:bookmarkStart w:id="4" w:name="_Toc235398806"/>
      <w:r>
        <w:t>2. Administrative Skills and Record-Keeping</w:t>
      </w:r>
      <w:bookmarkEnd w:id="4"/>
    </w:p>
    <w:p w:rsidR="001818E2" w:rsidRPr="009E31BD" w:rsidRDefault="001818E2" w:rsidP="001818E2">
      <w:pPr>
        <w:pStyle w:val="Heading1"/>
      </w:pPr>
    </w:p>
    <w:p w:rsidR="009E31BD" w:rsidRPr="009E31BD" w:rsidRDefault="009E31BD" w:rsidP="009E31BD">
      <w:pPr>
        <w:spacing w:line="360" w:lineRule="auto"/>
        <w:rPr>
          <w:rFonts w:ascii="Arial" w:hAnsi="Arial" w:cs="Arial"/>
          <w:sz w:val="22"/>
          <w:szCs w:val="22"/>
        </w:rPr>
      </w:pPr>
      <w:r>
        <w:rPr>
          <w:rFonts w:ascii="Arial" w:hAnsi="Arial" w:cs="Arial"/>
          <w:sz w:val="22"/>
          <w:szCs w:val="22"/>
        </w:rPr>
        <w:t>Safe and professional practice relies on good administrative skills and accurate record keeping, demonstrated in Mrs Thompson's case. This was identified through the service's incident reporting system and a medication review was requested, demonstrating how accurate and timely records help staff identify issues and ensure continuity of care between shifts when she missed two days of medication.</w:t>
      </w:r>
    </w:p>
    <w:p w:rsidR="009E31BD" w:rsidRPr="009E31BD" w:rsidRDefault="005A08C9" w:rsidP="009E31BD">
      <w:pPr>
        <w:spacing w:line="360" w:lineRule="auto"/>
        <w:rPr>
          <w:rFonts w:ascii="Arial" w:hAnsi="Arial" w:cs="Arial"/>
          <w:sz w:val="22"/>
          <w:szCs w:val="22"/>
        </w:rPr>
      </w:pPr>
      <w:r>
        <w:rPr>
          <w:rFonts w:ascii="Arial" w:hAnsi="Arial" w:cs="Arial"/>
          <w:sz w:val="22"/>
          <w:szCs w:val="22"/>
        </w:rPr>
        <w:t>Record keeping within health &amp; social care is governed by the Data Protection Act 2018 which outlines how personal data must be collected, kept and shared; records must remain accurate, up-to-date, secure and only accessible to those who have a legitimate need to access them (Data Protection Act 2018). To Mrs Thompson, this involves the proper documentation of her medication, dementia diagnosis, and incident outdoors and that only professionals involved in her care be able to access it. The Act does not set operational limits for practice; as legislation, it sets broad legal minimums, from which sector-specific guidance is necessary to determine what should be done in a specific situation.</w:t>
      </w:r>
    </w:p>
    <w:p w:rsidR="009E31BD" w:rsidRPr="009E31BD" w:rsidRDefault="009E31BD" w:rsidP="009E31BD">
      <w:pPr>
        <w:spacing w:line="360" w:lineRule="auto"/>
        <w:rPr>
          <w:rFonts w:ascii="Arial" w:hAnsi="Arial" w:cs="Arial"/>
          <w:sz w:val="22"/>
          <w:szCs w:val="22"/>
        </w:rPr>
      </w:pPr>
      <w:r>
        <w:rPr>
          <w:rFonts w:ascii="Arial" w:hAnsi="Arial" w:cs="Arial"/>
          <w:sz w:val="22"/>
          <w:szCs w:val="22"/>
        </w:rPr>
        <w:t>The Caldicott Principles are more specific to the health and social care sector, which prioritises sharing only essential information and justifying the sharing of that information (Caldicott, 2013). In fact, arguably, they are more useful in the frontline in making decisions, such as how much information about Mrs Thompson's dementia a new carer should have, than the Data Protection Act on its own. Public opinion on health data aligns with this balance: across the board, people are willing for their health data to be shared for their own direct care, provided it is done transparently (Jones et al., 2022). For Mrs Thompson, this will involve her GP, community nurse and domiciliary care workers who will need access to information, but no more widely than is necessary.</w:t>
      </w:r>
    </w:p>
    <w:p w:rsidR="009E31BD" w:rsidRPr="009E31BD" w:rsidRDefault="009E31BD" w:rsidP="009E31BD">
      <w:pPr>
        <w:spacing w:line="360" w:lineRule="auto"/>
        <w:rPr>
          <w:rFonts w:ascii="Arial" w:hAnsi="Arial" w:cs="Arial"/>
          <w:sz w:val="22"/>
          <w:szCs w:val="22"/>
        </w:rPr>
      </w:pPr>
      <w:r>
        <w:rPr>
          <w:rFonts w:ascii="Arial" w:hAnsi="Arial" w:cs="Arial"/>
          <w:sz w:val="22"/>
          <w:szCs w:val="22"/>
        </w:rPr>
        <w:t>Expectations of documentation also exist outside of legislative requirements by professional bodies. The NMC Code is specific to nurses and requires nurses to keep accurate and clear records promptly (Nursing and Midwifery Council, 2018), but the CQC's fundamental standards place this responsibility on the employing body, which can only be enforced through inspection (Care Quality Commission, 2023). The CQC standard, which is not reliant solely on individual professional accountability, may be the more relevant safeguard for a domiciliary care worker who may not have a professional registration.</w:t>
      </w:r>
    </w:p>
    <w:p w:rsidR="001818E2" w:rsidRPr="009E31BD" w:rsidRDefault="009E31BD" w:rsidP="009E31BD">
      <w:pPr>
        <w:spacing w:line="360" w:lineRule="auto"/>
        <w:rPr>
          <w:rFonts w:ascii="Arial" w:hAnsi="Arial" w:cs="Arial"/>
          <w:sz w:val="22"/>
          <w:szCs w:val="22"/>
        </w:rPr>
      </w:pPr>
      <w:r>
        <w:rPr>
          <w:rFonts w:ascii="Arial" w:hAnsi="Arial" w:cs="Arial"/>
          <w:sz w:val="22"/>
          <w:szCs w:val="22"/>
        </w:rPr>
        <w:t xml:space="preserve">The dangers of inadequate record keeping are evident in this case. One study of managers supervising newly qualified nurses identified that the absence of documentation hindered the identification of deterioration in a patient's condition and continuity of care and suggested that record-keeping should be prioritised (Nkoane, 2023). If Mrs Thompson's lost medication or outdoor incident had not been reported in a timely manner, professionals might not have noticed her loss of independence and thus delayed assistance. </w:t>
      </w:r>
      <w:r w:rsidR="00F94014" w:rsidRPr="00F94014">
        <w:rPr>
          <w:rFonts w:ascii="Arial" w:hAnsi="Arial" w:cs="Arial"/>
          <w:sz w:val="22"/>
          <w:szCs w:val="22"/>
        </w:rPr>
        <w:t>Good, timely records are a critical component of safe care as it allows staff to identify potential issues at an early stage and to communicate concerns with the wider care team before things escalate.</w:t>
      </w:r>
      <w:r w:rsidR="00F94014">
        <w:rPr>
          <w:rFonts w:ascii="Arial" w:hAnsi="Arial" w:cs="Arial"/>
          <w:sz w:val="22"/>
          <w:szCs w:val="22"/>
        </w:rPr>
        <w:t xml:space="preserve"> </w:t>
      </w:r>
    </w:p>
    <w:p w:rsidR="009E31BD" w:rsidRDefault="009E31BD" w:rsidP="001818E2">
      <w:pPr>
        <w:pStyle w:val="Heading1"/>
      </w:pPr>
      <w:bookmarkStart w:id="5" w:name="_Toc235398807"/>
      <w:r>
        <w:t>3. Collaborative Working</w:t>
      </w:r>
      <w:bookmarkEnd w:id="5"/>
    </w:p>
    <w:p w:rsidR="001818E2" w:rsidRPr="009E31BD" w:rsidRDefault="001818E2" w:rsidP="001818E2">
      <w:pPr>
        <w:pStyle w:val="Heading1"/>
      </w:pPr>
    </w:p>
    <w:p w:rsidR="009E31BD" w:rsidRPr="009E31BD" w:rsidRDefault="009E31BD" w:rsidP="009E31BD">
      <w:pPr>
        <w:spacing w:line="360" w:lineRule="auto"/>
        <w:rPr>
          <w:rFonts w:ascii="Arial" w:hAnsi="Arial" w:cs="Arial"/>
          <w:sz w:val="22"/>
          <w:szCs w:val="22"/>
        </w:rPr>
      </w:pPr>
      <w:r>
        <w:rPr>
          <w:rFonts w:ascii="Arial" w:hAnsi="Arial" w:cs="Arial"/>
          <w:sz w:val="22"/>
          <w:szCs w:val="22"/>
        </w:rPr>
        <w:t>Various professionals work with Mrs Thompson in her care, such as her GP, a community nurse and domiciliary care workers, and input from the local council. Safe, joined up working is essential to keeping a person safe with multiple interacting needs, for example recovering from pneumonia, mild dementia and a recent safeguarding concern.</w:t>
      </w:r>
    </w:p>
    <w:p w:rsidR="009E31BD" w:rsidRPr="009E31BD" w:rsidRDefault="009E31BD" w:rsidP="009E31BD">
      <w:pPr>
        <w:spacing w:line="360" w:lineRule="auto"/>
        <w:rPr>
          <w:rFonts w:ascii="Arial" w:hAnsi="Arial" w:cs="Arial"/>
          <w:sz w:val="22"/>
          <w:szCs w:val="22"/>
        </w:rPr>
      </w:pPr>
      <w:r>
        <w:rPr>
          <w:rFonts w:ascii="Arial" w:hAnsi="Arial" w:cs="Arial"/>
          <w:sz w:val="22"/>
          <w:szCs w:val="22"/>
        </w:rPr>
        <w:t>Shared care plans can help to support effective collaboration and ensure that there is consistent and up to date information about Mrs Thompson's needs (Glasby and Dickinson, 2014). In England, a scoping review of the evidence on integrated primary and social care for older people with multiple long term conditions identified that it was more likely to work effectively when there was a formal process for working together to plan and share information (Dambha-Miller et al., 2021). In addition, it may be best to have an individual named professional as the primary point of contact. For people with mild dementia, Mrs Thompson for instance, a key worker might be more suitable than a care plan alone as the care plan will only be useful if read and updated regularly, but a named person can do this proactively, for example, if a missed-medication report is not followed up.</w:t>
      </w:r>
    </w:p>
    <w:p w:rsidR="009E31BD" w:rsidRDefault="009E31BD" w:rsidP="009E31BD">
      <w:pPr>
        <w:spacing w:line="360" w:lineRule="auto"/>
        <w:rPr>
          <w:rFonts w:ascii="Arial" w:hAnsi="Arial" w:cs="Arial"/>
          <w:sz w:val="22"/>
          <w:szCs w:val="22"/>
        </w:rPr>
      </w:pPr>
      <w:r>
        <w:rPr>
          <w:rFonts w:ascii="Arial" w:hAnsi="Arial" w:cs="Arial"/>
          <w:sz w:val="22"/>
          <w:szCs w:val="22"/>
        </w:rPr>
        <w:t>But multi-agency working has common problems, regardless of the model. Different organisations may use a separate record keeping system and professionals may have different priorities or workloads, causing delays (Glasby and Dickinson, 2014). A review of joint working between social workers and other professionals supporting older people identified that joint working was effective where there was continuity of staff and shared understanding across organisational boundaries, but that separate IT systems and poor communication were often barriers (Willis et al., 2025), indicating that care plans or key workers are not a substitute for compatible systems or regular face-to-face contact. For Mrs Thompson, with her mild dementia and recent safeguarding concern, a combined approach, a shared care plan with a named key worker is arguably most appropriate as this provides both a consistent record and a named person who is accountable for acting on this record. In sum, this type of cooperative oversight is valuable and is being continued by the local council review.</w:t>
      </w:r>
    </w:p>
    <w:p w:rsidR="001818E2" w:rsidRPr="009E31BD" w:rsidRDefault="001818E2" w:rsidP="009E31BD">
      <w:pPr>
        <w:spacing w:line="360" w:lineRule="auto"/>
        <w:rPr>
          <w:rFonts w:ascii="Arial" w:hAnsi="Arial" w:cs="Arial"/>
          <w:sz w:val="22"/>
          <w:szCs w:val="22"/>
        </w:rPr>
      </w:pPr>
    </w:p>
    <w:p w:rsidR="001818E2" w:rsidRDefault="009E31BD" w:rsidP="001818E2">
      <w:pPr>
        <w:pStyle w:val="Heading1"/>
      </w:pPr>
      <w:bookmarkStart w:id="6" w:name="_Toc235398808"/>
      <w:r>
        <w:t>Conclusion</w:t>
      </w:r>
      <w:bookmarkEnd w:id="6"/>
    </w:p>
    <w:p w:rsidR="009E31BD" w:rsidRPr="009E31BD" w:rsidRDefault="009E31BD" w:rsidP="001818E2">
      <w:pPr>
        <w:pStyle w:val="Heading1"/>
      </w:pPr>
      <w:r>
        <w:tab/>
      </w:r>
    </w:p>
    <w:p w:rsidR="009E31BD" w:rsidRPr="009E31BD" w:rsidRDefault="009E31BD" w:rsidP="009E31BD">
      <w:pPr>
        <w:spacing w:line="360" w:lineRule="auto"/>
        <w:rPr>
          <w:rFonts w:ascii="Arial" w:hAnsi="Arial" w:cs="Arial"/>
          <w:sz w:val="22"/>
          <w:szCs w:val="22"/>
        </w:rPr>
      </w:pPr>
      <w:r>
        <w:rPr>
          <w:rFonts w:ascii="Arial" w:hAnsi="Arial" w:cs="Arial"/>
          <w:sz w:val="22"/>
          <w:szCs w:val="22"/>
        </w:rPr>
        <w:t>Mrs Thompson's case has been used to look at three aspects of professional practice in this report. The Equality Act 2010 and Argyle's Communication Cycle are used as a framework for effective communication which ensures that any service user, such as Mrs Thompson, is treated without discrimination and receives information which they can understand. Her concerns were raised and acted upon promptly as a result of good administrative skills, adherence to the Data Protection Act 2018, the Caldicott Principles and standards such as the NMC Code and fundamental standards of the CQC, which help to identify concerns. Lastly, the co-ordinated working of her GP, community nurse and domiciliary care team with shared care plans, good communication and co-ordination ensures that her needs are met consistently. All of these components demonstrate that effective communication, documentation, and teamwork are integral to safe care practices.</w:t>
      </w:r>
    </w:p>
    <w:p w:rsidR="001818E2" w:rsidRDefault="001818E2" w:rsidP="001818E2">
      <w:pPr>
        <w:pStyle w:val="Heading1"/>
        <w:rPr>
          <w:shd w:val="clear" w:color="auto" w:fill="FFFFFF"/>
        </w:rPr>
      </w:pPr>
    </w:p>
    <w:p w:rsidR="009E31BD" w:rsidRDefault="009E31BD" w:rsidP="001818E2">
      <w:pPr>
        <w:pStyle w:val="Heading1"/>
        <w:rPr>
          <w:shd w:val="clear" w:color="auto" w:fill="FFFFFF"/>
        </w:rPr>
      </w:pPr>
      <w:bookmarkStart w:id="7" w:name="_Toc235398809"/>
      <w:r>
        <w:rPr>
          <w:shd w:val="clear" w:color="auto" w:fill="FFFFFF"/>
        </w:rPr>
        <w:t>References</w:t>
      </w:r>
      <w:bookmarkEnd w:id="7"/>
    </w:p>
    <w:p w:rsidR="001818E2" w:rsidRPr="009E31BD" w:rsidRDefault="001818E2" w:rsidP="001818E2">
      <w:pPr>
        <w:pStyle w:val="Heading1"/>
        <w:rPr>
          <w:shd w:val="clear" w:color="auto" w:fill="FFFFFF"/>
        </w:rPr>
      </w:pPr>
    </w:p>
    <w:p w:rsidR="001818E2" w:rsidRPr="009E31BD" w:rsidRDefault="001818E2" w:rsidP="009E31BD">
      <w:pPr>
        <w:spacing w:line="360" w:lineRule="auto"/>
        <w:rPr>
          <w:rFonts w:ascii="Arial" w:hAnsi="Arial" w:cs="Arial"/>
          <w:sz w:val="22"/>
          <w:szCs w:val="22"/>
        </w:rPr>
      </w:pP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Pr>
          <w:rFonts w:ascii="Arial" w:hAnsi="Arial" w:cs="Arial"/>
          <w:color w:val="222222"/>
          <w:sz w:val="22"/>
          <w:szCs w:val="22"/>
          <w:shd w:val="clear" w:color="auto" w:fill="FFFFFF"/>
        </w:rPr>
        <w:t>Argyle, M., 1994. </w:t>
      </w:r>
      <w:r>
        <w:rPr>
          <w:rFonts w:ascii="Arial" w:hAnsi="Arial" w:cs="Arial"/>
          <w:i/>
          <w:iCs/>
          <w:color w:val="222222"/>
          <w:sz w:val="22"/>
          <w:szCs w:val="22"/>
          <w:shd w:val="clear" w:color="auto" w:fill="FFFFFF"/>
        </w:rPr>
        <w:t>The psychology of interpersonal behaviour</w:t>
      </w:r>
      <w:r>
        <w:rPr>
          <w:rFonts w:ascii="Arial" w:hAnsi="Arial" w:cs="Arial"/>
          <w:color w:val="222222"/>
          <w:sz w:val="22"/>
          <w:szCs w:val="22"/>
          <w:shd w:val="clear" w:color="auto" w:fill="FFFFFF"/>
        </w:rPr>
        <w:t>. Penguin UK.</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Pr>
          <w:rFonts w:ascii="Arial" w:hAnsi="Arial" w:cs="Arial"/>
          <w:color w:val="222222"/>
          <w:sz w:val="22"/>
          <w:szCs w:val="22"/>
          <w:shd w:val="clear" w:color="auto" w:fill="FFFFFF"/>
        </w:rPr>
        <w:t>Caldicott, F., 2013. Information: To share or not to share. Information Governance Review.</w:t>
      </w:r>
    </w:p>
    <w:p w:rsidR="001818E2" w:rsidRPr="00EE0B20" w:rsidRDefault="001818E2" w:rsidP="001818E2">
      <w:pPr>
        <w:spacing w:after="160" w:line="360" w:lineRule="auto"/>
        <w:ind w:left="720" w:hanging="720"/>
        <w:rPr>
          <w:rFonts w:ascii="Arial" w:hAnsi="Arial" w:cs="Arial"/>
          <w:sz w:val="22"/>
          <w:szCs w:val="22"/>
        </w:rPr>
      </w:pPr>
      <w:r>
        <w:rPr>
          <w:rFonts w:ascii="Arial" w:eastAsia="Arial" w:hAnsi="Arial" w:cs="Arial"/>
          <w:sz w:val="22"/>
          <w:szCs w:val="22"/>
        </w:rPr>
        <w:t>Care Quality Commission (2023) Fundamental Standards. Available at: https://www.cqc.org.uk/guidance-providers/regulations-enforcement/fundamental-standards (Accessed: 14 July 2026).</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Pr>
          <w:rFonts w:ascii="Arial" w:hAnsi="Arial" w:cs="Arial"/>
          <w:color w:val="222222"/>
          <w:sz w:val="22"/>
          <w:szCs w:val="22"/>
          <w:shd w:val="clear" w:color="auto" w:fill="FFFFFF"/>
        </w:rPr>
        <w:t>Dambha-Miller, H., Simpson, G., Hobson, L., Roderick, P., Little, P., Everitt, H. and Santer, M., 2021. Integrated primary care and social services for older adults with multimorbidity in England: a scoping review. </w:t>
      </w:r>
      <w:r>
        <w:rPr>
          <w:rFonts w:ascii="Arial" w:hAnsi="Arial" w:cs="Arial"/>
          <w:i/>
          <w:iCs/>
          <w:color w:val="222222"/>
          <w:sz w:val="22"/>
          <w:szCs w:val="22"/>
          <w:shd w:val="clear" w:color="auto" w:fill="FFFFFF"/>
        </w:rPr>
        <w:t>BMC geriatrics</w:t>
      </w:r>
      <w:r>
        <w:rPr>
          <w:rFonts w:ascii="Arial" w:hAnsi="Arial" w:cs="Arial"/>
          <w:color w:val="222222"/>
          <w:sz w:val="22"/>
          <w:szCs w:val="22"/>
          <w:shd w:val="clear" w:color="auto" w:fill="FFFFFF"/>
        </w:rPr>
        <w:t>, </w:t>
      </w:r>
      <w:r>
        <w:rPr>
          <w:rFonts w:ascii="Arial" w:hAnsi="Arial" w:cs="Arial"/>
          <w:i/>
          <w:iCs/>
          <w:color w:val="222222"/>
          <w:sz w:val="22"/>
          <w:szCs w:val="22"/>
          <w:shd w:val="clear" w:color="auto" w:fill="FFFFFF"/>
        </w:rPr>
        <w:t>21</w:t>
      </w:r>
      <w:r>
        <w:rPr>
          <w:rFonts w:ascii="Arial" w:hAnsi="Arial" w:cs="Arial"/>
          <w:color w:val="222222"/>
          <w:sz w:val="22"/>
          <w:szCs w:val="22"/>
          <w:shd w:val="clear" w:color="auto" w:fill="FFFFFF"/>
        </w:rPr>
        <w:t>(1), p.674.</w:t>
      </w:r>
    </w:p>
    <w:p w:rsidR="001818E2" w:rsidRPr="00EE0B20" w:rsidRDefault="001818E2" w:rsidP="001818E2">
      <w:pPr>
        <w:spacing w:after="160" w:line="360" w:lineRule="auto"/>
        <w:ind w:left="720" w:hanging="720"/>
        <w:rPr>
          <w:rFonts w:ascii="Arial" w:hAnsi="Arial" w:cs="Arial"/>
          <w:sz w:val="22"/>
          <w:szCs w:val="22"/>
        </w:rPr>
      </w:pPr>
      <w:r>
        <w:rPr>
          <w:rFonts w:ascii="Arial" w:eastAsia="Arial" w:hAnsi="Arial" w:cs="Arial"/>
          <w:sz w:val="22"/>
          <w:szCs w:val="22"/>
        </w:rPr>
        <w:t>Data Protection Act 2018. (2018) London: The Stationery Office. Available at: https://www.legislation.gov.uk/ukpga/2018/12/contents (Accessed: 14 July 2026).</w:t>
      </w:r>
    </w:p>
    <w:p w:rsidR="001818E2" w:rsidRPr="00EE0B20" w:rsidRDefault="001818E2" w:rsidP="001818E2">
      <w:pPr>
        <w:spacing w:after="160" w:line="360" w:lineRule="auto"/>
        <w:ind w:left="720" w:hanging="720"/>
        <w:rPr>
          <w:rFonts w:ascii="Arial" w:hAnsi="Arial" w:cs="Arial"/>
          <w:sz w:val="22"/>
          <w:szCs w:val="22"/>
        </w:rPr>
      </w:pPr>
      <w:r>
        <w:rPr>
          <w:rFonts w:ascii="Arial" w:eastAsia="Arial" w:hAnsi="Arial" w:cs="Arial"/>
          <w:sz w:val="22"/>
          <w:szCs w:val="22"/>
        </w:rPr>
        <w:t>Equality Act 2010. (2010) London: The Stationery Office. Available at: https://www.legislation.gov.uk/ukpga/2010/15/contents (Accessed: 14 July 2026).</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Pr>
          <w:rFonts w:ascii="Arial" w:hAnsi="Arial" w:cs="Arial"/>
          <w:color w:val="222222"/>
          <w:sz w:val="22"/>
          <w:szCs w:val="22"/>
          <w:shd w:val="clear" w:color="auto" w:fill="FFFFFF"/>
        </w:rPr>
        <w:t>Glasby, J. and Dickinson, H., 2014. </w:t>
      </w:r>
      <w:r>
        <w:rPr>
          <w:rFonts w:ascii="Arial" w:hAnsi="Arial" w:cs="Arial"/>
          <w:i/>
          <w:iCs/>
          <w:color w:val="222222"/>
          <w:sz w:val="22"/>
          <w:szCs w:val="22"/>
          <w:shd w:val="clear" w:color="auto" w:fill="FFFFFF"/>
        </w:rPr>
        <w:t>Partnership working in health and social care: what is integrated care and how can we deliver it?</w:t>
      </w:r>
      <w:r>
        <w:rPr>
          <w:rFonts w:ascii="Arial" w:hAnsi="Arial" w:cs="Arial"/>
          <w:color w:val="222222"/>
          <w:sz w:val="22"/>
          <w:szCs w:val="22"/>
          <w:shd w:val="clear" w:color="auto" w:fill="FFFFFF"/>
        </w:rPr>
        <w:t>. Policy Press.</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Pr>
          <w:rFonts w:ascii="Arial" w:hAnsi="Arial" w:cs="Arial"/>
          <w:color w:val="222222"/>
          <w:sz w:val="22"/>
          <w:szCs w:val="22"/>
          <w:shd w:val="clear" w:color="auto" w:fill="FFFFFF"/>
        </w:rPr>
        <w:t>Heslop, P., Turner, S., Read, S., Tucker, J., Seaton, S. and Evans, B., 2019. Implementing reasonable adjustments for disabled people in healthcare services. </w:t>
      </w:r>
      <w:r>
        <w:rPr>
          <w:rFonts w:ascii="Arial" w:hAnsi="Arial" w:cs="Arial"/>
          <w:i/>
          <w:iCs/>
          <w:color w:val="222222"/>
          <w:sz w:val="22"/>
          <w:szCs w:val="22"/>
          <w:shd w:val="clear" w:color="auto" w:fill="FFFFFF"/>
        </w:rPr>
        <w:t>Nursing Standard</w:t>
      </w:r>
      <w:r>
        <w:rPr>
          <w:rFonts w:ascii="Arial" w:hAnsi="Arial" w:cs="Arial"/>
          <w:color w:val="222222"/>
          <w:sz w:val="22"/>
          <w:szCs w:val="22"/>
          <w:shd w:val="clear" w:color="auto" w:fill="FFFFFF"/>
        </w:rPr>
        <w:t>, </w:t>
      </w:r>
      <w:r>
        <w:rPr>
          <w:rFonts w:ascii="Arial" w:hAnsi="Arial" w:cs="Arial"/>
          <w:i/>
          <w:iCs/>
          <w:color w:val="222222"/>
          <w:sz w:val="22"/>
          <w:szCs w:val="22"/>
          <w:shd w:val="clear" w:color="auto" w:fill="FFFFFF"/>
        </w:rPr>
        <w:t>34</w:t>
      </w:r>
      <w:r>
        <w:rPr>
          <w:rFonts w:ascii="Arial" w:hAnsi="Arial" w:cs="Arial"/>
          <w:color w:val="222222"/>
          <w:sz w:val="22"/>
          <w:szCs w:val="22"/>
          <w:shd w:val="clear" w:color="auto" w:fill="FFFFFF"/>
        </w:rPr>
        <w:t>(8), pp.29-34.</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Pr>
          <w:rFonts w:ascii="Arial" w:hAnsi="Arial" w:cs="Arial"/>
          <w:color w:val="222222"/>
          <w:sz w:val="22"/>
          <w:szCs w:val="22"/>
          <w:shd w:val="clear" w:color="auto" w:fill="FFFFFF"/>
        </w:rPr>
        <w:t>Jones, L.A., Nelder, J.R., Fryer, J.M., Alsop, P.H., Geary, M.R., Prince, M. and Cardinal, R.N., 2022. Public opinion on sharing data from health services for clinical and research purposes without explicit consent: an anonymous online survey in the UK. </w:t>
      </w:r>
      <w:r>
        <w:rPr>
          <w:rFonts w:ascii="Arial" w:hAnsi="Arial" w:cs="Arial"/>
          <w:i/>
          <w:iCs/>
          <w:color w:val="222222"/>
          <w:sz w:val="22"/>
          <w:szCs w:val="22"/>
          <w:shd w:val="clear" w:color="auto" w:fill="FFFFFF"/>
        </w:rPr>
        <w:t>Bmj Open</w:t>
      </w:r>
      <w:r>
        <w:rPr>
          <w:rFonts w:ascii="Arial" w:hAnsi="Arial" w:cs="Arial"/>
          <w:color w:val="222222"/>
          <w:sz w:val="22"/>
          <w:szCs w:val="22"/>
          <w:shd w:val="clear" w:color="auto" w:fill="FFFFFF"/>
        </w:rPr>
        <w:t>, </w:t>
      </w:r>
      <w:r>
        <w:rPr>
          <w:rFonts w:ascii="Arial" w:hAnsi="Arial" w:cs="Arial"/>
          <w:i/>
          <w:iCs/>
          <w:color w:val="222222"/>
          <w:sz w:val="22"/>
          <w:szCs w:val="22"/>
          <w:shd w:val="clear" w:color="auto" w:fill="FFFFFF"/>
        </w:rPr>
        <w:t>12</w:t>
      </w:r>
      <w:r>
        <w:rPr>
          <w:rFonts w:ascii="Arial" w:hAnsi="Arial" w:cs="Arial"/>
          <w:color w:val="222222"/>
          <w:sz w:val="22"/>
          <w:szCs w:val="22"/>
          <w:shd w:val="clear" w:color="auto" w:fill="FFFFFF"/>
        </w:rPr>
        <w:t>(4), p.e057579.</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Pr>
          <w:rFonts w:ascii="Arial" w:hAnsi="Arial" w:cs="Arial"/>
          <w:color w:val="222222"/>
          <w:sz w:val="22"/>
          <w:szCs w:val="22"/>
          <w:shd w:val="clear" w:color="auto" w:fill="FFFFFF"/>
        </w:rPr>
        <w:t>Nkoane, N.L., 2023. Experiences of operational managers regarding record keeping by new professional nurses in public hospitals in the North West province, South Africa. </w:t>
      </w:r>
      <w:r>
        <w:rPr>
          <w:rFonts w:ascii="Arial" w:hAnsi="Arial" w:cs="Arial"/>
          <w:i/>
          <w:iCs/>
          <w:color w:val="222222"/>
          <w:sz w:val="22"/>
          <w:szCs w:val="22"/>
          <w:shd w:val="clear" w:color="auto" w:fill="FFFFFF"/>
        </w:rPr>
        <w:t>Health SA Gesondheid (Online)</w:t>
      </w:r>
      <w:r>
        <w:rPr>
          <w:rFonts w:ascii="Arial" w:hAnsi="Arial" w:cs="Arial"/>
          <w:color w:val="222222"/>
          <w:sz w:val="22"/>
          <w:szCs w:val="22"/>
          <w:shd w:val="clear" w:color="auto" w:fill="FFFFFF"/>
        </w:rPr>
        <w:t>, </w:t>
      </w:r>
      <w:r>
        <w:rPr>
          <w:rFonts w:ascii="Arial" w:hAnsi="Arial" w:cs="Arial"/>
          <w:i/>
          <w:iCs/>
          <w:color w:val="222222"/>
          <w:sz w:val="22"/>
          <w:szCs w:val="22"/>
          <w:shd w:val="clear" w:color="auto" w:fill="FFFFFF"/>
        </w:rPr>
        <w:t>28</w:t>
      </w:r>
      <w:r>
        <w:rPr>
          <w:rFonts w:ascii="Arial" w:hAnsi="Arial" w:cs="Arial"/>
          <w:color w:val="222222"/>
          <w:sz w:val="22"/>
          <w:szCs w:val="22"/>
          <w:shd w:val="clear" w:color="auto" w:fill="FFFFFF"/>
        </w:rPr>
        <w:t>, pp.1-11.</w:t>
      </w:r>
    </w:p>
    <w:p w:rsidR="001818E2" w:rsidRPr="00EE0B20" w:rsidRDefault="001818E2" w:rsidP="001818E2">
      <w:pPr>
        <w:spacing w:after="160" w:line="360" w:lineRule="auto"/>
        <w:ind w:left="720" w:hanging="720"/>
        <w:rPr>
          <w:rFonts w:ascii="Arial" w:hAnsi="Arial" w:cs="Arial"/>
          <w:sz w:val="22"/>
          <w:szCs w:val="22"/>
        </w:rPr>
      </w:pPr>
      <w:r>
        <w:rPr>
          <w:rFonts w:ascii="Arial" w:eastAsia="Arial" w:hAnsi="Arial" w:cs="Arial"/>
          <w:sz w:val="22"/>
          <w:szCs w:val="22"/>
        </w:rPr>
        <w:t>Nursing and Midwifery Council (2018) The Code: Professional Standards of Practice and Behaviour for Nurses, Midwives and Nursing Associates. London: NMC.</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Pr>
          <w:rFonts w:ascii="Arial" w:hAnsi="Arial" w:cs="Arial"/>
          <w:color w:val="222222"/>
          <w:sz w:val="22"/>
          <w:szCs w:val="22"/>
          <w:shd w:val="clear" w:color="auto" w:fill="FFFFFF"/>
        </w:rPr>
        <w:t>Sunjaya, A.M., Schreiber, T., Kantilal, K., Davies, N. and Griffiths, S., 2025. Communication strategies for delivering personalised dementia care and support: a mixed-methods systematic review and narrative synthesis. </w:t>
      </w:r>
      <w:r>
        <w:rPr>
          <w:rFonts w:ascii="Arial" w:hAnsi="Arial" w:cs="Arial"/>
          <w:i/>
          <w:iCs/>
          <w:color w:val="222222"/>
          <w:sz w:val="22"/>
          <w:szCs w:val="22"/>
          <w:shd w:val="clear" w:color="auto" w:fill="FFFFFF"/>
        </w:rPr>
        <w:t>Age and Ageing</w:t>
      </w:r>
      <w:r>
        <w:rPr>
          <w:rFonts w:ascii="Arial" w:hAnsi="Arial" w:cs="Arial"/>
          <w:color w:val="222222"/>
          <w:sz w:val="22"/>
          <w:szCs w:val="22"/>
          <w:shd w:val="clear" w:color="auto" w:fill="FFFFFF"/>
        </w:rPr>
        <w:t>, </w:t>
      </w:r>
      <w:r>
        <w:rPr>
          <w:rFonts w:ascii="Arial" w:hAnsi="Arial" w:cs="Arial"/>
          <w:i/>
          <w:iCs/>
          <w:color w:val="222222"/>
          <w:sz w:val="22"/>
          <w:szCs w:val="22"/>
          <w:shd w:val="clear" w:color="auto" w:fill="FFFFFF"/>
        </w:rPr>
        <w:t>54</w:t>
      </w:r>
      <w:r>
        <w:rPr>
          <w:rFonts w:ascii="Arial" w:hAnsi="Arial" w:cs="Arial"/>
          <w:color w:val="222222"/>
          <w:sz w:val="22"/>
          <w:szCs w:val="22"/>
          <w:shd w:val="clear" w:color="auto" w:fill="FFFFFF"/>
        </w:rPr>
        <w:t>(5), p.afaf120.</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Pr>
          <w:rFonts w:ascii="Arial" w:hAnsi="Arial" w:cs="Arial"/>
          <w:color w:val="222222"/>
          <w:sz w:val="22"/>
          <w:szCs w:val="22"/>
          <w:shd w:val="clear" w:color="auto" w:fill="FFFFFF"/>
        </w:rPr>
        <w:t>Willis, P., Tanner, D., Beedell, P., Noszlopy, L., Richards, S. and Nosowska, G., 2025. What constitutes successful joint working with social work? A study of integrated practice in supporting older people with care and support needs. </w:t>
      </w:r>
      <w:r>
        <w:rPr>
          <w:rFonts w:ascii="Arial" w:hAnsi="Arial" w:cs="Arial"/>
          <w:i/>
          <w:iCs/>
          <w:color w:val="222222"/>
          <w:sz w:val="22"/>
          <w:szCs w:val="22"/>
          <w:shd w:val="clear" w:color="auto" w:fill="FFFFFF"/>
        </w:rPr>
        <w:t>Journal of Long Term Care</w:t>
      </w:r>
      <w:r>
        <w:rPr>
          <w:rFonts w:ascii="Arial" w:hAnsi="Arial" w:cs="Arial"/>
          <w:color w:val="222222"/>
          <w:sz w:val="22"/>
          <w:szCs w:val="22"/>
          <w:shd w:val="clear" w:color="auto" w:fill="FFFFFF"/>
        </w:rPr>
        <w:t>, pp.344-353.</w:t>
      </w:r>
    </w:p>
    <w:sectPr w:rsidR="001818E2" w:rsidRPr="009E31BD">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187" w:rsidRDefault="008C3187">
      <w:r>
        <w:separator/>
      </w:r>
    </w:p>
  </w:endnote>
  <w:endnote w:type="continuationSeparator" w:id="0">
    <w:p w:rsidR="008C3187" w:rsidRDefault="008C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325" w:rsidRDefault="004A2C0A">
    <w:pPr>
      <w:jc w:val="center"/>
    </w:pPr>
    <w:r>
      <w:rPr>
        <w:rFonts w:ascii="Arial" w:eastAsia="Arial" w:hAnsi="Arial" w:cs="Arial"/>
        <w:sz w:val="18"/>
        <w:szCs w:val="18"/>
      </w:rPr>
      <w:t xml:space="preserve"> </w:t>
    </w: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sidR="008C3187">
      <w:rPr>
        <w:rFonts w:ascii="Arial" w:eastAsia="Arial" w:hAnsi="Arial" w:cs="Arial"/>
        <w:noProof/>
        <w:sz w:val="18"/>
        <w:szCs w:val="18"/>
      </w:rPr>
      <w:t>1</w:t>
    </w:r>
    <w:r>
      <w:rPr>
        <w:rFonts w:ascii="Arial" w:eastAsia="Arial" w:hAnsi="Arial" w:cs="Arial"/>
        <w:sz w:val="18"/>
        <w:szCs w:val="18"/>
      </w:rPr>
      <w:fldChar w:fldCharType="end"/>
    </w:r>
    <w:r w:rsidR="00654700">
      <w:rPr>
        <w:rFonts w:ascii="Arial" w:eastAsia="Arial" w:hAnsi="Arial" w:cs="Arial"/>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187" w:rsidRDefault="008C3187">
      <w:r>
        <w:separator/>
      </w:r>
    </w:p>
  </w:footnote>
  <w:footnote w:type="continuationSeparator" w:id="0">
    <w:p w:rsidR="008C3187" w:rsidRDefault="008C31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325" w:rsidRDefault="00C50325" w:rsidP="009E31BD">
    <w:pPr>
      <w:tabs>
        <w:tab w:val="left" w:pos="5784"/>
        <w:tab w:val="right" w:pos="902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A44E8"/>
    <w:multiLevelType w:val="hybridMultilevel"/>
    <w:tmpl w:val="5E3A4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DB46843"/>
    <w:multiLevelType w:val="hybridMultilevel"/>
    <w:tmpl w:val="6C546B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B7872C4"/>
    <w:multiLevelType w:val="hybridMultilevel"/>
    <w:tmpl w:val="266C48B4"/>
    <w:lvl w:ilvl="0" w:tplc="B2FE26A2">
      <w:start w:val="1"/>
      <w:numFmt w:val="bullet"/>
      <w:lvlText w:val="●"/>
      <w:lvlJc w:val="left"/>
      <w:pPr>
        <w:ind w:left="720" w:hanging="360"/>
      </w:pPr>
    </w:lvl>
    <w:lvl w:ilvl="1" w:tplc="90C458C0">
      <w:start w:val="1"/>
      <w:numFmt w:val="bullet"/>
      <w:lvlText w:val="○"/>
      <w:lvlJc w:val="left"/>
      <w:pPr>
        <w:ind w:left="1440" w:hanging="360"/>
      </w:pPr>
    </w:lvl>
    <w:lvl w:ilvl="2" w:tplc="25768CBE">
      <w:start w:val="1"/>
      <w:numFmt w:val="bullet"/>
      <w:lvlText w:val="■"/>
      <w:lvlJc w:val="left"/>
      <w:pPr>
        <w:ind w:left="2160" w:hanging="360"/>
      </w:pPr>
    </w:lvl>
    <w:lvl w:ilvl="3" w:tplc="E60E5904">
      <w:start w:val="1"/>
      <w:numFmt w:val="bullet"/>
      <w:lvlText w:val="●"/>
      <w:lvlJc w:val="left"/>
      <w:pPr>
        <w:ind w:left="2880" w:hanging="360"/>
      </w:pPr>
    </w:lvl>
    <w:lvl w:ilvl="4" w:tplc="52064B20">
      <w:start w:val="1"/>
      <w:numFmt w:val="bullet"/>
      <w:lvlText w:val="○"/>
      <w:lvlJc w:val="left"/>
      <w:pPr>
        <w:ind w:left="3600" w:hanging="360"/>
      </w:pPr>
    </w:lvl>
    <w:lvl w:ilvl="5" w:tplc="57DC07EC">
      <w:start w:val="1"/>
      <w:numFmt w:val="bullet"/>
      <w:lvlText w:val="■"/>
      <w:lvlJc w:val="left"/>
      <w:pPr>
        <w:ind w:left="4320" w:hanging="360"/>
      </w:pPr>
    </w:lvl>
    <w:lvl w:ilvl="6" w:tplc="472CB354">
      <w:start w:val="1"/>
      <w:numFmt w:val="bullet"/>
      <w:lvlText w:val="●"/>
      <w:lvlJc w:val="left"/>
      <w:pPr>
        <w:ind w:left="5040" w:hanging="360"/>
      </w:pPr>
    </w:lvl>
    <w:lvl w:ilvl="7" w:tplc="43849670">
      <w:start w:val="1"/>
      <w:numFmt w:val="bullet"/>
      <w:lvlText w:val="●"/>
      <w:lvlJc w:val="left"/>
      <w:pPr>
        <w:ind w:left="5760" w:hanging="360"/>
      </w:pPr>
    </w:lvl>
    <w:lvl w:ilvl="8" w:tplc="D9B0F49A">
      <w:start w:val="1"/>
      <w:numFmt w:val="bullet"/>
      <w:lvlText w:val="●"/>
      <w:lvlJc w:val="left"/>
      <w:pPr>
        <w:ind w:left="6480" w:hanging="360"/>
      </w:pPr>
    </w:lvl>
  </w:abstractNum>
  <w:num w:numId="1">
    <w:abstractNumId w:val="2"/>
    <w:lvlOverride w:ilvl="0">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
  <w:rsids>
    <w:rsidRoot w:val="00C50325"/>
    <w:rsid w:val="0006709A"/>
    <w:rsid w:val="001818E2"/>
    <w:rsid w:val="00203D14"/>
    <w:rsid w:val="004A2C0A"/>
    <w:rsid w:val="004D28A0"/>
    <w:rsid w:val="004D4FD1"/>
    <w:rsid w:val="00590761"/>
    <w:rsid w:val="005A08C9"/>
    <w:rsid w:val="005C4C56"/>
    <w:rsid w:val="00654700"/>
    <w:rsid w:val="00694464"/>
    <w:rsid w:val="006B05C4"/>
    <w:rsid w:val="00720C36"/>
    <w:rsid w:val="007A3007"/>
    <w:rsid w:val="00861443"/>
    <w:rsid w:val="008C3187"/>
    <w:rsid w:val="009E31BD"/>
    <w:rsid w:val="00BB7A13"/>
    <w:rsid w:val="00C50325"/>
    <w:rsid w:val="00C66048"/>
    <w:rsid w:val="00F94014"/>
    <w:rsid w:val="00FE4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utoRedefine/>
    <w:qFormat/>
    <w:rsid w:val="001818E2"/>
    <w:pPr>
      <w:outlineLvl w:val="0"/>
    </w:pPr>
    <w:rPr>
      <w:rFonts w:ascii="Arial" w:hAnsi="Arial"/>
      <w:b/>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E31BD"/>
    <w:pPr>
      <w:spacing w:after="100"/>
    </w:pPr>
  </w:style>
  <w:style w:type="paragraph" w:styleId="BalloonText">
    <w:name w:val="Balloon Text"/>
    <w:basedOn w:val="Normal"/>
    <w:link w:val="BalloonTextChar"/>
    <w:uiPriority w:val="99"/>
    <w:semiHidden/>
    <w:unhideWhenUsed/>
    <w:rsid w:val="009E31BD"/>
    <w:rPr>
      <w:rFonts w:ascii="Tahoma" w:hAnsi="Tahoma" w:cs="Tahoma"/>
      <w:sz w:val="16"/>
      <w:szCs w:val="16"/>
    </w:rPr>
  </w:style>
  <w:style w:type="character" w:customStyle="1" w:styleId="BalloonTextChar">
    <w:name w:val="Balloon Text Char"/>
    <w:basedOn w:val="DefaultParagraphFont"/>
    <w:link w:val="BalloonText"/>
    <w:uiPriority w:val="99"/>
    <w:semiHidden/>
    <w:rsid w:val="009E31BD"/>
    <w:rPr>
      <w:rFonts w:ascii="Tahoma" w:hAnsi="Tahoma" w:cs="Tahoma"/>
      <w:sz w:val="16"/>
      <w:szCs w:val="16"/>
    </w:rPr>
  </w:style>
  <w:style w:type="paragraph" w:styleId="Header">
    <w:name w:val="header"/>
    <w:basedOn w:val="Normal"/>
    <w:link w:val="HeaderChar"/>
    <w:uiPriority w:val="99"/>
    <w:unhideWhenUsed/>
    <w:rsid w:val="009E31BD"/>
    <w:pPr>
      <w:tabs>
        <w:tab w:val="center" w:pos="4680"/>
        <w:tab w:val="right" w:pos="9360"/>
      </w:tabs>
    </w:pPr>
  </w:style>
  <w:style w:type="character" w:customStyle="1" w:styleId="HeaderChar">
    <w:name w:val="Header Char"/>
    <w:basedOn w:val="DefaultParagraphFont"/>
    <w:link w:val="Header"/>
    <w:uiPriority w:val="99"/>
    <w:rsid w:val="009E31BD"/>
  </w:style>
  <w:style w:type="paragraph" w:styleId="Footer">
    <w:name w:val="footer"/>
    <w:basedOn w:val="Normal"/>
    <w:link w:val="FooterChar"/>
    <w:uiPriority w:val="99"/>
    <w:unhideWhenUsed/>
    <w:rsid w:val="009E31BD"/>
    <w:pPr>
      <w:tabs>
        <w:tab w:val="center" w:pos="4680"/>
        <w:tab w:val="right" w:pos="9360"/>
      </w:tabs>
    </w:pPr>
  </w:style>
  <w:style w:type="character" w:customStyle="1" w:styleId="FooterChar">
    <w:name w:val="Footer Char"/>
    <w:basedOn w:val="DefaultParagraphFont"/>
    <w:link w:val="Footer"/>
    <w:uiPriority w:val="99"/>
    <w:rsid w:val="009E31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utoRedefine/>
    <w:qFormat/>
    <w:rsid w:val="001818E2"/>
    <w:pPr>
      <w:outlineLvl w:val="0"/>
    </w:pPr>
    <w:rPr>
      <w:rFonts w:ascii="Arial" w:hAnsi="Arial"/>
      <w:b/>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E31BD"/>
    <w:pPr>
      <w:spacing w:after="100"/>
    </w:pPr>
  </w:style>
  <w:style w:type="paragraph" w:styleId="BalloonText">
    <w:name w:val="Balloon Text"/>
    <w:basedOn w:val="Normal"/>
    <w:link w:val="BalloonTextChar"/>
    <w:uiPriority w:val="99"/>
    <w:semiHidden/>
    <w:unhideWhenUsed/>
    <w:rsid w:val="009E31BD"/>
    <w:rPr>
      <w:rFonts w:ascii="Tahoma" w:hAnsi="Tahoma" w:cs="Tahoma"/>
      <w:sz w:val="16"/>
      <w:szCs w:val="16"/>
    </w:rPr>
  </w:style>
  <w:style w:type="character" w:customStyle="1" w:styleId="BalloonTextChar">
    <w:name w:val="Balloon Text Char"/>
    <w:basedOn w:val="DefaultParagraphFont"/>
    <w:link w:val="BalloonText"/>
    <w:uiPriority w:val="99"/>
    <w:semiHidden/>
    <w:rsid w:val="009E31BD"/>
    <w:rPr>
      <w:rFonts w:ascii="Tahoma" w:hAnsi="Tahoma" w:cs="Tahoma"/>
      <w:sz w:val="16"/>
      <w:szCs w:val="16"/>
    </w:rPr>
  </w:style>
  <w:style w:type="paragraph" w:styleId="Header">
    <w:name w:val="header"/>
    <w:basedOn w:val="Normal"/>
    <w:link w:val="HeaderChar"/>
    <w:uiPriority w:val="99"/>
    <w:unhideWhenUsed/>
    <w:rsid w:val="009E31BD"/>
    <w:pPr>
      <w:tabs>
        <w:tab w:val="center" w:pos="4680"/>
        <w:tab w:val="right" w:pos="9360"/>
      </w:tabs>
    </w:pPr>
  </w:style>
  <w:style w:type="character" w:customStyle="1" w:styleId="HeaderChar">
    <w:name w:val="Header Char"/>
    <w:basedOn w:val="DefaultParagraphFont"/>
    <w:link w:val="Header"/>
    <w:uiPriority w:val="99"/>
    <w:rsid w:val="009E31BD"/>
  </w:style>
  <w:style w:type="paragraph" w:styleId="Footer">
    <w:name w:val="footer"/>
    <w:basedOn w:val="Normal"/>
    <w:link w:val="FooterChar"/>
    <w:uiPriority w:val="99"/>
    <w:unhideWhenUsed/>
    <w:rsid w:val="009E31BD"/>
    <w:pPr>
      <w:tabs>
        <w:tab w:val="center" w:pos="4680"/>
        <w:tab w:val="right" w:pos="9360"/>
      </w:tabs>
    </w:pPr>
  </w:style>
  <w:style w:type="character" w:customStyle="1" w:styleId="FooterChar">
    <w:name w:val="Footer Char"/>
    <w:basedOn w:val="DefaultParagraphFont"/>
    <w:link w:val="Footer"/>
    <w:uiPriority w:val="99"/>
    <w:rsid w:val="009E31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2043</Words>
  <Characters>11648</Characters>
  <Application>Microsoft Office Word</Application>
  <DocSecurity>0</DocSecurity>
  <Lines>97</Lines>
  <Paragraphs>27</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Contents</vt:lpstr>
      <vt:lpstr>Introduction</vt:lpstr>
      <vt:lpstr/>
      <vt:lpstr>1. Effective Communication </vt:lpstr>
      <vt:lpstr/>
      <vt:lpstr>2. Administrative Skills and Record-Keeping</vt:lpstr>
      <vt:lpstr/>
      <vt:lpstr>3. Collaborative Working</vt:lpstr>
      <vt:lpstr/>
      <vt:lpstr>Conclusion</vt:lpstr>
      <vt:lpstr/>
      <vt:lpstr/>
      <vt:lpstr>References</vt:lpstr>
      <vt:lpstr/>
    </vt:vector>
  </TitlesOfParts>
  <Company/>
  <LinksUpToDate>false</LinksUpToDate>
  <CharactersWithSpaces>13664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Kelvin</cp:lastModifiedBy>
  <cp:revision>3</cp:revision>
  <dcterms:created xsi:type="dcterms:W3CDTF">2026-07-19T21:00:00Z</dcterms:created>
  <dcterms:modified xsi:type="dcterms:W3CDTF">2026-07-19T21:13:00Z</dcterms:modified>
</cp:coreProperties>
</file>