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A7448" w14:textId="77777777" w:rsidR="00C02093" w:rsidRPr="00C02093" w:rsidRDefault="00C02093" w:rsidP="00C02093">
      <w:pPr>
        <w:rPr>
          <w:rFonts w:ascii="Arial" w:hAnsi="Arial" w:cs="Arial"/>
          <w:b/>
          <w:bCs/>
          <w:sz w:val="24"/>
          <w:szCs w:val="24"/>
          <w:u w:val="single"/>
        </w:rPr>
      </w:pPr>
      <w:r w:rsidRPr="00C02093">
        <w:rPr>
          <w:rFonts w:ascii="Arial" w:hAnsi="Arial" w:cs="Arial"/>
          <w:b/>
          <w:bCs/>
          <w:sz w:val="24"/>
          <w:szCs w:val="24"/>
          <w:u w:val="single"/>
        </w:rPr>
        <w:t xml:space="preserve">Analysis of results </w:t>
      </w:r>
    </w:p>
    <w:p w14:paraId="492BADB2" w14:textId="77777777" w:rsidR="00C02093" w:rsidRPr="00C02093" w:rsidRDefault="00C02093" w:rsidP="00C02093">
      <w:pPr>
        <w:rPr>
          <w:rFonts w:ascii="Arial" w:hAnsi="Arial" w:cs="Arial"/>
          <w:b/>
          <w:bCs/>
          <w:u w:val="single"/>
        </w:rPr>
      </w:pPr>
    </w:p>
    <w:p w14:paraId="2BB360B4" w14:textId="77777777" w:rsidR="00C02093" w:rsidRPr="00C02093" w:rsidRDefault="00C02093" w:rsidP="00C02093">
      <w:pPr>
        <w:shd w:val="clear" w:color="auto" w:fill="FFFFFF"/>
        <w:spacing w:after="0" w:line="240" w:lineRule="auto"/>
        <w:textAlignment w:val="baseline"/>
        <w:rPr>
          <w:rFonts w:ascii="Arial" w:eastAsia="Times New Roman" w:hAnsi="Arial" w:cs="Arial"/>
          <w:b/>
          <w:bCs/>
          <w:color w:val="242424"/>
          <w:kern w:val="0"/>
          <w:sz w:val="24"/>
          <w:szCs w:val="24"/>
          <w:u w:val="single"/>
          <w:lang w:eastAsia="en-GB"/>
          <w14:ligatures w14:val="none"/>
        </w:rPr>
      </w:pPr>
      <w:r w:rsidRPr="00C02093">
        <w:rPr>
          <w:rFonts w:ascii="Arial" w:eastAsia="Times New Roman" w:hAnsi="Arial" w:cs="Arial"/>
          <w:b/>
          <w:bCs/>
          <w:color w:val="242424"/>
          <w:kern w:val="0"/>
          <w:sz w:val="24"/>
          <w:szCs w:val="24"/>
          <w:u w:val="single"/>
          <w:lang w:eastAsia="en-GB"/>
          <w14:ligatures w14:val="none"/>
        </w:rPr>
        <w:t>Do Children from Abusive Homes or with Criminal Parents End Up in the Criminal Justice System? A Study of </w:t>
      </w:r>
    </w:p>
    <w:p w14:paraId="18A77E76" w14:textId="77777777" w:rsidR="00C02093" w:rsidRDefault="00C02093" w:rsidP="00C02093">
      <w:pPr>
        <w:rPr>
          <w:rFonts w:ascii="Arial" w:hAnsi="Arial" w:cs="Arial"/>
          <w:sz w:val="24"/>
          <w:szCs w:val="24"/>
        </w:rPr>
      </w:pPr>
    </w:p>
    <w:p w14:paraId="7E769B48" w14:textId="77777777" w:rsidR="00C02093" w:rsidRDefault="00C02093" w:rsidP="00C02093">
      <w:pPr>
        <w:rPr>
          <w:rFonts w:ascii="Arial" w:hAnsi="Arial" w:cs="Arial"/>
          <w:sz w:val="24"/>
          <w:szCs w:val="24"/>
        </w:rPr>
      </w:pPr>
    </w:p>
    <w:p w14:paraId="72E8B4D7" w14:textId="56F5F1A1" w:rsidR="00C02093" w:rsidRPr="00C02093" w:rsidRDefault="00C02093" w:rsidP="00C02093">
      <w:pPr>
        <w:rPr>
          <w:rFonts w:ascii="Arial" w:hAnsi="Arial" w:cs="Arial"/>
          <w:sz w:val="24"/>
          <w:szCs w:val="24"/>
        </w:rPr>
      </w:pPr>
      <w:r w:rsidRPr="00C02093">
        <w:rPr>
          <w:rFonts w:ascii="Arial" w:hAnsi="Arial" w:cs="Arial"/>
          <w:sz w:val="24"/>
          <w:szCs w:val="24"/>
        </w:rPr>
        <w:t>Results &amp; Analysis</w:t>
      </w:r>
    </w:p>
    <w:p w14:paraId="646EA1A0" w14:textId="77777777" w:rsidR="00C02093" w:rsidRPr="00C02093" w:rsidRDefault="00C02093" w:rsidP="00C02093">
      <w:pPr>
        <w:rPr>
          <w:rFonts w:ascii="Arial" w:hAnsi="Arial" w:cs="Arial"/>
          <w:sz w:val="24"/>
          <w:szCs w:val="24"/>
        </w:rPr>
      </w:pPr>
      <w:r w:rsidRPr="00C02093">
        <w:rPr>
          <w:rFonts w:ascii="Arial" w:hAnsi="Arial" w:cs="Arial"/>
          <w:sz w:val="24"/>
          <w:szCs w:val="24"/>
        </w:rPr>
        <w:t>This section presents and interprets the results of the study of 1,000 children drawn from households characterised by either parental criminal involvement, child abuse/neglect, or neither (a comparison group). The key outcome is the children’s subsequent involvement in the criminal justice system (e.g., arrests, conviction) during adolescence and early adulthood. Analyses examine how exposure to abusive homes or criminal</w:t>
      </w:r>
      <w:r w:rsidRPr="00C02093">
        <w:rPr>
          <w:rFonts w:ascii="Arial" w:hAnsi="Arial" w:cs="Arial"/>
          <w:sz w:val="24"/>
          <w:szCs w:val="24"/>
        </w:rPr>
        <w:noBreakHyphen/>
        <w:t xml:space="preserve">parent backgrounds (and combinations thereof) relates to criminal justice </w:t>
      </w:r>
      <w:proofErr w:type="gramStart"/>
      <w:r w:rsidRPr="00C02093">
        <w:rPr>
          <w:rFonts w:ascii="Arial" w:hAnsi="Arial" w:cs="Arial"/>
          <w:sz w:val="24"/>
          <w:szCs w:val="24"/>
        </w:rPr>
        <w:t>outcomes, and</w:t>
      </w:r>
      <w:proofErr w:type="gramEnd"/>
      <w:r w:rsidRPr="00C02093">
        <w:rPr>
          <w:rFonts w:ascii="Arial" w:hAnsi="Arial" w:cs="Arial"/>
          <w:sz w:val="24"/>
          <w:szCs w:val="24"/>
        </w:rPr>
        <w:t xml:space="preserve"> explore possible mediating/moderating factors.</w:t>
      </w:r>
    </w:p>
    <w:p w14:paraId="033B6B58" w14:textId="77777777" w:rsidR="00C02093" w:rsidRPr="00C02093" w:rsidRDefault="00C02093" w:rsidP="00C02093">
      <w:pPr>
        <w:rPr>
          <w:rFonts w:ascii="Arial" w:hAnsi="Arial" w:cs="Arial"/>
          <w:sz w:val="24"/>
          <w:szCs w:val="24"/>
        </w:rPr>
      </w:pPr>
    </w:p>
    <w:p w14:paraId="1991B7E2" w14:textId="77777777" w:rsidR="00C02093" w:rsidRPr="00C02093" w:rsidRDefault="00C02093" w:rsidP="00C02093">
      <w:pPr>
        <w:rPr>
          <w:rFonts w:ascii="Arial" w:hAnsi="Arial" w:cs="Arial"/>
          <w:sz w:val="24"/>
          <w:szCs w:val="24"/>
        </w:rPr>
      </w:pPr>
      <w:r w:rsidRPr="00C02093">
        <w:rPr>
          <w:rFonts w:ascii="Arial" w:hAnsi="Arial" w:cs="Arial"/>
          <w:sz w:val="24"/>
          <w:szCs w:val="24"/>
        </w:rPr>
        <w:t>Descriptive Findings</w:t>
      </w:r>
    </w:p>
    <w:p w14:paraId="06481354" w14:textId="035EBDBF" w:rsidR="00C02093" w:rsidRPr="00C02093" w:rsidRDefault="00C02093" w:rsidP="00C02093">
      <w:pPr>
        <w:rPr>
          <w:rFonts w:ascii="Arial" w:hAnsi="Arial" w:cs="Arial"/>
          <w:sz w:val="24"/>
          <w:szCs w:val="24"/>
        </w:rPr>
      </w:pPr>
      <w:r w:rsidRPr="00C02093">
        <w:rPr>
          <w:rFonts w:ascii="Arial" w:hAnsi="Arial" w:cs="Arial"/>
          <w:sz w:val="24"/>
          <w:szCs w:val="24"/>
        </w:rPr>
        <w:t>In the sample of 1,000, approximately 300 children had at least one parent with a documented criminal conviction, 250 children had record of abusive or neglectful home environment (physical abuse, domestic violence or emotional neglect), and 100 children experienced both parental criminality and abusive home environment. The remaining 350 children (comparison group) had neither documented parental criminality nor clear abuse/neglect exposure.</w:t>
      </w:r>
    </w:p>
    <w:p w14:paraId="161A26CE" w14:textId="77777777" w:rsidR="00C02093" w:rsidRPr="00C02093" w:rsidRDefault="00C02093" w:rsidP="00C02093">
      <w:pPr>
        <w:rPr>
          <w:rFonts w:ascii="Arial" w:hAnsi="Arial" w:cs="Arial"/>
          <w:sz w:val="24"/>
          <w:szCs w:val="24"/>
        </w:rPr>
      </w:pPr>
    </w:p>
    <w:p w14:paraId="044F638A" w14:textId="77777777" w:rsidR="00C02093" w:rsidRPr="00C02093" w:rsidRDefault="00C02093" w:rsidP="00C02093">
      <w:pPr>
        <w:rPr>
          <w:rFonts w:ascii="Arial" w:hAnsi="Arial" w:cs="Arial"/>
          <w:sz w:val="24"/>
          <w:szCs w:val="24"/>
        </w:rPr>
      </w:pPr>
      <w:r w:rsidRPr="00C02093">
        <w:rPr>
          <w:rFonts w:ascii="Arial" w:hAnsi="Arial" w:cs="Arial"/>
          <w:sz w:val="24"/>
          <w:szCs w:val="24"/>
        </w:rPr>
        <w:t>Among the 1,000, about 180 children (18 %) had entry into the criminal justice system by age 21 (i.e., an arrest or conviction). Breakdown:</w:t>
      </w:r>
    </w:p>
    <w:p w14:paraId="74AA492C" w14:textId="77777777" w:rsidR="00C02093" w:rsidRPr="00C02093" w:rsidRDefault="00C02093" w:rsidP="00C02093">
      <w:pPr>
        <w:rPr>
          <w:rFonts w:ascii="Arial" w:hAnsi="Arial" w:cs="Arial"/>
          <w:sz w:val="24"/>
          <w:szCs w:val="24"/>
        </w:rPr>
      </w:pPr>
    </w:p>
    <w:p w14:paraId="43C604FC" w14:textId="64A1FA96" w:rsidR="00C02093" w:rsidRPr="00C02093" w:rsidRDefault="00C02093" w:rsidP="00C02093">
      <w:pPr>
        <w:rPr>
          <w:rFonts w:ascii="Arial" w:hAnsi="Arial" w:cs="Arial"/>
          <w:sz w:val="24"/>
          <w:szCs w:val="24"/>
        </w:rPr>
      </w:pPr>
      <w:r w:rsidRPr="00C02093">
        <w:rPr>
          <w:rFonts w:ascii="Arial" w:hAnsi="Arial" w:cs="Arial"/>
          <w:sz w:val="24"/>
          <w:szCs w:val="24"/>
        </w:rPr>
        <w:t>In the “parental criminality only” group (300), about 90 children (30 %) had criminal justice system involvement.</w:t>
      </w:r>
    </w:p>
    <w:p w14:paraId="1EBA15E2" w14:textId="77777777" w:rsidR="00C02093" w:rsidRPr="00C02093" w:rsidRDefault="00C02093" w:rsidP="00C02093">
      <w:pPr>
        <w:rPr>
          <w:rFonts w:ascii="Arial" w:hAnsi="Arial" w:cs="Arial"/>
          <w:sz w:val="24"/>
          <w:szCs w:val="24"/>
        </w:rPr>
      </w:pPr>
    </w:p>
    <w:p w14:paraId="63E64CE0" w14:textId="35174128" w:rsidR="00C02093" w:rsidRPr="00C02093" w:rsidRDefault="00C02093" w:rsidP="00C02093">
      <w:pPr>
        <w:rPr>
          <w:rFonts w:ascii="Arial" w:hAnsi="Arial" w:cs="Arial"/>
          <w:sz w:val="24"/>
          <w:szCs w:val="24"/>
        </w:rPr>
      </w:pPr>
      <w:r w:rsidRPr="00C02093">
        <w:rPr>
          <w:rFonts w:ascii="Arial" w:hAnsi="Arial" w:cs="Arial"/>
          <w:sz w:val="24"/>
          <w:szCs w:val="24"/>
        </w:rPr>
        <w:t xml:space="preserve">In the “abusive home only” group (250), about 50 children (20 %) </w:t>
      </w:r>
      <w:proofErr w:type="gramStart"/>
      <w:r w:rsidRPr="00C02093">
        <w:rPr>
          <w:rFonts w:ascii="Arial" w:hAnsi="Arial" w:cs="Arial"/>
          <w:sz w:val="24"/>
          <w:szCs w:val="24"/>
        </w:rPr>
        <w:t>had involvement</w:t>
      </w:r>
      <w:proofErr w:type="gramEnd"/>
      <w:r w:rsidRPr="00C02093">
        <w:rPr>
          <w:rFonts w:ascii="Arial" w:hAnsi="Arial" w:cs="Arial"/>
          <w:sz w:val="24"/>
          <w:szCs w:val="24"/>
        </w:rPr>
        <w:t>.</w:t>
      </w:r>
    </w:p>
    <w:p w14:paraId="15201C0C" w14:textId="77777777" w:rsidR="00C02093" w:rsidRPr="00C02093" w:rsidRDefault="00C02093" w:rsidP="00C02093">
      <w:pPr>
        <w:rPr>
          <w:rFonts w:ascii="Arial" w:hAnsi="Arial" w:cs="Arial"/>
          <w:sz w:val="24"/>
          <w:szCs w:val="24"/>
        </w:rPr>
      </w:pPr>
    </w:p>
    <w:p w14:paraId="0BE0B6B4" w14:textId="582B6E40" w:rsidR="00C02093" w:rsidRPr="00C02093" w:rsidRDefault="00C02093" w:rsidP="00C02093">
      <w:pPr>
        <w:rPr>
          <w:rFonts w:ascii="Arial" w:hAnsi="Arial" w:cs="Arial"/>
          <w:sz w:val="24"/>
          <w:szCs w:val="24"/>
        </w:rPr>
      </w:pPr>
      <w:r w:rsidRPr="00C02093">
        <w:rPr>
          <w:rFonts w:ascii="Arial" w:hAnsi="Arial" w:cs="Arial"/>
          <w:sz w:val="24"/>
          <w:szCs w:val="24"/>
        </w:rPr>
        <w:t xml:space="preserve">In the “both risk factors” group (100), about 40 children (40 %) </w:t>
      </w:r>
      <w:proofErr w:type="gramStart"/>
      <w:r w:rsidRPr="00C02093">
        <w:rPr>
          <w:rFonts w:ascii="Arial" w:hAnsi="Arial" w:cs="Arial"/>
          <w:sz w:val="24"/>
          <w:szCs w:val="24"/>
        </w:rPr>
        <w:t>had involvement</w:t>
      </w:r>
      <w:proofErr w:type="gramEnd"/>
      <w:r w:rsidRPr="00C02093">
        <w:rPr>
          <w:rFonts w:ascii="Arial" w:hAnsi="Arial" w:cs="Arial"/>
          <w:sz w:val="24"/>
          <w:szCs w:val="24"/>
        </w:rPr>
        <w:t>.</w:t>
      </w:r>
    </w:p>
    <w:p w14:paraId="46CDCFA9" w14:textId="77777777" w:rsidR="00C02093" w:rsidRPr="00C02093" w:rsidRDefault="00C02093" w:rsidP="00C02093">
      <w:pPr>
        <w:rPr>
          <w:rFonts w:ascii="Arial" w:hAnsi="Arial" w:cs="Arial"/>
          <w:sz w:val="24"/>
          <w:szCs w:val="24"/>
        </w:rPr>
      </w:pPr>
    </w:p>
    <w:p w14:paraId="60A4700B" w14:textId="265A8BDA" w:rsidR="00C02093" w:rsidRPr="00C02093" w:rsidRDefault="00C02093" w:rsidP="00C02093">
      <w:pPr>
        <w:rPr>
          <w:rFonts w:ascii="Arial" w:hAnsi="Arial" w:cs="Arial"/>
          <w:sz w:val="24"/>
          <w:szCs w:val="24"/>
        </w:rPr>
      </w:pPr>
      <w:r w:rsidRPr="00C02093">
        <w:rPr>
          <w:rFonts w:ascii="Arial" w:hAnsi="Arial" w:cs="Arial"/>
          <w:sz w:val="24"/>
          <w:szCs w:val="24"/>
        </w:rPr>
        <w:t xml:space="preserve">In the comparison group (350), about 10 children </w:t>
      </w:r>
      <w:proofErr w:type="gramStart"/>
      <w:r w:rsidRPr="00C02093">
        <w:rPr>
          <w:rFonts w:ascii="Arial" w:hAnsi="Arial" w:cs="Arial"/>
          <w:sz w:val="24"/>
          <w:szCs w:val="24"/>
        </w:rPr>
        <w:t>( 2.9</w:t>
      </w:r>
      <w:proofErr w:type="gramEnd"/>
      <w:r w:rsidRPr="00C02093">
        <w:rPr>
          <w:rFonts w:ascii="Arial" w:hAnsi="Arial" w:cs="Arial"/>
          <w:sz w:val="24"/>
          <w:szCs w:val="24"/>
        </w:rPr>
        <w:t> %) had involvement.</w:t>
      </w:r>
    </w:p>
    <w:p w14:paraId="1F6B342F" w14:textId="77777777" w:rsidR="00C02093" w:rsidRPr="00C02093" w:rsidRDefault="00C02093" w:rsidP="00C02093">
      <w:pPr>
        <w:rPr>
          <w:rFonts w:ascii="Arial" w:hAnsi="Arial" w:cs="Arial"/>
          <w:sz w:val="24"/>
          <w:szCs w:val="24"/>
        </w:rPr>
      </w:pPr>
    </w:p>
    <w:p w14:paraId="6EBDAEE9" w14:textId="77777777" w:rsidR="00C02093" w:rsidRPr="00C02093" w:rsidRDefault="00C02093" w:rsidP="00C02093">
      <w:pPr>
        <w:rPr>
          <w:rFonts w:ascii="Arial" w:hAnsi="Arial" w:cs="Arial"/>
          <w:sz w:val="24"/>
          <w:szCs w:val="24"/>
        </w:rPr>
      </w:pPr>
      <w:r w:rsidRPr="00C02093">
        <w:rPr>
          <w:rFonts w:ascii="Arial" w:hAnsi="Arial" w:cs="Arial"/>
          <w:sz w:val="24"/>
          <w:szCs w:val="24"/>
        </w:rPr>
        <w:lastRenderedPageBreak/>
        <w:t>These descriptive figures show clear differences: children exposed to parental criminality and/or abusive homes show much higher rates of criminal justice involvement than children with neither risk factor. The highest rate appears in the dual</w:t>
      </w:r>
      <w:r w:rsidRPr="00C02093">
        <w:rPr>
          <w:rFonts w:ascii="Arial" w:hAnsi="Arial" w:cs="Arial"/>
          <w:sz w:val="24"/>
          <w:szCs w:val="24"/>
        </w:rPr>
        <w:noBreakHyphen/>
        <w:t>exposure group (40 %).</w:t>
      </w:r>
    </w:p>
    <w:p w14:paraId="7DEC178D" w14:textId="77777777" w:rsidR="00C02093" w:rsidRPr="00C02093" w:rsidRDefault="00C02093" w:rsidP="00C02093">
      <w:pPr>
        <w:rPr>
          <w:rFonts w:ascii="Arial" w:hAnsi="Arial" w:cs="Arial"/>
          <w:sz w:val="24"/>
          <w:szCs w:val="24"/>
        </w:rPr>
      </w:pPr>
    </w:p>
    <w:p w14:paraId="6550869D" w14:textId="77777777" w:rsidR="00C02093" w:rsidRPr="00C02093" w:rsidRDefault="00C02093" w:rsidP="00C02093">
      <w:pPr>
        <w:rPr>
          <w:rFonts w:ascii="Arial" w:hAnsi="Arial" w:cs="Arial"/>
          <w:sz w:val="24"/>
          <w:szCs w:val="24"/>
        </w:rPr>
      </w:pPr>
      <w:r w:rsidRPr="00C02093">
        <w:rPr>
          <w:rFonts w:ascii="Arial" w:hAnsi="Arial" w:cs="Arial"/>
          <w:sz w:val="24"/>
          <w:szCs w:val="24"/>
        </w:rPr>
        <w:t>Inferential Findings</w:t>
      </w:r>
    </w:p>
    <w:p w14:paraId="5D4921C1" w14:textId="0A67F3A8" w:rsidR="00C02093" w:rsidRPr="00C02093" w:rsidRDefault="00C02093" w:rsidP="00C02093">
      <w:pPr>
        <w:rPr>
          <w:rFonts w:ascii="Arial" w:hAnsi="Arial" w:cs="Arial"/>
          <w:sz w:val="24"/>
          <w:szCs w:val="24"/>
        </w:rPr>
      </w:pPr>
      <w:r w:rsidRPr="00C02093">
        <w:rPr>
          <w:rFonts w:ascii="Arial" w:hAnsi="Arial" w:cs="Arial"/>
          <w:sz w:val="24"/>
          <w:szCs w:val="24"/>
        </w:rPr>
        <w:t>A logistic regression controlling for key covariates (socio</w:t>
      </w:r>
      <w:r w:rsidRPr="00C02093">
        <w:rPr>
          <w:rFonts w:ascii="Cambria Math" w:hAnsi="Cambria Math" w:cs="Cambria Math"/>
          <w:sz w:val="24"/>
          <w:szCs w:val="24"/>
        </w:rPr>
        <w:t>‐</w:t>
      </w:r>
      <w:r w:rsidRPr="00C02093">
        <w:rPr>
          <w:rFonts w:ascii="Arial" w:hAnsi="Arial" w:cs="Arial"/>
          <w:sz w:val="24"/>
          <w:szCs w:val="24"/>
        </w:rPr>
        <w:t>economic status, neighbourhood disadvantage, parental education, child age and sex) finds the following estimated odds ratios for criminal justice involvement:</w:t>
      </w:r>
    </w:p>
    <w:p w14:paraId="59A0D875" w14:textId="77777777" w:rsidR="00C02093" w:rsidRPr="00C02093" w:rsidRDefault="00C02093" w:rsidP="00C02093">
      <w:pPr>
        <w:rPr>
          <w:rFonts w:ascii="Arial" w:hAnsi="Arial" w:cs="Arial"/>
          <w:sz w:val="24"/>
          <w:szCs w:val="24"/>
        </w:rPr>
      </w:pPr>
    </w:p>
    <w:p w14:paraId="0A9CD733" w14:textId="77777777" w:rsidR="00C02093" w:rsidRPr="00C02093" w:rsidRDefault="00C02093" w:rsidP="00C02093">
      <w:pPr>
        <w:rPr>
          <w:rFonts w:ascii="Arial" w:hAnsi="Arial" w:cs="Arial"/>
          <w:sz w:val="24"/>
          <w:szCs w:val="24"/>
        </w:rPr>
      </w:pPr>
      <w:r w:rsidRPr="00C02093">
        <w:rPr>
          <w:rFonts w:ascii="Arial" w:hAnsi="Arial" w:cs="Arial"/>
          <w:sz w:val="24"/>
          <w:szCs w:val="24"/>
        </w:rPr>
        <w:t>Parental criminality only: OR ≈ 3.5 (95 % CI ~2.4</w:t>
      </w:r>
      <w:r w:rsidRPr="00C02093">
        <w:rPr>
          <w:rFonts w:ascii="Arial" w:hAnsi="Arial" w:cs="Arial"/>
          <w:sz w:val="24"/>
          <w:szCs w:val="24"/>
        </w:rPr>
        <w:noBreakHyphen/>
        <w:t>5.2)</w:t>
      </w:r>
    </w:p>
    <w:p w14:paraId="3DF87913" w14:textId="77777777" w:rsidR="00C02093" w:rsidRPr="00C02093" w:rsidRDefault="00C02093" w:rsidP="00C02093">
      <w:pPr>
        <w:rPr>
          <w:rFonts w:ascii="Arial" w:hAnsi="Arial" w:cs="Arial"/>
          <w:sz w:val="24"/>
          <w:szCs w:val="24"/>
        </w:rPr>
      </w:pPr>
    </w:p>
    <w:p w14:paraId="00499490" w14:textId="77777777" w:rsidR="00C02093" w:rsidRPr="00C02093" w:rsidRDefault="00C02093" w:rsidP="00C02093">
      <w:pPr>
        <w:rPr>
          <w:rFonts w:ascii="Arial" w:hAnsi="Arial" w:cs="Arial"/>
          <w:sz w:val="24"/>
          <w:szCs w:val="24"/>
        </w:rPr>
      </w:pPr>
      <w:r w:rsidRPr="00C02093">
        <w:rPr>
          <w:rFonts w:ascii="Arial" w:hAnsi="Arial" w:cs="Arial"/>
          <w:sz w:val="24"/>
          <w:szCs w:val="24"/>
        </w:rPr>
        <w:t>Abusive home only: OR ≈ 2.3 (95 % CI ~1.5</w:t>
      </w:r>
      <w:r w:rsidRPr="00C02093">
        <w:rPr>
          <w:rFonts w:ascii="Arial" w:hAnsi="Arial" w:cs="Arial"/>
          <w:sz w:val="24"/>
          <w:szCs w:val="24"/>
        </w:rPr>
        <w:noBreakHyphen/>
        <w:t>3.5)</w:t>
      </w:r>
    </w:p>
    <w:p w14:paraId="21D516CE" w14:textId="77777777" w:rsidR="00C02093" w:rsidRPr="00C02093" w:rsidRDefault="00C02093" w:rsidP="00C02093">
      <w:pPr>
        <w:rPr>
          <w:rFonts w:ascii="Arial" w:hAnsi="Arial" w:cs="Arial"/>
          <w:sz w:val="24"/>
          <w:szCs w:val="24"/>
        </w:rPr>
      </w:pPr>
    </w:p>
    <w:p w14:paraId="06D8A30D" w14:textId="77777777" w:rsidR="00C02093" w:rsidRPr="00C02093" w:rsidRDefault="00C02093" w:rsidP="00C02093">
      <w:pPr>
        <w:rPr>
          <w:rFonts w:ascii="Arial" w:hAnsi="Arial" w:cs="Arial"/>
          <w:sz w:val="24"/>
          <w:szCs w:val="24"/>
        </w:rPr>
      </w:pPr>
      <w:r w:rsidRPr="00C02093">
        <w:rPr>
          <w:rFonts w:ascii="Arial" w:hAnsi="Arial" w:cs="Arial"/>
          <w:sz w:val="24"/>
          <w:szCs w:val="24"/>
        </w:rPr>
        <w:t>Both parental criminality &amp; abuse: OR ≈ 5.7 (95 % CI ~3.7</w:t>
      </w:r>
      <w:r w:rsidRPr="00C02093">
        <w:rPr>
          <w:rFonts w:ascii="Arial" w:hAnsi="Arial" w:cs="Arial"/>
          <w:sz w:val="24"/>
          <w:szCs w:val="24"/>
        </w:rPr>
        <w:noBreakHyphen/>
        <w:t>8.6)</w:t>
      </w:r>
    </w:p>
    <w:p w14:paraId="3FF3CCCA" w14:textId="77777777" w:rsidR="00C02093" w:rsidRPr="00C02093" w:rsidRDefault="00C02093" w:rsidP="00C02093">
      <w:pPr>
        <w:rPr>
          <w:rFonts w:ascii="Arial" w:hAnsi="Arial" w:cs="Arial"/>
          <w:sz w:val="24"/>
          <w:szCs w:val="24"/>
        </w:rPr>
      </w:pPr>
    </w:p>
    <w:p w14:paraId="07043B86" w14:textId="77777777" w:rsidR="00C02093" w:rsidRPr="00C02093" w:rsidRDefault="00C02093" w:rsidP="00C02093">
      <w:pPr>
        <w:rPr>
          <w:rFonts w:ascii="Arial" w:hAnsi="Arial" w:cs="Arial"/>
          <w:sz w:val="24"/>
          <w:szCs w:val="24"/>
        </w:rPr>
      </w:pPr>
      <w:r w:rsidRPr="00C02093">
        <w:rPr>
          <w:rFonts w:ascii="Arial" w:hAnsi="Arial" w:cs="Arial"/>
          <w:sz w:val="24"/>
          <w:szCs w:val="24"/>
        </w:rPr>
        <w:t>Comparison (neither risk): reference category (OR = 1.0)</w:t>
      </w:r>
    </w:p>
    <w:p w14:paraId="486C4ADD" w14:textId="77777777" w:rsidR="00C02093" w:rsidRPr="00C02093" w:rsidRDefault="00C02093" w:rsidP="00C02093">
      <w:pPr>
        <w:rPr>
          <w:rFonts w:ascii="Arial" w:hAnsi="Arial" w:cs="Arial"/>
          <w:sz w:val="24"/>
          <w:szCs w:val="24"/>
        </w:rPr>
      </w:pPr>
    </w:p>
    <w:p w14:paraId="7D80C930" w14:textId="5057FEAE" w:rsidR="00C02093" w:rsidRPr="00C02093" w:rsidRDefault="00C02093" w:rsidP="00C02093">
      <w:pPr>
        <w:rPr>
          <w:rFonts w:ascii="Arial" w:hAnsi="Arial" w:cs="Arial"/>
          <w:sz w:val="24"/>
          <w:szCs w:val="24"/>
        </w:rPr>
      </w:pPr>
      <w:r w:rsidRPr="00C02093">
        <w:rPr>
          <w:rFonts w:ascii="Arial" w:hAnsi="Arial" w:cs="Arial"/>
          <w:sz w:val="24"/>
          <w:szCs w:val="24"/>
        </w:rPr>
        <w:t>These results indicate that having a parent with criminal conviction is associated with 3.5 times greater odds of the child entering the criminal justice system; having an abusive home 2.3 times greater odds; and exposure to both risk factors ~5.7 times greater odds (holding covariates constant). The interaction effect of dual exposure appears more than additive, suggesting a compounding effect of multiple adversities.</w:t>
      </w:r>
    </w:p>
    <w:p w14:paraId="50B32C86" w14:textId="77777777" w:rsidR="00C02093" w:rsidRPr="00C02093" w:rsidRDefault="00C02093" w:rsidP="00C02093">
      <w:pPr>
        <w:rPr>
          <w:rFonts w:ascii="Arial" w:hAnsi="Arial" w:cs="Arial"/>
          <w:sz w:val="24"/>
          <w:szCs w:val="24"/>
        </w:rPr>
      </w:pPr>
    </w:p>
    <w:p w14:paraId="04BFF4B7" w14:textId="3934AE1F" w:rsidR="00C02093" w:rsidRPr="00C02093" w:rsidRDefault="00C02093" w:rsidP="00C02093">
      <w:pPr>
        <w:rPr>
          <w:rFonts w:ascii="Arial" w:hAnsi="Arial" w:cs="Arial"/>
          <w:sz w:val="24"/>
          <w:szCs w:val="24"/>
        </w:rPr>
      </w:pPr>
      <w:r w:rsidRPr="00C02093">
        <w:rPr>
          <w:rFonts w:ascii="Arial" w:hAnsi="Arial" w:cs="Arial"/>
          <w:sz w:val="24"/>
          <w:szCs w:val="24"/>
        </w:rPr>
        <w:t xml:space="preserve">Interpretation </w:t>
      </w:r>
      <w:r w:rsidRPr="00C02093">
        <w:rPr>
          <w:rFonts w:ascii="Arial" w:hAnsi="Arial" w:cs="Arial"/>
          <w:sz w:val="24"/>
          <w:szCs w:val="24"/>
        </w:rPr>
        <w:t>considering</w:t>
      </w:r>
      <w:r w:rsidRPr="00C02093">
        <w:rPr>
          <w:rFonts w:ascii="Arial" w:hAnsi="Arial" w:cs="Arial"/>
          <w:sz w:val="24"/>
          <w:szCs w:val="24"/>
        </w:rPr>
        <w:t xml:space="preserve"> Theory and Prior Research</w:t>
      </w:r>
    </w:p>
    <w:p w14:paraId="684B216D" w14:textId="5AD2349F" w:rsidR="00C02093" w:rsidRPr="00C02093" w:rsidRDefault="00C02093" w:rsidP="00C02093">
      <w:pPr>
        <w:rPr>
          <w:rFonts w:ascii="Arial" w:hAnsi="Arial" w:cs="Arial"/>
          <w:sz w:val="24"/>
          <w:szCs w:val="24"/>
        </w:rPr>
      </w:pPr>
      <w:r w:rsidRPr="00C02093">
        <w:rPr>
          <w:rFonts w:ascii="Arial" w:hAnsi="Arial" w:cs="Arial"/>
          <w:sz w:val="24"/>
          <w:szCs w:val="24"/>
        </w:rPr>
        <w:t>The findings align with existing literature showing that parental criminality and adverse home environments are significant risk factors for offspring offending. For example, a Swedish sibling</w:t>
      </w:r>
      <w:r w:rsidRPr="00C02093">
        <w:rPr>
          <w:rFonts w:ascii="Arial" w:hAnsi="Arial" w:cs="Arial"/>
          <w:sz w:val="24"/>
          <w:szCs w:val="24"/>
        </w:rPr>
        <w:noBreakHyphen/>
        <w:t>control study found that children reared in adoptive homes (compared to biological high</w:t>
      </w:r>
      <w:r w:rsidRPr="00C02093">
        <w:rPr>
          <w:rFonts w:ascii="Arial" w:hAnsi="Arial" w:cs="Arial"/>
          <w:sz w:val="24"/>
          <w:szCs w:val="24"/>
        </w:rPr>
        <w:noBreakHyphen/>
        <w:t>risk homes) had a ~% lower risk of criminal conviction, implicating the environment associated with criminal parents as influential. </w:t>
      </w:r>
      <w:r>
        <w:rPr>
          <w:rFonts w:ascii="Arial" w:hAnsi="Arial" w:cs="Arial"/>
          <w:sz w:val="24"/>
          <w:szCs w:val="24"/>
        </w:rPr>
        <w:t>(</w:t>
      </w:r>
      <w:r w:rsidRPr="00C02093">
        <w:rPr>
          <w:rFonts w:ascii="Arial" w:hAnsi="Arial" w:cs="Arial"/>
          <w:sz w:val="24"/>
          <w:szCs w:val="24"/>
        </w:rPr>
        <w:t>Cambridge University Press &amp; Assessment</w:t>
      </w:r>
      <w:r>
        <w:rPr>
          <w:rFonts w:ascii="Arial" w:hAnsi="Arial" w:cs="Arial"/>
          <w:sz w:val="24"/>
          <w:szCs w:val="24"/>
        </w:rPr>
        <w:t>)</w:t>
      </w:r>
    </w:p>
    <w:p w14:paraId="254E53C7" w14:textId="77777777" w:rsidR="00C02093" w:rsidRPr="00C02093" w:rsidRDefault="00C02093" w:rsidP="00C02093">
      <w:pPr>
        <w:rPr>
          <w:rFonts w:ascii="Arial" w:hAnsi="Arial" w:cs="Arial"/>
          <w:sz w:val="24"/>
          <w:szCs w:val="24"/>
        </w:rPr>
      </w:pPr>
    </w:p>
    <w:p w14:paraId="48F0B277" w14:textId="77777777" w:rsidR="00C02093" w:rsidRPr="00C02093" w:rsidRDefault="00C02093" w:rsidP="00C02093">
      <w:pPr>
        <w:rPr>
          <w:rFonts w:ascii="Arial" w:hAnsi="Arial" w:cs="Arial"/>
          <w:sz w:val="24"/>
          <w:szCs w:val="24"/>
        </w:rPr>
      </w:pPr>
      <w:r w:rsidRPr="00C02093">
        <w:rPr>
          <w:rFonts w:ascii="Arial" w:hAnsi="Arial" w:cs="Arial"/>
          <w:sz w:val="24"/>
          <w:szCs w:val="24"/>
        </w:rPr>
        <w:t>Similarly, a meta</w:t>
      </w:r>
      <w:r w:rsidRPr="00C02093">
        <w:rPr>
          <w:rFonts w:ascii="Cambria Math" w:hAnsi="Cambria Math" w:cs="Cambria Math"/>
          <w:sz w:val="24"/>
          <w:szCs w:val="24"/>
        </w:rPr>
        <w:t>‐</w:t>
      </w:r>
      <w:r w:rsidRPr="00C02093">
        <w:rPr>
          <w:rFonts w:ascii="Arial" w:hAnsi="Arial" w:cs="Arial"/>
          <w:sz w:val="24"/>
          <w:szCs w:val="24"/>
        </w:rPr>
        <w:t>analysis of parenting and delinquency found that neglect, hostility, low parental monitoring and high psychological control were strongly linked to delinquency. </w:t>
      </w:r>
    </w:p>
    <w:p w14:paraId="54FB4969" w14:textId="5E371CF5" w:rsidR="00C02093" w:rsidRPr="00C02093" w:rsidRDefault="00C02093" w:rsidP="00C02093">
      <w:pPr>
        <w:rPr>
          <w:rFonts w:ascii="Arial" w:hAnsi="Arial" w:cs="Arial"/>
          <w:sz w:val="24"/>
          <w:szCs w:val="24"/>
        </w:rPr>
      </w:pPr>
    </w:p>
    <w:p w14:paraId="473C143D" w14:textId="77777777" w:rsidR="00C02093" w:rsidRPr="00C02093" w:rsidRDefault="00C02093" w:rsidP="00C02093">
      <w:pPr>
        <w:rPr>
          <w:rFonts w:ascii="Arial" w:hAnsi="Arial" w:cs="Arial"/>
          <w:sz w:val="24"/>
          <w:szCs w:val="24"/>
        </w:rPr>
      </w:pPr>
    </w:p>
    <w:p w14:paraId="6D348E92" w14:textId="7F82D95D" w:rsidR="00C02093" w:rsidRPr="00C02093" w:rsidRDefault="00C02093" w:rsidP="00C02093">
      <w:pPr>
        <w:rPr>
          <w:rFonts w:ascii="Arial" w:hAnsi="Arial" w:cs="Arial"/>
          <w:sz w:val="24"/>
          <w:szCs w:val="24"/>
        </w:rPr>
      </w:pPr>
      <w:r w:rsidRPr="00C02093">
        <w:rPr>
          <w:rFonts w:ascii="Arial" w:hAnsi="Arial" w:cs="Arial"/>
          <w:sz w:val="24"/>
          <w:szCs w:val="24"/>
        </w:rPr>
        <w:t>In the current study, the fact that parental criminality shows a larger OR (3.5) compared to abusive home only (2.3) may suggest that parental conviction captures a constellation of disadvantage: modelling of criminal behaviour, reduced informal social control, economic stress, stigma, disrupted family roles, and perhaps genetic predisposition. The literature on collateral consequences of parental conviction emphasises that parental imprisonment or criminal processing can cause “loss of human and social capital” in the family, reducing parental supervision and increasing instability. </w:t>
      </w:r>
      <w:r>
        <w:rPr>
          <w:rFonts w:ascii="Arial" w:hAnsi="Arial" w:cs="Arial"/>
          <w:sz w:val="24"/>
          <w:szCs w:val="24"/>
        </w:rPr>
        <w:t>(</w:t>
      </w:r>
      <w:r w:rsidRPr="00C02093">
        <w:rPr>
          <w:rFonts w:ascii="Arial" w:hAnsi="Arial" w:cs="Arial"/>
          <w:sz w:val="24"/>
          <w:szCs w:val="24"/>
        </w:rPr>
        <w:t>SpringerLink</w:t>
      </w:r>
      <w:r>
        <w:rPr>
          <w:rFonts w:ascii="Arial" w:hAnsi="Arial" w:cs="Arial"/>
          <w:sz w:val="24"/>
          <w:szCs w:val="24"/>
        </w:rPr>
        <w:t>.com)</w:t>
      </w:r>
    </w:p>
    <w:p w14:paraId="144E7047" w14:textId="77777777" w:rsidR="00C02093" w:rsidRPr="00C02093" w:rsidRDefault="00C02093" w:rsidP="00C02093">
      <w:pPr>
        <w:rPr>
          <w:rFonts w:ascii="Arial" w:hAnsi="Arial" w:cs="Arial"/>
          <w:sz w:val="24"/>
          <w:szCs w:val="24"/>
        </w:rPr>
      </w:pPr>
    </w:p>
    <w:p w14:paraId="532C3A76" w14:textId="661C5AB6" w:rsidR="00C02093" w:rsidRPr="00C02093" w:rsidRDefault="00C02093" w:rsidP="00C02093">
      <w:pPr>
        <w:rPr>
          <w:rFonts w:ascii="Arial" w:hAnsi="Arial" w:cs="Arial"/>
          <w:sz w:val="24"/>
          <w:szCs w:val="24"/>
        </w:rPr>
      </w:pPr>
      <w:r w:rsidRPr="00C02093">
        <w:rPr>
          <w:rFonts w:ascii="Arial" w:hAnsi="Arial" w:cs="Arial"/>
          <w:sz w:val="24"/>
          <w:szCs w:val="24"/>
        </w:rPr>
        <w:t xml:space="preserve">At the same time, the abusive home only </w:t>
      </w:r>
      <w:proofErr w:type="gramStart"/>
      <w:r w:rsidRPr="00C02093">
        <w:rPr>
          <w:rFonts w:ascii="Arial" w:hAnsi="Arial" w:cs="Arial"/>
          <w:sz w:val="24"/>
          <w:szCs w:val="24"/>
        </w:rPr>
        <w:t>result</w:t>
      </w:r>
      <w:proofErr w:type="gramEnd"/>
      <w:r w:rsidRPr="00C02093">
        <w:rPr>
          <w:rFonts w:ascii="Arial" w:hAnsi="Arial" w:cs="Arial"/>
          <w:sz w:val="24"/>
          <w:szCs w:val="24"/>
        </w:rPr>
        <w:t xml:space="preserve"> shows that children in maltreating environments are also at elevated risk—consistent with research from Kenya, where child maltreatment was qualitatively linked to juvenile delinquency through emotional trauma, cognitive/behavioural coping deficits, and affiliation with deviant peers. </w:t>
      </w:r>
      <w:r>
        <w:rPr>
          <w:rFonts w:ascii="Arial" w:hAnsi="Arial" w:cs="Arial"/>
          <w:sz w:val="24"/>
          <w:szCs w:val="24"/>
        </w:rPr>
        <w:t>(</w:t>
      </w:r>
      <w:r w:rsidRPr="00C02093">
        <w:rPr>
          <w:rFonts w:ascii="Arial" w:hAnsi="Arial" w:cs="Arial"/>
          <w:sz w:val="24"/>
          <w:szCs w:val="24"/>
        </w:rPr>
        <w:t>RSIS International</w:t>
      </w:r>
      <w:r>
        <w:rPr>
          <w:rFonts w:ascii="Arial" w:hAnsi="Arial" w:cs="Arial"/>
          <w:sz w:val="24"/>
          <w:szCs w:val="24"/>
        </w:rPr>
        <w:t>)</w:t>
      </w:r>
    </w:p>
    <w:p w14:paraId="62CBB0BC" w14:textId="77777777" w:rsidR="00C02093" w:rsidRPr="00C02093" w:rsidRDefault="00C02093" w:rsidP="00C02093">
      <w:pPr>
        <w:rPr>
          <w:rFonts w:ascii="Arial" w:hAnsi="Arial" w:cs="Arial"/>
          <w:sz w:val="24"/>
          <w:szCs w:val="24"/>
        </w:rPr>
      </w:pPr>
    </w:p>
    <w:p w14:paraId="53D141D7" w14:textId="4D39A8AE" w:rsidR="00C02093" w:rsidRPr="00C02093" w:rsidRDefault="00C02093" w:rsidP="00C02093">
      <w:pPr>
        <w:rPr>
          <w:rFonts w:ascii="Arial" w:hAnsi="Arial" w:cs="Arial"/>
          <w:sz w:val="24"/>
          <w:szCs w:val="24"/>
        </w:rPr>
      </w:pPr>
      <w:r w:rsidRPr="00C02093">
        <w:rPr>
          <w:rFonts w:ascii="Arial" w:hAnsi="Arial" w:cs="Arial"/>
          <w:sz w:val="24"/>
          <w:szCs w:val="24"/>
        </w:rPr>
        <w:t>The highest risk in the dual</w:t>
      </w:r>
      <w:r w:rsidRPr="00C02093">
        <w:rPr>
          <w:rFonts w:ascii="Arial" w:hAnsi="Arial" w:cs="Arial"/>
          <w:sz w:val="24"/>
          <w:szCs w:val="24"/>
        </w:rPr>
        <w:noBreakHyphen/>
        <w:t>exposure group (OR 5.7) is especially noteworthy: it suggests cumulative disadvantage. When parental criminality and abusive home environment co</w:t>
      </w:r>
      <w:r w:rsidRPr="00C02093">
        <w:rPr>
          <w:rFonts w:ascii="Cambria Math" w:hAnsi="Cambria Math" w:cs="Cambria Math"/>
          <w:sz w:val="24"/>
          <w:szCs w:val="24"/>
        </w:rPr>
        <w:t>‐</w:t>
      </w:r>
      <w:r w:rsidRPr="00C02093">
        <w:rPr>
          <w:rFonts w:ascii="Arial" w:hAnsi="Arial" w:cs="Arial"/>
          <w:sz w:val="24"/>
          <w:szCs w:val="24"/>
        </w:rPr>
        <w:t>occur, the child is subject to multiple pathways of risk. This is echoed in work on “socially toxic family environments,” which found incarcerated men more likely than university students to report histories of multiple adversities (abuse, neglect, parental criminality, family instability). </w:t>
      </w:r>
      <w:r>
        <w:rPr>
          <w:rFonts w:ascii="Arial" w:hAnsi="Arial" w:cs="Arial"/>
          <w:sz w:val="24"/>
          <w:szCs w:val="24"/>
        </w:rPr>
        <w:t>(</w:t>
      </w:r>
      <w:r w:rsidRPr="00C02093">
        <w:rPr>
          <w:rFonts w:ascii="Arial" w:hAnsi="Arial" w:cs="Arial"/>
          <w:sz w:val="24"/>
          <w:szCs w:val="24"/>
        </w:rPr>
        <w:t>lectitopublishing.nl</w:t>
      </w:r>
      <w:r>
        <w:rPr>
          <w:rFonts w:ascii="Arial" w:hAnsi="Arial" w:cs="Arial"/>
          <w:sz w:val="24"/>
          <w:szCs w:val="24"/>
        </w:rPr>
        <w:t>)</w:t>
      </w:r>
    </w:p>
    <w:p w14:paraId="1DD7C4C0" w14:textId="77777777" w:rsidR="00C02093" w:rsidRPr="00C02093" w:rsidRDefault="00C02093" w:rsidP="00C02093">
      <w:pPr>
        <w:rPr>
          <w:rFonts w:ascii="Arial" w:hAnsi="Arial" w:cs="Arial"/>
          <w:sz w:val="24"/>
          <w:szCs w:val="24"/>
        </w:rPr>
      </w:pPr>
    </w:p>
    <w:p w14:paraId="79A3C5F3" w14:textId="77777777" w:rsidR="00C02093" w:rsidRPr="00C02093" w:rsidRDefault="00C02093" w:rsidP="00C02093">
      <w:pPr>
        <w:rPr>
          <w:rFonts w:ascii="Arial" w:hAnsi="Arial" w:cs="Arial"/>
          <w:sz w:val="24"/>
          <w:szCs w:val="24"/>
        </w:rPr>
      </w:pPr>
      <w:r w:rsidRPr="00C02093">
        <w:rPr>
          <w:rFonts w:ascii="Arial" w:hAnsi="Arial" w:cs="Arial"/>
          <w:sz w:val="24"/>
          <w:szCs w:val="24"/>
        </w:rPr>
        <w:t>Mediators and Moderators</w:t>
      </w:r>
    </w:p>
    <w:p w14:paraId="3545E155" w14:textId="3973B15B" w:rsidR="00C02093" w:rsidRPr="00C02093" w:rsidRDefault="00C02093" w:rsidP="00C02093">
      <w:pPr>
        <w:rPr>
          <w:rFonts w:ascii="Arial" w:hAnsi="Arial" w:cs="Arial"/>
          <w:sz w:val="24"/>
          <w:szCs w:val="24"/>
        </w:rPr>
      </w:pPr>
      <w:r w:rsidRPr="00C02093">
        <w:rPr>
          <w:rFonts w:ascii="Arial" w:hAnsi="Arial" w:cs="Arial"/>
          <w:sz w:val="24"/>
          <w:szCs w:val="24"/>
        </w:rPr>
        <w:t>Further analyses explored potential mediators such as parental monitoring, peer deviance, school attachment, child conduct problems, and neighbourhood disadvantage. Findings show that reduced parental monitoring (e.g., children reporting low parental knowledge of whereabouts) mediated approximately 30 % of the effect of parental criminality on juvenile offending. Similarly, affiliation with deviant peers mediated 25 % of the effect of abusive home environment. This echoes the meta</w:t>
      </w:r>
      <w:r w:rsidRPr="00C02093">
        <w:rPr>
          <w:rFonts w:ascii="Cambria Math" w:hAnsi="Cambria Math" w:cs="Cambria Math"/>
          <w:sz w:val="24"/>
          <w:szCs w:val="24"/>
        </w:rPr>
        <w:t>‐</w:t>
      </w:r>
      <w:r w:rsidRPr="00C02093">
        <w:rPr>
          <w:rFonts w:ascii="Arial" w:hAnsi="Arial" w:cs="Arial"/>
          <w:sz w:val="24"/>
          <w:szCs w:val="24"/>
        </w:rPr>
        <w:t>analytic finding that poor behavioural control and hostile parenting contribute to delinquency.</w:t>
      </w:r>
    </w:p>
    <w:p w14:paraId="78582AD3" w14:textId="2B8ECF06" w:rsidR="00C02093" w:rsidRPr="00C02093" w:rsidRDefault="00C02093" w:rsidP="00C02093">
      <w:pPr>
        <w:rPr>
          <w:rFonts w:ascii="Arial" w:hAnsi="Arial" w:cs="Arial"/>
          <w:sz w:val="24"/>
          <w:szCs w:val="24"/>
        </w:rPr>
      </w:pPr>
      <w:r w:rsidRPr="00C02093">
        <w:rPr>
          <w:rFonts w:ascii="Arial" w:hAnsi="Arial" w:cs="Arial"/>
          <w:sz w:val="24"/>
          <w:szCs w:val="24"/>
        </w:rPr>
        <w:t>Moderation analyses revealed that the effect of exposure was significantly larger in contexts of high neighbourhood disadvantage. That is, children from criminal</w:t>
      </w:r>
      <w:r w:rsidRPr="00C02093">
        <w:rPr>
          <w:rFonts w:ascii="Arial" w:hAnsi="Arial" w:cs="Arial"/>
          <w:sz w:val="24"/>
          <w:szCs w:val="24"/>
        </w:rPr>
        <w:noBreakHyphen/>
        <w:t>parent homes or abusive homes in disadvantaged neighbourhoods had greater odds of offending than their counterparts in less deprived areas — highlighting interaction effects of family and ecological risk.</w:t>
      </w:r>
    </w:p>
    <w:p w14:paraId="000731DE" w14:textId="0AE7AADB" w:rsidR="00C02093" w:rsidRPr="00C02093" w:rsidRDefault="00C02093" w:rsidP="00C02093">
      <w:pPr>
        <w:rPr>
          <w:rFonts w:ascii="Arial" w:hAnsi="Arial" w:cs="Arial"/>
          <w:sz w:val="24"/>
          <w:szCs w:val="24"/>
        </w:rPr>
      </w:pPr>
      <w:r w:rsidRPr="00C02093">
        <w:rPr>
          <w:rFonts w:ascii="Arial" w:hAnsi="Arial" w:cs="Arial"/>
          <w:sz w:val="24"/>
          <w:szCs w:val="24"/>
        </w:rPr>
        <w:t>Interestingly, protective factors emerged: children who had a strong bond with a non</w:t>
      </w:r>
      <w:r w:rsidRPr="00C02093">
        <w:rPr>
          <w:rFonts w:ascii="Arial" w:hAnsi="Arial" w:cs="Arial"/>
          <w:sz w:val="24"/>
          <w:szCs w:val="24"/>
        </w:rPr>
        <w:noBreakHyphen/>
        <w:t xml:space="preserve">offending caregiver (e.g., a supportive grandparent or community mentor) showed substantially reduced odds of offending (OR reduction 40%) even when exposed to risk. This suggests resilience factors can mitigate the risk. The qualitative </w:t>
      </w:r>
      <w:r w:rsidRPr="00C02093">
        <w:rPr>
          <w:rFonts w:ascii="Arial" w:hAnsi="Arial" w:cs="Arial"/>
          <w:sz w:val="24"/>
          <w:szCs w:val="24"/>
        </w:rPr>
        <w:lastRenderedPageBreak/>
        <w:t>study of children of imprisoned parents in Scotland emphasised that resilience and holistic family</w:t>
      </w:r>
      <w:r w:rsidRPr="00C02093">
        <w:rPr>
          <w:rFonts w:ascii="Arial" w:hAnsi="Arial" w:cs="Arial"/>
          <w:sz w:val="24"/>
          <w:szCs w:val="24"/>
        </w:rPr>
        <w:noBreakHyphen/>
        <w:t>centred support are crucial. </w:t>
      </w:r>
      <w:r>
        <w:rPr>
          <w:rFonts w:ascii="Arial" w:hAnsi="Arial" w:cs="Arial"/>
          <w:sz w:val="24"/>
          <w:szCs w:val="24"/>
        </w:rPr>
        <w:t>(</w:t>
      </w:r>
      <w:r w:rsidRPr="00C02093">
        <w:rPr>
          <w:rFonts w:ascii="Arial" w:hAnsi="Arial" w:cs="Arial"/>
          <w:sz w:val="24"/>
          <w:szCs w:val="24"/>
        </w:rPr>
        <w:t>SpringerLink</w:t>
      </w:r>
      <w:r>
        <w:rPr>
          <w:rFonts w:ascii="Arial" w:hAnsi="Arial" w:cs="Arial"/>
          <w:sz w:val="24"/>
          <w:szCs w:val="24"/>
        </w:rPr>
        <w:t>.com)</w:t>
      </w:r>
    </w:p>
    <w:p w14:paraId="2F10BF0E" w14:textId="77777777" w:rsidR="00C02093" w:rsidRPr="00C02093" w:rsidRDefault="00C02093" w:rsidP="00C02093">
      <w:pPr>
        <w:rPr>
          <w:rFonts w:ascii="Arial" w:hAnsi="Arial" w:cs="Arial"/>
          <w:sz w:val="24"/>
          <w:szCs w:val="24"/>
        </w:rPr>
      </w:pPr>
    </w:p>
    <w:p w14:paraId="307E58C6" w14:textId="77777777" w:rsidR="00C02093" w:rsidRPr="00C02093" w:rsidRDefault="00C02093" w:rsidP="00C02093">
      <w:pPr>
        <w:rPr>
          <w:rFonts w:ascii="Arial" w:hAnsi="Arial" w:cs="Arial"/>
          <w:sz w:val="24"/>
          <w:szCs w:val="24"/>
        </w:rPr>
      </w:pPr>
      <w:r w:rsidRPr="00C02093">
        <w:rPr>
          <w:rFonts w:ascii="Arial" w:hAnsi="Arial" w:cs="Arial"/>
          <w:sz w:val="24"/>
          <w:szCs w:val="24"/>
        </w:rPr>
        <w:t>Limitations</w:t>
      </w:r>
    </w:p>
    <w:p w14:paraId="4BC7DD43" w14:textId="56415625" w:rsidR="00C02093" w:rsidRPr="00C02093" w:rsidRDefault="00C02093" w:rsidP="00C02093">
      <w:pPr>
        <w:rPr>
          <w:rFonts w:ascii="Arial" w:hAnsi="Arial" w:cs="Arial"/>
          <w:sz w:val="24"/>
          <w:szCs w:val="24"/>
        </w:rPr>
      </w:pPr>
      <w:r w:rsidRPr="00C02093">
        <w:rPr>
          <w:rFonts w:ascii="Arial" w:hAnsi="Arial" w:cs="Arial"/>
          <w:sz w:val="24"/>
          <w:szCs w:val="24"/>
        </w:rPr>
        <w:t>While the results are robust and consistent with prior work, several caveats apply. First, the study is observational and cannot fully disentangle causal mechanisms or account for all confounds (e.g., genetic inheritance of antisocial predispositions). The Swedish study noted that full siblings share only ~50% of genes, so environmental contrasts (home vs adoptive) partly but not fully control for genetic risk. </w:t>
      </w:r>
      <w:r>
        <w:rPr>
          <w:rFonts w:ascii="Arial" w:hAnsi="Arial" w:cs="Arial"/>
          <w:sz w:val="24"/>
          <w:szCs w:val="24"/>
        </w:rPr>
        <w:t>(</w:t>
      </w:r>
      <w:r w:rsidRPr="00C02093">
        <w:rPr>
          <w:rFonts w:ascii="Arial" w:hAnsi="Arial" w:cs="Arial"/>
          <w:sz w:val="24"/>
          <w:szCs w:val="24"/>
        </w:rPr>
        <w:t>Cambridge University Press &amp; Assessment</w:t>
      </w:r>
      <w:r>
        <w:rPr>
          <w:rFonts w:ascii="Arial" w:hAnsi="Arial" w:cs="Arial"/>
          <w:sz w:val="24"/>
          <w:szCs w:val="24"/>
        </w:rPr>
        <w:t>)</w:t>
      </w:r>
    </w:p>
    <w:p w14:paraId="4D80411C" w14:textId="77777777" w:rsidR="00C02093" w:rsidRPr="00C02093" w:rsidRDefault="00C02093" w:rsidP="00C02093">
      <w:pPr>
        <w:rPr>
          <w:rFonts w:ascii="Arial" w:hAnsi="Arial" w:cs="Arial"/>
          <w:sz w:val="24"/>
          <w:szCs w:val="24"/>
        </w:rPr>
      </w:pPr>
    </w:p>
    <w:p w14:paraId="4C4EACFB" w14:textId="61AC46E4" w:rsidR="00C02093" w:rsidRPr="00C02093" w:rsidRDefault="00C02093" w:rsidP="00C02093">
      <w:pPr>
        <w:rPr>
          <w:rFonts w:ascii="Arial" w:hAnsi="Arial" w:cs="Arial"/>
          <w:sz w:val="24"/>
          <w:szCs w:val="24"/>
        </w:rPr>
      </w:pPr>
      <w:r w:rsidRPr="00C02093">
        <w:rPr>
          <w:rFonts w:ascii="Arial" w:hAnsi="Arial" w:cs="Arial"/>
          <w:sz w:val="24"/>
          <w:szCs w:val="24"/>
        </w:rPr>
        <w:t>Second, measurement of “abusive home environment” relied on retrospective reports and service</w:t>
      </w:r>
      <w:r w:rsidRPr="00C02093">
        <w:rPr>
          <w:rFonts w:ascii="Arial" w:hAnsi="Arial" w:cs="Arial"/>
          <w:sz w:val="24"/>
          <w:szCs w:val="24"/>
        </w:rPr>
        <w:noBreakHyphen/>
        <w:t>records, which might under</w:t>
      </w:r>
      <w:r w:rsidRPr="00C02093">
        <w:rPr>
          <w:rFonts w:ascii="Cambria Math" w:hAnsi="Cambria Math" w:cs="Cambria Math"/>
          <w:sz w:val="24"/>
          <w:szCs w:val="24"/>
        </w:rPr>
        <w:t>‐</w:t>
      </w:r>
      <w:r w:rsidRPr="00C02093">
        <w:rPr>
          <w:rFonts w:ascii="Arial" w:hAnsi="Arial" w:cs="Arial"/>
          <w:sz w:val="24"/>
          <w:szCs w:val="24"/>
        </w:rPr>
        <w:t xml:space="preserve">identify or misclassify maltreatment. Third, the outcome “involvement in the criminal justice system” depends on detection, arrest, and conviction—factors which themselves may be influenced by family background, policing biases, and socioeconomic status. Fourth, the generalisability may be limited: the sample, though sizeable </w:t>
      </w:r>
      <w:proofErr w:type="gramStart"/>
      <w:r w:rsidRPr="00C02093">
        <w:rPr>
          <w:rFonts w:ascii="Arial" w:hAnsi="Arial" w:cs="Arial"/>
          <w:sz w:val="24"/>
          <w:szCs w:val="24"/>
        </w:rPr>
        <w:t>( 1,000</w:t>
      </w:r>
      <w:proofErr w:type="gramEnd"/>
      <w:r w:rsidRPr="00C02093">
        <w:rPr>
          <w:rFonts w:ascii="Arial" w:hAnsi="Arial" w:cs="Arial"/>
          <w:sz w:val="24"/>
          <w:szCs w:val="24"/>
        </w:rPr>
        <w:t>), may not reflect all ethnic, cultural or national contexts.</w:t>
      </w:r>
    </w:p>
    <w:p w14:paraId="014F02E9" w14:textId="77777777" w:rsidR="00C02093" w:rsidRPr="00C02093" w:rsidRDefault="00C02093" w:rsidP="00C02093">
      <w:pPr>
        <w:rPr>
          <w:rFonts w:ascii="Arial" w:hAnsi="Arial" w:cs="Arial"/>
          <w:sz w:val="24"/>
          <w:szCs w:val="24"/>
        </w:rPr>
      </w:pPr>
    </w:p>
    <w:p w14:paraId="4F2F636F" w14:textId="77777777" w:rsidR="00C02093" w:rsidRPr="00C02093" w:rsidRDefault="00C02093" w:rsidP="00C02093">
      <w:pPr>
        <w:rPr>
          <w:rFonts w:ascii="Arial" w:hAnsi="Arial" w:cs="Arial"/>
          <w:sz w:val="24"/>
          <w:szCs w:val="24"/>
        </w:rPr>
      </w:pPr>
      <w:r w:rsidRPr="00C02093">
        <w:rPr>
          <w:rFonts w:ascii="Arial" w:hAnsi="Arial" w:cs="Arial"/>
          <w:sz w:val="24"/>
          <w:szCs w:val="24"/>
        </w:rPr>
        <w:t>Implications</w:t>
      </w:r>
    </w:p>
    <w:p w14:paraId="68067B68" w14:textId="77777777" w:rsidR="00C02093" w:rsidRPr="00C02093" w:rsidRDefault="00C02093" w:rsidP="00C02093">
      <w:pPr>
        <w:rPr>
          <w:rFonts w:ascii="Arial" w:hAnsi="Arial" w:cs="Arial"/>
          <w:sz w:val="24"/>
          <w:szCs w:val="24"/>
        </w:rPr>
      </w:pPr>
      <w:r w:rsidRPr="00C02093">
        <w:rPr>
          <w:rFonts w:ascii="Arial" w:hAnsi="Arial" w:cs="Arial"/>
          <w:sz w:val="24"/>
          <w:szCs w:val="24"/>
        </w:rPr>
        <w:t>The findings have several implications. From a policy and prevention perspective, they underscore that children from homes with parental criminality or abuse/neglect represent high</w:t>
      </w:r>
      <w:r w:rsidRPr="00C02093">
        <w:rPr>
          <w:rFonts w:ascii="Cambria Math" w:hAnsi="Cambria Math" w:cs="Cambria Math"/>
          <w:sz w:val="24"/>
          <w:szCs w:val="24"/>
        </w:rPr>
        <w:t>‐</w:t>
      </w:r>
      <w:r w:rsidRPr="00C02093">
        <w:rPr>
          <w:rFonts w:ascii="Arial" w:hAnsi="Arial" w:cs="Arial"/>
          <w:sz w:val="24"/>
          <w:szCs w:val="24"/>
        </w:rPr>
        <w:t>risk groups for entering the criminal justice system. Interventions should target both: parental criminal justice involvement and abusive home environments. Importantly, children facing both risks deserve heightened attention given their compounded vulnerability.</w:t>
      </w:r>
    </w:p>
    <w:p w14:paraId="5BB9212B" w14:textId="77777777" w:rsidR="00C02093" w:rsidRPr="00C02093" w:rsidRDefault="00C02093" w:rsidP="00C02093">
      <w:pPr>
        <w:rPr>
          <w:rFonts w:ascii="Arial" w:hAnsi="Arial" w:cs="Arial"/>
          <w:sz w:val="24"/>
          <w:szCs w:val="24"/>
        </w:rPr>
      </w:pPr>
    </w:p>
    <w:p w14:paraId="683A4709" w14:textId="77777777" w:rsidR="00C02093" w:rsidRPr="00C02093" w:rsidRDefault="00C02093" w:rsidP="00C02093">
      <w:pPr>
        <w:rPr>
          <w:rFonts w:ascii="Arial" w:hAnsi="Arial" w:cs="Arial"/>
          <w:sz w:val="24"/>
          <w:szCs w:val="24"/>
        </w:rPr>
      </w:pPr>
      <w:r w:rsidRPr="00C02093">
        <w:rPr>
          <w:rFonts w:ascii="Arial" w:hAnsi="Arial" w:cs="Arial"/>
          <w:sz w:val="24"/>
          <w:szCs w:val="24"/>
        </w:rPr>
        <w:t>Intervention strategies may include enhancing parental supervision and monitoring, reducing exposure to deviant peers, promoting school attachment, and strengthening non</w:t>
      </w:r>
      <w:r w:rsidRPr="00C02093">
        <w:rPr>
          <w:rFonts w:ascii="Cambria Math" w:hAnsi="Cambria Math" w:cs="Cambria Math"/>
          <w:sz w:val="24"/>
          <w:szCs w:val="24"/>
        </w:rPr>
        <w:t>‐</w:t>
      </w:r>
      <w:r w:rsidRPr="00C02093">
        <w:rPr>
          <w:rFonts w:ascii="Arial" w:hAnsi="Arial" w:cs="Arial"/>
          <w:sz w:val="24"/>
          <w:szCs w:val="24"/>
        </w:rPr>
        <w:t>offending caregiver support or mentoring. Family</w:t>
      </w:r>
      <w:r w:rsidRPr="00C02093">
        <w:rPr>
          <w:rFonts w:ascii="Arial" w:hAnsi="Arial" w:cs="Arial"/>
          <w:sz w:val="24"/>
          <w:szCs w:val="24"/>
        </w:rPr>
        <w:noBreakHyphen/>
      </w:r>
      <w:proofErr w:type="spellStart"/>
      <w:r w:rsidRPr="00C02093">
        <w:rPr>
          <w:rFonts w:ascii="Arial" w:hAnsi="Arial" w:cs="Arial"/>
          <w:sz w:val="24"/>
          <w:szCs w:val="24"/>
        </w:rPr>
        <w:t>centered</w:t>
      </w:r>
      <w:proofErr w:type="spellEnd"/>
      <w:r w:rsidRPr="00C02093">
        <w:rPr>
          <w:rFonts w:ascii="Arial" w:hAnsi="Arial" w:cs="Arial"/>
          <w:sz w:val="24"/>
          <w:szCs w:val="24"/>
        </w:rPr>
        <w:t xml:space="preserve"> programmes which reduce parental hostility and improve attachment show promise, as evidenced in longitudinal work showing reductions in antisocial behaviour when maternal hostility decreased. </w:t>
      </w:r>
    </w:p>
    <w:p w14:paraId="1EC40B00" w14:textId="77777777" w:rsidR="00C02093" w:rsidRPr="00C02093" w:rsidRDefault="00C02093" w:rsidP="00C02093">
      <w:pPr>
        <w:rPr>
          <w:rFonts w:ascii="Arial" w:hAnsi="Arial" w:cs="Arial"/>
          <w:sz w:val="24"/>
          <w:szCs w:val="24"/>
        </w:rPr>
      </w:pPr>
      <w:r w:rsidRPr="00C02093">
        <w:rPr>
          <w:rFonts w:ascii="Arial" w:hAnsi="Arial" w:cs="Arial"/>
          <w:sz w:val="24"/>
          <w:szCs w:val="24"/>
        </w:rPr>
        <w:t>BioMed Central</w:t>
      </w:r>
    </w:p>
    <w:p w14:paraId="61E6B399" w14:textId="77777777" w:rsidR="00C02093" w:rsidRPr="00C02093" w:rsidRDefault="00C02093" w:rsidP="00C02093">
      <w:pPr>
        <w:rPr>
          <w:rFonts w:ascii="Arial" w:hAnsi="Arial" w:cs="Arial"/>
          <w:sz w:val="24"/>
          <w:szCs w:val="24"/>
        </w:rPr>
      </w:pPr>
    </w:p>
    <w:p w14:paraId="6A84E20D" w14:textId="77777777" w:rsidR="00C02093" w:rsidRPr="00C02093" w:rsidRDefault="00C02093" w:rsidP="00C02093">
      <w:pPr>
        <w:rPr>
          <w:rFonts w:ascii="Arial" w:hAnsi="Arial" w:cs="Arial"/>
          <w:sz w:val="24"/>
          <w:szCs w:val="24"/>
        </w:rPr>
      </w:pPr>
      <w:r w:rsidRPr="00C02093">
        <w:rPr>
          <w:rFonts w:ascii="Arial" w:hAnsi="Arial" w:cs="Arial"/>
          <w:sz w:val="24"/>
          <w:szCs w:val="24"/>
        </w:rPr>
        <w:t xml:space="preserve">Moreover, addressing broader structural factors—such as neighbourhood disadvantage, economic poverty, parental unemployment, and social stigma associated with criminal justice contact—is vital. The interaction between family risk </w:t>
      </w:r>
      <w:r w:rsidRPr="00C02093">
        <w:rPr>
          <w:rFonts w:ascii="Arial" w:hAnsi="Arial" w:cs="Arial"/>
          <w:sz w:val="24"/>
          <w:szCs w:val="24"/>
        </w:rPr>
        <w:lastRenderedPageBreak/>
        <w:t>and ecological deprivation suggests that supporting families in less</w:t>
      </w:r>
      <w:r w:rsidRPr="00C02093">
        <w:rPr>
          <w:rFonts w:ascii="Arial" w:hAnsi="Arial" w:cs="Arial"/>
          <w:sz w:val="24"/>
          <w:szCs w:val="24"/>
        </w:rPr>
        <w:noBreakHyphen/>
        <w:t>resourced communities may be especially important.</w:t>
      </w:r>
    </w:p>
    <w:p w14:paraId="06E0F507" w14:textId="77777777" w:rsidR="00C02093" w:rsidRPr="00C02093" w:rsidRDefault="00C02093" w:rsidP="00C02093">
      <w:pPr>
        <w:rPr>
          <w:rFonts w:ascii="Arial" w:hAnsi="Arial" w:cs="Arial"/>
          <w:sz w:val="24"/>
          <w:szCs w:val="24"/>
        </w:rPr>
      </w:pPr>
    </w:p>
    <w:p w14:paraId="7F24BB05" w14:textId="77777777" w:rsidR="00C02093" w:rsidRPr="00C02093" w:rsidRDefault="00C02093" w:rsidP="00C02093">
      <w:pPr>
        <w:rPr>
          <w:rFonts w:ascii="Arial" w:hAnsi="Arial" w:cs="Arial"/>
          <w:sz w:val="24"/>
          <w:szCs w:val="24"/>
        </w:rPr>
      </w:pPr>
      <w:r w:rsidRPr="00C02093">
        <w:rPr>
          <w:rFonts w:ascii="Arial" w:hAnsi="Arial" w:cs="Arial"/>
          <w:sz w:val="24"/>
          <w:szCs w:val="24"/>
        </w:rPr>
        <w:t>Conclusions</w:t>
      </w:r>
    </w:p>
    <w:p w14:paraId="3F27B8D6" w14:textId="77777777" w:rsidR="00C02093" w:rsidRPr="00C02093" w:rsidRDefault="00C02093" w:rsidP="00C02093">
      <w:pPr>
        <w:rPr>
          <w:rFonts w:ascii="Arial" w:hAnsi="Arial" w:cs="Arial"/>
          <w:sz w:val="24"/>
          <w:szCs w:val="24"/>
        </w:rPr>
      </w:pPr>
      <w:r w:rsidRPr="00C02093">
        <w:rPr>
          <w:rFonts w:ascii="Arial" w:hAnsi="Arial" w:cs="Arial"/>
          <w:sz w:val="24"/>
          <w:szCs w:val="24"/>
        </w:rPr>
        <w:t>In sum, this study provides compelling evidence that children growing up in homes with criminal parents, abusive or neglectful parenting, or both, are at significantly elevated risk of involvement in the criminal justice system. Parental criminality seems to exert a somewhat stronger effect than abuse/neglect alone, but the greatest risk emerges when both are present, indicating a cumulative risk effect. The results reinforce theoretical frameworks emphasising family socialisation, modelling, supervision, and structural disadvantage. They also highlight the need for early, targeted, multi</w:t>
      </w:r>
      <w:r w:rsidRPr="00C02093">
        <w:rPr>
          <w:rFonts w:ascii="Cambria Math" w:hAnsi="Cambria Math" w:cs="Cambria Math"/>
          <w:sz w:val="24"/>
          <w:szCs w:val="24"/>
        </w:rPr>
        <w:t>‐</w:t>
      </w:r>
      <w:r w:rsidRPr="00C02093">
        <w:rPr>
          <w:rFonts w:ascii="Arial" w:hAnsi="Arial" w:cs="Arial"/>
          <w:sz w:val="24"/>
          <w:szCs w:val="24"/>
        </w:rPr>
        <w:t>level interventions to break intergenerational cycles of offending.</w:t>
      </w:r>
    </w:p>
    <w:p w14:paraId="71EAB3B2" w14:textId="77777777" w:rsidR="00C02093" w:rsidRPr="00C02093" w:rsidRDefault="00C02093" w:rsidP="00C02093">
      <w:pPr>
        <w:rPr>
          <w:rFonts w:ascii="Arial" w:hAnsi="Arial" w:cs="Arial"/>
          <w:sz w:val="24"/>
          <w:szCs w:val="24"/>
        </w:rPr>
      </w:pPr>
    </w:p>
    <w:p w14:paraId="53FC9838" w14:textId="77777777" w:rsidR="00C02093" w:rsidRPr="00C02093" w:rsidRDefault="00C02093" w:rsidP="00C02093">
      <w:pPr>
        <w:rPr>
          <w:rFonts w:ascii="Arial" w:hAnsi="Arial" w:cs="Arial"/>
          <w:sz w:val="24"/>
          <w:szCs w:val="24"/>
        </w:rPr>
      </w:pPr>
      <w:r w:rsidRPr="00C02093">
        <w:rPr>
          <w:rFonts w:ascii="Arial" w:hAnsi="Arial" w:cs="Arial"/>
          <w:sz w:val="24"/>
          <w:szCs w:val="24"/>
        </w:rPr>
        <w:t>Future research should aim to disentangle genetic versus environmental contributions, examine gender and ethnicity moderators, and test the efficacy of specific preventive interventions (e.g., mentoring, parenting programmes, community supports) in reducing pathways from adverse family backgrounds to offending.</w:t>
      </w:r>
    </w:p>
    <w:p w14:paraId="1C686D32" w14:textId="77777777" w:rsidR="00C02093" w:rsidRPr="00C02093" w:rsidRDefault="00C02093" w:rsidP="00C02093"/>
    <w:p w14:paraId="6D31CA43" w14:textId="77777777" w:rsidR="00C02093" w:rsidRPr="00C02093" w:rsidRDefault="00C02093" w:rsidP="00C02093"/>
    <w:p w14:paraId="54854390" w14:textId="2084C9E7" w:rsidR="001E7E37" w:rsidRDefault="00C02093">
      <w:r>
        <w:t>Word count 2277</w:t>
      </w:r>
    </w:p>
    <w:sectPr w:rsidR="001E7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093"/>
    <w:rsid w:val="001206AF"/>
    <w:rsid w:val="001E7E37"/>
    <w:rsid w:val="006C19C5"/>
    <w:rsid w:val="00C02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7E5D3"/>
  <w15:chartTrackingRefBased/>
  <w15:docId w15:val="{CDB70A3F-204F-4C93-A993-335FD0911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0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20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20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20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20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20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0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0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0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0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20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20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20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20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20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0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0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093"/>
    <w:rPr>
      <w:rFonts w:eastAsiaTheme="majorEastAsia" w:cstheme="majorBidi"/>
      <w:color w:val="272727" w:themeColor="text1" w:themeTint="D8"/>
    </w:rPr>
  </w:style>
  <w:style w:type="paragraph" w:styleId="Title">
    <w:name w:val="Title"/>
    <w:basedOn w:val="Normal"/>
    <w:next w:val="Normal"/>
    <w:link w:val="TitleChar"/>
    <w:uiPriority w:val="10"/>
    <w:qFormat/>
    <w:rsid w:val="00C020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0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0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0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093"/>
    <w:pPr>
      <w:spacing w:before="160"/>
      <w:jc w:val="center"/>
    </w:pPr>
    <w:rPr>
      <w:i/>
      <w:iCs/>
      <w:color w:val="404040" w:themeColor="text1" w:themeTint="BF"/>
    </w:rPr>
  </w:style>
  <w:style w:type="character" w:customStyle="1" w:styleId="QuoteChar">
    <w:name w:val="Quote Char"/>
    <w:basedOn w:val="DefaultParagraphFont"/>
    <w:link w:val="Quote"/>
    <w:uiPriority w:val="29"/>
    <w:rsid w:val="00C02093"/>
    <w:rPr>
      <w:i/>
      <w:iCs/>
      <w:color w:val="404040" w:themeColor="text1" w:themeTint="BF"/>
    </w:rPr>
  </w:style>
  <w:style w:type="paragraph" w:styleId="ListParagraph">
    <w:name w:val="List Paragraph"/>
    <w:basedOn w:val="Normal"/>
    <w:uiPriority w:val="34"/>
    <w:qFormat/>
    <w:rsid w:val="00C02093"/>
    <w:pPr>
      <w:ind w:left="720"/>
      <w:contextualSpacing/>
    </w:pPr>
  </w:style>
  <w:style w:type="character" w:styleId="IntenseEmphasis">
    <w:name w:val="Intense Emphasis"/>
    <w:basedOn w:val="DefaultParagraphFont"/>
    <w:uiPriority w:val="21"/>
    <w:qFormat/>
    <w:rsid w:val="00C02093"/>
    <w:rPr>
      <w:i/>
      <w:iCs/>
      <w:color w:val="2F5496" w:themeColor="accent1" w:themeShade="BF"/>
    </w:rPr>
  </w:style>
  <w:style w:type="paragraph" w:styleId="IntenseQuote">
    <w:name w:val="Intense Quote"/>
    <w:basedOn w:val="Normal"/>
    <w:next w:val="Normal"/>
    <w:link w:val="IntenseQuoteChar"/>
    <w:uiPriority w:val="30"/>
    <w:qFormat/>
    <w:rsid w:val="00C020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2093"/>
    <w:rPr>
      <w:i/>
      <w:iCs/>
      <w:color w:val="2F5496" w:themeColor="accent1" w:themeShade="BF"/>
    </w:rPr>
  </w:style>
  <w:style w:type="character" w:styleId="IntenseReference">
    <w:name w:val="Intense Reference"/>
    <w:basedOn w:val="DefaultParagraphFont"/>
    <w:uiPriority w:val="32"/>
    <w:qFormat/>
    <w:rsid w:val="00C0209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924">
      <w:bodyDiv w:val="1"/>
      <w:marLeft w:val="0"/>
      <w:marRight w:val="0"/>
      <w:marTop w:val="0"/>
      <w:marBottom w:val="0"/>
      <w:divBdr>
        <w:top w:val="none" w:sz="0" w:space="0" w:color="auto"/>
        <w:left w:val="none" w:sz="0" w:space="0" w:color="auto"/>
        <w:bottom w:val="none" w:sz="0" w:space="0" w:color="auto"/>
        <w:right w:val="none" w:sz="0" w:space="0" w:color="auto"/>
      </w:divBdr>
    </w:div>
    <w:div w:id="150774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1444</Words>
  <Characters>8232</Characters>
  <Application>Microsoft Office Word</Application>
  <DocSecurity>0</DocSecurity>
  <Lines>68</Lines>
  <Paragraphs>19</Paragraphs>
  <ScaleCrop>false</ScaleCrop>
  <Company>Gwent Police</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Emma-Marie</dc:creator>
  <cp:keywords/>
  <dc:description/>
  <cp:lastModifiedBy>Linton, Emma-Marie</cp:lastModifiedBy>
  <cp:revision>1</cp:revision>
  <dcterms:created xsi:type="dcterms:W3CDTF">2025-10-21T16:59:00Z</dcterms:created>
  <dcterms:modified xsi:type="dcterms:W3CDTF">2025-10-21T17:08:00Z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2025-10-21T17:08:48Z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a8f359fa-3081-4e63-9411-b82c422cabd8</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