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52DF93" w14:textId="77777777" w:rsidR="000F227A" w:rsidRDefault="000F227A" w:rsidP="000F227A">
      <w:pPr>
        <w:pStyle w:val="Normal1"/>
        <w:jc w:val="center"/>
        <w:rPr>
          <w:rFonts w:ascii="Times New Roman" w:eastAsia="Times New Roman" w:hAnsi="Times New Roman" w:cs="Times New Roman"/>
          <w:b/>
          <w:bCs/>
          <w:sz w:val="48"/>
          <w:szCs w:val="48"/>
        </w:rPr>
      </w:pPr>
      <w:bookmarkStart w:id="0" w:name="_GoBack"/>
      <w:bookmarkEnd w:id="0"/>
    </w:p>
    <w:p w14:paraId="79B3867E" w14:textId="77777777" w:rsidR="000F227A" w:rsidRDefault="000F227A" w:rsidP="000F227A">
      <w:pPr>
        <w:pStyle w:val="Normal1"/>
        <w:jc w:val="center"/>
        <w:rPr>
          <w:rFonts w:ascii="Times New Roman" w:eastAsia="Times New Roman" w:hAnsi="Times New Roman" w:cs="Times New Roman"/>
          <w:b/>
          <w:bCs/>
          <w:sz w:val="48"/>
          <w:szCs w:val="48"/>
        </w:rPr>
      </w:pPr>
    </w:p>
    <w:p w14:paraId="42AAA005" w14:textId="77777777" w:rsidR="000F227A" w:rsidRDefault="000F227A" w:rsidP="000F227A">
      <w:pPr>
        <w:pStyle w:val="Normal1"/>
        <w:jc w:val="center"/>
        <w:rPr>
          <w:rFonts w:ascii="Times New Roman" w:eastAsia="Times New Roman" w:hAnsi="Times New Roman" w:cs="Times New Roman"/>
          <w:b/>
          <w:bCs/>
          <w:sz w:val="48"/>
          <w:szCs w:val="48"/>
        </w:rPr>
      </w:pPr>
    </w:p>
    <w:p w14:paraId="10AFA1F6" w14:textId="77777777" w:rsidR="00D74DB6" w:rsidRDefault="00D74DB6" w:rsidP="00D74DB6">
      <w:pPr>
        <w:jc w:val="center"/>
        <w:rPr>
          <w:b/>
          <w:bCs/>
          <w:sz w:val="30"/>
          <w:szCs w:val="28"/>
        </w:rPr>
      </w:pPr>
      <w:r w:rsidRPr="00FF738B">
        <w:rPr>
          <w:rFonts w:cs="Times New Roman"/>
          <w:noProof/>
          <w:sz w:val="32"/>
          <w:szCs w:val="36"/>
          <w:lang w:val="en-US"/>
        </w:rPr>
        <w:drawing>
          <wp:inline distT="0" distB="0" distL="0" distR="0" wp14:anchorId="2EE4968B" wp14:editId="12700C92">
            <wp:extent cx="5300980" cy="13773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00980" cy="1377315"/>
                    </a:xfrm>
                    <a:prstGeom prst="rect">
                      <a:avLst/>
                    </a:prstGeom>
                    <a:noFill/>
                    <a:ln>
                      <a:noFill/>
                    </a:ln>
                  </pic:spPr>
                </pic:pic>
              </a:graphicData>
            </a:graphic>
          </wp:inline>
        </w:drawing>
      </w:r>
    </w:p>
    <w:p w14:paraId="3CE502FB" w14:textId="77777777" w:rsidR="00D74DB6" w:rsidRDefault="00D74DB6" w:rsidP="00D74DB6">
      <w:pPr>
        <w:jc w:val="center"/>
        <w:rPr>
          <w:b/>
          <w:bCs/>
          <w:sz w:val="30"/>
          <w:szCs w:val="28"/>
        </w:rPr>
      </w:pPr>
    </w:p>
    <w:p w14:paraId="38B01BE5" w14:textId="77777777" w:rsidR="00D74DB6" w:rsidRDefault="00D74DB6" w:rsidP="00D74DB6">
      <w:pPr>
        <w:rPr>
          <w:b/>
          <w:bCs/>
          <w:sz w:val="30"/>
          <w:szCs w:val="28"/>
        </w:rPr>
      </w:pPr>
    </w:p>
    <w:p w14:paraId="30F24587" w14:textId="77777777" w:rsidR="00D74DB6" w:rsidRDefault="00D74DB6" w:rsidP="00D74DB6">
      <w:pPr>
        <w:spacing w:line="360" w:lineRule="auto"/>
        <w:ind w:left="720"/>
        <w:rPr>
          <w:b/>
          <w:bCs/>
          <w:sz w:val="28"/>
          <w:szCs w:val="28"/>
        </w:rPr>
      </w:pPr>
    </w:p>
    <w:p w14:paraId="3058D152" w14:textId="77777777" w:rsidR="00E5452A" w:rsidRDefault="00E5452A" w:rsidP="00173FC2">
      <w:pPr>
        <w:spacing w:line="360" w:lineRule="auto"/>
        <w:ind w:left="720"/>
        <w:rPr>
          <w:b/>
          <w:bCs/>
          <w:sz w:val="24"/>
          <w:szCs w:val="24"/>
        </w:rPr>
      </w:pPr>
    </w:p>
    <w:p w14:paraId="572AE952" w14:textId="127CBA16" w:rsidR="00D74DB6" w:rsidRDefault="00D74DB6" w:rsidP="00DF068C">
      <w:pPr>
        <w:spacing w:line="360" w:lineRule="auto"/>
        <w:jc w:val="center"/>
        <w:rPr>
          <w:b/>
          <w:bCs/>
          <w:sz w:val="24"/>
          <w:szCs w:val="24"/>
        </w:rPr>
      </w:pPr>
      <w:r w:rsidRPr="00173FC2">
        <w:rPr>
          <w:b/>
          <w:bCs/>
          <w:sz w:val="24"/>
          <w:szCs w:val="24"/>
        </w:rPr>
        <w:t>Module Name: INTERNATIONAL BUSINESS CONCEPTS</w:t>
      </w:r>
    </w:p>
    <w:p w14:paraId="55FB9D3B" w14:textId="77777777" w:rsidR="00DF068C" w:rsidRPr="00173FC2" w:rsidRDefault="00DF068C" w:rsidP="00DF068C">
      <w:pPr>
        <w:spacing w:line="360" w:lineRule="auto"/>
        <w:jc w:val="center"/>
        <w:rPr>
          <w:b/>
          <w:bCs/>
          <w:sz w:val="24"/>
          <w:szCs w:val="24"/>
        </w:rPr>
      </w:pPr>
    </w:p>
    <w:p w14:paraId="2445D36B" w14:textId="081C4801" w:rsidR="00D74DB6" w:rsidRPr="00E5452A" w:rsidRDefault="00D74DB6" w:rsidP="00DF068C">
      <w:pPr>
        <w:spacing w:line="360" w:lineRule="auto"/>
        <w:jc w:val="center"/>
        <w:rPr>
          <w:b/>
          <w:sz w:val="24"/>
          <w:szCs w:val="24"/>
        </w:rPr>
      </w:pPr>
      <w:r w:rsidRPr="00173FC2">
        <w:rPr>
          <w:b/>
          <w:bCs/>
          <w:sz w:val="24"/>
          <w:szCs w:val="24"/>
        </w:rPr>
        <w:t xml:space="preserve">Module Code: </w:t>
      </w:r>
      <w:r w:rsidRPr="0028465D">
        <w:rPr>
          <w:sz w:val="24"/>
          <w:szCs w:val="24"/>
        </w:rPr>
        <w:t>LCMB7034</w:t>
      </w:r>
    </w:p>
    <w:p w14:paraId="3278808A" w14:textId="6965600E" w:rsidR="00D74DB6" w:rsidRPr="00173FC2" w:rsidRDefault="00D74DB6" w:rsidP="00DF068C">
      <w:pPr>
        <w:spacing w:line="360" w:lineRule="auto"/>
        <w:jc w:val="center"/>
        <w:rPr>
          <w:sz w:val="24"/>
          <w:szCs w:val="24"/>
        </w:rPr>
      </w:pPr>
      <w:r w:rsidRPr="00173FC2">
        <w:rPr>
          <w:b/>
          <w:sz w:val="24"/>
          <w:szCs w:val="24"/>
        </w:rPr>
        <w:t xml:space="preserve">Lecturer Name: </w:t>
      </w:r>
      <w:r w:rsidRPr="0028465D">
        <w:rPr>
          <w:sz w:val="24"/>
          <w:szCs w:val="24"/>
        </w:rPr>
        <w:t>Hoang Dang Nguyen</w:t>
      </w:r>
    </w:p>
    <w:p w14:paraId="53E80BF1" w14:textId="36417DC2" w:rsidR="00D74DB6" w:rsidRPr="00173FC2" w:rsidRDefault="00D74DB6" w:rsidP="00DF068C">
      <w:pPr>
        <w:spacing w:line="360" w:lineRule="auto"/>
        <w:jc w:val="center"/>
        <w:rPr>
          <w:bCs/>
          <w:sz w:val="24"/>
          <w:szCs w:val="24"/>
        </w:rPr>
      </w:pPr>
      <w:r w:rsidRPr="00173FC2">
        <w:rPr>
          <w:b/>
          <w:sz w:val="24"/>
          <w:szCs w:val="24"/>
        </w:rPr>
        <w:t>Chosen company</w:t>
      </w:r>
      <w:r w:rsidRPr="00173FC2">
        <w:rPr>
          <w:sz w:val="24"/>
          <w:szCs w:val="24"/>
        </w:rPr>
        <w:t xml:space="preserve">: Toyota </w:t>
      </w:r>
      <w:r w:rsidR="00E46B2B">
        <w:rPr>
          <w:sz w:val="24"/>
          <w:szCs w:val="24"/>
        </w:rPr>
        <w:t>Motor Corporation</w:t>
      </w:r>
    </w:p>
    <w:p w14:paraId="081F0647" w14:textId="77777777" w:rsidR="00D74DB6" w:rsidRPr="00173FC2" w:rsidRDefault="00D74DB6" w:rsidP="00DF068C">
      <w:pPr>
        <w:spacing w:line="360" w:lineRule="auto"/>
        <w:jc w:val="center"/>
        <w:rPr>
          <w:b/>
          <w:bCs/>
          <w:sz w:val="24"/>
          <w:szCs w:val="24"/>
        </w:rPr>
      </w:pPr>
      <w:r w:rsidRPr="00173FC2">
        <w:rPr>
          <w:b/>
          <w:bCs/>
          <w:sz w:val="24"/>
          <w:szCs w:val="24"/>
        </w:rPr>
        <w:t xml:space="preserve">Student Name: </w:t>
      </w:r>
      <w:r w:rsidRPr="00173FC2">
        <w:rPr>
          <w:bCs/>
          <w:sz w:val="24"/>
          <w:szCs w:val="24"/>
        </w:rPr>
        <w:t>Kazi Enamul</w:t>
      </w:r>
    </w:p>
    <w:p w14:paraId="29409096" w14:textId="6A510C5A" w:rsidR="00D74DB6" w:rsidRDefault="00D74DB6" w:rsidP="00DF068C">
      <w:pPr>
        <w:spacing w:line="360" w:lineRule="auto"/>
        <w:jc w:val="center"/>
        <w:rPr>
          <w:bCs/>
          <w:sz w:val="24"/>
          <w:szCs w:val="24"/>
        </w:rPr>
      </w:pPr>
      <w:r w:rsidRPr="00173FC2">
        <w:rPr>
          <w:b/>
          <w:bCs/>
          <w:sz w:val="24"/>
          <w:szCs w:val="24"/>
        </w:rPr>
        <w:t xml:space="preserve">Student ID: </w:t>
      </w:r>
      <w:r w:rsidRPr="00173FC2">
        <w:rPr>
          <w:bCs/>
          <w:sz w:val="24"/>
          <w:szCs w:val="24"/>
        </w:rPr>
        <w:t>2432479</w:t>
      </w:r>
    </w:p>
    <w:p w14:paraId="4253BD79" w14:textId="1D6EFE52" w:rsidR="00675383" w:rsidRDefault="00675383" w:rsidP="00675383">
      <w:pPr>
        <w:spacing w:line="360" w:lineRule="auto"/>
        <w:jc w:val="center"/>
        <w:rPr>
          <w:bCs/>
          <w:sz w:val="24"/>
          <w:szCs w:val="24"/>
        </w:rPr>
      </w:pPr>
      <w:r>
        <w:rPr>
          <w:b/>
          <w:bCs/>
          <w:sz w:val="24"/>
          <w:szCs w:val="24"/>
        </w:rPr>
        <w:t>Word count:</w:t>
      </w:r>
      <w:r>
        <w:rPr>
          <w:bCs/>
          <w:sz w:val="24"/>
          <w:szCs w:val="24"/>
        </w:rPr>
        <w:t xml:space="preserve"> 5248 words</w:t>
      </w:r>
    </w:p>
    <w:p w14:paraId="5D85E85E" w14:textId="49BBEB20" w:rsidR="00DE5498" w:rsidRPr="00173FC2" w:rsidRDefault="00D74DB6" w:rsidP="00DF068C">
      <w:pPr>
        <w:pStyle w:val="Normal1"/>
        <w:spacing w:line="360" w:lineRule="auto"/>
        <w:jc w:val="center"/>
        <w:rPr>
          <w:rFonts w:eastAsia="Times New Roman"/>
          <w:b/>
          <w:bCs/>
          <w:sz w:val="24"/>
          <w:szCs w:val="24"/>
        </w:rPr>
      </w:pPr>
      <w:r w:rsidRPr="00173FC2">
        <w:rPr>
          <w:b/>
          <w:bCs/>
          <w:sz w:val="24"/>
          <w:szCs w:val="24"/>
        </w:rPr>
        <w:t xml:space="preserve">Submission Date : </w:t>
      </w:r>
      <w:r w:rsidRPr="00173FC2">
        <w:rPr>
          <w:bCs/>
          <w:sz w:val="24"/>
          <w:szCs w:val="24"/>
        </w:rPr>
        <w:t>13/12/2025</w:t>
      </w:r>
    </w:p>
    <w:p w14:paraId="753035A9" w14:textId="77777777" w:rsidR="004D7D10" w:rsidRPr="00173FC2" w:rsidRDefault="004D7D10" w:rsidP="00E5452A">
      <w:pPr>
        <w:pStyle w:val="Normal1"/>
        <w:spacing w:line="360" w:lineRule="auto"/>
        <w:jc w:val="both"/>
        <w:rPr>
          <w:rFonts w:eastAsia="Times New Roman"/>
          <w:b/>
          <w:bCs/>
          <w:sz w:val="24"/>
          <w:szCs w:val="24"/>
        </w:rPr>
      </w:pPr>
    </w:p>
    <w:p w14:paraId="55879A97" w14:textId="77777777" w:rsidR="004D7D10" w:rsidRPr="00173FC2" w:rsidRDefault="004D7D10" w:rsidP="00E5452A">
      <w:pPr>
        <w:pStyle w:val="Normal1"/>
        <w:spacing w:line="360" w:lineRule="auto"/>
        <w:jc w:val="both"/>
        <w:rPr>
          <w:rFonts w:eastAsia="Times New Roman"/>
          <w:b/>
          <w:bCs/>
          <w:sz w:val="24"/>
          <w:szCs w:val="24"/>
        </w:rPr>
      </w:pPr>
    </w:p>
    <w:p w14:paraId="4E4278FB" w14:textId="77777777" w:rsidR="004D7D10" w:rsidRPr="00173FC2" w:rsidRDefault="004D7D10" w:rsidP="00E5452A">
      <w:pPr>
        <w:pStyle w:val="Normal1"/>
        <w:spacing w:line="360" w:lineRule="auto"/>
        <w:jc w:val="both"/>
        <w:rPr>
          <w:rFonts w:eastAsia="Times New Roman"/>
          <w:b/>
          <w:bCs/>
          <w:sz w:val="24"/>
          <w:szCs w:val="24"/>
        </w:rPr>
      </w:pPr>
    </w:p>
    <w:p w14:paraId="67282520" w14:textId="77777777" w:rsidR="004D7D10" w:rsidRPr="00173FC2" w:rsidRDefault="004D7D10" w:rsidP="00E5452A">
      <w:pPr>
        <w:pStyle w:val="Normal1"/>
        <w:spacing w:line="360" w:lineRule="auto"/>
        <w:jc w:val="both"/>
        <w:rPr>
          <w:rFonts w:eastAsia="Times New Roman"/>
          <w:b/>
          <w:bCs/>
          <w:sz w:val="24"/>
          <w:szCs w:val="24"/>
        </w:rPr>
      </w:pPr>
    </w:p>
    <w:p w14:paraId="0A2524B4" w14:textId="77777777" w:rsidR="004D7D10" w:rsidRPr="00173FC2" w:rsidRDefault="004D7D10" w:rsidP="00E5452A">
      <w:pPr>
        <w:pStyle w:val="Normal1"/>
        <w:spacing w:line="360" w:lineRule="auto"/>
        <w:jc w:val="both"/>
        <w:rPr>
          <w:rFonts w:eastAsia="Times New Roman"/>
          <w:b/>
          <w:bCs/>
          <w:sz w:val="24"/>
          <w:szCs w:val="24"/>
        </w:rPr>
      </w:pPr>
    </w:p>
    <w:p w14:paraId="24EC8737" w14:textId="7E856E04" w:rsidR="004D7D10" w:rsidRPr="00173FC2" w:rsidRDefault="004D7D10" w:rsidP="00E5452A">
      <w:pPr>
        <w:pStyle w:val="Normal1"/>
        <w:spacing w:line="360" w:lineRule="auto"/>
        <w:jc w:val="both"/>
        <w:rPr>
          <w:rFonts w:eastAsia="Times New Roman"/>
          <w:b/>
          <w:bCs/>
          <w:sz w:val="24"/>
          <w:szCs w:val="24"/>
        </w:rPr>
      </w:pPr>
    </w:p>
    <w:p w14:paraId="5FDA9D4A" w14:textId="67B6BBE0" w:rsidR="00173FC2" w:rsidRPr="00173FC2" w:rsidRDefault="00173FC2" w:rsidP="00E5452A">
      <w:pPr>
        <w:pStyle w:val="Normal1"/>
        <w:spacing w:line="360" w:lineRule="auto"/>
        <w:jc w:val="both"/>
        <w:rPr>
          <w:rFonts w:eastAsia="Times New Roman"/>
          <w:b/>
          <w:bCs/>
          <w:sz w:val="24"/>
          <w:szCs w:val="24"/>
        </w:rPr>
      </w:pPr>
    </w:p>
    <w:p w14:paraId="38DE71C9" w14:textId="7E336B03" w:rsidR="00173FC2" w:rsidRPr="00173FC2" w:rsidRDefault="00173FC2" w:rsidP="00E5452A">
      <w:pPr>
        <w:pStyle w:val="Normal1"/>
        <w:spacing w:line="360" w:lineRule="auto"/>
        <w:jc w:val="both"/>
        <w:rPr>
          <w:rFonts w:eastAsia="Times New Roman"/>
          <w:b/>
          <w:bCs/>
          <w:sz w:val="24"/>
          <w:szCs w:val="24"/>
        </w:rPr>
      </w:pPr>
    </w:p>
    <w:p w14:paraId="140FB71D" w14:textId="58856CA1" w:rsidR="000F227A" w:rsidRPr="00173FC2" w:rsidRDefault="00D74DB6" w:rsidP="00E5452A">
      <w:pPr>
        <w:spacing w:line="360" w:lineRule="auto"/>
        <w:jc w:val="both"/>
        <w:rPr>
          <w:rFonts w:eastAsia="Times New Roman"/>
          <w:b/>
          <w:bCs/>
          <w:sz w:val="24"/>
          <w:szCs w:val="24"/>
        </w:rPr>
      </w:pPr>
      <w:r w:rsidRPr="00173FC2">
        <w:rPr>
          <w:rFonts w:eastAsia="Times New Roman"/>
          <w:b/>
          <w:bCs/>
          <w:sz w:val="24"/>
          <w:szCs w:val="24"/>
        </w:rPr>
        <w:lastRenderedPageBreak/>
        <w:t xml:space="preserve"> </w:t>
      </w:r>
    </w:p>
    <w:p w14:paraId="11A53941" w14:textId="77777777" w:rsidR="00D74DB6" w:rsidRPr="00173FC2" w:rsidRDefault="00D74DB6" w:rsidP="00E5452A">
      <w:pPr>
        <w:spacing w:line="360" w:lineRule="auto"/>
        <w:jc w:val="both"/>
        <w:rPr>
          <w:rFonts w:eastAsia="Times New Roman"/>
          <w:b/>
          <w:bCs/>
          <w:sz w:val="24"/>
          <w:szCs w:val="24"/>
        </w:rPr>
      </w:pPr>
    </w:p>
    <w:bookmarkStart w:id="1" w:name="_n0hl4pfwf1gg" w:colFirst="0" w:colLast="0" w:displacedByCustomXml="next"/>
    <w:bookmarkEnd w:id="1" w:displacedByCustomXml="next"/>
    <w:bookmarkStart w:id="2" w:name="_m0iely654t84" w:colFirst="0" w:colLast="0" w:displacedByCustomXml="next"/>
    <w:bookmarkEnd w:id="2" w:displacedByCustomXml="next"/>
    <w:bookmarkStart w:id="3" w:name="_fvcscft4za9p" w:colFirst="0" w:colLast="0" w:displacedByCustomXml="next"/>
    <w:bookmarkEnd w:id="3" w:displacedByCustomXml="next"/>
    <w:sdt>
      <w:sdtPr>
        <w:rPr>
          <w:rFonts w:ascii="Arial" w:eastAsia="Arial" w:hAnsi="Arial" w:cs="Arial"/>
          <w:b w:val="0"/>
          <w:bCs w:val="0"/>
          <w:color w:val="auto"/>
          <w:sz w:val="24"/>
          <w:szCs w:val="24"/>
          <w:lang w:val="en-IN"/>
        </w:rPr>
        <w:id w:val="108369860"/>
        <w:docPartObj>
          <w:docPartGallery w:val="Table of Contents"/>
          <w:docPartUnique/>
        </w:docPartObj>
      </w:sdtPr>
      <w:sdtEndPr/>
      <w:sdtContent>
        <w:p w14:paraId="180E336B" w14:textId="77777777" w:rsidR="004D7D10" w:rsidRPr="00173FC2" w:rsidRDefault="004D7D10" w:rsidP="00E5452A">
          <w:pPr>
            <w:pStyle w:val="TOCHeading"/>
            <w:spacing w:before="0" w:line="360" w:lineRule="auto"/>
            <w:jc w:val="both"/>
            <w:rPr>
              <w:rFonts w:ascii="Arial" w:hAnsi="Arial" w:cs="Arial"/>
              <w:sz w:val="24"/>
              <w:szCs w:val="24"/>
            </w:rPr>
          </w:pPr>
          <w:r w:rsidRPr="00173FC2">
            <w:rPr>
              <w:rFonts w:ascii="Arial" w:hAnsi="Arial" w:cs="Arial"/>
              <w:color w:val="000000" w:themeColor="text1"/>
              <w:sz w:val="24"/>
              <w:szCs w:val="24"/>
            </w:rPr>
            <w:t>Table of Contents</w:t>
          </w:r>
        </w:p>
        <w:p w14:paraId="43AA534B" w14:textId="2B40D636" w:rsidR="000F227A" w:rsidRPr="00173FC2" w:rsidRDefault="004D7D10" w:rsidP="00E5452A">
          <w:pPr>
            <w:pStyle w:val="TOC1"/>
            <w:tabs>
              <w:tab w:val="right" w:leader="dot" w:pos="9350"/>
            </w:tabs>
            <w:spacing w:after="0" w:line="360" w:lineRule="auto"/>
            <w:jc w:val="both"/>
            <w:rPr>
              <w:rFonts w:eastAsiaTheme="minorEastAsia"/>
              <w:noProof/>
              <w:kern w:val="2"/>
              <w:sz w:val="24"/>
              <w:szCs w:val="24"/>
              <w:lang w:eastAsia="en-IN"/>
              <w14:ligatures w14:val="standardContextual"/>
            </w:rPr>
          </w:pPr>
          <w:r w:rsidRPr="00173FC2">
            <w:rPr>
              <w:sz w:val="24"/>
              <w:szCs w:val="24"/>
            </w:rPr>
            <w:fldChar w:fldCharType="begin"/>
          </w:r>
          <w:r w:rsidRPr="00173FC2">
            <w:rPr>
              <w:sz w:val="24"/>
              <w:szCs w:val="24"/>
            </w:rPr>
            <w:instrText xml:space="preserve"> TOC \o "1-3" \h \z \u </w:instrText>
          </w:r>
          <w:r w:rsidRPr="00173FC2">
            <w:rPr>
              <w:sz w:val="24"/>
              <w:szCs w:val="24"/>
            </w:rPr>
            <w:fldChar w:fldCharType="separate"/>
          </w:r>
          <w:hyperlink w:anchor="_Toc214641821" w:history="1">
            <w:r w:rsidR="000F227A" w:rsidRPr="00173FC2">
              <w:rPr>
                <w:rStyle w:val="Hyperlink"/>
                <w:noProof/>
                <w:sz w:val="24"/>
                <w:szCs w:val="24"/>
              </w:rPr>
              <w:t>1. Introduction to the report</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_Toc214641821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3</w:t>
            </w:r>
            <w:r w:rsidR="000F227A" w:rsidRPr="00173FC2">
              <w:rPr>
                <w:noProof/>
                <w:webHidden/>
                <w:sz w:val="24"/>
                <w:szCs w:val="24"/>
              </w:rPr>
              <w:fldChar w:fldCharType="end"/>
            </w:r>
          </w:hyperlink>
        </w:p>
        <w:p w14:paraId="784A4294" w14:textId="09802309" w:rsidR="000F227A" w:rsidRPr="00173FC2" w:rsidRDefault="003D2EE3" w:rsidP="00E5452A">
          <w:pPr>
            <w:pStyle w:val="TOC1"/>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22" w:history="1">
            <w:r w:rsidR="000F227A" w:rsidRPr="00173FC2">
              <w:rPr>
                <w:rStyle w:val="Hyperlink"/>
                <w:noProof/>
                <w:sz w:val="24"/>
                <w:szCs w:val="24"/>
              </w:rPr>
              <w:t>2. Benefits and challenges of international operations</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_Toc214641822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3</w:t>
            </w:r>
            <w:r w:rsidR="000F227A" w:rsidRPr="00173FC2">
              <w:rPr>
                <w:noProof/>
                <w:webHidden/>
                <w:sz w:val="24"/>
                <w:szCs w:val="24"/>
              </w:rPr>
              <w:fldChar w:fldCharType="end"/>
            </w:r>
          </w:hyperlink>
        </w:p>
        <w:p w14:paraId="53E91BE7" w14:textId="3252FE7D" w:rsidR="000F227A" w:rsidRPr="00173FC2" w:rsidRDefault="003D2EE3" w:rsidP="00E5452A">
          <w:pPr>
            <w:pStyle w:val="TOC2"/>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23" w:history="1">
            <w:r w:rsidR="000F227A" w:rsidRPr="00173FC2">
              <w:rPr>
                <w:rStyle w:val="Hyperlink"/>
                <w:noProof/>
                <w:sz w:val="24"/>
                <w:szCs w:val="24"/>
              </w:rPr>
              <w:t>a. Explaining why Toyota Motor can be designated an MNC/TNC</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_Toc214641823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3</w:t>
            </w:r>
            <w:r w:rsidR="000F227A" w:rsidRPr="00173FC2">
              <w:rPr>
                <w:noProof/>
                <w:webHidden/>
                <w:sz w:val="24"/>
                <w:szCs w:val="24"/>
              </w:rPr>
              <w:fldChar w:fldCharType="end"/>
            </w:r>
          </w:hyperlink>
        </w:p>
        <w:p w14:paraId="30E05BBD" w14:textId="70967555" w:rsidR="000F227A" w:rsidRPr="00173FC2" w:rsidRDefault="003D2EE3" w:rsidP="00E5452A">
          <w:pPr>
            <w:pStyle w:val="TOC2"/>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24" w:history="1">
            <w:r w:rsidR="000F227A" w:rsidRPr="00173FC2">
              <w:rPr>
                <w:rStyle w:val="Hyperlink"/>
                <w:noProof/>
                <w:sz w:val="24"/>
                <w:szCs w:val="24"/>
              </w:rPr>
              <w:t>b. Global activities of Toyota Motors</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_Toc214641824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4</w:t>
            </w:r>
            <w:r w:rsidR="000F227A" w:rsidRPr="00173FC2">
              <w:rPr>
                <w:noProof/>
                <w:webHidden/>
                <w:sz w:val="24"/>
                <w:szCs w:val="24"/>
              </w:rPr>
              <w:fldChar w:fldCharType="end"/>
            </w:r>
          </w:hyperlink>
        </w:p>
        <w:p w14:paraId="2A2C2DF0" w14:textId="0A0EC7FC" w:rsidR="000F227A" w:rsidRPr="00173FC2" w:rsidRDefault="003D2EE3" w:rsidP="00E5452A">
          <w:pPr>
            <w:pStyle w:val="TOC2"/>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25" w:history="1">
            <w:r w:rsidR="000F227A" w:rsidRPr="00173FC2">
              <w:rPr>
                <w:rStyle w:val="Hyperlink"/>
                <w:noProof/>
                <w:sz w:val="24"/>
                <w:szCs w:val="24"/>
              </w:rPr>
              <w:t>c. The various entry modes that Toyota Motors has employed in entering the various international markets</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_Toc214641825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5</w:t>
            </w:r>
            <w:r w:rsidR="000F227A" w:rsidRPr="00173FC2">
              <w:rPr>
                <w:noProof/>
                <w:webHidden/>
                <w:sz w:val="24"/>
                <w:szCs w:val="24"/>
              </w:rPr>
              <w:fldChar w:fldCharType="end"/>
            </w:r>
          </w:hyperlink>
        </w:p>
        <w:p w14:paraId="7BEB2694" w14:textId="41729346" w:rsidR="000F227A" w:rsidRPr="00173FC2" w:rsidRDefault="003D2EE3" w:rsidP="00E5452A">
          <w:pPr>
            <w:pStyle w:val="TOC2"/>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26" w:history="1">
            <w:r w:rsidR="000F227A" w:rsidRPr="00173FC2">
              <w:rPr>
                <w:rStyle w:val="Hyperlink"/>
                <w:noProof/>
                <w:sz w:val="24"/>
                <w:szCs w:val="24"/>
              </w:rPr>
              <w:t>d. The key benefits obtained by Toyota Motors from its international operations</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_Toc214641826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6</w:t>
            </w:r>
            <w:r w:rsidR="000F227A" w:rsidRPr="00173FC2">
              <w:rPr>
                <w:noProof/>
                <w:webHidden/>
                <w:sz w:val="24"/>
                <w:szCs w:val="24"/>
              </w:rPr>
              <w:fldChar w:fldCharType="end"/>
            </w:r>
          </w:hyperlink>
        </w:p>
        <w:p w14:paraId="0733E62B" w14:textId="10F5235C" w:rsidR="000F227A" w:rsidRPr="00173FC2" w:rsidRDefault="003D2EE3" w:rsidP="00E5452A">
          <w:pPr>
            <w:pStyle w:val="TOC1"/>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27" w:history="1">
            <w:r w:rsidR="000F227A" w:rsidRPr="00173FC2">
              <w:rPr>
                <w:rStyle w:val="Hyperlink"/>
                <w:noProof/>
                <w:sz w:val="24"/>
                <w:szCs w:val="24"/>
              </w:rPr>
              <w:t>3. Impact of OLI Factors on Market Entry Mode</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_Toc214641827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7</w:t>
            </w:r>
            <w:r w:rsidR="000F227A" w:rsidRPr="00173FC2">
              <w:rPr>
                <w:noProof/>
                <w:webHidden/>
                <w:sz w:val="24"/>
                <w:szCs w:val="24"/>
              </w:rPr>
              <w:fldChar w:fldCharType="end"/>
            </w:r>
          </w:hyperlink>
        </w:p>
        <w:p w14:paraId="6D11B066" w14:textId="4D996CCA" w:rsidR="000F227A" w:rsidRPr="00173FC2" w:rsidRDefault="003D2EE3" w:rsidP="00E5452A">
          <w:pPr>
            <w:pStyle w:val="TOC1"/>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28" w:history="1">
            <w:r w:rsidR="000F227A" w:rsidRPr="00173FC2">
              <w:rPr>
                <w:rStyle w:val="Hyperlink"/>
                <w:noProof/>
                <w:sz w:val="24"/>
                <w:szCs w:val="24"/>
              </w:rPr>
              <w:t>4. Cultural Differences and Their Impact on Market Entry and Success</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_Toc214641828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10</w:t>
            </w:r>
            <w:r w:rsidR="000F227A" w:rsidRPr="00173FC2">
              <w:rPr>
                <w:noProof/>
                <w:webHidden/>
                <w:sz w:val="24"/>
                <w:szCs w:val="24"/>
              </w:rPr>
              <w:fldChar w:fldCharType="end"/>
            </w:r>
          </w:hyperlink>
        </w:p>
        <w:p w14:paraId="5AA91C69" w14:textId="29BBC6A7" w:rsidR="000F227A" w:rsidRPr="00173FC2" w:rsidRDefault="003D2EE3" w:rsidP="00E5452A">
          <w:pPr>
            <w:pStyle w:val="TOC2"/>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29" w:history="1">
            <w:r w:rsidR="000F227A" w:rsidRPr="00173FC2">
              <w:rPr>
                <w:rStyle w:val="Hyperlink"/>
                <w:noProof/>
                <w:sz w:val="24"/>
                <w:szCs w:val="24"/>
              </w:rPr>
              <w:t>4.1 Comparative Cultural Analysis Between Japan and the Selected Emerging Economy</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_Toc214641829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10</w:t>
            </w:r>
            <w:r w:rsidR="000F227A" w:rsidRPr="00173FC2">
              <w:rPr>
                <w:noProof/>
                <w:webHidden/>
                <w:sz w:val="24"/>
                <w:szCs w:val="24"/>
              </w:rPr>
              <w:fldChar w:fldCharType="end"/>
            </w:r>
          </w:hyperlink>
        </w:p>
        <w:p w14:paraId="24B3BC97" w14:textId="33C2854D" w:rsidR="000F227A" w:rsidRPr="00173FC2" w:rsidRDefault="003D2EE3" w:rsidP="00E5452A">
          <w:pPr>
            <w:pStyle w:val="TOC2"/>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30" w:history="1">
            <w:r w:rsidR="000F227A" w:rsidRPr="00173FC2">
              <w:rPr>
                <w:rStyle w:val="Hyperlink"/>
                <w:noProof/>
                <w:sz w:val="24"/>
                <w:szCs w:val="24"/>
              </w:rPr>
              <w:t>4.2 Influence of Cultural Differences on Toyota’s Market Entry Strategy</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_Toc214641830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11</w:t>
            </w:r>
            <w:r w:rsidR="000F227A" w:rsidRPr="00173FC2">
              <w:rPr>
                <w:noProof/>
                <w:webHidden/>
                <w:sz w:val="24"/>
                <w:szCs w:val="24"/>
              </w:rPr>
              <w:fldChar w:fldCharType="end"/>
            </w:r>
          </w:hyperlink>
        </w:p>
        <w:p w14:paraId="1E56BB88" w14:textId="0A217E35" w:rsidR="000F227A" w:rsidRPr="00173FC2" w:rsidRDefault="003D2EE3" w:rsidP="00E5452A">
          <w:pPr>
            <w:pStyle w:val="TOC2"/>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31" w:history="1">
            <w:r w:rsidR="000F227A" w:rsidRPr="00173FC2">
              <w:rPr>
                <w:rStyle w:val="Hyperlink"/>
                <w:noProof/>
                <w:sz w:val="24"/>
                <w:szCs w:val="24"/>
              </w:rPr>
              <w:t>4.3 Impact of Cultural Dynamics on Toyota’s Operational Success and Long-Term Performance</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_Toc214641831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12</w:t>
            </w:r>
            <w:r w:rsidR="000F227A" w:rsidRPr="00173FC2">
              <w:rPr>
                <w:noProof/>
                <w:webHidden/>
                <w:sz w:val="24"/>
                <w:szCs w:val="24"/>
              </w:rPr>
              <w:fldChar w:fldCharType="end"/>
            </w:r>
          </w:hyperlink>
        </w:p>
        <w:p w14:paraId="00651F9C" w14:textId="329D163E" w:rsidR="000F227A" w:rsidRPr="00173FC2" w:rsidRDefault="003D2EE3" w:rsidP="00E5452A">
          <w:pPr>
            <w:pStyle w:val="TOC1"/>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32" w:history="1">
            <w:r w:rsidR="000F227A" w:rsidRPr="00173FC2">
              <w:rPr>
                <w:rStyle w:val="Hyperlink"/>
                <w:noProof/>
                <w:sz w:val="24"/>
                <w:szCs w:val="24"/>
              </w:rPr>
              <w:t>5. SOP Adjustments for Success in Emerging Markets</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_Toc214641832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13</w:t>
            </w:r>
            <w:r w:rsidR="000F227A" w:rsidRPr="00173FC2">
              <w:rPr>
                <w:noProof/>
                <w:webHidden/>
                <w:sz w:val="24"/>
                <w:szCs w:val="24"/>
              </w:rPr>
              <w:fldChar w:fldCharType="end"/>
            </w:r>
          </w:hyperlink>
        </w:p>
        <w:p w14:paraId="427A56EC" w14:textId="5D318E86" w:rsidR="000F227A" w:rsidRPr="00173FC2" w:rsidRDefault="003D2EE3" w:rsidP="00E5452A">
          <w:pPr>
            <w:pStyle w:val="TOC2"/>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33" w:history="1">
            <w:r w:rsidR="000F227A" w:rsidRPr="00173FC2">
              <w:rPr>
                <w:rStyle w:val="Hyperlink"/>
                <w:noProof/>
                <w:sz w:val="24"/>
                <w:szCs w:val="24"/>
              </w:rPr>
              <w:t>5.1 SOP Adjustment 1: Localised Leadership, Decision-Making and HRM Practices</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_Toc214641833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13</w:t>
            </w:r>
            <w:r w:rsidR="000F227A" w:rsidRPr="00173FC2">
              <w:rPr>
                <w:noProof/>
                <w:webHidden/>
                <w:sz w:val="24"/>
                <w:szCs w:val="24"/>
              </w:rPr>
              <w:fldChar w:fldCharType="end"/>
            </w:r>
          </w:hyperlink>
        </w:p>
        <w:p w14:paraId="6A657EDD" w14:textId="0E93E3B2" w:rsidR="000F227A" w:rsidRPr="00173FC2" w:rsidRDefault="003D2EE3" w:rsidP="00E5452A">
          <w:pPr>
            <w:pStyle w:val="TOC2"/>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34" w:history="1">
            <w:r w:rsidR="000F227A" w:rsidRPr="00173FC2">
              <w:rPr>
                <w:rStyle w:val="Hyperlink"/>
                <w:noProof/>
                <w:sz w:val="24"/>
                <w:szCs w:val="24"/>
              </w:rPr>
              <w:t>5.2 SOP Adjustment 2: Adaptation of Production, Quality, and Supply Chain Systems</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_Toc214641834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14</w:t>
            </w:r>
            <w:r w:rsidR="000F227A" w:rsidRPr="00173FC2">
              <w:rPr>
                <w:noProof/>
                <w:webHidden/>
                <w:sz w:val="24"/>
                <w:szCs w:val="24"/>
              </w:rPr>
              <w:fldChar w:fldCharType="end"/>
            </w:r>
          </w:hyperlink>
        </w:p>
        <w:p w14:paraId="52C0D86C" w14:textId="50EF33BF" w:rsidR="000F227A" w:rsidRPr="00173FC2" w:rsidRDefault="003D2EE3" w:rsidP="00E5452A">
          <w:pPr>
            <w:pStyle w:val="TOC2"/>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35" w:history="1">
            <w:r w:rsidR="000F227A" w:rsidRPr="00173FC2">
              <w:rPr>
                <w:rStyle w:val="Hyperlink"/>
                <w:noProof/>
                <w:sz w:val="24"/>
                <w:szCs w:val="24"/>
              </w:rPr>
              <w:t>5.3 SOP Adjustment 3: Market-Specific Customer Engagement, Marketing, and Service Protocols</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_Toc214641835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16</w:t>
            </w:r>
            <w:r w:rsidR="000F227A" w:rsidRPr="00173FC2">
              <w:rPr>
                <w:noProof/>
                <w:webHidden/>
                <w:sz w:val="24"/>
                <w:szCs w:val="24"/>
              </w:rPr>
              <w:fldChar w:fldCharType="end"/>
            </w:r>
          </w:hyperlink>
        </w:p>
        <w:p w14:paraId="4B3B95E7" w14:textId="52F43E58" w:rsidR="000F227A" w:rsidRPr="00173FC2" w:rsidRDefault="003D2EE3" w:rsidP="00E5452A">
          <w:pPr>
            <w:pStyle w:val="TOC1"/>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36" w:history="1">
            <w:r w:rsidR="000F227A" w:rsidRPr="00173FC2">
              <w:rPr>
                <w:rStyle w:val="Hyperlink"/>
                <w:noProof/>
                <w:sz w:val="24"/>
                <w:szCs w:val="24"/>
              </w:rPr>
              <w:t>6. Conclusion to the report</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_Toc214641836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17</w:t>
            </w:r>
            <w:r w:rsidR="000F227A" w:rsidRPr="00173FC2">
              <w:rPr>
                <w:noProof/>
                <w:webHidden/>
                <w:sz w:val="24"/>
                <w:szCs w:val="24"/>
              </w:rPr>
              <w:fldChar w:fldCharType="end"/>
            </w:r>
          </w:hyperlink>
        </w:p>
        <w:p w14:paraId="47F2A39F" w14:textId="087033A1" w:rsidR="000F227A" w:rsidRPr="00173FC2" w:rsidRDefault="003D2EE3" w:rsidP="00E5452A">
          <w:pPr>
            <w:pStyle w:val="TOC1"/>
            <w:tabs>
              <w:tab w:val="right" w:leader="dot" w:pos="9350"/>
            </w:tabs>
            <w:spacing w:after="0" w:line="360" w:lineRule="auto"/>
            <w:jc w:val="both"/>
            <w:rPr>
              <w:rFonts w:eastAsiaTheme="minorEastAsia"/>
              <w:noProof/>
              <w:kern w:val="2"/>
              <w:sz w:val="24"/>
              <w:szCs w:val="24"/>
              <w:lang w:eastAsia="en-IN"/>
              <w14:ligatures w14:val="standardContextual"/>
            </w:rPr>
          </w:pPr>
          <w:hyperlink w:anchor="_Toc214641837" w:history="1">
            <w:r w:rsidR="000F227A" w:rsidRPr="00173FC2">
              <w:rPr>
                <w:rStyle w:val="Hyperlink"/>
                <w:noProof/>
                <w:sz w:val="24"/>
                <w:szCs w:val="24"/>
              </w:rPr>
              <w:t>References</w:t>
            </w:r>
            <w:r w:rsidR="000F227A" w:rsidRPr="00173FC2">
              <w:rPr>
                <w:noProof/>
                <w:webHidden/>
                <w:sz w:val="24"/>
                <w:szCs w:val="24"/>
              </w:rPr>
              <w:tab/>
            </w:r>
            <w:r w:rsidR="000F227A" w:rsidRPr="00173FC2">
              <w:rPr>
                <w:noProof/>
                <w:webHidden/>
                <w:sz w:val="24"/>
                <w:szCs w:val="24"/>
              </w:rPr>
              <w:fldChar w:fldCharType="begin"/>
            </w:r>
            <w:r w:rsidR="000F227A" w:rsidRPr="00173FC2">
              <w:rPr>
                <w:noProof/>
                <w:webHidden/>
                <w:sz w:val="24"/>
                <w:szCs w:val="24"/>
              </w:rPr>
              <w:instrText xml:space="preserve"> PAGEREF _Toc214641837 \h </w:instrText>
            </w:r>
            <w:r w:rsidR="000F227A" w:rsidRPr="00173FC2">
              <w:rPr>
                <w:noProof/>
                <w:webHidden/>
                <w:sz w:val="24"/>
                <w:szCs w:val="24"/>
              </w:rPr>
            </w:r>
            <w:r w:rsidR="000F227A" w:rsidRPr="00173FC2">
              <w:rPr>
                <w:noProof/>
                <w:webHidden/>
                <w:sz w:val="24"/>
                <w:szCs w:val="24"/>
              </w:rPr>
              <w:fldChar w:fldCharType="separate"/>
            </w:r>
            <w:r w:rsidR="00CC7C38" w:rsidRPr="00173FC2">
              <w:rPr>
                <w:noProof/>
                <w:webHidden/>
                <w:sz w:val="24"/>
                <w:szCs w:val="24"/>
              </w:rPr>
              <w:t>19</w:t>
            </w:r>
            <w:r w:rsidR="000F227A" w:rsidRPr="00173FC2">
              <w:rPr>
                <w:noProof/>
                <w:webHidden/>
                <w:sz w:val="24"/>
                <w:szCs w:val="24"/>
              </w:rPr>
              <w:fldChar w:fldCharType="end"/>
            </w:r>
          </w:hyperlink>
        </w:p>
        <w:p w14:paraId="46648D12" w14:textId="427BE965" w:rsidR="00DE5498" w:rsidRPr="00173FC2" w:rsidRDefault="004D7D10" w:rsidP="00E5452A">
          <w:pPr>
            <w:spacing w:line="360" w:lineRule="auto"/>
            <w:jc w:val="both"/>
            <w:rPr>
              <w:sz w:val="24"/>
              <w:szCs w:val="24"/>
            </w:rPr>
          </w:pPr>
          <w:r w:rsidRPr="00173FC2">
            <w:rPr>
              <w:sz w:val="24"/>
              <w:szCs w:val="24"/>
            </w:rPr>
            <w:fldChar w:fldCharType="end"/>
          </w:r>
        </w:p>
      </w:sdtContent>
    </w:sdt>
    <w:bookmarkStart w:id="4" w:name="_x3dbzpjqkgx0" w:colFirst="0" w:colLast="0" w:displacedByCustomXml="prev"/>
    <w:bookmarkEnd w:id="4" w:displacedByCustomXml="prev"/>
    <w:bookmarkStart w:id="5" w:name="_4z2bxxnldhzy" w:colFirst="0" w:colLast="0" w:displacedByCustomXml="prev"/>
    <w:bookmarkEnd w:id="5" w:displacedByCustomXml="prev"/>
    <w:bookmarkStart w:id="6" w:name="_ji4j8tthixyy" w:colFirst="0" w:colLast="0" w:displacedByCustomXml="prev"/>
    <w:bookmarkEnd w:id="6" w:displacedByCustomXml="prev"/>
    <w:bookmarkStart w:id="7" w:name="_mgns3skqddpe" w:colFirst="0" w:colLast="0" w:displacedByCustomXml="prev"/>
    <w:bookmarkEnd w:id="7" w:displacedByCustomXml="prev"/>
    <w:bookmarkStart w:id="8" w:name="_eoscoka24iy4" w:colFirst="0" w:colLast="0" w:displacedByCustomXml="prev"/>
    <w:bookmarkEnd w:id="8" w:displacedByCustomXml="prev"/>
    <w:bookmarkStart w:id="9" w:name="_vu34pr36ltb1" w:colFirst="0" w:colLast="0" w:displacedByCustomXml="prev"/>
    <w:bookmarkEnd w:id="9" w:displacedByCustomXml="prev"/>
    <w:bookmarkStart w:id="10" w:name="_p296rnb1ejze" w:colFirst="0" w:colLast="0" w:displacedByCustomXml="prev"/>
    <w:bookmarkEnd w:id="10" w:displacedByCustomXml="prev"/>
    <w:bookmarkStart w:id="11" w:name="_u8bwhbczc774" w:colFirst="0" w:colLast="0" w:displacedByCustomXml="prev"/>
    <w:bookmarkEnd w:id="11" w:displacedByCustomXml="prev"/>
    <w:bookmarkStart w:id="12" w:name="_qnzwg7tvd40j" w:colFirst="0" w:colLast="0" w:displacedByCustomXml="prev"/>
    <w:bookmarkEnd w:id="12" w:displacedByCustomXml="prev"/>
    <w:bookmarkStart w:id="13" w:name="_pkzpuysdrdff" w:colFirst="0" w:colLast="0" w:displacedByCustomXml="prev"/>
    <w:bookmarkEnd w:id="13" w:displacedByCustomXml="prev"/>
    <w:bookmarkStart w:id="14" w:name="_lkwwck4r4h77" w:colFirst="0" w:colLast="0" w:displacedByCustomXml="prev"/>
    <w:bookmarkEnd w:id="14" w:displacedByCustomXml="prev"/>
    <w:bookmarkStart w:id="15" w:name="_6tggsturszr3" w:colFirst="0" w:colLast="0" w:displacedByCustomXml="prev"/>
    <w:bookmarkEnd w:id="15" w:displacedByCustomXml="prev"/>
    <w:bookmarkStart w:id="16" w:name="_34jr7tlcx0fe" w:colFirst="0" w:colLast="0" w:displacedByCustomXml="prev"/>
    <w:bookmarkEnd w:id="16" w:displacedByCustomXml="prev"/>
    <w:bookmarkStart w:id="17" w:name="_vahunqne43vz" w:colFirst="0" w:colLast="0" w:displacedByCustomXml="prev"/>
    <w:bookmarkEnd w:id="17" w:displacedByCustomXml="prev"/>
    <w:bookmarkStart w:id="18" w:name="_3obzq98o93lz" w:colFirst="0" w:colLast="0" w:displacedByCustomXml="prev"/>
    <w:bookmarkEnd w:id="18" w:displacedByCustomXml="prev"/>
    <w:bookmarkStart w:id="19" w:name="_acvi1b9alekz" w:colFirst="0" w:colLast="0" w:displacedByCustomXml="prev"/>
    <w:bookmarkEnd w:id="19" w:displacedByCustomXml="prev"/>
    <w:bookmarkStart w:id="20" w:name="_4845mew9vqx2" w:colFirst="0" w:colLast="0" w:displacedByCustomXml="prev"/>
    <w:bookmarkEnd w:id="20" w:displacedByCustomXml="prev"/>
    <w:bookmarkStart w:id="21" w:name="_tf1b7c23a5dw" w:colFirst="0" w:colLast="0" w:displacedByCustomXml="prev"/>
    <w:bookmarkEnd w:id="21" w:displacedByCustomXml="prev"/>
    <w:bookmarkStart w:id="22" w:name="_f4yrqdw0cxum" w:colFirst="0" w:colLast="0" w:displacedByCustomXml="prev"/>
    <w:bookmarkEnd w:id="22" w:displacedByCustomXml="prev"/>
    <w:bookmarkStart w:id="23" w:name="_x5bj6kl6hwok" w:colFirst="0" w:colLast="0" w:displacedByCustomXml="prev"/>
    <w:bookmarkEnd w:id="23" w:displacedByCustomXml="prev"/>
    <w:bookmarkStart w:id="24" w:name="_lkp3ql6kt893" w:colFirst="0" w:colLast="0" w:displacedByCustomXml="prev"/>
    <w:bookmarkEnd w:id="24" w:displacedByCustomXml="prev"/>
    <w:bookmarkStart w:id="25" w:name="_101x4ec1vxy" w:colFirst="0" w:colLast="0" w:displacedByCustomXml="prev"/>
    <w:bookmarkEnd w:id="25" w:displacedByCustomXml="prev"/>
    <w:bookmarkStart w:id="26" w:name="_biw3407hujsg" w:colFirst="0" w:colLast="0" w:displacedByCustomXml="prev"/>
    <w:bookmarkEnd w:id="26" w:displacedByCustomXml="prev"/>
    <w:bookmarkStart w:id="27" w:name="_7mpa2l39u8ol" w:colFirst="0" w:colLast="0" w:displacedByCustomXml="prev"/>
    <w:bookmarkEnd w:id="27" w:displacedByCustomXml="prev"/>
    <w:bookmarkStart w:id="28" w:name="_6uuiedhrqdlq" w:colFirst="0" w:colLast="0" w:displacedByCustomXml="prev"/>
    <w:bookmarkEnd w:id="28" w:displacedByCustomXml="prev"/>
    <w:p w14:paraId="1A84BD83" w14:textId="77777777" w:rsidR="00DE5498" w:rsidRPr="00173FC2" w:rsidRDefault="00DE5498" w:rsidP="00E5452A">
      <w:pPr>
        <w:pStyle w:val="Normal1"/>
        <w:spacing w:line="360" w:lineRule="auto"/>
        <w:jc w:val="both"/>
        <w:rPr>
          <w:sz w:val="24"/>
          <w:szCs w:val="24"/>
        </w:rPr>
      </w:pPr>
    </w:p>
    <w:p w14:paraId="1A22E524" w14:textId="77777777" w:rsidR="000F227A" w:rsidRPr="00173FC2" w:rsidRDefault="000F227A" w:rsidP="00E5452A">
      <w:pPr>
        <w:spacing w:line="360" w:lineRule="auto"/>
        <w:jc w:val="both"/>
        <w:rPr>
          <w:rFonts w:eastAsia="Times New Roman"/>
          <w:b/>
          <w:bCs/>
          <w:sz w:val="24"/>
          <w:szCs w:val="24"/>
        </w:rPr>
      </w:pPr>
      <w:bookmarkStart w:id="29" w:name="_er71626g27yp" w:colFirst="0" w:colLast="0"/>
      <w:bookmarkEnd w:id="29"/>
      <w:r w:rsidRPr="00173FC2">
        <w:rPr>
          <w:sz w:val="24"/>
          <w:szCs w:val="24"/>
        </w:rPr>
        <w:br w:type="page"/>
      </w:r>
    </w:p>
    <w:p w14:paraId="6ECB2424" w14:textId="0C43A523" w:rsidR="00DE5498" w:rsidRPr="00173FC2" w:rsidRDefault="00970BC5" w:rsidP="00E5452A">
      <w:pPr>
        <w:pStyle w:val="Heading1"/>
        <w:rPr>
          <w:rFonts w:ascii="Arial" w:hAnsi="Arial" w:cs="Arial"/>
        </w:rPr>
      </w:pPr>
      <w:bookmarkStart w:id="30" w:name="_Toc214641821"/>
      <w:r w:rsidRPr="00173FC2">
        <w:rPr>
          <w:rFonts w:ascii="Arial" w:hAnsi="Arial" w:cs="Arial"/>
        </w:rPr>
        <w:lastRenderedPageBreak/>
        <w:t>1. Introduction to the report</w:t>
      </w:r>
      <w:bookmarkEnd w:id="30"/>
      <w:r w:rsidRPr="00173FC2">
        <w:rPr>
          <w:rFonts w:ascii="Arial" w:hAnsi="Arial" w:cs="Arial"/>
        </w:rPr>
        <w:t xml:space="preserve"> </w:t>
      </w:r>
    </w:p>
    <w:p w14:paraId="02367AC8"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sz w:val="24"/>
          <w:szCs w:val="24"/>
          <w:highlight w:val="white"/>
        </w:rPr>
        <w:t>In today’s globalised economy, multinational enterprises play a critical role in shaping international trade, investment, and innovation across industries. This report critically reviews the global activities of Toyota Motor Corporation, which is among the largest automotive producers in the world and one of the largest multinational corporations (MNCs) in the world. Toyota currently has more than 50 plants worldwide, with over 27 manufacturing plants, and this indicates its expansion and presence in the automobile sector (Toyota Motor Corporation, 2025). The report dwells on the advantages and the obstacles that are related to the internationalisation of Toyota, including its research and development, production, sourcing, sales, and financing processes. It also assesses the foreign market entry strategies of the company with a focus on the predominant role of foreign direct investment (FDI) and investigates the major benefits it gains due to its international pursuits. Moreover, the report uses the OLI (Ownership, Location, Internalisation) model to explain the role of the three factors in shaping international strategies at Toyota. The experience gained in this research offers a holistic approach to the strategic analysis needed to succeed in international business.</w:t>
      </w:r>
    </w:p>
    <w:p w14:paraId="7F110E50" w14:textId="77777777" w:rsidR="00DE5498" w:rsidRPr="00173FC2" w:rsidRDefault="00970BC5" w:rsidP="00E5452A">
      <w:pPr>
        <w:pStyle w:val="Heading1"/>
        <w:rPr>
          <w:rFonts w:ascii="Arial" w:hAnsi="Arial" w:cs="Arial"/>
        </w:rPr>
      </w:pPr>
      <w:bookmarkStart w:id="31" w:name="_pa1mt86g1269" w:colFirst="0" w:colLast="0"/>
      <w:bookmarkStart w:id="32" w:name="_Toc214641822"/>
      <w:bookmarkEnd w:id="31"/>
      <w:r w:rsidRPr="00173FC2">
        <w:rPr>
          <w:rFonts w:ascii="Arial" w:hAnsi="Arial" w:cs="Arial"/>
        </w:rPr>
        <w:t>2. Benefits and challenges of international operations</w:t>
      </w:r>
      <w:bookmarkEnd w:id="32"/>
      <w:r w:rsidRPr="00173FC2">
        <w:rPr>
          <w:rFonts w:ascii="Arial" w:hAnsi="Arial" w:cs="Arial"/>
        </w:rPr>
        <w:t xml:space="preserve"> </w:t>
      </w:r>
    </w:p>
    <w:p w14:paraId="4C5F1417" w14:textId="77777777" w:rsidR="00DE5498" w:rsidRPr="00173FC2" w:rsidRDefault="00970BC5" w:rsidP="00E5452A">
      <w:pPr>
        <w:pStyle w:val="Heading2"/>
        <w:spacing w:before="0" w:after="0"/>
        <w:rPr>
          <w:rFonts w:ascii="Arial" w:hAnsi="Arial" w:cs="Arial"/>
          <w:sz w:val="24"/>
          <w:szCs w:val="24"/>
        </w:rPr>
      </w:pPr>
      <w:bookmarkStart w:id="33" w:name="_pqe7cigkvvr" w:colFirst="0" w:colLast="0"/>
      <w:bookmarkStart w:id="34" w:name="_Toc214641823"/>
      <w:bookmarkEnd w:id="33"/>
      <w:r w:rsidRPr="00173FC2">
        <w:rPr>
          <w:rFonts w:ascii="Arial" w:hAnsi="Arial" w:cs="Arial"/>
          <w:sz w:val="24"/>
          <w:szCs w:val="24"/>
        </w:rPr>
        <w:t>a. Explaining why Toyota Motor can be designated an MNC/TNC</w:t>
      </w:r>
      <w:bookmarkEnd w:id="34"/>
    </w:p>
    <w:p w14:paraId="76929F07"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sz w:val="24"/>
          <w:szCs w:val="24"/>
          <w:highlight w:val="white"/>
        </w:rPr>
        <w:t>Toyota Motor Corporation is obviously a multinational enterprise (MNC). The company is designing, producing, and distributing automobiles in dozens of nations, and it possesses a large international presence. Toyota has over 50 foreign manufacturing facilities in 27 non-Japanese countries and regions (Toyota Motor Corporation, 2025). In 2025, the net revenues of Toyota amounted to ¥48.04 trillion (US314 billion), with much of it being obtained beyond Japan (Toyota Motor, 2025). By the volume of sales in 2024, Toyota (including Lexus) sold approximately 10.16 million vehicles worldwide, 2.73 million in North America, 3.21 million in Asia, 1.17 million in Europe, and 1.44 million in Japan (Toyota Motor Corporation, 2025). Toyota’s global presence demonstrates its strong multinational enterprise capabilities</w:t>
      </w:r>
    </w:p>
    <w:p w14:paraId="71EBC63A"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noProof/>
          <w:sz w:val="24"/>
          <w:szCs w:val="24"/>
          <w:highlight w:val="white"/>
          <w:lang w:val="en-US"/>
        </w:rPr>
        <w:lastRenderedPageBreak/>
        <w:drawing>
          <wp:inline distT="114300" distB="114300" distL="114300" distR="114300" wp14:anchorId="6F38E70E" wp14:editId="7504EC62">
            <wp:extent cx="5943600" cy="16002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1600200"/>
                    </a:xfrm>
                    <a:prstGeom prst="rect">
                      <a:avLst/>
                    </a:prstGeom>
                    <a:ln w="12700">
                      <a:solidFill>
                        <a:srgbClr val="000000"/>
                      </a:solidFill>
                      <a:prstDash val="solid"/>
                    </a:ln>
                  </pic:spPr>
                </pic:pic>
              </a:graphicData>
            </a:graphic>
          </wp:inline>
        </w:drawing>
      </w:r>
    </w:p>
    <w:p w14:paraId="7D20947B" w14:textId="77777777" w:rsidR="00DE5498" w:rsidRPr="00173FC2" w:rsidRDefault="00970BC5" w:rsidP="00E5452A">
      <w:pPr>
        <w:pStyle w:val="Normal1"/>
        <w:spacing w:line="360" w:lineRule="auto"/>
        <w:jc w:val="both"/>
        <w:rPr>
          <w:rFonts w:eastAsia="Times New Roman"/>
          <w:b/>
          <w:bCs/>
          <w:sz w:val="24"/>
          <w:szCs w:val="24"/>
          <w:highlight w:val="white"/>
        </w:rPr>
      </w:pPr>
      <w:r w:rsidRPr="00173FC2">
        <w:rPr>
          <w:rFonts w:eastAsia="Times New Roman"/>
          <w:b/>
          <w:bCs/>
          <w:sz w:val="24"/>
          <w:szCs w:val="24"/>
          <w:highlight w:val="white"/>
        </w:rPr>
        <w:t>Figure 1: Different Regions of Toyota sales</w:t>
      </w:r>
    </w:p>
    <w:p w14:paraId="65ED24CC"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sz w:val="24"/>
          <w:szCs w:val="24"/>
          <w:highlight w:val="white"/>
        </w:rPr>
        <w:t>(Source: Toyota Motor Corporation, 2025)</w:t>
      </w:r>
    </w:p>
    <w:p w14:paraId="55A99886" w14:textId="77777777" w:rsidR="00DE5498" w:rsidRPr="00173FC2" w:rsidRDefault="00970BC5" w:rsidP="00E5452A">
      <w:pPr>
        <w:pStyle w:val="Heading2"/>
        <w:spacing w:before="0" w:after="0"/>
        <w:rPr>
          <w:rFonts w:ascii="Arial" w:hAnsi="Arial" w:cs="Arial"/>
          <w:sz w:val="24"/>
          <w:szCs w:val="24"/>
        </w:rPr>
      </w:pPr>
      <w:bookmarkStart w:id="35" w:name="_kbvj1l2tlyb" w:colFirst="0" w:colLast="0"/>
      <w:bookmarkStart w:id="36" w:name="_Toc214641824"/>
      <w:bookmarkEnd w:id="35"/>
      <w:r w:rsidRPr="00173FC2">
        <w:rPr>
          <w:rFonts w:ascii="Arial" w:hAnsi="Arial" w:cs="Arial"/>
          <w:sz w:val="24"/>
          <w:szCs w:val="24"/>
        </w:rPr>
        <w:t>b. Global activities of Toyota Motors</w:t>
      </w:r>
      <w:bookmarkEnd w:id="36"/>
    </w:p>
    <w:p w14:paraId="664D3487"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Research and Development</w:t>
      </w:r>
      <w:r w:rsidRPr="00173FC2">
        <w:rPr>
          <w:rFonts w:eastAsia="Times New Roman"/>
          <w:sz w:val="24"/>
          <w:szCs w:val="24"/>
          <w:highlight w:val="white"/>
        </w:rPr>
        <w:t>: Toyota has a high rate of worldwide R&amp;D. During fiscal 2025, it incurred about 1326.4 billion on R&amp;D (Toyota Motor Corporation, 2025). M Report (2025) stated that its research and development is geared to the future mobility hybrids, EVs, fuel cell and autonomous driving technologies, particularly to the energy and environment solutions.</w:t>
      </w:r>
    </w:p>
    <w:p w14:paraId="3AE515CE"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Sourcing</w:t>
      </w:r>
      <w:r w:rsidRPr="00173FC2">
        <w:rPr>
          <w:rFonts w:eastAsia="Times New Roman"/>
          <w:sz w:val="24"/>
          <w:szCs w:val="24"/>
          <w:highlight w:val="white"/>
        </w:rPr>
        <w:t>: Toyota acquires components, raw materials, and parts through a network of suppliers that are globally spread out and have more than 50 operations in 26+ countries (Toyota Motor Corporation, 2024). This multi-country sourcing strategy assists in the optimisation of cost, stimulation of supplier innovation, and sustainability of the supply chain.</w:t>
      </w:r>
    </w:p>
    <w:p w14:paraId="018255DC"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Production</w:t>
      </w:r>
      <w:r w:rsidRPr="00173FC2">
        <w:rPr>
          <w:rFonts w:eastAsia="Times New Roman"/>
          <w:sz w:val="24"/>
          <w:szCs w:val="24"/>
          <w:highlight w:val="white"/>
        </w:rPr>
        <w:t>: Toyota operates 54 plants worldwide, allowing it to produce near-demand markets (Toyota Motor Corporation, 2024). Toyota Motor Corporation (2024) narrated that Toyota's production and export statistics indicate that the company achieved a large output worldwide through its global network in the first half of fiscal 2025.</w:t>
      </w:r>
    </w:p>
    <w:p w14:paraId="00247A1F"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Sales</w:t>
      </w:r>
      <w:r w:rsidRPr="00173FC2">
        <w:rPr>
          <w:rFonts w:eastAsia="Times New Roman"/>
          <w:sz w:val="24"/>
          <w:szCs w:val="24"/>
          <w:highlight w:val="white"/>
        </w:rPr>
        <w:t>: Toyota is expected to sell 9,362 thousand vehicles in fiscal 2025, which will be consolidated (Toyota Motor Corporation, 2024). Toyota Motor Corporation (2024) stated that it has a broad global distribution, covering North American, European, Asian, and Japanese markets.</w:t>
      </w:r>
    </w:p>
    <w:p w14:paraId="126D9649"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Financing</w:t>
      </w:r>
      <w:r w:rsidRPr="00173FC2">
        <w:rPr>
          <w:rFonts w:eastAsia="Times New Roman"/>
          <w:sz w:val="24"/>
          <w:szCs w:val="24"/>
          <w:highlight w:val="white"/>
        </w:rPr>
        <w:t xml:space="preserve">: The consolidated sales revenue of Toyota as of the fiscal year ended March 31, 2025, was ¥48,036.7 billion, and the net income was 4,765.0 billion (Toyota Motor </w:t>
      </w:r>
      <w:r w:rsidRPr="00173FC2">
        <w:rPr>
          <w:rFonts w:eastAsia="Times New Roman"/>
          <w:sz w:val="24"/>
          <w:szCs w:val="24"/>
          <w:highlight w:val="white"/>
        </w:rPr>
        <w:lastRenderedPageBreak/>
        <w:t>Corporation, 2024). Its financial services division (leasing, loans, insurance) generated ¥4,437,827 million in external customer revenue.</w:t>
      </w:r>
    </w:p>
    <w:p w14:paraId="112B3524" w14:textId="77777777" w:rsidR="00DE5498" w:rsidRPr="00173FC2" w:rsidRDefault="00970BC5" w:rsidP="00E5452A">
      <w:pPr>
        <w:pStyle w:val="Heading2"/>
        <w:spacing w:before="0" w:after="0"/>
        <w:rPr>
          <w:rFonts w:ascii="Arial" w:hAnsi="Arial" w:cs="Arial"/>
          <w:sz w:val="24"/>
          <w:szCs w:val="24"/>
        </w:rPr>
      </w:pPr>
      <w:bookmarkStart w:id="37" w:name="_nvzl5pzf36rp" w:colFirst="0" w:colLast="0"/>
      <w:bookmarkStart w:id="38" w:name="_Toc214641825"/>
      <w:bookmarkEnd w:id="37"/>
      <w:r w:rsidRPr="00173FC2">
        <w:rPr>
          <w:rFonts w:ascii="Arial" w:hAnsi="Arial" w:cs="Arial"/>
          <w:sz w:val="24"/>
          <w:szCs w:val="24"/>
        </w:rPr>
        <w:t>c. The various entry modes that Toyota Motors has employed in entering the various international markets</w:t>
      </w:r>
      <w:bookmarkEnd w:id="38"/>
    </w:p>
    <w:p w14:paraId="41A26026"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Foreign Direct Investment (FDI</w:t>
      </w:r>
      <w:r w:rsidRPr="00173FC2">
        <w:rPr>
          <w:rFonts w:eastAsia="Times New Roman"/>
          <w:sz w:val="24"/>
          <w:szCs w:val="24"/>
          <w:highlight w:val="white"/>
        </w:rPr>
        <w:t xml:space="preserve">) </w:t>
      </w:r>
      <w:r w:rsidRPr="00173FC2">
        <w:rPr>
          <w:rFonts w:eastAsia="Times New Roman"/>
          <w:b/>
          <w:bCs/>
          <w:i/>
          <w:iCs/>
          <w:sz w:val="24"/>
          <w:szCs w:val="24"/>
          <w:highlight w:val="white"/>
        </w:rPr>
        <w:t>- Wholly-Owned Subsidiaries / Greenfield Plants:</w:t>
      </w:r>
      <w:r w:rsidRPr="00173FC2">
        <w:rPr>
          <w:rFonts w:eastAsia="Times New Roman"/>
          <w:sz w:val="24"/>
          <w:szCs w:val="24"/>
          <w:highlight w:val="white"/>
        </w:rPr>
        <w:t xml:space="preserve"> Toyota invests in foreign manufacturing sites by erecting and running its own manufacturing plants in foreign markets. Toyota has over 50 foreign factories operating in 27 countries and regions beyond Japan as of March 31, 2025 (Toyota Motor Corporation, 2025a). This enables Toyota to localise production and lower the cost of trade (tariffs, transport), and react fast to the demand in the region with its Toyota Production System (Toyota Motor Corporation, 2025a). As an illustration, it has plants all over North America, Europe (Czech Republic, UK, France), Asia (Thailand, India, China), South America (Argentina, Brazil), among others (Toyota Motor Corporation, 2025a). By means of FDI, Toyota maintains overall control over quality, production processes, and long-term strategy in critical markets.</w:t>
      </w:r>
    </w:p>
    <w:p w14:paraId="0D4F62E1"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Joint Ventures (JVs)</w:t>
      </w:r>
      <w:r w:rsidRPr="00173FC2">
        <w:rPr>
          <w:rFonts w:eastAsia="Times New Roman"/>
          <w:sz w:val="24"/>
          <w:szCs w:val="24"/>
          <w:highlight w:val="white"/>
        </w:rPr>
        <w:t>: Toyota applies joint ventures in markets where limitations exist or a local joint venture is a strategic factor. China is one of the most significant markets, having 50:50 joint ventures with FAW Group (FAW-Toyota) and Guangzhou Automobile Group (GAC) (GAC-Toyota) to produce such popular models as Corolla, Camry, RAV4, and EVs (Toyota Motor Corporation, 2025a). As an example, its JV with FAW has three regional plants (Tianjin, Changchun, Sichuan), and the total capacity is approximately 690,000 units per year (Toyota Motor Corporation, 2025a). This mode allows Toyota to meet its local regulatory limitations, distributing capital risk, and exploiting partner networks (distribution, supplier, labor).</w:t>
      </w:r>
    </w:p>
    <w:p w14:paraId="399119BF"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Exporting / Export-Based Distribution:</w:t>
      </w:r>
      <w:r w:rsidRPr="00173FC2">
        <w:rPr>
          <w:rFonts w:eastAsia="Times New Roman"/>
          <w:sz w:val="24"/>
          <w:szCs w:val="24"/>
          <w:highlight w:val="white"/>
        </w:rPr>
        <w:t xml:space="preserve"> Another method used by Toyota is the exporting of vehicles and components manufactured in its home-based production or regional centers to the markets where there is no production. This was one of the earliest modes of Toyota penetrating many markets in the past. The company reports on its own SEC filings that much of its foreign sales were initially served through exports, and subsequent local plants were constructed (Toyota Motor Corporation, 2025a). Exports </w:t>
      </w:r>
      <w:r w:rsidRPr="00173FC2">
        <w:rPr>
          <w:rFonts w:eastAsia="Times New Roman"/>
          <w:sz w:val="24"/>
          <w:szCs w:val="24"/>
          <w:highlight w:val="white"/>
        </w:rPr>
        <w:lastRenderedPageBreak/>
        <w:t>are still applicable to the models or market segment where local production is not feasible or efficient yet, or where serving a market with a limited scale.</w:t>
      </w:r>
    </w:p>
    <w:p w14:paraId="0E957D38" w14:textId="77777777" w:rsidR="00DE5498" w:rsidRPr="00173FC2" w:rsidRDefault="00970BC5" w:rsidP="00E5452A">
      <w:pPr>
        <w:pStyle w:val="Normal1"/>
        <w:spacing w:line="360" w:lineRule="auto"/>
        <w:jc w:val="both"/>
        <w:rPr>
          <w:rFonts w:eastAsia="Times New Roman"/>
          <w:b/>
          <w:bCs/>
          <w:sz w:val="24"/>
          <w:szCs w:val="24"/>
          <w:highlight w:val="white"/>
        </w:rPr>
      </w:pPr>
      <w:r w:rsidRPr="00173FC2">
        <w:rPr>
          <w:rFonts w:eastAsia="Times New Roman"/>
          <w:b/>
          <w:bCs/>
          <w:sz w:val="24"/>
          <w:szCs w:val="24"/>
          <w:highlight w:val="white"/>
        </w:rPr>
        <w:t>Dominant Entry Mode</w:t>
      </w:r>
    </w:p>
    <w:p w14:paraId="17F1961A" w14:textId="6124BE4C"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Foreign Direct Investment (FDI):</w:t>
      </w:r>
      <w:r w:rsidRPr="00173FC2">
        <w:rPr>
          <w:rFonts w:eastAsia="Times New Roman"/>
          <w:sz w:val="24"/>
          <w:szCs w:val="24"/>
          <w:highlight w:val="white"/>
        </w:rPr>
        <w:t xml:space="preserve"> Although each of the three entry modes is significant, the prevailing global competitive approach in Toyota is FDI through wholly-owned subsidiaries and greenfield manufacturing. This is seen in the fact that it has over 50 production plants in other </w:t>
      </w:r>
      <w:r w:rsidR="00F45BEB" w:rsidRPr="00173FC2">
        <w:rPr>
          <w:rFonts w:eastAsia="Times New Roman"/>
          <w:sz w:val="24"/>
          <w:szCs w:val="24"/>
          <w:highlight w:val="white"/>
        </w:rPr>
        <w:t>countries, with</w:t>
      </w:r>
      <w:r w:rsidRPr="00173FC2">
        <w:rPr>
          <w:rFonts w:eastAsia="Times New Roman"/>
          <w:sz w:val="24"/>
          <w:szCs w:val="24"/>
          <w:highlight w:val="white"/>
        </w:rPr>
        <w:t xml:space="preserve"> more than 27 countries being covered (Toyota Motor Corporation, 2025a). FDI provides Toyota with the best control of production, quality, transfer of technology (its Toyota Production System), and cost structure. It also helps it to optimise its supply chain globally and be responsive to local demands. This means that through having and running its own plants, Toyota minimises risks of trade barriers, currency volatility, and invests in areas where growth opportunities are most likely to be higher.</w:t>
      </w:r>
    </w:p>
    <w:p w14:paraId="2A18253C"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highlight w:val="white"/>
        </w:rPr>
        <w:t>Toyota supplements its FDI with joint ventures in a situation where full ownership is challenging because of regulatory or strategic factors (such as in China). However, its size and international reach of wholly owned facilities render it the driving force behind its global growth in FDI.</w:t>
      </w:r>
    </w:p>
    <w:p w14:paraId="7B5934B4" w14:textId="77777777" w:rsidR="00DE5498" w:rsidRPr="00173FC2" w:rsidRDefault="00970BC5" w:rsidP="00E5452A">
      <w:pPr>
        <w:pStyle w:val="Heading2"/>
        <w:spacing w:before="0" w:after="0"/>
        <w:rPr>
          <w:rFonts w:ascii="Arial" w:hAnsi="Arial" w:cs="Arial"/>
          <w:sz w:val="24"/>
          <w:szCs w:val="24"/>
        </w:rPr>
      </w:pPr>
      <w:bookmarkStart w:id="39" w:name="_vogtrcmywv32" w:colFirst="0" w:colLast="0"/>
      <w:bookmarkStart w:id="40" w:name="_Toc214641826"/>
      <w:bookmarkEnd w:id="39"/>
      <w:r w:rsidRPr="00173FC2">
        <w:rPr>
          <w:rFonts w:ascii="Arial" w:hAnsi="Arial" w:cs="Arial"/>
          <w:sz w:val="24"/>
          <w:szCs w:val="24"/>
        </w:rPr>
        <w:t>d. The key benefits obtained by Toyota Motors from its international operations</w:t>
      </w:r>
      <w:bookmarkEnd w:id="40"/>
    </w:p>
    <w:p w14:paraId="2847C94A"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Cost Effectiveness and Economies of Scale</w:t>
      </w:r>
      <w:r w:rsidRPr="00173FC2">
        <w:rPr>
          <w:rFonts w:eastAsia="Times New Roman"/>
          <w:sz w:val="24"/>
          <w:szCs w:val="24"/>
          <w:highlight w:val="white"/>
        </w:rPr>
        <w:t>: With the localisation in an extensive number of markets, Toyota controls expenses connected with export charges, shipping, and foreign exchange risks. Fifty-two production bases in 27 countries mean that Toyota can distribute fixed costs and maximise capacity utilisation (Toyota Motor Corporation, 2024). As per Toyota Motor Corporation (2025b), its Global Link Production System allows plants that are underused to replace the work of busier plants and enhance flexibility and minimise wasted capacity.</w:t>
      </w:r>
    </w:p>
    <w:p w14:paraId="6501E4F0"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Quality and Standardisation</w:t>
      </w:r>
      <w:r w:rsidRPr="00173FC2">
        <w:rPr>
          <w:rFonts w:eastAsia="Times New Roman"/>
          <w:sz w:val="24"/>
          <w:szCs w:val="24"/>
          <w:highlight w:val="white"/>
        </w:rPr>
        <w:t xml:space="preserve">: Toyota implements the Toyota Production System (TPS) in all parts of the world, and that includes lean practices, continuous improvement (kaizen), and quality control, which guarantees the quality uniformity of its products in its plants across the world (Nkuna et al., 2023). The company standardises platforms and parts of its vehicles by product through its Toyota New Global Architecture (TNGA), thus </w:t>
      </w:r>
      <w:r w:rsidRPr="00173FC2">
        <w:rPr>
          <w:rFonts w:eastAsia="Times New Roman"/>
          <w:sz w:val="24"/>
          <w:szCs w:val="24"/>
          <w:highlight w:val="white"/>
        </w:rPr>
        <w:lastRenderedPageBreak/>
        <w:t>increasing commonality, decreasing duplication, and minimising costs without compromising quality.</w:t>
      </w:r>
    </w:p>
    <w:p w14:paraId="14B8A8DA" w14:textId="34F99A5D"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Risk Diversification and Flexibility</w:t>
      </w:r>
      <w:r w:rsidRPr="00173FC2">
        <w:rPr>
          <w:rFonts w:eastAsia="Times New Roman"/>
          <w:sz w:val="24"/>
          <w:szCs w:val="24"/>
          <w:highlight w:val="white"/>
        </w:rPr>
        <w:t xml:space="preserve">: Toyota operates in several </w:t>
      </w:r>
      <w:r w:rsidR="00F45BEB" w:rsidRPr="00173FC2">
        <w:rPr>
          <w:rFonts w:eastAsia="Times New Roman"/>
          <w:sz w:val="24"/>
          <w:szCs w:val="24"/>
          <w:highlight w:val="white"/>
        </w:rPr>
        <w:t>markets, and</w:t>
      </w:r>
      <w:r w:rsidRPr="00173FC2">
        <w:rPr>
          <w:rFonts w:eastAsia="Times New Roman"/>
          <w:sz w:val="24"/>
          <w:szCs w:val="24"/>
          <w:highlight w:val="white"/>
        </w:rPr>
        <w:t xml:space="preserve"> this helps it to hedge demand risks and geopolitical risks (Vidal López et al., 2024). Supply may be used as an example, when demand is low in one area, other facilities may be increased to offset. It has a worldwide manufacturing network and a strong supply chain that contributes to resiliency (Toyota Motor Corporation, 2025c). In addition, it has enhanced its competitiveness in the global market because, by localising operations, Toyota is able to improve products to suit local tastes, government demands, and prices.</w:t>
      </w:r>
    </w:p>
    <w:p w14:paraId="0B32689F"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Supply-Chain Optimisation:</w:t>
      </w:r>
      <w:r w:rsidRPr="00173FC2">
        <w:rPr>
          <w:rFonts w:eastAsia="Times New Roman"/>
          <w:sz w:val="24"/>
          <w:szCs w:val="24"/>
          <w:highlight w:val="white"/>
        </w:rPr>
        <w:t xml:space="preserve"> Toyota has a global supply chain that is assisted by its international business. The sourcing and production in a vast number of countries enable the firm to enjoy the savings in costs and reduced lead times, and enhanced supplier relationships (Yang, 2022). This also stands to facilitate Toyota to scale the procurement of key materials, negotiate with suppliers, and also maintain continuity of its input flows.</w:t>
      </w:r>
    </w:p>
    <w:p w14:paraId="27E462CC" w14:textId="66A3ACA3"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Innovation &amp; Localised R&amp;D</w:t>
      </w:r>
      <w:r w:rsidRPr="00173FC2">
        <w:rPr>
          <w:rFonts w:eastAsia="Times New Roman"/>
          <w:sz w:val="24"/>
          <w:szCs w:val="24"/>
          <w:highlight w:val="white"/>
        </w:rPr>
        <w:t>: To reduce the products to regional markets, Toyota has design/R&amp;D</w:t>
      </w:r>
      <w:r w:rsidR="00F45BEB" w:rsidRPr="00173FC2">
        <w:rPr>
          <w:rFonts w:eastAsia="Times New Roman"/>
          <w:sz w:val="24"/>
          <w:szCs w:val="24"/>
          <w:highlight w:val="white"/>
        </w:rPr>
        <w:t xml:space="preserve"> </w:t>
      </w:r>
      <w:r w:rsidRPr="00173FC2">
        <w:rPr>
          <w:rFonts w:eastAsia="Times New Roman"/>
          <w:sz w:val="24"/>
          <w:szCs w:val="24"/>
          <w:highlight w:val="white"/>
        </w:rPr>
        <w:t>centress in numerous countries, which are used to innovate much faster (Liu et al., 2024). This will assist the company in having a competitive advantage of knowing and responding to the local consumer preferences (EV demand in Europe, hybrid demand in emerging markets) better.</w:t>
      </w:r>
    </w:p>
    <w:p w14:paraId="7FAEE713"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Financial Strength and Revenue Growth</w:t>
      </w:r>
      <w:r w:rsidRPr="00173FC2">
        <w:rPr>
          <w:rFonts w:eastAsia="Times New Roman"/>
          <w:sz w:val="24"/>
          <w:szCs w:val="24"/>
          <w:highlight w:val="white"/>
        </w:rPr>
        <w:t>: Toyota has a global presence that promotes good financial strength. As an example, in the context of the Integrated Report 2024, Toyota emphasises that its global operations contribute to sustainable value generation, diversification of risks, and predictable cash flows in different regions (Toyota Motor Corporation, 2024). The production locally and marketing worldwide is what makes Toyota capture more markets and distribute its investment risks, and has led to its strength and profitability.</w:t>
      </w:r>
    </w:p>
    <w:p w14:paraId="73E3C23B"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sz w:val="24"/>
          <w:szCs w:val="24"/>
          <w:highlight w:val="white"/>
        </w:rPr>
        <w:t xml:space="preserve">The globalisation of Toyota's business generates enormous advantages. The reduction of unit costs, economies of scale, the consistent quality, the international TPS, and the opportunity to be more flexible with the help of the diversification of the risk of production. The competitive advantage is further narrowed by its global supply chain and localised </w:t>
      </w:r>
      <w:r w:rsidRPr="00173FC2">
        <w:rPr>
          <w:rFonts w:eastAsia="Times New Roman"/>
          <w:sz w:val="24"/>
          <w:szCs w:val="24"/>
          <w:highlight w:val="white"/>
        </w:rPr>
        <w:lastRenderedPageBreak/>
        <w:t>R&amp;D. All these are benefits that enhance the global leadership and financial stability of Toyota.</w:t>
      </w:r>
    </w:p>
    <w:p w14:paraId="039F34DE" w14:textId="77777777" w:rsidR="00DE5498" w:rsidRPr="00173FC2" w:rsidRDefault="00970BC5" w:rsidP="00E5452A">
      <w:pPr>
        <w:pStyle w:val="Heading1"/>
        <w:rPr>
          <w:rFonts w:ascii="Arial" w:hAnsi="Arial" w:cs="Arial"/>
          <w:highlight w:val="yellow"/>
        </w:rPr>
      </w:pPr>
      <w:bookmarkStart w:id="41" w:name="_9rc1yaoyxmny" w:colFirst="0" w:colLast="0"/>
      <w:bookmarkStart w:id="42" w:name="_Toc214641827"/>
      <w:bookmarkEnd w:id="41"/>
      <w:r w:rsidRPr="00173FC2">
        <w:rPr>
          <w:rFonts w:ascii="Arial" w:hAnsi="Arial" w:cs="Arial"/>
        </w:rPr>
        <w:t>3. Impact of OLI Factors on Market Entry Mode</w:t>
      </w:r>
      <w:bookmarkEnd w:id="42"/>
      <w:r w:rsidRPr="00173FC2">
        <w:rPr>
          <w:rFonts w:ascii="Arial" w:hAnsi="Arial" w:cs="Arial"/>
        </w:rPr>
        <w:t xml:space="preserve"> </w:t>
      </w:r>
    </w:p>
    <w:p w14:paraId="0DBBDDA0"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sz w:val="24"/>
          <w:szCs w:val="24"/>
          <w:highlight w:val="white"/>
        </w:rPr>
        <w:t xml:space="preserve">John Dunning formulated the OLI (Ownership, Location, Internalisation) paradigm, which offers a good concept of understanding why multinational enterprises (MNEs) such as Toyota Motor Corporation adopt specific foreign market entry modes. </w:t>
      </w:r>
      <w:r w:rsidRPr="00173FC2">
        <w:rPr>
          <w:rFonts w:eastAsia="Times New Roman"/>
          <w:b/>
          <w:bCs/>
          <w:i/>
          <w:iCs/>
          <w:sz w:val="24"/>
          <w:szCs w:val="24"/>
          <w:highlight w:val="white"/>
        </w:rPr>
        <w:t>Ownership</w:t>
      </w:r>
      <w:r w:rsidRPr="00173FC2">
        <w:rPr>
          <w:rFonts w:eastAsia="Times New Roman"/>
          <w:sz w:val="24"/>
          <w:szCs w:val="24"/>
          <w:highlight w:val="white"/>
        </w:rPr>
        <w:t xml:space="preserve"> advantages are the assets or abilities of the firm that provide Toyota with a competitive advantage on the international front (Tarmohamed, 2022). Toyota has good proprietary strengths, which include the Toyota Production System (TPS), lean manufacturing, and continuous-improvement (kaizen) practices, which enable it to sustain operational superiority in expanding overseas. Furthermore, Toyota is able to standardise vehicle platforms across markets with its design and platform competence, especially the Toyota New Global Architecture (TNGA). It can also share components with other markets where Toyota can reduce costs and simplify the manufacturing process. Financial capability and size also represent some of the ownership advantages: as of March 31, 2025, Toyota has more than 50 global manufacturing organisations in 27 countries, which indicates that it can distribute the fixed costs among the large global volumes and use its capital to make strategic investments (Toyota Motor Corporation, 2025). Such ownership facilities explain why Toyota prefers to internalise its operations and not to depend on licensing or exports only.</w:t>
      </w:r>
    </w:p>
    <w:p w14:paraId="7B3206B5"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noProof/>
          <w:sz w:val="24"/>
          <w:szCs w:val="24"/>
          <w:highlight w:val="white"/>
          <w:lang w:val="en-US"/>
        </w:rPr>
        <w:lastRenderedPageBreak/>
        <w:drawing>
          <wp:inline distT="114300" distB="114300" distL="114300" distR="114300" wp14:anchorId="58ED65CF" wp14:editId="266799EE">
            <wp:extent cx="5943600" cy="3340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493847D0" w14:textId="77777777" w:rsidR="00DE5498" w:rsidRPr="00173FC2" w:rsidRDefault="00970BC5" w:rsidP="00E5452A">
      <w:pPr>
        <w:pStyle w:val="Normal1"/>
        <w:spacing w:line="360" w:lineRule="auto"/>
        <w:jc w:val="both"/>
        <w:rPr>
          <w:rFonts w:eastAsia="Times New Roman"/>
          <w:b/>
          <w:bCs/>
          <w:sz w:val="24"/>
          <w:szCs w:val="24"/>
          <w:highlight w:val="white"/>
        </w:rPr>
      </w:pPr>
      <w:r w:rsidRPr="00173FC2">
        <w:rPr>
          <w:rFonts w:eastAsia="Times New Roman"/>
          <w:b/>
          <w:bCs/>
          <w:sz w:val="24"/>
          <w:szCs w:val="24"/>
          <w:highlight w:val="white"/>
        </w:rPr>
        <w:t>Figure 2: OLI (Ownership, Location, Internalisation) paradigm</w:t>
      </w:r>
    </w:p>
    <w:p w14:paraId="0F27CC5C" w14:textId="77777777"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sz w:val="24"/>
          <w:szCs w:val="24"/>
          <w:highlight w:val="white"/>
        </w:rPr>
        <w:t>(Business-to-you, 2025)</w:t>
      </w:r>
    </w:p>
    <w:p w14:paraId="04D79814" w14:textId="53363D2C" w:rsidR="00DE5498" w:rsidRPr="00173FC2" w:rsidRDefault="00970BC5" w:rsidP="00E5452A">
      <w:pPr>
        <w:pStyle w:val="Normal1"/>
        <w:spacing w:line="360" w:lineRule="auto"/>
        <w:jc w:val="both"/>
        <w:rPr>
          <w:rFonts w:eastAsia="Times New Roman"/>
          <w:sz w:val="24"/>
          <w:szCs w:val="24"/>
          <w:highlight w:val="white"/>
        </w:rPr>
      </w:pPr>
      <w:r w:rsidRPr="00173FC2">
        <w:rPr>
          <w:rFonts w:eastAsia="Times New Roman"/>
          <w:b/>
          <w:bCs/>
          <w:i/>
          <w:iCs/>
          <w:sz w:val="24"/>
          <w:szCs w:val="24"/>
          <w:highlight w:val="white"/>
        </w:rPr>
        <w:t xml:space="preserve">Location </w:t>
      </w:r>
      <w:r w:rsidRPr="00173FC2">
        <w:rPr>
          <w:rFonts w:eastAsia="Times New Roman"/>
          <w:sz w:val="24"/>
          <w:szCs w:val="24"/>
          <w:highlight w:val="white"/>
        </w:rPr>
        <w:t xml:space="preserve">benefits can justify the reason why Toyota would opt to invest in specific markets in foreign countries instead of exporting all of its cars out of Japan. One of the reasons is closeness to high-demand markets. Toyota is strategic in placing plants in areas with high populations of consumers, such as North America, </w:t>
      </w:r>
      <w:r w:rsidR="00F45BEB" w:rsidRPr="00173FC2">
        <w:rPr>
          <w:rFonts w:eastAsia="Times New Roman"/>
          <w:sz w:val="24"/>
          <w:szCs w:val="24"/>
          <w:highlight w:val="white"/>
        </w:rPr>
        <w:t>Europe (</w:t>
      </w:r>
      <w:r w:rsidRPr="00173FC2">
        <w:rPr>
          <w:rFonts w:eastAsia="Times New Roman"/>
          <w:sz w:val="24"/>
          <w:szCs w:val="24"/>
          <w:highlight w:val="white"/>
        </w:rPr>
        <w:t>Czech, UK, France), Southeast Asia (Thailand, Indonesia), India, and Latin America, so that the company can respond to local demand in time and cut transportation expenses (Toyota Motor Corporation, 2024). Cost efficiency is also a location strength: some countries have cheaper labour costs, a preferable supply-chain system,s and trade advantages. Toyota has utilised a global procurement strategy that benefits local and regional suppliers to maximise costs and enhance efficiency (Toyota Motor Corporation, 2024). The location benefits are also promoted by regulatory incentives. An example is when in China, Toyota uses joint ventures with FAW and GAC to meet the local ownership laws and enter one of the largest automobile markets in the world (Toyota Motor Corporation, 2024). Moreover, the geographic diversification helps Toyota to reduce the risks like trade conflict, currency variation, and regional demand deterrence.</w:t>
      </w:r>
    </w:p>
    <w:p w14:paraId="5DF1E2A6"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lastRenderedPageBreak/>
        <w:t xml:space="preserve">The benefits of </w:t>
      </w:r>
      <w:r w:rsidRPr="00EC6F6D">
        <w:rPr>
          <w:rFonts w:eastAsia="Times New Roman"/>
          <w:b/>
          <w:sz w:val="24"/>
          <w:szCs w:val="24"/>
        </w:rPr>
        <w:t>internalisation</w:t>
      </w:r>
      <w:r w:rsidRPr="00173FC2">
        <w:rPr>
          <w:rFonts w:eastAsia="Times New Roman"/>
          <w:sz w:val="24"/>
          <w:szCs w:val="24"/>
        </w:rPr>
        <w:t xml:space="preserve"> are the reasons why Toyota would rather own and operate the business as opposed to using a third party contract and licensing business. Internalisation also gives Toyota the possibility to retain a close control over the quality of production and the process which is one of the fundamental aspects of the TPS philosophy. Direct control over manufacturing also lowers transaction costs relating to contracts, negotiations and the co-ordination with third parties especially in its global supply chain. The integrated procurement system allows Toyota to execute efficient sourcing, manage costs, and guarantee quality (Toyota Motor Corporation, 2024). Internalisation is also a form of protection to proprietary knowledge both in terms of production methods and design innovations and it is also flexible in terms of reallocating capacity in different regions depending on the changing demand.</w:t>
      </w:r>
    </w:p>
    <w:p w14:paraId="2390DAAA"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There are however challenges that are associated with the OLI framework which Toyota applied. In China, internalisation benefits are mitigated in a small portion since there is a need to enter joint ventures to comply with regulatory requirements (Toyota Motor Corporation, 2024). According to the SEC filing of 2022, Toyota has over 50 foreign manufacturing organizations in 26 countries and regions, and the distribution system has been getting more intricate (U.S. Securities and Exchange Commission, 2023).  Also, with the move by the auto industry to electric vehicles (EVs) and mobility services, Toyota might have to become more collaborative in R&amp;D and collaborations, weighing internalisation with the necessity to be innovative.</w:t>
      </w:r>
    </w:p>
    <w:p w14:paraId="072175DE"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To sum up, Toyota ownership, location, and internalisation advantages play a significant role in the international market entry decisions that the company has made. Its unique abilities, the power of its brands, and financial capabilities provide the direct investment in the foreign markets. The geographical benefits determine the location where production is to be set up in order to be cost effective, reach the market and diversification of risks. With internalisation, there is control over quality, knowledge and efficiency of a transaction. Although the joint venture in markets such as china indicate some trade-offs, the OLI model demonstrates the reason why Toyota has used foreign direct investment as the major mode of entry, which has helped it to retain its global competitiveness, operational excellence, and financial sustainability.</w:t>
      </w:r>
    </w:p>
    <w:p w14:paraId="29B36B6A" w14:textId="77777777" w:rsidR="00DE5498" w:rsidRPr="00173FC2" w:rsidRDefault="00970BC5" w:rsidP="00E5452A">
      <w:pPr>
        <w:pStyle w:val="Heading1"/>
        <w:rPr>
          <w:rFonts w:ascii="Arial" w:hAnsi="Arial" w:cs="Arial"/>
        </w:rPr>
      </w:pPr>
      <w:bookmarkStart w:id="43" w:name="_a5tmxrnt911b" w:colFirst="0" w:colLast="0"/>
      <w:bookmarkStart w:id="44" w:name="_Toc214641828"/>
      <w:bookmarkEnd w:id="43"/>
      <w:r w:rsidRPr="00173FC2">
        <w:rPr>
          <w:rFonts w:ascii="Arial" w:hAnsi="Arial" w:cs="Arial"/>
        </w:rPr>
        <w:lastRenderedPageBreak/>
        <w:t>4. Cultural Differences and Their Impact on Market Entry and Success</w:t>
      </w:r>
      <w:bookmarkEnd w:id="44"/>
    </w:p>
    <w:p w14:paraId="632C89F6" w14:textId="77777777" w:rsidR="00DE5498" w:rsidRPr="00173FC2" w:rsidRDefault="00970BC5" w:rsidP="00E5452A">
      <w:pPr>
        <w:pStyle w:val="Heading2"/>
        <w:keepNext w:val="0"/>
        <w:keepLines w:val="0"/>
        <w:spacing w:before="0" w:after="0"/>
        <w:rPr>
          <w:rFonts w:ascii="Arial" w:hAnsi="Arial" w:cs="Arial"/>
          <w:sz w:val="24"/>
          <w:szCs w:val="24"/>
        </w:rPr>
      </w:pPr>
      <w:bookmarkStart w:id="45" w:name="_x7mrngd3ed40" w:colFirst="0" w:colLast="0"/>
      <w:bookmarkStart w:id="46" w:name="_Toc214641829"/>
      <w:bookmarkEnd w:id="45"/>
      <w:r w:rsidRPr="00173FC2">
        <w:rPr>
          <w:rFonts w:ascii="Arial" w:hAnsi="Arial" w:cs="Arial"/>
          <w:sz w:val="24"/>
          <w:szCs w:val="24"/>
        </w:rPr>
        <w:t>4.1 Comparative Cultural Analysis Between Japan and the Selected Emerging Economy</w:t>
      </w:r>
      <w:bookmarkEnd w:id="46"/>
    </w:p>
    <w:p w14:paraId="3EB59502"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A comparative cultural evaluation of Japan, a mother country of Toyota and India, one of the emerging economies shows that there are serious differences in cultures that determine the way of conducting business on an international level. The Hofstede model indicates that Japan obtains a score of 54 on Power Distance, which implies that the nation has a relatively hierarchical society with a high orientation toward meritocracy (Università Ca’ Foscari Venezia, 2024). Conversely, India has a Power Distance score of 77, which means that more progressively, people have accepted inequality and top-down power in organisations (International Business Center, 2025). This difference indicates that the consensus-based Toyota establishment of the ringi system might require a modification to suit more Indian hierarchical corporate cultures.</w:t>
      </w:r>
    </w:p>
    <w:p w14:paraId="5722441E" w14:textId="77777777" w:rsidR="00DE5498" w:rsidRPr="00173FC2" w:rsidRDefault="00DE5498" w:rsidP="00E5452A">
      <w:pPr>
        <w:pStyle w:val="Normal1"/>
        <w:spacing w:line="360" w:lineRule="auto"/>
        <w:jc w:val="both"/>
        <w:rPr>
          <w:rFonts w:eastAsia="Times New Roman"/>
          <w:sz w:val="24"/>
          <w:szCs w:val="24"/>
        </w:rPr>
      </w:pPr>
    </w:p>
    <w:p w14:paraId="589C1D4C"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noProof/>
          <w:sz w:val="24"/>
          <w:szCs w:val="24"/>
          <w:lang w:val="en-US"/>
        </w:rPr>
        <w:drawing>
          <wp:inline distT="114300" distB="114300" distL="114300" distR="114300" wp14:anchorId="6F89103B" wp14:editId="7840A04A">
            <wp:extent cx="5943600" cy="33401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781CC3BF" w14:textId="77777777" w:rsidR="00DE5498" w:rsidRPr="00173FC2" w:rsidRDefault="00970BC5" w:rsidP="00E5452A">
      <w:pPr>
        <w:pStyle w:val="Normal1"/>
        <w:spacing w:line="360" w:lineRule="auto"/>
        <w:jc w:val="both"/>
        <w:rPr>
          <w:rFonts w:eastAsia="Times New Roman"/>
          <w:b/>
          <w:bCs/>
          <w:sz w:val="24"/>
          <w:szCs w:val="24"/>
        </w:rPr>
      </w:pPr>
      <w:r w:rsidRPr="00173FC2">
        <w:rPr>
          <w:rFonts w:eastAsia="Times New Roman"/>
          <w:b/>
          <w:bCs/>
          <w:sz w:val="24"/>
          <w:szCs w:val="24"/>
        </w:rPr>
        <w:t>Figure 3: Hofstede’s Cultural Dimensions, Japan</w:t>
      </w:r>
    </w:p>
    <w:p w14:paraId="028E801C"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(Prezi, 2025)</w:t>
      </w:r>
    </w:p>
    <w:p w14:paraId="2FD56041" w14:textId="77777777" w:rsidR="00DE5498" w:rsidRPr="00173FC2" w:rsidRDefault="00DE5498" w:rsidP="00E5452A">
      <w:pPr>
        <w:pStyle w:val="Normal1"/>
        <w:spacing w:line="360" w:lineRule="auto"/>
        <w:jc w:val="both"/>
        <w:rPr>
          <w:rFonts w:eastAsia="Times New Roman"/>
          <w:sz w:val="24"/>
          <w:szCs w:val="24"/>
        </w:rPr>
      </w:pPr>
    </w:p>
    <w:p w14:paraId="27DA6C4B"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lastRenderedPageBreak/>
        <w:t>The score of Japan on Individualism vs Collectivism is 46, which indicates that the values of collectivism are also not the strongest, but still higher in comparison with some other Asian cultures (Università Ca’ Foscari Venezia, 2025). India scores 48, which similarly follows the common inclination towards collectivism, which balances the group loyalty and moderate individualism (Econstor, 2024). This consistency would allow the Toyota collaborative production model i.e. team based Toyota Production System (TPS).</w:t>
      </w:r>
    </w:p>
    <w:p w14:paraId="01793917"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On the Uncertainty Avoidance index, Japan scores a very high 92, which is indicative of a strong culture that prefers formality, rules, and predictability (Puglisi, 2022). Conversely, India has a score of 40 indicating that the society is more accepting of ambiguity and adapting processes (International Business Center, 2025). This distinction implies that the standardised systems in Toyota such as kaizen, jidoka and strict quality control might need good cross-cultural training in India when applied.</w:t>
      </w:r>
    </w:p>
    <w:p w14:paraId="228FD18B"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In terms of Long-Term Orientation, Australia has scores ranging between 80 and 88 (Sometimes, the source differs), which means a focus on future planning, endurance, and long-term outcomes (Puglisi, 2022). India has a score of 51 which indicates that it is more of a combination between tradition and future orientation (Econstor, 2025).  Using the high-low-context theory as postulated by Hall, Japan and India are high-context communicators. Such cultures tend to be indirect in their communication, utilizing the non-verbal messages, strong interpersonal connections and unspoken knowledge. This is a similarity that can enable Toyota to establish good working relationships with its suppliers and create a negotiation structure that is founded on faith in India.</w:t>
      </w:r>
    </w:p>
    <w:p w14:paraId="02667F18" w14:textId="77777777" w:rsidR="00DE5498" w:rsidRPr="00173FC2" w:rsidRDefault="00970BC5" w:rsidP="00E5452A">
      <w:pPr>
        <w:pStyle w:val="Normal1"/>
        <w:spacing w:line="360" w:lineRule="auto"/>
        <w:jc w:val="both"/>
        <w:rPr>
          <w:b/>
          <w:bCs/>
          <w:sz w:val="24"/>
          <w:szCs w:val="24"/>
        </w:rPr>
      </w:pPr>
      <w:r w:rsidRPr="00173FC2">
        <w:rPr>
          <w:rFonts w:eastAsia="Times New Roman"/>
          <w:sz w:val="24"/>
          <w:szCs w:val="24"/>
        </w:rPr>
        <w:t>On the whole, the differences in culture in terms of hierarchy, risk-taking, and time orientation imply that Toyota will have to change the leadership style, training, and internal processes in India, yet the similarity in terms of collectivism and high context provides a good background to cooperate, trust, and align operational strategies.</w:t>
      </w:r>
    </w:p>
    <w:p w14:paraId="3126602C" w14:textId="77777777" w:rsidR="00DE5498" w:rsidRPr="00173FC2" w:rsidRDefault="00970BC5" w:rsidP="00E5452A">
      <w:pPr>
        <w:pStyle w:val="Heading2"/>
        <w:keepNext w:val="0"/>
        <w:keepLines w:val="0"/>
        <w:spacing w:before="0" w:after="0"/>
        <w:rPr>
          <w:rFonts w:ascii="Arial" w:hAnsi="Arial" w:cs="Arial"/>
          <w:sz w:val="24"/>
          <w:szCs w:val="24"/>
        </w:rPr>
      </w:pPr>
      <w:bookmarkStart w:id="47" w:name="_ha4goo73vlfk" w:colFirst="0" w:colLast="0"/>
      <w:bookmarkStart w:id="48" w:name="_Toc214641830"/>
      <w:bookmarkEnd w:id="47"/>
      <w:r w:rsidRPr="00173FC2">
        <w:rPr>
          <w:rFonts w:ascii="Arial" w:hAnsi="Arial" w:cs="Arial"/>
          <w:sz w:val="24"/>
          <w:szCs w:val="24"/>
        </w:rPr>
        <w:t>4.2 Influence of Cultural Differences on Toyota’s Market Entry Strategy</w:t>
      </w:r>
      <w:bookmarkEnd w:id="48"/>
    </w:p>
    <w:p w14:paraId="28444CC5"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 xml:space="preserve">A cultural comparison between Japan and India highlights major statistical differences in the dimensions of Hofstede that offer a solid evidence of the role of cultural distance on the strategies of Toyota. The Power Distance Index (PDI) of India is 77, much more than 54 of Japan, which demonstrates that the organisational structure of India is more </w:t>
      </w:r>
      <w:r w:rsidRPr="00173FC2">
        <w:rPr>
          <w:rFonts w:eastAsia="Times New Roman"/>
          <w:sz w:val="24"/>
          <w:szCs w:val="24"/>
        </w:rPr>
        <w:lastRenderedPageBreak/>
        <w:t>hierarchical and tolerates more power inequalities (Weil, 2025a). In terms of Uncertainty Avoidance, Japan has a score of 92 indicating they favor clarity, structure, and predictability whereas India has only 40 indicating that the Indian culture is less sensitive to uncertainty and more relaxed processes (International Business Center, 2025). With regards to Individualism, India scores 48, and Japan scores 46, which indicates that both cultures are inclined towards collectivism and attach importance to group loyalty and cohesion (Weil, 2025a). On the Long-Term Orientation dimension, Hofstede data indicate that India scores 61, and Japan scores 80, which tells us about the difference in future planning orientations: India values both tradition and flexibility, whereas Japan is more oriented to long-term commitment and perseverance (Weil, 2025b). Such statistical differences confirm that the entry strategy of Toyota in India has to take into consideration hierarchical governance, more relational and adaptive negotiation style, and flexible but ultimately long-term strategic orientation. The high difference in Uncertainty Avoidance explains why Toyota would have to transition to its standardised production systems in a moderately gradual manner, by capitalising on extensive training but being careful to local tolerance of ambiguity. Altogether, the quantitative cultural data give a plausible basis to examine how Toyota can integrate the control mechanisms, leadership model, and structure of partnership to successfully enter the Indian unique cultural environment.</w:t>
      </w:r>
    </w:p>
    <w:p w14:paraId="5F41ED0E" w14:textId="77777777" w:rsidR="00DE5498" w:rsidRPr="00173FC2" w:rsidRDefault="00970BC5" w:rsidP="00E5452A">
      <w:pPr>
        <w:pStyle w:val="Heading2"/>
        <w:keepNext w:val="0"/>
        <w:keepLines w:val="0"/>
        <w:spacing w:before="0" w:after="0"/>
        <w:rPr>
          <w:rFonts w:ascii="Arial" w:hAnsi="Arial" w:cs="Arial"/>
          <w:sz w:val="24"/>
          <w:szCs w:val="24"/>
        </w:rPr>
      </w:pPr>
      <w:bookmarkStart w:id="49" w:name="_usowmf21foi6" w:colFirst="0" w:colLast="0"/>
      <w:bookmarkStart w:id="50" w:name="_Toc214641831"/>
      <w:bookmarkEnd w:id="49"/>
      <w:r w:rsidRPr="00173FC2">
        <w:rPr>
          <w:rFonts w:ascii="Arial" w:hAnsi="Arial" w:cs="Arial"/>
          <w:sz w:val="24"/>
          <w:szCs w:val="24"/>
        </w:rPr>
        <w:t>4.3 Impact of Cultural Dynamics on Toyota’s Operational Success and Long-Term Performance</w:t>
      </w:r>
      <w:bookmarkEnd w:id="50"/>
    </w:p>
    <w:p w14:paraId="7F301F37"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 xml:space="preserve">Japanese and Indian cultural relationships have a huge impact on the operational success and long-term performance of Toyota, especially in the HRM, leadership, supply chain management, marketing adaptation, and customer engagement sectors. The Power Distance is high in India (77) when compared to Japan (54) indicates that employees in India desire strict hierarchical leaders (International Business Center, 2025). Toyota therefore needs to employ a more authoritative type of leadership in India which is abetted with the introduction of visible involvement of senior management and gradually incorporate its collaborative Japanese model like kaizen and team problem solving. The collectivist orientation of India (Individualism score 48) in HRM promotes an incentive approach to groups and the employment association which is noteworthy in </w:t>
      </w:r>
      <w:r w:rsidRPr="00173FC2">
        <w:rPr>
          <w:rFonts w:eastAsia="Times New Roman"/>
          <w:sz w:val="24"/>
          <w:szCs w:val="24"/>
        </w:rPr>
        <w:lastRenderedPageBreak/>
        <w:t>terms of loyalty, constant improvement, and developing skills characteristic of Toyota (International Business Center, 2025). Nonetheless, a Japanese score Uncertainty Avoidance (92) is contrasted with Indian (40) implying that Toyota will have to incur higher costs in standardised training to instill discipline in production processes (University of Michigan, 2025; International Business Center, 2025). The performance of Toyota in terms of its supply chain is also affected by cultural expectations. The relational business culture and high level of trust in India demand that Toyota develops long term relationships with suppliers, which are backed by co-location, joint training and joint quality improvement programmes. This strategy enhances consistency and minimization of cultural tension in quality assurance and logistics.</w:t>
      </w:r>
    </w:p>
    <w:p w14:paraId="742A8381"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Marketing customization is imperative since value-for-money offers, family appeal, and long-lasting durability appeal highly to Indian consumers, as the reliability of Toyota is also associated with reliability (Hartoyo et al., 2023). Indian preferences in high context communication also imply that the narratives of the brands should focus on emotional appeal, social identity and trust and not on the purely technical specifications.</w:t>
      </w:r>
    </w:p>
    <w:p w14:paraId="1E03D5E4" w14:textId="77777777" w:rsidR="00DE5498" w:rsidRPr="00173FC2" w:rsidRDefault="00970BC5" w:rsidP="00E5452A">
      <w:pPr>
        <w:pStyle w:val="Normal1"/>
        <w:spacing w:line="360" w:lineRule="auto"/>
        <w:jc w:val="both"/>
        <w:rPr>
          <w:rFonts w:eastAsia="Times New Roman"/>
          <w:sz w:val="24"/>
          <w:szCs w:val="24"/>
          <w:highlight w:val="yellow"/>
        </w:rPr>
      </w:pPr>
      <w:r w:rsidRPr="00173FC2">
        <w:rPr>
          <w:rFonts w:eastAsia="Times New Roman"/>
          <w:sz w:val="24"/>
          <w:szCs w:val="24"/>
        </w:rPr>
        <w:t>To achieve competitive advantage in the long-run, Toyota will have to strike a balance between global efficiency and local cultural responsiveness. In the case that leadership style, HRM practices, supply chain cooperation, and customer engagement strategies are aligned with the cultural realities, Toyota stands at a better position of developing sustained operational excellence and market resilience in India.</w:t>
      </w:r>
    </w:p>
    <w:p w14:paraId="14314035" w14:textId="77777777" w:rsidR="00DE5498" w:rsidRPr="00173FC2" w:rsidRDefault="00970BC5" w:rsidP="00E5452A">
      <w:pPr>
        <w:pStyle w:val="Heading1"/>
        <w:rPr>
          <w:rFonts w:ascii="Arial" w:hAnsi="Arial" w:cs="Arial"/>
        </w:rPr>
      </w:pPr>
      <w:bookmarkStart w:id="51" w:name="_r1oenfty646z" w:colFirst="0" w:colLast="0"/>
      <w:bookmarkStart w:id="52" w:name="_Toc214641832"/>
      <w:bookmarkEnd w:id="51"/>
      <w:r w:rsidRPr="00173FC2">
        <w:rPr>
          <w:rFonts w:ascii="Arial" w:hAnsi="Arial" w:cs="Arial"/>
        </w:rPr>
        <w:t>5. SOP Adjustments for Success in Emerging Markets</w:t>
      </w:r>
      <w:bookmarkEnd w:id="52"/>
    </w:p>
    <w:p w14:paraId="4078E375" w14:textId="77777777" w:rsidR="00DE5498" w:rsidRPr="00173FC2" w:rsidRDefault="00970BC5" w:rsidP="00E5452A">
      <w:pPr>
        <w:pStyle w:val="Heading2"/>
        <w:keepNext w:val="0"/>
        <w:keepLines w:val="0"/>
        <w:spacing w:before="0" w:after="0"/>
        <w:rPr>
          <w:rFonts w:ascii="Arial" w:hAnsi="Arial" w:cs="Arial"/>
          <w:sz w:val="24"/>
          <w:szCs w:val="24"/>
        </w:rPr>
      </w:pPr>
      <w:bookmarkStart w:id="53" w:name="_5ou1mmeibkl3" w:colFirst="0" w:colLast="0"/>
      <w:bookmarkStart w:id="54" w:name="_Toc214641833"/>
      <w:bookmarkEnd w:id="53"/>
      <w:r w:rsidRPr="00173FC2">
        <w:rPr>
          <w:rFonts w:ascii="Arial" w:hAnsi="Arial" w:cs="Arial"/>
          <w:sz w:val="24"/>
          <w:szCs w:val="24"/>
        </w:rPr>
        <w:t>5.1 SOP Adjustment 1: Localised Leadership, Decision-Making and HRM Practices</w:t>
      </w:r>
      <w:bookmarkEnd w:id="54"/>
    </w:p>
    <w:p w14:paraId="78BACDCD"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 xml:space="preserve">In order to successfully do business in India, Toyota must localise its SOPs in the leadership, decision-making, and HRM on the basis of pertinent cultural and labour-market realities. The GLOBE Project suggests that Southern Asia cluster (that includes India) is one of the most value-driven by Charismatic/Value-Based Leadership, Team-Oriented Leadership, and Humane-Oriented Leadership (GLOBE Project, 2025). It means that Indian workers are sensitive to visionary and sensitive leaders who serve the organisational objectives with personal integrity Toyota needs to grant the local managers high authority and relational leadership.The GLOBE Project suggests that Southern Asia </w:t>
      </w:r>
      <w:r w:rsidRPr="00173FC2">
        <w:rPr>
          <w:rFonts w:eastAsia="Times New Roman"/>
          <w:sz w:val="24"/>
          <w:szCs w:val="24"/>
        </w:rPr>
        <w:lastRenderedPageBreak/>
        <w:t>cluster (that includes India) is one of the most value-driven by Charismatic/Value-Based Leadership, Team-Oriented Leadership, and Humane-Oriented Leadership (GLOBE Project, 2025). It means that Indian workers are sensitive to visionary and sensitive leaders who serve the organisational objectives with personal integrity 5.1  Toyota needs to grant the local managers high authority and relational leadership.</w:t>
      </w:r>
    </w:p>
    <w:p w14:paraId="31762A8F"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The numbers provided by GLOBE also suggest that practices of Power Distance in South Asia (around 5.29) are higher than in Japan (around 4.18), which once again suggests that Toyota India should follow certain strict hierarchies in the SOPs (GLOBE Project, 2025). Toyota in turn should revise its decision making SOPs to capture authoritative leadership whereby the Indian managers are granted the authority to make their own decisions locally and command cross-functional teams with confidence.</w:t>
      </w:r>
    </w:p>
    <w:p w14:paraId="1D4B77CF"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In addition to cultural values, there is a major challenge of skills-development affecting the India workforce. According to the Skill India mission by the World Bank, the formal skills training of only 2.3 percent of the overall Indian workforce compares to the overwhelming percentages of developed economies (World Bank, 2017). The low level of formal training required translates into the fact that Toyota SOPs incorporate long-term training and mentorship programmes of the local employees so that they receive sufficient levels of technical and managerial skills that will help them to run the operations efficiently.</w:t>
      </w:r>
    </w:p>
    <w:p w14:paraId="733FFB17"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In addition, the Institute of Competitiveness portrays that 66.89% of Indian employees are semi-skilled and a very small percentage are highly skilled (India Competitiveness, 2017). Toyota ought to henceforth institutionalise talent development SOPs, provide tiered training systems, career ladders, and continuous performance feedback, create loyalty, encourage upskilling, and retention.</w:t>
      </w:r>
    </w:p>
    <w:p w14:paraId="789098B7"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Localisation of leadership, empowering the hierarchical Indian managers as well as investing in the skill development through organised training will help Toyota to harmonise its ownership advantages with the local practices and provide better long-term performance as well as organisational stability in India.</w:t>
      </w:r>
    </w:p>
    <w:p w14:paraId="5E3F8BF4" w14:textId="77777777" w:rsidR="00DE5498" w:rsidRPr="00173FC2" w:rsidRDefault="00970BC5" w:rsidP="00E5452A">
      <w:pPr>
        <w:pStyle w:val="Heading2"/>
        <w:keepNext w:val="0"/>
        <w:keepLines w:val="0"/>
        <w:spacing w:before="0" w:after="0"/>
        <w:rPr>
          <w:rFonts w:ascii="Arial" w:hAnsi="Arial" w:cs="Arial"/>
          <w:sz w:val="24"/>
          <w:szCs w:val="24"/>
        </w:rPr>
      </w:pPr>
      <w:bookmarkStart w:id="55" w:name="_60amzj8v7do2" w:colFirst="0" w:colLast="0"/>
      <w:bookmarkStart w:id="56" w:name="_Toc214641834"/>
      <w:bookmarkEnd w:id="55"/>
      <w:r w:rsidRPr="00173FC2">
        <w:rPr>
          <w:rFonts w:ascii="Arial" w:hAnsi="Arial" w:cs="Arial"/>
          <w:sz w:val="24"/>
          <w:szCs w:val="24"/>
        </w:rPr>
        <w:t>5.2 SOP Adjustment 2: Adaptation of Production, Quality, and Supply Chain Systems</w:t>
      </w:r>
      <w:bookmarkEnd w:id="56"/>
    </w:p>
    <w:p w14:paraId="46E90A00"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lastRenderedPageBreak/>
        <w:t>In a bid to leverage the competitive advantages of Toyota in India, the firm will have to significantly modify its production, quality and supply chain SOPs in order to match the cultural disposition of India especially its low Uncertainty Avoidance and its geographic benefits. The score of Uncertainty Avoidance ingrained in the socio-cultural fabric of India of 40 (Hofstede) signifies that this country tolerates ambiguity, flexible processes, and change (International Business Centre, 2025). Being less committed to strict standardised rules than the human mindset of the Japanese, particularly in production, Indian employees and managers can be more inclined to less structured, adaptive problem solving. Thus, Toyota ought to structure its SOPs in such a way that the Toyota Production System (TPS) can be implemented in stages with gradual improvements and feedback instead of complete standardisation at an early stage.</w:t>
      </w:r>
    </w:p>
    <w:p w14:paraId="75316D3A"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The SOPs by Toyota need to incorporate a modular quality control processes to exploit the flexibility of local suppliers. The manufacturing sector of India is booming with up to 17.2% of the GDP according to S&amp;P Global (S&amp;P Global, 2023). The scale of this manufacturing offers Toyota with high quality of network of local suppliers, although there is also variability in supplier capabilities. Toyota can progressively improve the quality standard by creating supplier development programmes, quality workshops, and jointly developing quality standards, which will not choke local innovation.</w:t>
      </w:r>
    </w:p>
    <w:p w14:paraId="04383200"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In addition, as the economic analysis of the World Bank states, manufacturers that are involved in the Global Value Chains (GVCs) in India report an increase in value-added 250 percent higher than the non-GVC companies (World Bank, 2022). This location advantage indicates that the SOPs of the Toyota company need to focus on integration with the suppliers in the Indian GVC, and they should exploit their productivity potential. Toyota needs to introduce SOPs to work with Tier-1 and Tier-2 suppliers in the country - common planning sessions, demand forecasting and capacity investments.</w:t>
      </w:r>
    </w:p>
    <w:p w14:paraId="7AE2DB13"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 xml:space="preserve">When it comes to logistics and supply chain operations, SOPs are to consider the fact that India has got a better infrastructure but continues to have inconsistency in its logistics reliability. As an illustration, the buffer stocks, the flexible inventory policies and the decentralised distribution hubs can be required by SOPs to reduce risk (Vadivelu et al., 2025). Toyota may also apply lean but flexible processes: just-in-time documentation, </w:t>
      </w:r>
      <w:r w:rsidRPr="00173FC2">
        <w:rPr>
          <w:rFonts w:eastAsia="Times New Roman"/>
          <w:sz w:val="24"/>
          <w:szCs w:val="24"/>
        </w:rPr>
        <w:lastRenderedPageBreak/>
        <w:t>pliable standard operating checklists, and real-time quality reporting systems, and adapted to a situation in which processes can also change depending on local feedback.</w:t>
      </w:r>
    </w:p>
    <w:p w14:paraId="6BFB6721"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Lastly, Toyota should come up with cross-cultural training SOPs of both the Japanese and the Indian teams to maintain production discipline. Indian employees need to be trained in the basics of TPS, kaizen mentality, and quality circles, however, they should be motivated to provide local solutions and modify tools. Japanese experts on the other hand require SOPs to coach, mentor and empower local teams, they understand that Indian workers might oppose or misinterpret formal processes than workplace Japanese workers.</w:t>
      </w:r>
    </w:p>
    <w:p w14:paraId="26B04750"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Modifying its production and supply chain SOPs to conform to the low Uncertainty Avoidance of India and leveraging its location-based manufacturing advantages would help Toyota to be more resilient to its operations, enable innovation, and promote long-term quality benefits.</w:t>
      </w:r>
    </w:p>
    <w:p w14:paraId="53AC984F" w14:textId="77777777" w:rsidR="00DE5498" w:rsidRPr="00173FC2" w:rsidRDefault="00970BC5" w:rsidP="00E5452A">
      <w:pPr>
        <w:pStyle w:val="Heading2"/>
        <w:keepNext w:val="0"/>
        <w:keepLines w:val="0"/>
        <w:spacing w:before="0" w:after="0"/>
        <w:rPr>
          <w:rFonts w:ascii="Arial" w:hAnsi="Arial" w:cs="Arial"/>
          <w:sz w:val="24"/>
          <w:szCs w:val="24"/>
        </w:rPr>
      </w:pPr>
      <w:bookmarkStart w:id="57" w:name="_6zsrkje36d46" w:colFirst="0" w:colLast="0"/>
      <w:bookmarkStart w:id="58" w:name="_Toc214641835"/>
      <w:bookmarkEnd w:id="57"/>
      <w:r w:rsidRPr="00173FC2">
        <w:rPr>
          <w:rFonts w:ascii="Arial" w:hAnsi="Arial" w:cs="Arial"/>
          <w:sz w:val="24"/>
          <w:szCs w:val="24"/>
        </w:rPr>
        <w:t>5.3 SOP Adjustment 3: Market-Specific Customer Engagement, Marketing, and Service Protocols</w:t>
      </w:r>
      <w:bookmarkEnd w:id="58"/>
    </w:p>
    <w:p w14:paraId="1F5BFD25"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To enhance its competitiveness in India, Toyota will have to localize its Standard Operating Procedures (SOPs) in dealing with customers, marketing communication and service provision to suit the cultural expectations and behavioural patterns of India. Indian customers value relational trust and personalised interaction and open communication highly. A full pre-service explanation, such as scope of work, inspection results and estimated cost, which are recorded, resulted in customers who receive it achieving significantly higher levels of satisfaction (848 vs. 828 out of 1,000) and created 7% more service revenue in dealerships (J.D. Power, 2023). This statistical data proves that the SOPs adopted by Toyota should enforce systematic pre-service communication so that the service advisors would clearly inform the customers on what work should be done before any work is done.</w:t>
      </w:r>
    </w:p>
    <w:p w14:paraId="270B443E"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 xml:space="preserve">Equally, J.D. Power India CSI Study (2022) also revealed that customer satisfaction is 25 points higher in dealerships where service advisors are proactive to reach out to customers by confirming their requests at the first instance and kept them updated regularly (863 vs. 838). This suggests that Toyota ought to formalize SOPs that focus on </w:t>
      </w:r>
      <w:r w:rsidRPr="00173FC2">
        <w:rPr>
          <w:rFonts w:eastAsia="Times New Roman"/>
          <w:sz w:val="24"/>
          <w:szCs w:val="24"/>
        </w:rPr>
        <w:lastRenderedPageBreak/>
        <w:t>empathy-oriented, proactive interactions, which are considered to be in accordance with the high-context culture of communication in India where the relational cues play an important role in generating the perception of service quality.</w:t>
      </w:r>
    </w:p>
    <w:p w14:paraId="7645C328"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The marketing SOPs should also be able to capture the digital consumer environment in India. According to the IAMAI 2023 Report on the Internet in India, 821 million active internet users are in India (IAMAI, 2023). Toyota thus needs to incorporate SOPs in regards to omnichannel marketing that ensures the same branding on websites, social media, WhatsApp communication and dealership.</w:t>
      </w:r>
    </w:p>
    <w:p w14:paraId="6D5CBE0E"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Another important dimension is trust. The 2024 Voice of the Consumer Survey released by PwC showed that 82 percent of Indian consumers consider the protection of personal data to be the most significant determinant to develop trust (PwC India, 2024). Toyota should hence incorporate the SOPs that focus on privacy of data in digital marketing, customer touch, and service procedures; so that the customers feel safe to provide personal and vehicle data. Long term loyalty plays a decisive role in after sales service. According to J.D. Power findings, service satisfactions drive up to 60% of the repurchase decisions in India, as opposed to most developed markets (J.D. Power, 2022). As a means of capitalising on this, Toyota ought to standardise SOPs in regard to personalised follow-ups, loyalty programmes (e.g. family service programme), transparent billing and culturally sensitised communications.</w:t>
      </w:r>
    </w:p>
    <w:p w14:paraId="19F407EA"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All in all, providing statistically endorsed customer engagement, emotional marketing, transparency guidelines, and digital connectivity as its SOPs, Toyota will be able to build trust, improve customer satisfaction, and ensure long-term market performance in India.</w:t>
      </w:r>
    </w:p>
    <w:p w14:paraId="41E053FB" w14:textId="77777777" w:rsidR="00DE5498" w:rsidRPr="00173FC2" w:rsidRDefault="00970BC5" w:rsidP="00E5452A">
      <w:pPr>
        <w:pStyle w:val="Heading1"/>
        <w:rPr>
          <w:rFonts w:ascii="Arial" w:hAnsi="Arial" w:cs="Arial"/>
        </w:rPr>
      </w:pPr>
      <w:bookmarkStart w:id="59" w:name="_8tjmhcbhuvqh" w:colFirst="0" w:colLast="0"/>
      <w:bookmarkStart w:id="60" w:name="_Toc214641836"/>
      <w:bookmarkEnd w:id="59"/>
      <w:r w:rsidRPr="00173FC2">
        <w:rPr>
          <w:rFonts w:ascii="Arial" w:hAnsi="Arial" w:cs="Arial"/>
        </w:rPr>
        <w:t>6. Conclusion to the report</w:t>
      </w:r>
      <w:bookmarkEnd w:id="60"/>
      <w:r w:rsidRPr="00173FC2">
        <w:rPr>
          <w:rFonts w:ascii="Arial" w:hAnsi="Arial" w:cs="Arial"/>
        </w:rPr>
        <w:t xml:space="preserve"> </w:t>
      </w:r>
    </w:p>
    <w:p w14:paraId="560291F5"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 xml:space="preserve">In general, this report has critically discussed the internationalisation process of Toyota Motor Corporation and its strategic successes in conducting business in various global markets, but with particular attention given to India. The analysis has shown that Toyota has high ownership benefits in the form of Toyota Production System, international R&amp;D, financial resources, and standardised quality processes that have made it successful in terms of expanding internationally through foreign direct investment and joint ventures. The location benefits, such as the vast population of consumers in India, the growing </w:t>
      </w:r>
      <w:r w:rsidRPr="00173FC2">
        <w:rPr>
          <w:rFonts w:eastAsia="Times New Roman"/>
          <w:sz w:val="24"/>
          <w:szCs w:val="24"/>
        </w:rPr>
        <w:lastRenderedPageBreak/>
        <w:t>production capacity and the government subsidies are other factors that justify the fact that Toyota will continue investing in the Indian market. The benefits to internalisation, especially the necessity of Toyota to keep high quality standards and safeguard corporate production secrets, are the reason why it favours complete ownership or highly regulated joint ventures.</w:t>
      </w:r>
    </w:p>
    <w:p w14:paraId="3BA652AC"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The cultural analysis pointed out that, there are major differences between Japan and India, particularly in terms of hierarchy, uncertainty and long-term orientation, which have direct implications on the market-entry decisions of Toyota, its operational success and leadership practices. Toyota will have to align its governance mechanisms, style of negotiation, HRM systems and communication strategies to meet the cultural expectations in India. The proposed SOP changes such as localised leadership, adaptive production systems, and culturally sensitive engagement of customers are indicative of the changes that need to be made to the strategic nature of Toyota to ensure a balance between global efficiency and the local realities in India.</w:t>
      </w:r>
    </w:p>
    <w:p w14:paraId="76BE752F" w14:textId="77777777" w:rsidR="00DE5498" w:rsidRPr="00173FC2" w:rsidRDefault="00970BC5" w:rsidP="00E5452A">
      <w:pPr>
        <w:pStyle w:val="Normal1"/>
        <w:spacing w:line="360" w:lineRule="auto"/>
        <w:jc w:val="both"/>
        <w:rPr>
          <w:rFonts w:eastAsia="Times New Roman"/>
          <w:sz w:val="24"/>
          <w:szCs w:val="24"/>
        </w:rPr>
      </w:pPr>
      <w:r w:rsidRPr="00173FC2">
        <w:rPr>
          <w:rFonts w:eastAsia="Times New Roman"/>
          <w:sz w:val="24"/>
          <w:szCs w:val="24"/>
        </w:rPr>
        <w:t>The inclusion of these culturally responsive and operationally aligned SOPs will help Toyota to enhance its competitiveness, increase consumer confidence and improve long-term operability in India fast-moving automotive market.</w:t>
      </w:r>
    </w:p>
    <w:p w14:paraId="03A29113" w14:textId="77777777" w:rsidR="00DE5498" w:rsidRPr="00173FC2" w:rsidRDefault="00DE5498" w:rsidP="00E5452A">
      <w:pPr>
        <w:pStyle w:val="Normal1"/>
        <w:spacing w:line="360" w:lineRule="auto"/>
        <w:jc w:val="both"/>
        <w:rPr>
          <w:rFonts w:eastAsia="Times New Roman"/>
          <w:sz w:val="24"/>
          <w:szCs w:val="24"/>
        </w:rPr>
      </w:pPr>
    </w:p>
    <w:p w14:paraId="0EA44944" w14:textId="77777777" w:rsidR="00DE5498" w:rsidRPr="00173FC2" w:rsidRDefault="00DE5498" w:rsidP="00E5452A">
      <w:pPr>
        <w:pStyle w:val="Normal1"/>
        <w:spacing w:line="360" w:lineRule="auto"/>
        <w:jc w:val="both"/>
        <w:rPr>
          <w:rFonts w:eastAsia="Times New Roman"/>
          <w:sz w:val="24"/>
          <w:szCs w:val="24"/>
        </w:rPr>
      </w:pPr>
    </w:p>
    <w:p w14:paraId="3795E2D8" w14:textId="77777777" w:rsidR="00F45BEB" w:rsidRPr="00173FC2" w:rsidRDefault="00F45BEB" w:rsidP="00E5452A">
      <w:pPr>
        <w:spacing w:line="360" w:lineRule="auto"/>
        <w:jc w:val="both"/>
        <w:rPr>
          <w:rFonts w:eastAsia="Times New Roman"/>
          <w:b/>
          <w:bCs/>
          <w:sz w:val="24"/>
          <w:szCs w:val="24"/>
        </w:rPr>
      </w:pPr>
      <w:bookmarkStart w:id="61" w:name="_pz5rozdgvfe2" w:colFirst="0" w:colLast="0"/>
      <w:bookmarkStart w:id="62" w:name="_Toc214641837"/>
      <w:bookmarkEnd w:id="61"/>
      <w:r w:rsidRPr="00173FC2">
        <w:rPr>
          <w:sz w:val="24"/>
          <w:szCs w:val="24"/>
        </w:rPr>
        <w:br w:type="page"/>
      </w:r>
    </w:p>
    <w:p w14:paraId="4F9B747E" w14:textId="62D59A86" w:rsidR="004D7D10" w:rsidRPr="00173FC2" w:rsidRDefault="00970BC5" w:rsidP="00E5452A">
      <w:pPr>
        <w:pStyle w:val="Heading1"/>
        <w:rPr>
          <w:rFonts w:ascii="Arial" w:hAnsi="Arial" w:cs="Arial"/>
        </w:rPr>
      </w:pPr>
      <w:r w:rsidRPr="00173FC2">
        <w:rPr>
          <w:rFonts w:ascii="Arial" w:hAnsi="Arial" w:cs="Arial"/>
        </w:rPr>
        <w:lastRenderedPageBreak/>
        <w:t>References</w:t>
      </w:r>
      <w:bookmarkEnd w:id="62"/>
    </w:p>
    <w:p w14:paraId="0AB7A1F3"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Business-to-you (2025) </w:t>
      </w:r>
      <w:r w:rsidRPr="00173FC2">
        <w:rPr>
          <w:rFonts w:eastAsia="Times New Roman"/>
          <w:i/>
          <w:iCs/>
          <w:sz w:val="24"/>
          <w:szCs w:val="24"/>
        </w:rPr>
        <w:t>Choosing the right entry mode strategy.</w:t>
      </w:r>
      <w:r w:rsidRPr="00173FC2">
        <w:rPr>
          <w:rFonts w:eastAsia="Times New Roman"/>
          <w:sz w:val="24"/>
          <w:szCs w:val="24"/>
        </w:rPr>
        <w:t xml:space="preserve"> Available at:</w:t>
      </w:r>
      <w:hyperlink r:id="rId11">
        <w:r w:rsidRPr="00173FC2">
          <w:rPr>
            <w:rFonts w:eastAsia="Times New Roman"/>
            <w:sz w:val="24"/>
            <w:szCs w:val="24"/>
          </w:rPr>
          <w:t xml:space="preserve"> </w:t>
        </w:r>
      </w:hyperlink>
      <w:hyperlink r:id="rId12">
        <w:r w:rsidRPr="00173FC2">
          <w:rPr>
            <w:rFonts w:eastAsia="Times New Roman"/>
            <w:color w:val="1155CC"/>
            <w:sz w:val="24"/>
            <w:szCs w:val="24"/>
            <w:u w:val="single"/>
          </w:rPr>
          <w:t>https://www.business-to-you.com/choosing-the-right-entry-mode-strategy/</w:t>
        </w:r>
      </w:hyperlink>
      <w:r w:rsidRPr="00173FC2">
        <w:rPr>
          <w:rFonts w:eastAsia="Times New Roman"/>
          <w:sz w:val="24"/>
          <w:szCs w:val="24"/>
        </w:rPr>
        <w:t xml:space="preserve"> (Accessed: 21 November 2025).</w:t>
      </w:r>
    </w:p>
    <w:p w14:paraId="41CCAB50"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Econstor (2024) </w:t>
      </w:r>
      <w:r w:rsidRPr="00173FC2">
        <w:rPr>
          <w:rFonts w:eastAsia="Times New Roman"/>
          <w:i/>
          <w:iCs/>
          <w:sz w:val="24"/>
          <w:szCs w:val="24"/>
        </w:rPr>
        <w:t>[PDF document retrieved from Econstor repository].</w:t>
      </w:r>
      <w:r w:rsidRPr="00173FC2">
        <w:rPr>
          <w:rFonts w:eastAsia="Times New Roman"/>
          <w:sz w:val="24"/>
          <w:szCs w:val="24"/>
        </w:rPr>
        <w:t xml:space="preserve"> Available at:</w:t>
      </w:r>
      <w:hyperlink r:id="rId13">
        <w:r w:rsidRPr="00173FC2">
          <w:rPr>
            <w:rFonts w:eastAsia="Times New Roman"/>
            <w:sz w:val="24"/>
            <w:szCs w:val="24"/>
          </w:rPr>
          <w:t xml:space="preserve"> </w:t>
        </w:r>
      </w:hyperlink>
      <w:hyperlink r:id="rId14">
        <w:r w:rsidRPr="00173FC2">
          <w:rPr>
            <w:rFonts w:eastAsia="Times New Roman"/>
            <w:color w:val="1155CC"/>
            <w:sz w:val="24"/>
            <w:szCs w:val="24"/>
            <w:u w:val="single"/>
          </w:rPr>
          <w:t>https://www.econstor.eu/bitstream/10419/310741/1/18_2_01.pdf</w:t>
        </w:r>
      </w:hyperlink>
      <w:r w:rsidRPr="00173FC2">
        <w:rPr>
          <w:rFonts w:eastAsia="Times New Roman"/>
          <w:sz w:val="24"/>
          <w:szCs w:val="24"/>
        </w:rPr>
        <w:t xml:space="preserve"> (Accessed: 21 November 2025).</w:t>
      </w:r>
    </w:p>
    <w:p w14:paraId="63D4F334"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Econstor (2025) </w:t>
      </w:r>
      <w:r w:rsidRPr="00173FC2">
        <w:rPr>
          <w:rFonts w:eastAsia="Times New Roman"/>
          <w:i/>
          <w:iCs/>
          <w:sz w:val="24"/>
          <w:szCs w:val="24"/>
        </w:rPr>
        <w:t>[PDF document retrieved from Econstor repository].</w:t>
      </w:r>
      <w:r w:rsidRPr="00173FC2">
        <w:rPr>
          <w:rFonts w:eastAsia="Times New Roman"/>
          <w:sz w:val="24"/>
          <w:szCs w:val="24"/>
        </w:rPr>
        <w:t xml:space="preserve"> Available at:</w:t>
      </w:r>
      <w:hyperlink r:id="rId15">
        <w:r w:rsidRPr="00173FC2">
          <w:rPr>
            <w:rFonts w:eastAsia="Times New Roman"/>
            <w:sz w:val="24"/>
            <w:szCs w:val="24"/>
          </w:rPr>
          <w:t xml:space="preserve"> </w:t>
        </w:r>
      </w:hyperlink>
      <w:hyperlink r:id="rId16">
        <w:r w:rsidRPr="00173FC2">
          <w:rPr>
            <w:rFonts w:eastAsia="Times New Roman"/>
            <w:color w:val="1155CC"/>
            <w:sz w:val="24"/>
            <w:szCs w:val="24"/>
            <w:u w:val="single"/>
          </w:rPr>
          <w:t>https://www.econstor.eu/bitstream/10419/310741/1/18_2_01.pdf</w:t>
        </w:r>
      </w:hyperlink>
      <w:r w:rsidRPr="00173FC2">
        <w:rPr>
          <w:rFonts w:eastAsia="Times New Roman"/>
          <w:sz w:val="24"/>
          <w:szCs w:val="24"/>
        </w:rPr>
        <w:t xml:space="preserve"> (Accessed: 21 November 2025).</w:t>
      </w:r>
    </w:p>
    <w:p w14:paraId="7B82F53E"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GLOBE Project (2025) </w:t>
      </w:r>
      <w:r w:rsidRPr="00173FC2">
        <w:rPr>
          <w:rFonts w:eastAsia="Times New Roman"/>
          <w:i/>
          <w:iCs/>
          <w:sz w:val="24"/>
          <w:szCs w:val="24"/>
        </w:rPr>
        <w:t>Southern Asia cluster results.</w:t>
      </w:r>
      <w:r w:rsidRPr="00173FC2">
        <w:rPr>
          <w:rFonts w:eastAsia="Times New Roman"/>
          <w:sz w:val="24"/>
          <w:szCs w:val="24"/>
        </w:rPr>
        <w:t xml:space="preserve"> Available at:</w:t>
      </w:r>
      <w:hyperlink r:id="rId17">
        <w:r w:rsidRPr="00173FC2">
          <w:rPr>
            <w:rFonts w:eastAsia="Times New Roman"/>
            <w:sz w:val="24"/>
            <w:szCs w:val="24"/>
          </w:rPr>
          <w:t xml:space="preserve"> </w:t>
        </w:r>
      </w:hyperlink>
      <w:hyperlink r:id="rId18">
        <w:r w:rsidRPr="00173FC2">
          <w:rPr>
            <w:rFonts w:eastAsia="Times New Roman"/>
            <w:color w:val="1155CC"/>
            <w:sz w:val="24"/>
            <w:szCs w:val="24"/>
            <w:u w:val="single"/>
          </w:rPr>
          <w:t>https://globeproject.com/results/clusters/southern-asia%3Fmenu%3Dlist.html</w:t>
        </w:r>
      </w:hyperlink>
      <w:r w:rsidRPr="00173FC2">
        <w:rPr>
          <w:rFonts w:eastAsia="Times New Roman"/>
          <w:sz w:val="24"/>
          <w:szCs w:val="24"/>
        </w:rPr>
        <w:t xml:space="preserve"> (Accessed: 21 November 2025).</w:t>
      </w:r>
    </w:p>
    <w:p w14:paraId="6A07462E" w14:textId="77777777" w:rsidR="00173A20" w:rsidRPr="00173FC2" w:rsidRDefault="00173A20" w:rsidP="00E5452A">
      <w:pPr>
        <w:pStyle w:val="Normal1"/>
        <w:spacing w:line="360" w:lineRule="auto"/>
        <w:jc w:val="both"/>
        <w:rPr>
          <w:rFonts w:eastAsia="Times New Roman"/>
          <w:color w:val="1155CC"/>
          <w:sz w:val="24"/>
          <w:szCs w:val="24"/>
          <w:u w:val="single"/>
        </w:rPr>
      </w:pPr>
      <w:r w:rsidRPr="00173FC2">
        <w:rPr>
          <w:rFonts w:eastAsia="Times New Roman"/>
          <w:sz w:val="24"/>
          <w:szCs w:val="24"/>
        </w:rPr>
        <w:t xml:space="preserve">Hartoyo, H., Manalu, E., Sumarwan, U. and Nurhayati, P. (2023) ‘Driving success: A segmentation of customer admiration in automotive industry’, </w:t>
      </w:r>
      <w:r w:rsidRPr="00173FC2">
        <w:rPr>
          <w:rFonts w:eastAsia="Times New Roman"/>
          <w:i/>
          <w:iCs/>
          <w:sz w:val="24"/>
          <w:szCs w:val="24"/>
        </w:rPr>
        <w:t>Journal of Open Innovation: Technology, Market, and Complexity</w:t>
      </w:r>
      <w:r w:rsidRPr="00173FC2">
        <w:rPr>
          <w:rFonts w:eastAsia="Times New Roman"/>
          <w:sz w:val="24"/>
          <w:szCs w:val="24"/>
        </w:rPr>
        <w:t>, 9(2), p.100031. doi:</w:t>
      </w:r>
      <w:hyperlink r:id="rId19">
        <w:r w:rsidRPr="00173FC2">
          <w:rPr>
            <w:rFonts w:eastAsia="Times New Roman"/>
            <w:sz w:val="24"/>
            <w:szCs w:val="24"/>
          </w:rPr>
          <w:t xml:space="preserve"> </w:t>
        </w:r>
      </w:hyperlink>
      <w:hyperlink r:id="rId20">
        <w:r w:rsidRPr="00173FC2">
          <w:rPr>
            <w:rFonts w:eastAsia="Times New Roman"/>
            <w:color w:val="1155CC"/>
            <w:sz w:val="24"/>
            <w:szCs w:val="24"/>
            <w:u w:val="single"/>
          </w:rPr>
          <w:t>https://doi.org/10.1016/j.joitmc.2023.100031</w:t>
        </w:r>
      </w:hyperlink>
    </w:p>
    <w:p w14:paraId="341C39E3"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IAMAI (2023) </w:t>
      </w:r>
      <w:r w:rsidRPr="00173FC2">
        <w:rPr>
          <w:rFonts w:eastAsia="Times New Roman"/>
          <w:i/>
          <w:iCs/>
          <w:sz w:val="24"/>
          <w:szCs w:val="24"/>
        </w:rPr>
        <w:t>Internet in India 2023.</w:t>
      </w:r>
      <w:r w:rsidRPr="00173FC2">
        <w:rPr>
          <w:rFonts w:eastAsia="Times New Roman"/>
          <w:sz w:val="24"/>
          <w:szCs w:val="24"/>
        </w:rPr>
        <w:t xml:space="preserve"> New Delhi: Internet and Mobile Association of India. Available at:</w:t>
      </w:r>
      <w:hyperlink r:id="rId21">
        <w:r w:rsidRPr="00173FC2">
          <w:rPr>
            <w:rFonts w:eastAsia="Times New Roman"/>
            <w:sz w:val="24"/>
            <w:szCs w:val="24"/>
          </w:rPr>
          <w:t xml:space="preserve"> </w:t>
        </w:r>
      </w:hyperlink>
      <w:hyperlink r:id="rId22">
        <w:r w:rsidRPr="00173FC2">
          <w:rPr>
            <w:rFonts w:eastAsia="Times New Roman"/>
            <w:color w:val="1155CC"/>
            <w:sz w:val="24"/>
            <w:szCs w:val="24"/>
            <w:u w:val="single"/>
          </w:rPr>
          <w:t>https://www.iamai.in/sites/default/files/research/INTERNET%20IN%20INDIA%202023.pdf</w:t>
        </w:r>
      </w:hyperlink>
      <w:r w:rsidRPr="00173FC2">
        <w:rPr>
          <w:rFonts w:eastAsia="Times New Roman"/>
          <w:sz w:val="24"/>
          <w:szCs w:val="24"/>
        </w:rPr>
        <w:t xml:space="preserve"> (Accessed: 21 November 2025).</w:t>
      </w:r>
    </w:p>
    <w:p w14:paraId="39E597E0"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India Competitiveness (2017) </w:t>
      </w:r>
      <w:r w:rsidRPr="00173FC2">
        <w:rPr>
          <w:rFonts w:eastAsia="Times New Roman"/>
          <w:i/>
          <w:iCs/>
          <w:sz w:val="24"/>
          <w:szCs w:val="24"/>
        </w:rPr>
        <w:t>Mind the gap, then fix it: the mismatch between workforce skills and job market demands in India.</w:t>
      </w:r>
      <w:r w:rsidRPr="00173FC2">
        <w:rPr>
          <w:rFonts w:eastAsia="Times New Roman"/>
          <w:sz w:val="24"/>
          <w:szCs w:val="24"/>
        </w:rPr>
        <w:t xml:space="preserve"> Available at:</w:t>
      </w:r>
      <w:hyperlink r:id="rId23">
        <w:r w:rsidRPr="00173FC2">
          <w:rPr>
            <w:rFonts w:eastAsia="Times New Roman"/>
            <w:sz w:val="24"/>
            <w:szCs w:val="24"/>
          </w:rPr>
          <w:t xml:space="preserve"> </w:t>
        </w:r>
      </w:hyperlink>
      <w:hyperlink r:id="rId24">
        <w:r w:rsidRPr="00173FC2">
          <w:rPr>
            <w:rFonts w:eastAsia="Times New Roman"/>
            <w:color w:val="1155CC"/>
            <w:sz w:val="24"/>
            <w:szCs w:val="24"/>
            <w:u w:val="single"/>
          </w:rPr>
          <w:t>https://competitiveness.in/mind-the-gap-then-fix-it-the-mismatch-between-workforce-skills-and-job-market-demands-in-india/</w:t>
        </w:r>
      </w:hyperlink>
      <w:r w:rsidRPr="00173FC2">
        <w:rPr>
          <w:rFonts w:eastAsia="Times New Roman"/>
          <w:sz w:val="24"/>
          <w:szCs w:val="24"/>
        </w:rPr>
        <w:t xml:space="preserve"> (Accessed: 21 November 2025).</w:t>
      </w:r>
    </w:p>
    <w:p w14:paraId="3800411F"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International Business Center (2025a) </w:t>
      </w:r>
      <w:r w:rsidRPr="00173FC2">
        <w:rPr>
          <w:rFonts w:eastAsia="Times New Roman"/>
          <w:i/>
          <w:iCs/>
          <w:sz w:val="24"/>
          <w:szCs w:val="24"/>
        </w:rPr>
        <w:t>Hofstede insights: India.</w:t>
      </w:r>
      <w:r w:rsidRPr="00173FC2">
        <w:rPr>
          <w:rFonts w:eastAsia="Times New Roman"/>
          <w:sz w:val="24"/>
          <w:szCs w:val="24"/>
        </w:rPr>
        <w:t xml:space="preserve"> Available at:</w:t>
      </w:r>
      <w:hyperlink r:id="rId25">
        <w:r w:rsidRPr="00173FC2">
          <w:rPr>
            <w:rFonts w:eastAsia="Times New Roman"/>
            <w:sz w:val="24"/>
            <w:szCs w:val="24"/>
          </w:rPr>
          <w:t xml:space="preserve"> </w:t>
        </w:r>
      </w:hyperlink>
      <w:hyperlink r:id="rId26">
        <w:r w:rsidRPr="00173FC2">
          <w:rPr>
            <w:rFonts w:eastAsia="Times New Roman"/>
            <w:color w:val="1155CC"/>
            <w:sz w:val="24"/>
            <w:szCs w:val="24"/>
            <w:u w:val="single"/>
          </w:rPr>
          <w:t>https://www.internationalbusinesscenter.org/geert-hofstede/hofstede_india.shtml</w:t>
        </w:r>
      </w:hyperlink>
      <w:r w:rsidRPr="00173FC2">
        <w:rPr>
          <w:rFonts w:eastAsia="Times New Roman"/>
          <w:sz w:val="24"/>
          <w:szCs w:val="24"/>
        </w:rPr>
        <w:t xml:space="preserve"> (Accessed: 21 November 2025).</w:t>
      </w:r>
    </w:p>
    <w:p w14:paraId="7CCF0671"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lastRenderedPageBreak/>
        <w:t xml:space="preserve">International Business Center (2025b) </w:t>
      </w:r>
      <w:r w:rsidRPr="00173FC2">
        <w:rPr>
          <w:rFonts w:eastAsia="Times New Roman"/>
          <w:i/>
          <w:iCs/>
          <w:sz w:val="24"/>
          <w:szCs w:val="24"/>
        </w:rPr>
        <w:t>India – Geert Hofstede cultural dimensions explained.</w:t>
      </w:r>
      <w:r w:rsidRPr="00173FC2">
        <w:rPr>
          <w:rFonts w:eastAsia="Times New Roman"/>
          <w:sz w:val="24"/>
          <w:szCs w:val="24"/>
        </w:rPr>
        <w:t xml:space="preserve"> Available at:</w:t>
      </w:r>
      <w:hyperlink r:id="rId27">
        <w:r w:rsidRPr="00173FC2">
          <w:rPr>
            <w:rFonts w:eastAsia="Times New Roman"/>
            <w:sz w:val="24"/>
            <w:szCs w:val="24"/>
          </w:rPr>
          <w:t xml:space="preserve"> </w:t>
        </w:r>
      </w:hyperlink>
      <w:hyperlink r:id="rId28">
        <w:r w:rsidRPr="00173FC2">
          <w:rPr>
            <w:rFonts w:eastAsia="Times New Roman"/>
            <w:color w:val="1155CC"/>
            <w:sz w:val="24"/>
            <w:szCs w:val="24"/>
            <w:u w:val="single"/>
          </w:rPr>
          <w:t>https://www.internationalbusinesscenter.org/geert-hofstede/hofstede_india.shtml</w:t>
        </w:r>
      </w:hyperlink>
      <w:r w:rsidRPr="00173FC2">
        <w:rPr>
          <w:rFonts w:eastAsia="Times New Roman"/>
          <w:sz w:val="24"/>
          <w:szCs w:val="24"/>
        </w:rPr>
        <w:t xml:space="preserve"> (Accessed: 21 November 2025).</w:t>
      </w:r>
    </w:p>
    <w:p w14:paraId="2D37287E"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J.D. Power (2022) </w:t>
      </w:r>
      <w:r w:rsidRPr="00173FC2">
        <w:rPr>
          <w:rFonts w:eastAsia="Times New Roman"/>
          <w:i/>
          <w:iCs/>
          <w:sz w:val="24"/>
          <w:szCs w:val="24"/>
        </w:rPr>
        <w:t>2022 India customer service index (CSI) study.</w:t>
      </w:r>
      <w:r w:rsidRPr="00173FC2">
        <w:rPr>
          <w:rFonts w:eastAsia="Times New Roman"/>
          <w:sz w:val="24"/>
          <w:szCs w:val="24"/>
        </w:rPr>
        <w:t xml:space="preserve"> Available at:</w:t>
      </w:r>
      <w:hyperlink r:id="rId29">
        <w:r w:rsidRPr="00173FC2">
          <w:rPr>
            <w:rFonts w:eastAsia="Times New Roman"/>
            <w:sz w:val="24"/>
            <w:szCs w:val="24"/>
          </w:rPr>
          <w:t xml:space="preserve"> </w:t>
        </w:r>
      </w:hyperlink>
      <w:hyperlink r:id="rId30">
        <w:r w:rsidRPr="00173FC2">
          <w:rPr>
            <w:rFonts w:eastAsia="Times New Roman"/>
            <w:color w:val="1155CC"/>
            <w:sz w:val="24"/>
            <w:szCs w:val="24"/>
            <w:u w:val="single"/>
          </w:rPr>
          <w:t>https://www.jdpower.com/business/press-releases/2022-india-customer-service-index-csi-study</w:t>
        </w:r>
      </w:hyperlink>
      <w:r w:rsidRPr="00173FC2">
        <w:rPr>
          <w:rFonts w:eastAsia="Times New Roman"/>
          <w:sz w:val="24"/>
          <w:szCs w:val="24"/>
        </w:rPr>
        <w:t xml:space="preserve"> (Accessed: 21 November 2025).</w:t>
      </w:r>
    </w:p>
    <w:p w14:paraId="381944F6"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J.D. Power (2023) </w:t>
      </w:r>
      <w:r w:rsidRPr="00173FC2">
        <w:rPr>
          <w:rFonts w:eastAsia="Times New Roman"/>
          <w:i/>
          <w:iCs/>
          <w:sz w:val="24"/>
          <w:szCs w:val="24"/>
        </w:rPr>
        <w:t>2023 India customer service index (CSI) study.</w:t>
      </w:r>
      <w:r w:rsidRPr="00173FC2">
        <w:rPr>
          <w:rFonts w:eastAsia="Times New Roman"/>
          <w:sz w:val="24"/>
          <w:szCs w:val="24"/>
        </w:rPr>
        <w:t xml:space="preserve"> Available at:</w:t>
      </w:r>
      <w:hyperlink r:id="rId31">
        <w:r w:rsidRPr="00173FC2">
          <w:rPr>
            <w:rFonts w:eastAsia="Times New Roman"/>
            <w:sz w:val="24"/>
            <w:szCs w:val="24"/>
          </w:rPr>
          <w:t xml:space="preserve"> </w:t>
        </w:r>
      </w:hyperlink>
      <w:hyperlink r:id="rId32">
        <w:r w:rsidRPr="00173FC2">
          <w:rPr>
            <w:rFonts w:eastAsia="Times New Roman"/>
            <w:color w:val="1155CC"/>
            <w:sz w:val="24"/>
            <w:szCs w:val="24"/>
            <w:u w:val="single"/>
          </w:rPr>
          <w:t>https://www.jdpower.com/business/press-releases/2023-india-customer-service-index-csi-study</w:t>
        </w:r>
      </w:hyperlink>
      <w:r w:rsidRPr="00173FC2">
        <w:rPr>
          <w:rFonts w:eastAsia="Times New Roman"/>
          <w:sz w:val="24"/>
          <w:szCs w:val="24"/>
        </w:rPr>
        <w:t xml:space="preserve"> (Accessed: 21 November 2025).</w:t>
      </w:r>
    </w:p>
    <w:p w14:paraId="3C776D61" w14:textId="77777777" w:rsidR="00173A20" w:rsidRPr="00173FC2" w:rsidRDefault="00173A20" w:rsidP="00E5452A">
      <w:pPr>
        <w:pStyle w:val="Normal1"/>
        <w:spacing w:line="360" w:lineRule="auto"/>
        <w:jc w:val="both"/>
        <w:rPr>
          <w:rFonts w:eastAsia="Times New Roman"/>
          <w:sz w:val="24"/>
          <w:szCs w:val="24"/>
          <w:highlight w:val="white"/>
        </w:rPr>
      </w:pPr>
      <w:r w:rsidRPr="00173FC2">
        <w:rPr>
          <w:rFonts w:eastAsia="Times New Roman"/>
          <w:sz w:val="24"/>
          <w:szCs w:val="24"/>
          <w:highlight w:val="white"/>
        </w:rPr>
        <w:t xml:space="preserve">Liu, L., Xiong, Y., Feng, K., Li, X. and Fu, Y. (2024) ‘Cross-market innovation: the dynamics of latecomer catching-up model from new Chinese electric vehicle OEMs’. </w:t>
      </w:r>
      <w:r w:rsidRPr="00173FC2">
        <w:rPr>
          <w:rFonts w:eastAsia="Times New Roman"/>
          <w:i/>
          <w:iCs/>
          <w:sz w:val="24"/>
          <w:szCs w:val="24"/>
          <w:highlight w:val="white"/>
        </w:rPr>
        <w:t>Asia Pacific Business Review</w:t>
      </w:r>
      <w:r w:rsidRPr="00173FC2">
        <w:rPr>
          <w:rFonts w:eastAsia="Times New Roman"/>
          <w:sz w:val="24"/>
          <w:szCs w:val="24"/>
          <w:highlight w:val="white"/>
        </w:rPr>
        <w:t>, pp. 1-26.</w:t>
      </w:r>
      <w:hyperlink r:id="rId33">
        <w:r w:rsidRPr="00173FC2">
          <w:rPr>
            <w:rFonts w:eastAsia="Times New Roman"/>
            <w:sz w:val="24"/>
            <w:szCs w:val="24"/>
            <w:highlight w:val="white"/>
            <w:u w:val="single"/>
          </w:rPr>
          <w:t>https://doi.org/10.1093/irap/lcae002</w:t>
        </w:r>
      </w:hyperlink>
      <w:r w:rsidRPr="00173FC2">
        <w:rPr>
          <w:rFonts w:eastAsia="Times New Roman"/>
          <w:sz w:val="24"/>
          <w:szCs w:val="24"/>
          <w:highlight w:val="white"/>
        </w:rPr>
        <w:t xml:space="preserve">  </w:t>
      </w:r>
    </w:p>
    <w:p w14:paraId="4CABFE2D"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M Report. (2025) </w:t>
      </w:r>
      <w:r w:rsidRPr="00173FC2">
        <w:rPr>
          <w:rFonts w:eastAsia="Times New Roman"/>
          <w:i/>
          <w:iCs/>
          <w:sz w:val="24"/>
          <w:szCs w:val="24"/>
        </w:rPr>
        <w:t>Toyota tops R&amp;D spending with ¥1.37 trillion, marking 16 consecutive years of growth, survey finds</w:t>
      </w:r>
      <w:r w:rsidRPr="00173FC2">
        <w:rPr>
          <w:rFonts w:eastAsia="Times New Roman"/>
          <w:sz w:val="24"/>
          <w:szCs w:val="24"/>
        </w:rPr>
        <w:t>. M Report, 30 September. Available at:</w:t>
      </w:r>
      <w:hyperlink r:id="rId34">
        <w:r w:rsidRPr="00173FC2">
          <w:rPr>
            <w:rFonts w:eastAsia="Times New Roman"/>
            <w:sz w:val="24"/>
            <w:szCs w:val="24"/>
          </w:rPr>
          <w:t xml:space="preserve"> </w:t>
        </w:r>
      </w:hyperlink>
      <w:hyperlink r:id="rId35">
        <w:r w:rsidRPr="00173FC2">
          <w:rPr>
            <w:rFonts w:eastAsia="Times New Roman"/>
            <w:sz w:val="24"/>
            <w:szCs w:val="24"/>
            <w:u w:val="single"/>
          </w:rPr>
          <w:t>https://www.mreport.co.th/en/news/industry-movement/160-toyota-rd-spending-2025?</w:t>
        </w:r>
      </w:hyperlink>
      <w:r w:rsidRPr="00173FC2">
        <w:rPr>
          <w:rFonts w:eastAsia="Times New Roman"/>
          <w:sz w:val="24"/>
          <w:szCs w:val="24"/>
        </w:rPr>
        <w:t xml:space="preserve"> (Accessed: 21 November 2025).</w:t>
      </w:r>
    </w:p>
    <w:p w14:paraId="7D42D950" w14:textId="77777777" w:rsidR="00173A20" w:rsidRPr="00173FC2" w:rsidRDefault="00173A20" w:rsidP="00E5452A">
      <w:pPr>
        <w:pStyle w:val="Normal1"/>
        <w:spacing w:line="360" w:lineRule="auto"/>
        <w:jc w:val="both"/>
        <w:rPr>
          <w:rFonts w:eastAsia="Times New Roman"/>
          <w:sz w:val="24"/>
          <w:szCs w:val="24"/>
          <w:highlight w:val="white"/>
        </w:rPr>
      </w:pPr>
      <w:r w:rsidRPr="00173FC2">
        <w:rPr>
          <w:rFonts w:eastAsia="Times New Roman"/>
          <w:sz w:val="24"/>
          <w:szCs w:val="24"/>
          <w:highlight w:val="white"/>
        </w:rPr>
        <w:t xml:space="preserve">Nkuna, J., Vermeulen, A. and Pretorius, J.H.C. (2023) ‘The Integration of Toyota Production System (TPS) and Lean Operations’. In </w:t>
      </w:r>
      <w:r w:rsidRPr="00173FC2">
        <w:rPr>
          <w:rFonts w:eastAsia="Times New Roman"/>
          <w:i/>
          <w:iCs/>
          <w:sz w:val="24"/>
          <w:szCs w:val="24"/>
          <w:highlight w:val="white"/>
        </w:rPr>
        <w:t xml:space="preserve">Proceedings of the second Australian international conference on industrial engineering and operations management, Melbourne, Australia, November </w:t>
      </w:r>
      <w:r w:rsidRPr="00173FC2">
        <w:rPr>
          <w:rFonts w:eastAsia="Times New Roman"/>
          <w:sz w:val="24"/>
          <w:szCs w:val="24"/>
          <w:highlight w:val="white"/>
        </w:rPr>
        <w:t>14-16 (Vol. 60).</w:t>
      </w:r>
      <w:hyperlink r:id="rId36">
        <w:r w:rsidRPr="00173FC2">
          <w:rPr>
            <w:rFonts w:eastAsia="Times New Roman"/>
            <w:sz w:val="24"/>
            <w:szCs w:val="24"/>
            <w:highlight w:val="white"/>
            <w:u w:val="single"/>
          </w:rPr>
          <w:t>https://doi.org/10.46254/AU02.20230060</w:t>
        </w:r>
      </w:hyperlink>
      <w:r w:rsidRPr="00173FC2">
        <w:rPr>
          <w:rFonts w:eastAsia="Times New Roman"/>
          <w:sz w:val="24"/>
          <w:szCs w:val="24"/>
          <w:highlight w:val="white"/>
        </w:rPr>
        <w:t xml:space="preserve">  </w:t>
      </w:r>
    </w:p>
    <w:p w14:paraId="0897D185"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Prezi (2025) </w:t>
      </w:r>
      <w:r w:rsidRPr="00173FC2">
        <w:rPr>
          <w:rFonts w:eastAsia="Times New Roman"/>
          <w:i/>
          <w:iCs/>
          <w:sz w:val="24"/>
          <w:szCs w:val="24"/>
        </w:rPr>
        <w:t>Hofstede’s cultural dimensions – Japan.</w:t>
      </w:r>
      <w:r w:rsidRPr="00173FC2">
        <w:rPr>
          <w:rFonts w:eastAsia="Times New Roman"/>
          <w:sz w:val="24"/>
          <w:szCs w:val="24"/>
        </w:rPr>
        <w:t xml:space="preserve"> Available at:</w:t>
      </w:r>
      <w:hyperlink r:id="rId37">
        <w:r w:rsidRPr="00173FC2">
          <w:rPr>
            <w:rFonts w:eastAsia="Times New Roman"/>
            <w:sz w:val="24"/>
            <w:szCs w:val="24"/>
          </w:rPr>
          <w:t xml:space="preserve"> </w:t>
        </w:r>
      </w:hyperlink>
      <w:hyperlink r:id="rId38">
        <w:r w:rsidRPr="00173FC2">
          <w:rPr>
            <w:rFonts w:eastAsia="Times New Roman"/>
            <w:color w:val="1155CC"/>
            <w:sz w:val="24"/>
            <w:szCs w:val="24"/>
            <w:u w:val="single"/>
          </w:rPr>
          <w:t>https://prezi.com/p/9r1lryq4knlp/hofstedes-cultural-dimensions-japan/</w:t>
        </w:r>
      </w:hyperlink>
      <w:r w:rsidRPr="00173FC2">
        <w:rPr>
          <w:rFonts w:eastAsia="Times New Roman"/>
          <w:sz w:val="24"/>
          <w:szCs w:val="24"/>
        </w:rPr>
        <w:t xml:space="preserve"> (Accessed: 21 November 2025).</w:t>
      </w:r>
    </w:p>
    <w:p w14:paraId="434D8DBE"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Puglisi, I. (2022) </w:t>
      </w:r>
      <w:r w:rsidRPr="00173FC2">
        <w:rPr>
          <w:rFonts w:eastAsia="Times New Roman"/>
          <w:i/>
          <w:iCs/>
          <w:sz w:val="24"/>
          <w:szCs w:val="24"/>
        </w:rPr>
        <w:t>Marketing food in Japan: A case study of KitKat’s success in Japan through glocalization.</w:t>
      </w:r>
      <w:r w:rsidRPr="00173FC2">
        <w:rPr>
          <w:rFonts w:eastAsia="Times New Roman"/>
          <w:sz w:val="24"/>
          <w:szCs w:val="24"/>
        </w:rPr>
        <w:t xml:space="preserve"> Master’s thesis. Università Ca’ Foscari Venezia. Available at:</w:t>
      </w:r>
      <w:hyperlink r:id="rId39">
        <w:r w:rsidRPr="00173FC2">
          <w:rPr>
            <w:rFonts w:eastAsia="Times New Roman"/>
            <w:sz w:val="24"/>
            <w:szCs w:val="24"/>
          </w:rPr>
          <w:t xml:space="preserve"> </w:t>
        </w:r>
      </w:hyperlink>
      <w:hyperlink r:id="rId40">
        <w:r w:rsidRPr="00173FC2">
          <w:rPr>
            <w:rFonts w:eastAsia="Times New Roman"/>
            <w:color w:val="1155CC"/>
            <w:sz w:val="24"/>
            <w:szCs w:val="24"/>
            <w:u w:val="single"/>
          </w:rPr>
          <w:t>https://unitesi.unive.it/retrieve/4fdca18d-0240-43fe-83bb-0c51370b65ba/868943-1268053.pdf</w:t>
        </w:r>
      </w:hyperlink>
      <w:r w:rsidRPr="00173FC2">
        <w:rPr>
          <w:rFonts w:eastAsia="Times New Roman"/>
          <w:sz w:val="24"/>
          <w:szCs w:val="24"/>
        </w:rPr>
        <w:t xml:space="preserve"> (Accessed: 21 November 2025).</w:t>
      </w:r>
    </w:p>
    <w:p w14:paraId="1143953B"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PwC India (2024) </w:t>
      </w:r>
      <w:r w:rsidRPr="00173FC2">
        <w:rPr>
          <w:rFonts w:eastAsia="Times New Roman"/>
          <w:i/>
          <w:iCs/>
          <w:sz w:val="24"/>
          <w:szCs w:val="24"/>
        </w:rPr>
        <w:t>82% of Indian consumers consider protection of personal data as most crucial factor in building trust – PwC’s Voice of the Consumer Survey 2024.</w:t>
      </w:r>
      <w:r w:rsidRPr="00173FC2">
        <w:rPr>
          <w:rFonts w:eastAsia="Times New Roman"/>
          <w:sz w:val="24"/>
          <w:szCs w:val="24"/>
        </w:rPr>
        <w:t xml:space="preserve"> Available at:</w:t>
      </w:r>
      <w:hyperlink r:id="rId41">
        <w:r w:rsidRPr="00173FC2">
          <w:rPr>
            <w:rFonts w:eastAsia="Times New Roman"/>
            <w:sz w:val="24"/>
            <w:szCs w:val="24"/>
          </w:rPr>
          <w:t xml:space="preserve"> </w:t>
        </w:r>
      </w:hyperlink>
      <w:hyperlink r:id="rId42">
        <w:r w:rsidRPr="00173FC2">
          <w:rPr>
            <w:rFonts w:eastAsia="Times New Roman"/>
            <w:color w:val="1155CC"/>
            <w:sz w:val="24"/>
            <w:szCs w:val="24"/>
            <w:u w:val="single"/>
          </w:rPr>
          <w:t>https://www.pwc.in/press-releases/2024/82-of-indian-consumers-consider-protection-of-personal-data-as-most-crucial-factor-in-building-trust-pwcs-voice-of-the-consumer-survey-2024.html</w:t>
        </w:r>
      </w:hyperlink>
      <w:r w:rsidRPr="00173FC2">
        <w:rPr>
          <w:rFonts w:eastAsia="Times New Roman"/>
          <w:sz w:val="24"/>
          <w:szCs w:val="24"/>
        </w:rPr>
        <w:t xml:space="preserve"> (Accessed: 21 November 2025).</w:t>
      </w:r>
    </w:p>
    <w:p w14:paraId="68C0BECA"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S&amp;P Global (2023) </w:t>
      </w:r>
      <w:r w:rsidRPr="00173FC2">
        <w:rPr>
          <w:rFonts w:eastAsia="Times New Roman"/>
          <w:i/>
          <w:iCs/>
          <w:sz w:val="24"/>
          <w:szCs w:val="24"/>
        </w:rPr>
        <w:t>India manufacturing opportunity amid global trade uncertainty.</w:t>
      </w:r>
      <w:r w:rsidRPr="00173FC2">
        <w:rPr>
          <w:rFonts w:eastAsia="Times New Roman"/>
          <w:sz w:val="24"/>
          <w:szCs w:val="24"/>
        </w:rPr>
        <w:t xml:space="preserve"> Available at:</w:t>
      </w:r>
      <w:hyperlink r:id="rId43">
        <w:r w:rsidRPr="00173FC2">
          <w:rPr>
            <w:rFonts w:eastAsia="Times New Roman"/>
            <w:sz w:val="24"/>
            <w:szCs w:val="24"/>
          </w:rPr>
          <w:t xml:space="preserve"> </w:t>
        </w:r>
      </w:hyperlink>
      <w:hyperlink r:id="rId44">
        <w:r w:rsidRPr="00173FC2">
          <w:rPr>
            <w:rFonts w:eastAsia="Times New Roman"/>
            <w:color w:val="1155CC"/>
            <w:sz w:val="24"/>
            <w:szCs w:val="24"/>
            <w:u w:val="single"/>
          </w:rPr>
          <w:t>https://www.spglobal.com/en/research-insights/special-reports/india-forward/india-manufacturing-opportunity-amid-global-trade-uncertainty</w:t>
        </w:r>
      </w:hyperlink>
      <w:r w:rsidRPr="00173FC2">
        <w:rPr>
          <w:rFonts w:eastAsia="Times New Roman"/>
          <w:sz w:val="24"/>
          <w:szCs w:val="24"/>
        </w:rPr>
        <w:t xml:space="preserve"> (Accessed: 21 November 2025).</w:t>
      </w:r>
    </w:p>
    <w:p w14:paraId="45643ABA" w14:textId="77777777" w:rsidR="00173A20" w:rsidRPr="00173FC2" w:rsidRDefault="00173A20" w:rsidP="00E5452A">
      <w:pPr>
        <w:pStyle w:val="Normal1"/>
        <w:spacing w:line="360" w:lineRule="auto"/>
        <w:jc w:val="both"/>
        <w:rPr>
          <w:rFonts w:eastAsia="Times New Roman"/>
          <w:sz w:val="24"/>
          <w:szCs w:val="24"/>
          <w:highlight w:val="white"/>
        </w:rPr>
      </w:pPr>
      <w:r w:rsidRPr="00173FC2">
        <w:rPr>
          <w:rFonts w:eastAsia="Times New Roman"/>
          <w:sz w:val="24"/>
          <w:szCs w:val="24"/>
          <w:highlight w:val="white"/>
        </w:rPr>
        <w:t>Tarmohamed, S.S. (2022) ‘Strategic Factors Adopted by Toyota Motor Dealers to Gaining Competitive Advantage in Mombasa County, Kenya’.</w:t>
      </w:r>
      <w:hyperlink r:id="rId45">
        <w:r w:rsidRPr="00173FC2">
          <w:rPr>
            <w:rFonts w:eastAsia="Times New Roman"/>
            <w:sz w:val="24"/>
            <w:szCs w:val="24"/>
            <w:highlight w:val="white"/>
            <w:u w:val="single"/>
          </w:rPr>
          <w:t>https://dx.doi.org/10.61426/sjbcm.v9i1.2220</w:t>
        </w:r>
      </w:hyperlink>
      <w:r w:rsidRPr="00173FC2">
        <w:rPr>
          <w:rFonts w:eastAsia="Times New Roman"/>
          <w:sz w:val="24"/>
          <w:szCs w:val="24"/>
          <w:highlight w:val="white"/>
        </w:rPr>
        <w:t xml:space="preserve">  </w:t>
      </w:r>
    </w:p>
    <w:p w14:paraId="312DC843"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Toyota Motor Corporation. (2024) </w:t>
      </w:r>
      <w:r w:rsidRPr="00173FC2">
        <w:rPr>
          <w:rFonts w:eastAsia="Times New Roman"/>
          <w:i/>
          <w:iCs/>
          <w:sz w:val="24"/>
          <w:szCs w:val="24"/>
        </w:rPr>
        <w:t>Form 20-F: Annual Report for the year ended 31 March 2024</w:t>
      </w:r>
      <w:r w:rsidRPr="00173FC2">
        <w:rPr>
          <w:rFonts w:eastAsia="Times New Roman"/>
          <w:sz w:val="24"/>
          <w:szCs w:val="24"/>
        </w:rPr>
        <w:t>. Available at:</w:t>
      </w:r>
      <w:hyperlink r:id="rId46">
        <w:r w:rsidRPr="00173FC2">
          <w:rPr>
            <w:rFonts w:eastAsia="Times New Roman"/>
            <w:sz w:val="24"/>
            <w:szCs w:val="24"/>
          </w:rPr>
          <w:t xml:space="preserve"> </w:t>
        </w:r>
      </w:hyperlink>
      <w:hyperlink r:id="rId47">
        <w:r w:rsidRPr="00173FC2">
          <w:rPr>
            <w:rFonts w:eastAsia="Times New Roman"/>
            <w:sz w:val="24"/>
            <w:szCs w:val="24"/>
            <w:u w:val="single"/>
          </w:rPr>
          <w:t>https://global.toyota/pages/global_toyota/ir/library/sec/20-F_202403_final.pdf</w:t>
        </w:r>
      </w:hyperlink>
      <w:r w:rsidRPr="00173FC2">
        <w:rPr>
          <w:rFonts w:eastAsia="Times New Roman"/>
          <w:sz w:val="24"/>
          <w:szCs w:val="24"/>
        </w:rPr>
        <w:t xml:space="preserve"> (Accessed: 21 November 2025).</w:t>
      </w:r>
    </w:p>
    <w:p w14:paraId="44689240"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Toyota Motor Corporation. (2025) </w:t>
      </w:r>
      <w:r w:rsidRPr="00173FC2">
        <w:rPr>
          <w:rFonts w:eastAsia="Times New Roman"/>
          <w:i/>
          <w:iCs/>
          <w:sz w:val="24"/>
          <w:szCs w:val="24"/>
        </w:rPr>
        <w:t>Sales Volume in 2024</w:t>
      </w:r>
      <w:r w:rsidRPr="00173FC2">
        <w:rPr>
          <w:rFonts w:eastAsia="Times New Roman"/>
          <w:sz w:val="24"/>
          <w:szCs w:val="24"/>
        </w:rPr>
        <w:t>. Global Toyota fact data. Available at:</w:t>
      </w:r>
      <w:hyperlink r:id="rId48">
        <w:r w:rsidRPr="00173FC2">
          <w:rPr>
            <w:rFonts w:eastAsia="Times New Roman"/>
            <w:sz w:val="24"/>
            <w:szCs w:val="24"/>
          </w:rPr>
          <w:t xml:space="preserve"> </w:t>
        </w:r>
      </w:hyperlink>
      <w:hyperlink r:id="rId49">
        <w:r w:rsidRPr="00173FC2">
          <w:rPr>
            <w:rFonts w:eastAsia="Times New Roman"/>
            <w:sz w:val="24"/>
            <w:szCs w:val="24"/>
            <w:u w:val="single"/>
          </w:rPr>
          <w:t>https://global.toyota/pages/fact-data/fact-data_001_06_en.pdf</w:t>
        </w:r>
      </w:hyperlink>
      <w:r w:rsidRPr="00173FC2">
        <w:rPr>
          <w:rFonts w:eastAsia="Times New Roman"/>
          <w:sz w:val="24"/>
          <w:szCs w:val="24"/>
        </w:rPr>
        <w:t xml:space="preserve"> (Accessed: 21 November 2025).</w:t>
      </w:r>
    </w:p>
    <w:p w14:paraId="7ABF67E7"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Toyota Motor Corporation. (2025a) </w:t>
      </w:r>
      <w:r w:rsidRPr="00173FC2">
        <w:rPr>
          <w:rFonts w:eastAsia="Times New Roman"/>
          <w:i/>
          <w:iCs/>
          <w:sz w:val="24"/>
          <w:szCs w:val="24"/>
        </w:rPr>
        <w:t>Annual Report on Form 20-F for the fiscal year ended March 31, 2025</w:t>
      </w:r>
      <w:r w:rsidRPr="00173FC2">
        <w:rPr>
          <w:rFonts w:eastAsia="Times New Roman"/>
          <w:sz w:val="24"/>
          <w:szCs w:val="24"/>
        </w:rPr>
        <w:t>. Available at:</w:t>
      </w:r>
      <w:hyperlink r:id="rId50">
        <w:r w:rsidRPr="00173FC2">
          <w:rPr>
            <w:rFonts w:eastAsia="Times New Roman"/>
            <w:sz w:val="24"/>
            <w:szCs w:val="24"/>
          </w:rPr>
          <w:t xml:space="preserve"> </w:t>
        </w:r>
      </w:hyperlink>
      <w:hyperlink r:id="rId51">
        <w:r w:rsidRPr="00173FC2">
          <w:rPr>
            <w:rFonts w:eastAsia="Times New Roman"/>
            <w:sz w:val="24"/>
            <w:szCs w:val="24"/>
            <w:u w:val="single"/>
          </w:rPr>
          <w:t>https://www.sec.gov/Archives/edgar/data/1094517/000119312525142326/d925022d20f.htm</w:t>
        </w:r>
      </w:hyperlink>
      <w:r w:rsidRPr="00173FC2">
        <w:rPr>
          <w:rFonts w:eastAsia="Times New Roman"/>
          <w:sz w:val="24"/>
          <w:szCs w:val="24"/>
        </w:rPr>
        <w:t xml:space="preserve"> (Accessed: 21 November 2025).</w:t>
      </w:r>
    </w:p>
    <w:p w14:paraId="1C021423"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Toyota Motor Corporation. (2025b) </w:t>
      </w:r>
      <w:r w:rsidRPr="00173FC2">
        <w:rPr>
          <w:rFonts w:eastAsia="Times New Roman"/>
          <w:i/>
          <w:iCs/>
          <w:sz w:val="24"/>
          <w:szCs w:val="24"/>
        </w:rPr>
        <w:t>Annual Report 2007 (Year ended 31 March 2007)</w:t>
      </w:r>
      <w:r w:rsidRPr="00173FC2">
        <w:rPr>
          <w:rFonts w:eastAsia="Times New Roman"/>
          <w:sz w:val="24"/>
          <w:szCs w:val="24"/>
        </w:rPr>
        <w:t>. Available at:</w:t>
      </w:r>
      <w:hyperlink r:id="rId52">
        <w:r w:rsidRPr="00173FC2">
          <w:rPr>
            <w:rFonts w:eastAsia="Times New Roman"/>
            <w:sz w:val="24"/>
            <w:szCs w:val="24"/>
          </w:rPr>
          <w:t xml:space="preserve"> </w:t>
        </w:r>
      </w:hyperlink>
      <w:hyperlink r:id="rId53">
        <w:r w:rsidRPr="00173FC2">
          <w:rPr>
            <w:rFonts w:eastAsia="Times New Roman"/>
            <w:sz w:val="24"/>
            <w:szCs w:val="24"/>
            <w:u w:val="single"/>
          </w:rPr>
          <w:t>https://www.toyota-global.com/pages/contents/investors/ir_library/annual/pdf/2007/pdf/ar07_e.pdf</w:t>
        </w:r>
      </w:hyperlink>
      <w:r w:rsidRPr="00173FC2">
        <w:rPr>
          <w:rFonts w:eastAsia="Times New Roman"/>
          <w:sz w:val="24"/>
          <w:szCs w:val="24"/>
        </w:rPr>
        <w:t xml:space="preserve"> (Accessed: 21 November 2025).</w:t>
      </w:r>
    </w:p>
    <w:p w14:paraId="16CB4913"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Toyota Motor Corporation. (2025c) </w:t>
      </w:r>
      <w:r w:rsidRPr="00173FC2">
        <w:rPr>
          <w:rFonts w:eastAsia="Times New Roman"/>
          <w:i/>
          <w:iCs/>
          <w:sz w:val="24"/>
          <w:szCs w:val="24"/>
        </w:rPr>
        <w:t>Annual Report 2007 (Year ended 31 March 2007)</w:t>
      </w:r>
      <w:r w:rsidRPr="00173FC2">
        <w:rPr>
          <w:rFonts w:eastAsia="Times New Roman"/>
          <w:sz w:val="24"/>
          <w:szCs w:val="24"/>
        </w:rPr>
        <w:t>. Available at:</w:t>
      </w:r>
      <w:hyperlink r:id="rId54">
        <w:r w:rsidRPr="00173FC2">
          <w:rPr>
            <w:rFonts w:eastAsia="Times New Roman"/>
            <w:sz w:val="24"/>
            <w:szCs w:val="24"/>
          </w:rPr>
          <w:t xml:space="preserve"> </w:t>
        </w:r>
      </w:hyperlink>
      <w:hyperlink r:id="rId55">
        <w:r w:rsidRPr="00173FC2">
          <w:rPr>
            <w:rFonts w:eastAsia="Times New Roman"/>
            <w:sz w:val="24"/>
            <w:szCs w:val="24"/>
            <w:u w:val="single"/>
          </w:rPr>
          <w:t>https://www.annualreports.com/HostedData/AnnualReportArchive/t/NYSE_TM_2007.pdf</w:t>
        </w:r>
      </w:hyperlink>
      <w:r w:rsidRPr="00173FC2">
        <w:rPr>
          <w:rFonts w:eastAsia="Times New Roman"/>
          <w:sz w:val="24"/>
          <w:szCs w:val="24"/>
        </w:rPr>
        <w:t xml:space="preserve"> (Accessed: 21 November 2025).</w:t>
      </w:r>
    </w:p>
    <w:p w14:paraId="0FBF26E3"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lastRenderedPageBreak/>
        <w:t xml:space="preserve">Toyota Motor. (2025) </w:t>
      </w:r>
      <w:r w:rsidRPr="00173FC2">
        <w:rPr>
          <w:rFonts w:eastAsia="Times New Roman"/>
          <w:i/>
          <w:iCs/>
          <w:sz w:val="24"/>
          <w:szCs w:val="24"/>
        </w:rPr>
        <w:t>TMC announces April through March 2025 financial results</w:t>
      </w:r>
      <w:r w:rsidRPr="00173FC2">
        <w:rPr>
          <w:rFonts w:eastAsia="Times New Roman"/>
          <w:sz w:val="24"/>
          <w:szCs w:val="24"/>
        </w:rPr>
        <w:t>. Toyota USA Newsroom, 8 May. Available at:</w:t>
      </w:r>
      <w:hyperlink r:id="rId56">
        <w:r w:rsidRPr="00173FC2">
          <w:rPr>
            <w:rFonts w:eastAsia="Times New Roman"/>
            <w:sz w:val="24"/>
            <w:szCs w:val="24"/>
          </w:rPr>
          <w:t xml:space="preserve"> </w:t>
        </w:r>
      </w:hyperlink>
      <w:hyperlink r:id="rId57">
        <w:r w:rsidRPr="00173FC2">
          <w:rPr>
            <w:rFonts w:eastAsia="Times New Roman"/>
            <w:sz w:val="24"/>
            <w:szCs w:val="24"/>
            <w:u w:val="single"/>
          </w:rPr>
          <w:t>https://pressroom.toyota.com/tmc-announces-april-through-march-2025-financial-results/</w:t>
        </w:r>
      </w:hyperlink>
      <w:r w:rsidRPr="00173FC2">
        <w:rPr>
          <w:rFonts w:eastAsia="Times New Roman"/>
          <w:sz w:val="24"/>
          <w:szCs w:val="24"/>
        </w:rPr>
        <w:t xml:space="preserve"> (Accessed: 21 November 2025).</w:t>
      </w:r>
    </w:p>
    <w:p w14:paraId="334382CB"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U.S. Securities and Exchange Commission (2023) </w:t>
      </w:r>
      <w:r w:rsidRPr="00173FC2">
        <w:rPr>
          <w:rFonts w:eastAsia="Times New Roman"/>
          <w:i/>
          <w:iCs/>
          <w:sz w:val="24"/>
          <w:szCs w:val="24"/>
        </w:rPr>
        <w:t>Form 20-F: Infosys Limited.</w:t>
      </w:r>
      <w:r w:rsidRPr="00173FC2">
        <w:rPr>
          <w:rFonts w:eastAsia="Times New Roman"/>
          <w:sz w:val="24"/>
          <w:szCs w:val="24"/>
        </w:rPr>
        <w:t xml:space="preserve"> Available at:</w:t>
      </w:r>
      <w:hyperlink r:id="rId58">
        <w:r w:rsidRPr="00173FC2">
          <w:rPr>
            <w:rFonts w:eastAsia="Times New Roman"/>
            <w:sz w:val="24"/>
            <w:szCs w:val="24"/>
          </w:rPr>
          <w:t xml:space="preserve"> </w:t>
        </w:r>
      </w:hyperlink>
      <w:hyperlink r:id="rId59">
        <w:r w:rsidRPr="00173FC2">
          <w:rPr>
            <w:rFonts w:eastAsia="Times New Roman"/>
            <w:color w:val="1155CC"/>
            <w:sz w:val="24"/>
            <w:szCs w:val="24"/>
            <w:u w:val="single"/>
          </w:rPr>
          <w:t>https://www.sec.gov/Archives/edgar/data/1094517/000119312523179181/d360541d20f.htm</w:t>
        </w:r>
      </w:hyperlink>
      <w:r w:rsidRPr="00173FC2">
        <w:rPr>
          <w:rFonts w:eastAsia="Times New Roman"/>
          <w:sz w:val="24"/>
          <w:szCs w:val="24"/>
        </w:rPr>
        <w:t xml:space="preserve"> (Accessed: 21 November 2025).</w:t>
      </w:r>
    </w:p>
    <w:p w14:paraId="3FFD85A8"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Università Ca’ Foscari Venezia (2024) </w:t>
      </w:r>
      <w:r w:rsidRPr="00173FC2">
        <w:rPr>
          <w:rFonts w:eastAsia="Times New Roman"/>
          <w:i/>
          <w:iCs/>
          <w:sz w:val="24"/>
          <w:szCs w:val="24"/>
        </w:rPr>
        <w:t>[PDF document retrieved from unitesi.unive.it].</w:t>
      </w:r>
      <w:r w:rsidRPr="00173FC2">
        <w:rPr>
          <w:rFonts w:eastAsia="Times New Roman"/>
          <w:sz w:val="24"/>
          <w:szCs w:val="24"/>
        </w:rPr>
        <w:t xml:space="preserve"> Available at:</w:t>
      </w:r>
      <w:hyperlink r:id="rId60">
        <w:r w:rsidRPr="00173FC2">
          <w:rPr>
            <w:rFonts w:eastAsia="Times New Roman"/>
            <w:sz w:val="24"/>
            <w:szCs w:val="24"/>
          </w:rPr>
          <w:t xml:space="preserve"> </w:t>
        </w:r>
      </w:hyperlink>
      <w:hyperlink r:id="rId61">
        <w:r w:rsidRPr="00173FC2">
          <w:rPr>
            <w:rFonts w:eastAsia="Times New Roman"/>
            <w:color w:val="1155CC"/>
            <w:sz w:val="24"/>
            <w:szCs w:val="24"/>
            <w:u w:val="single"/>
          </w:rPr>
          <w:t>https://unitesi.unive.it/retrieve/4fdca18d-0240-43fe-83bb-0c51370b65ba/868943-1268053.pdf</w:t>
        </w:r>
      </w:hyperlink>
      <w:r w:rsidRPr="00173FC2">
        <w:rPr>
          <w:rFonts w:eastAsia="Times New Roman"/>
          <w:sz w:val="24"/>
          <w:szCs w:val="24"/>
        </w:rPr>
        <w:t xml:space="preserve"> (Accessed: 21 November 2025).</w:t>
      </w:r>
    </w:p>
    <w:p w14:paraId="7BFD44AF"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Università Ca’ Foscari Venezia (2025) </w:t>
      </w:r>
      <w:r w:rsidRPr="00173FC2">
        <w:rPr>
          <w:rFonts w:eastAsia="Times New Roman"/>
          <w:i/>
          <w:iCs/>
          <w:sz w:val="24"/>
          <w:szCs w:val="24"/>
        </w:rPr>
        <w:t>[PDF document retrieved from unitesi.unive.it].</w:t>
      </w:r>
      <w:r w:rsidRPr="00173FC2">
        <w:rPr>
          <w:rFonts w:eastAsia="Times New Roman"/>
          <w:sz w:val="24"/>
          <w:szCs w:val="24"/>
        </w:rPr>
        <w:t xml:space="preserve"> Available at:</w:t>
      </w:r>
      <w:hyperlink r:id="rId62">
        <w:r w:rsidRPr="00173FC2">
          <w:rPr>
            <w:rFonts w:eastAsia="Times New Roman"/>
            <w:sz w:val="24"/>
            <w:szCs w:val="24"/>
          </w:rPr>
          <w:t xml:space="preserve"> </w:t>
        </w:r>
      </w:hyperlink>
      <w:hyperlink r:id="rId63">
        <w:r w:rsidRPr="00173FC2">
          <w:rPr>
            <w:rFonts w:eastAsia="Times New Roman"/>
            <w:color w:val="1155CC"/>
            <w:sz w:val="24"/>
            <w:szCs w:val="24"/>
            <w:u w:val="single"/>
          </w:rPr>
          <w:t>https://unitesi.unive.it/retrieve/4fdca18d-0240-43fe-83bb-0c51370b65ba/868943-1268053.pdf</w:t>
        </w:r>
      </w:hyperlink>
      <w:r w:rsidRPr="00173FC2">
        <w:rPr>
          <w:rFonts w:eastAsia="Times New Roman"/>
          <w:sz w:val="24"/>
          <w:szCs w:val="24"/>
        </w:rPr>
        <w:t xml:space="preserve"> (Accessed: 21 November 2025).</w:t>
      </w:r>
    </w:p>
    <w:p w14:paraId="3E40F8CB"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University of Michigan (2025) </w:t>
      </w:r>
      <w:r w:rsidRPr="00173FC2">
        <w:rPr>
          <w:rFonts w:eastAsia="Times New Roman"/>
          <w:i/>
          <w:iCs/>
          <w:sz w:val="24"/>
          <w:szCs w:val="24"/>
        </w:rPr>
        <w:t>Cultural dimensions.</w:t>
      </w:r>
      <w:r w:rsidRPr="00173FC2">
        <w:rPr>
          <w:rFonts w:eastAsia="Times New Roman"/>
          <w:sz w:val="24"/>
          <w:szCs w:val="24"/>
        </w:rPr>
        <w:t xml:space="preserve"> Available at:</w:t>
      </w:r>
      <w:hyperlink r:id="rId64">
        <w:r w:rsidRPr="00173FC2">
          <w:rPr>
            <w:rFonts w:eastAsia="Times New Roman"/>
            <w:sz w:val="24"/>
            <w:szCs w:val="24"/>
          </w:rPr>
          <w:t xml:space="preserve"> </w:t>
        </w:r>
      </w:hyperlink>
      <w:hyperlink r:id="rId65">
        <w:r w:rsidRPr="00173FC2">
          <w:rPr>
            <w:rFonts w:eastAsia="Times New Roman"/>
            <w:color w:val="1155CC"/>
            <w:sz w:val="24"/>
            <w:szCs w:val="24"/>
            <w:u w:val="single"/>
          </w:rPr>
          <w:t>https://public.websites.umich.edu/~psycours/490/cdimen.pdf</w:t>
        </w:r>
      </w:hyperlink>
      <w:r w:rsidRPr="00173FC2">
        <w:rPr>
          <w:rFonts w:eastAsia="Times New Roman"/>
          <w:sz w:val="24"/>
          <w:szCs w:val="24"/>
        </w:rPr>
        <w:t xml:space="preserve"> (Accessed: 21 November 2025).</w:t>
      </w:r>
    </w:p>
    <w:p w14:paraId="5D954A1A"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Vadivelu, V., Nachimuthu, P. and Karthikeyan, P. (2025) ‘Transforming supply chains with additive manufacturing’, in </w:t>
      </w:r>
      <w:r w:rsidRPr="00173FC2">
        <w:rPr>
          <w:rFonts w:eastAsia="Times New Roman"/>
          <w:i/>
          <w:iCs/>
          <w:sz w:val="24"/>
          <w:szCs w:val="24"/>
        </w:rPr>
        <w:t>Metal additive manufacturing: principles, techniques and applications.</w:t>
      </w:r>
      <w:r w:rsidRPr="00173FC2">
        <w:rPr>
          <w:rFonts w:eastAsia="Times New Roman"/>
          <w:sz w:val="24"/>
          <w:szCs w:val="24"/>
        </w:rPr>
        <w:t xml:space="preserve"> Wiley, pp. 359–406. Available at:</w:t>
      </w:r>
      <w:hyperlink r:id="rId66">
        <w:r w:rsidRPr="00173FC2">
          <w:rPr>
            <w:rFonts w:eastAsia="Times New Roman"/>
            <w:sz w:val="24"/>
            <w:szCs w:val="24"/>
          </w:rPr>
          <w:t xml:space="preserve"> </w:t>
        </w:r>
      </w:hyperlink>
      <w:hyperlink r:id="rId67">
        <w:r w:rsidRPr="00173FC2">
          <w:rPr>
            <w:rFonts w:eastAsia="Times New Roman"/>
            <w:color w:val="1155CC"/>
            <w:sz w:val="24"/>
            <w:szCs w:val="24"/>
            <w:u w:val="single"/>
          </w:rPr>
          <w:t>https://onlinelibrary.wiley.com/doi/abs/10.1002/9781394287659.ch15</w:t>
        </w:r>
      </w:hyperlink>
      <w:r w:rsidRPr="00173FC2">
        <w:rPr>
          <w:rFonts w:eastAsia="Times New Roman"/>
          <w:sz w:val="24"/>
          <w:szCs w:val="24"/>
        </w:rPr>
        <w:t xml:space="preserve"> (Accessed: 21 November 2025).</w:t>
      </w:r>
    </w:p>
    <w:p w14:paraId="4348B6CA" w14:textId="77777777" w:rsidR="00173A20" w:rsidRPr="00173FC2" w:rsidRDefault="00173A20" w:rsidP="00E5452A">
      <w:pPr>
        <w:pStyle w:val="Normal1"/>
        <w:spacing w:line="360" w:lineRule="auto"/>
        <w:jc w:val="both"/>
        <w:rPr>
          <w:rFonts w:eastAsia="Times New Roman"/>
          <w:sz w:val="24"/>
          <w:szCs w:val="24"/>
          <w:highlight w:val="white"/>
        </w:rPr>
      </w:pPr>
      <w:r w:rsidRPr="00173FC2">
        <w:rPr>
          <w:rFonts w:eastAsia="Times New Roman"/>
          <w:sz w:val="24"/>
          <w:szCs w:val="24"/>
          <w:highlight w:val="white"/>
        </w:rPr>
        <w:t xml:space="preserve">Vidal López, L., Pelegrín Solé, À. and Gonzalez-Pujol, I. (2024) ‘Diversifying economic risks: Japan’s economic hedging toward China.’ </w:t>
      </w:r>
      <w:r w:rsidRPr="00173FC2">
        <w:rPr>
          <w:rFonts w:eastAsia="Times New Roman"/>
          <w:i/>
          <w:iCs/>
          <w:sz w:val="24"/>
          <w:szCs w:val="24"/>
          <w:highlight w:val="white"/>
        </w:rPr>
        <w:t>International Relations of the Asia-Pacific</w:t>
      </w:r>
      <w:r w:rsidRPr="00173FC2">
        <w:rPr>
          <w:rFonts w:eastAsia="Times New Roman"/>
          <w:sz w:val="24"/>
          <w:szCs w:val="24"/>
          <w:highlight w:val="white"/>
        </w:rPr>
        <w:t>, 24(2), pp. 315-355.</w:t>
      </w:r>
      <w:hyperlink r:id="rId68">
        <w:r w:rsidRPr="00173FC2">
          <w:rPr>
            <w:rFonts w:eastAsia="Times New Roman"/>
            <w:sz w:val="24"/>
            <w:szCs w:val="24"/>
            <w:highlight w:val="white"/>
            <w:u w:val="single"/>
          </w:rPr>
          <w:t>https://diposit.ub.edu/dspace/bitstream/2445/221823/1/871859.pdf</w:t>
        </w:r>
      </w:hyperlink>
      <w:r w:rsidRPr="00173FC2">
        <w:rPr>
          <w:rFonts w:eastAsia="Times New Roman"/>
          <w:sz w:val="24"/>
          <w:szCs w:val="24"/>
          <w:highlight w:val="white"/>
        </w:rPr>
        <w:t xml:space="preserve"> </w:t>
      </w:r>
    </w:p>
    <w:p w14:paraId="57993A13"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Weil, A. (2025a) ‘Hofstede’s dimensions of culture theory’, in </w:t>
      </w:r>
      <w:r w:rsidRPr="00173FC2">
        <w:rPr>
          <w:rFonts w:eastAsia="Times New Roman"/>
          <w:i/>
          <w:iCs/>
          <w:sz w:val="24"/>
          <w:szCs w:val="24"/>
        </w:rPr>
        <w:t>Speaking of Culture.</w:t>
      </w:r>
      <w:r w:rsidRPr="00173FC2">
        <w:rPr>
          <w:rFonts w:eastAsia="Times New Roman"/>
          <w:sz w:val="24"/>
          <w:szCs w:val="24"/>
        </w:rPr>
        <w:t xml:space="preserve"> LibreTexts Social Sciences. Available at: https://socialsci.libretexts.org/.../6.02%3A_Hofstede%E2%80%99s_dimensions_of_culture_theory (Accessed: 21 November 2025).</w:t>
      </w:r>
    </w:p>
    <w:p w14:paraId="2C55CAD0"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lastRenderedPageBreak/>
        <w:t xml:space="preserve">Weil, A. (2025b) ‘A closer look at values’, in </w:t>
      </w:r>
      <w:r w:rsidRPr="00173FC2">
        <w:rPr>
          <w:rFonts w:eastAsia="Times New Roman"/>
          <w:i/>
          <w:iCs/>
          <w:sz w:val="24"/>
          <w:szCs w:val="24"/>
        </w:rPr>
        <w:t>Speaking of Culture.</w:t>
      </w:r>
      <w:r w:rsidRPr="00173FC2">
        <w:rPr>
          <w:rFonts w:eastAsia="Times New Roman"/>
          <w:sz w:val="24"/>
          <w:szCs w:val="24"/>
        </w:rPr>
        <w:t xml:space="preserve"> UEN Pressbooks. Available at:</w:t>
      </w:r>
      <w:hyperlink r:id="rId69">
        <w:r w:rsidRPr="00173FC2">
          <w:rPr>
            <w:rFonts w:eastAsia="Times New Roman"/>
            <w:sz w:val="24"/>
            <w:szCs w:val="24"/>
          </w:rPr>
          <w:t xml:space="preserve"> </w:t>
        </w:r>
      </w:hyperlink>
      <w:hyperlink r:id="rId70">
        <w:r w:rsidRPr="00173FC2">
          <w:rPr>
            <w:rFonts w:eastAsia="Times New Roman"/>
            <w:color w:val="1155CC"/>
            <w:sz w:val="24"/>
            <w:szCs w:val="24"/>
            <w:u w:val="single"/>
          </w:rPr>
          <w:t>https://uen.pressbooks.pub/speakingofculture/chapter/chapter-6-a-closer-look-at-values/</w:t>
        </w:r>
      </w:hyperlink>
      <w:r w:rsidRPr="00173FC2">
        <w:rPr>
          <w:rFonts w:eastAsia="Times New Roman"/>
          <w:sz w:val="24"/>
          <w:szCs w:val="24"/>
        </w:rPr>
        <w:t xml:space="preserve"> (Accessed: 21 November 2025).</w:t>
      </w:r>
    </w:p>
    <w:p w14:paraId="72525438"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World Bank (2017) </w:t>
      </w:r>
      <w:r w:rsidRPr="00173FC2">
        <w:rPr>
          <w:rFonts w:eastAsia="Times New Roman"/>
          <w:i/>
          <w:iCs/>
          <w:sz w:val="24"/>
          <w:szCs w:val="24"/>
        </w:rPr>
        <w:t>India: Skills assessment report – Skills for jobs (PAD).</w:t>
      </w:r>
      <w:r w:rsidRPr="00173FC2">
        <w:rPr>
          <w:rFonts w:eastAsia="Times New Roman"/>
          <w:sz w:val="24"/>
          <w:szCs w:val="24"/>
        </w:rPr>
        <w:t xml:space="preserve"> Washington, DC: World Bank Group. Available at: https://documents.worldbank.org/.../INDIA-SKILL-PAD-06062017.pdf (Accessed: 21 November 2025).</w:t>
      </w:r>
    </w:p>
    <w:p w14:paraId="5B75CD32" w14:textId="77777777" w:rsidR="00173A20" w:rsidRPr="00173FC2" w:rsidRDefault="00173A20" w:rsidP="00E5452A">
      <w:pPr>
        <w:pStyle w:val="Normal1"/>
        <w:spacing w:line="360" w:lineRule="auto"/>
        <w:jc w:val="both"/>
        <w:rPr>
          <w:rFonts w:eastAsia="Times New Roman"/>
          <w:sz w:val="24"/>
          <w:szCs w:val="24"/>
        </w:rPr>
      </w:pPr>
      <w:r w:rsidRPr="00173FC2">
        <w:rPr>
          <w:rFonts w:eastAsia="Times New Roman"/>
          <w:sz w:val="24"/>
          <w:szCs w:val="24"/>
        </w:rPr>
        <w:t xml:space="preserve">World Bank (2022) </w:t>
      </w:r>
      <w:r w:rsidRPr="00173FC2">
        <w:rPr>
          <w:rFonts w:eastAsia="Times New Roman"/>
          <w:i/>
          <w:iCs/>
          <w:sz w:val="24"/>
          <w:szCs w:val="24"/>
        </w:rPr>
        <w:t>India country partnership framework FY23–27.</w:t>
      </w:r>
      <w:r w:rsidRPr="00173FC2">
        <w:rPr>
          <w:rFonts w:eastAsia="Times New Roman"/>
          <w:sz w:val="24"/>
          <w:szCs w:val="24"/>
        </w:rPr>
        <w:t xml:space="preserve"> Washington, DC: World Bank. Available at: https://documents1.worldbank.org/.../P175027138446b0c21862819662d283ed24.pdf (Accessed: 21 November 2025).</w:t>
      </w:r>
    </w:p>
    <w:p w14:paraId="514DE3E2" w14:textId="77777777" w:rsidR="00173A20" w:rsidRPr="00173FC2" w:rsidRDefault="00173A20" w:rsidP="00E5452A">
      <w:pPr>
        <w:pStyle w:val="Normal1"/>
        <w:spacing w:line="360" w:lineRule="auto"/>
        <w:jc w:val="both"/>
        <w:rPr>
          <w:rFonts w:eastAsia="Times New Roman"/>
          <w:sz w:val="24"/>
          <w:szCs w:val="24"/>
          <w:highlight w:val="white"/>
        </w:rPr>
      </w:pPr>
      <w:r w:rsidRPr="00173FC2">
        <w:rPr>
          <w:rFonts w:eastAsia="Times New Roman"/>
          <w:sz w:val="24"/>
          <w:szCs w:val="24"/>
          <w:highlight w:val="white"/>
        </w:rPr>
        <w:t xml:space="preserve">Yang, S. (2022) ‘Analysis for supply chain management: evidence from Toyota’. </w:t>
      </w:r>
      <w:r w:rsidRPr="00173FC2">
        <w:rPr>
          <w:rFonts w:eastAsia="Times New Roman"/>
          <w:i/>
          <w:iCs/>
          <w:sz w:val="24"/>
          <w:szCs w:val="24"/>
          <w:highlight w:val="white"/>
        </w:rPr>
        <w:t>BCP Business and Management</w:t>
      </w:r>
      <w:r w:rsidRPr="00173FC2">
        <w:rPr>
          <w:rFonts w:eastAsia="Times New Roman"/>
          <w:sz w:val="24"/>
          <w:szCs w:val="24"/>
          <w:highlight w:val="white"/>
        </w:rPr>
        <w:t>, 34, pp. 1204-1209https://</w:t>
      </w:r>
      <w:hyperlink r:id="rId71">
        <w:r w:rsidRPr="00173FC2">
          <w:rPr>
            <w:rFonts w:eastAsia="Times New Roman"/>
            <w:sz w:val="24"/>
            <w:szCs w:val="24"/>
            <w:highlight w:val="white"/>
            <w:u w:val="single"/>
          </w:rPr>
          <w:t>doi.org/10.54691/bcpbm.v34i.3160</w:t>
        </w:r>
      </w:hyperlink>
      <w:r w:rsidRPr="00173FC2">
        <w:rPr>
          <w:rFonts w:eastAsia="Times New Roman"/>
          <w:sz w:val="24"/>
          <w:szCs w:val="24"/>
          <w:highlight w:val="white"/>
        </w:rPr>
        <w:t xml:space="preserve">  </w:t>
      </w:r>
    </w:p>
    <w:p w14:paraId="03625A90" w14:textId="77777777" w:rsidR="00DE5498" w:rsidRDefault="00DE5498" w:rsidP="000F227A">
      <w:pPr>
        <w:pStyle w:val="Normal1"/>
        <w:spacing w:line="360" w:lineRule="auto"/>
        <w:jc w:val="both"/>
        <w:rPr>
          <w:rFonts w:ascii="Times New Roman" w:eastAsia="Times New Roman" w:hAnsi="Times New Roman" w:cs="Times New Roman"/>
          <w:sz w:val="24"/>
          <w:szCs w:val="24"/>
        </w:rPr>
      </w:pPr>
    </w:p>
    <w:sectPr w:rsidR="00DE5498" w:rsidSect="004D7D10">
      <w:headerReference w:type="default" r:id="rId72"/>
      <w:footerReference w:type="default" r:id="rId7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59AFA6" w14:textId="77777777" w:rsidR="003D2EE3" w:rsidRDefault="003D2EE3" w:rsidP="00DE5498">
      <w:pPr>
        <w:spacing w:line="240" w:lineRule="auto"/>
      </w:pPr>
      <w:r>
        <w:separator/>
      </w:r>
    </w:p>
  </w:endnote>
  <w:endnote w:type="continuationSeparator" w:id="0">
    <w:p w14:paraId="25E64BC5" w14:textId="77777777" w:rsidR="003D2EE3" w:rsidRDefault="003D2EE3" w:rsidP="00DE54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CB4B8007-AF90-4FCC-AA54-BAAD521CD531}"/>
  </w:font>
  <w:font w:name="Calibri">
    <w:panose1 w:val="020F0502020204030204"/>
    <w:charset w:val="00"/>
    <w:family w:val="swiss"/>
    <w:pitch w:val="variable"/>
    <w:sig w:usb0="E4002EFF" w:usb1="C200247B" w:usb2="00000009" w:usb3="00000000" w:csb0="000001FF" w:csb1="00000000"/>
    <w:embedRegular r:id="rId2" w:fontKey="{72C0246E-1723-41E5-AD4B-F99B193323F5}"/>
    <w:embedBold r:id="rId3" w:fontKey="{A1FAECFE-67CC-4D72-B8F6-C3C8E973ABE4}"/>
  </w:font>
  <w:font w:name="Cambria">
    <w:panose1 w:val="02040503050406030204"/>
    <w:charset w:val="00"/>
    <w:family w:val="roman"/>
    <w:pitch w:val="variable"/>
    <w:sig w:usb0="E00006FF" w:usb1="420024FF" w:usb2="02000000" w:usb3="00000000" w:csb0="0000019F" w:csb1="00000000"/>
    <w:embedRegular r:id="rId4" w:fontKey="{3EA79FEC-95B1-4FB9-905A-204C9670AA34}"/>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369880"/>
      <w:docPartObj>
        <w:docPartGallery w:val="Page Numbers (Bottom of Page)"/>
        <w:docPartUnique/>
      </w:docPartObj>
    </w:sdtPr>
    <w:sdtEndPr/>
    <w:sdtContent>
      <w:p w14:paraId="374FFCA2" w14:textId="0944C7ED" w:rsidR="004D7D10" w:rsidRDefault="004D7D10">
        <w:pPr>
          <w:pStyle w:val="Footer"/>
          <w:jc w:val="right"/>
        </w:pPr>
        <w:r>
          <w:fldChar w:fldCharType="begin"/>
        </w:r>
        <w:r>
          <w:instrText xml:space="preserve"> PAGE   \* MERGEFORMAT </w:instrText>
        </w:r>
        <w:r>
          <w:fldChar w:fldCharType="separate"/>
        </w:r>
        <w:r w:rsidR="005716A9">
          <w:rPr>
            <w:noProof/>
          </w:rPr>
          <w:t>21</w:t>
        </w:r>
        <w:r>
          <w:rPr>
            <w:noProof/>
          </w:rPr>
          <w:fldChar w:fldCharType="end"/>
        </w:r>
      </w:p>
    </w:sdtContent>
  </w:sdt>
  <w:p w14:paraId="129BAD85" w14:textId="77777777" w:rsidR="004D7D10" w:rsidRDefault="004D7D1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508CA4" w14:textId="77777777" w:rsidR="003D2EE3" w:rsidRDefault="003D2EE3" w:rsidP="00DE5498">
      <w:pPr>
        <w:spacing w:line="240" w:lineRule="auto"/>
      </w:pPr>
      <w:r>
        <w:separator/>
      </w:r>
    </w:p>
  </w:footnote>
  <w:footnote w:type="continuationSeparator" w:id="0">
    <w:p w14:paraId="58A2926D" w14:textId="77777777" w:rsidR="003D2EE3" w:rsidRDefault="003D2EE3" w:rsidP="00DE549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0655D" w14:textId="77777777" w:rsidR="00DE5498" w:rsidRDefault="00970BC5">
    <w:pPr>
      <w:pStyle w:val="Normal1"/>
      <w:ind w:left="6480" w:firstLine="720"/>
    </w:pPr>
    <w:r>
      <w:rPr>
        <w:noProof/>
        <w:lang w:val="en-US"/>
      </w:rPr>
      <w:drawing>
        <wp:inline distT="114300" distB="114300" distL="114300" distR="114300" wp14:anchorId="184C554A" wp14:editId="4370C343">
          <wp:extent cx="2019300" cy="81915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
                  <a:srcRect/>
                  <a:stretch>
                    <a:fillRect/>
                  </a:stretch>
                </pic:blipFill>
                <pic:spPr>
                  <a:xfrm>
                    <a:off x="0" y="0"/>
                    <a:ext cx="2019300" cy="819150"/>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5498"/>
    <w:rsid w:val="00072A79"/>
    <w:rsid w:val="000F227A"/>
    <w:rsid w:val="00173A20"/>
    <w:rsid w:val="00173FC2"/>
    <w:rsid w:val="001C6D1F"/>
    <w:rsid w:val="001E0D06"/>
    <w:rsid w:val="00205443"/>
    <w:rsid w:val="002823BF"/>
    <w:rsid w:val="0028465D"/>
    <w:rsid w:val="00302266"/>
    <w:rsid w:val="003D2EE3"/>
    <w:rsid w:val="004D7D10"/>
    <w:rsid w:val="005716A9"/>
    <w:rsid w:val="005723BF"/>
    <w:rsid w:val="00607325"/>
    <w:rsid w:val="00675383"/>
    <w:rsid w:val="00795219"/>
    <w:rsid w:val="00841074"/>
    <w:rsid w:val="00864DAB"/>
    <w:rsid w:val="00970BC5"/>
    <w:rsid w:val="00A824A0"/>
    <w:rsid w:val="00B918C4"/>
    <w:rsid w:val="00BF7C1E"/>
    <w:rsid w:val="00CC7C38"/>
    <w:rsid w:val="00CF5205"/>
    <w:rsid w:val="00D74DB6"/>
    <w:rsid w:val="00DE5498"/>
    <w:rsid w:val="00DF068C"/>
    <w:rsid w:val="00E46B2B"/>
    <w:rsid w:val="00E5452A"/>
    <w:rsid w:val="00EC6F6D"/>
    <w:rsid w:val="00F45B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2FF73C"/>
  <w15:docId w15:val="{EC58871F-75C6-443F-8E90-7F599ACD0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DE5498"/>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1"/>
    <w:next w:val="Normal1"/>
    <w:link w:val="Heading2Char"/>
    <w:rsid w:val="00DE5498"/>
    <w:pPr>
      <w:keepNext/>
      <w:keepLines/>
      <w:spacing w:before="280" w:after="80"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1"/>
    <w:next w:val="Normal1"/>
    <w:rsid w:val="00DE5498"/>
    <w:pPr>
      <w:keepNext/>
      <w:keepLines/>
      <w:spacing w:before="320" w:after="80"/>
      <w:outlineLvl w:val="2"/>
    </w:pPr>
    <w:rPr>
      <w:color w:val="434343"/>
      <w:sz w:val="28"/>
      <w:szCs w:val="28"/>
    </w:rPr>
  </w:style>
  <w:style w:type="paragraph" w:styleId="Heading4">
    <w:name w:val="heading 4"/>
    <w:basedOn w:val="Normal1"/>
    <w:next w:val="Normal1"/>
    <w:rsid w:val="00DE5498"/>
    <w:pPr>
      <w:keepNext/>
      <w:keepLines/>
      <w:spacing w:before="280" w:after="80"/>
      <w:outlineLvl w:val="3"/>
    </w:pPr>
    <w:rPr>
      <w:color w:val="666666"/>
      <w:sz w:val="24"/>
      <w:szCs w:val="24"/>
    </w:rPr>
  </w:style>
  <w:style w:type="paragraph" w:styleId="Heading5">
    <w:name w:val="heading 5"/>
    <w:basedOn w:val="Normal1"/>
    <w:next w:val="Normal1"/>
    <w:rsid w:val="00DE5498"/>
    <w:pPr>
      <w:keepNext/>
      <w:keepLines/>
      <w:spacing w:before="240" w:after="80"/>
      <w:outlineLvl w:val="4"/>
    </w:pPr>
    <w:rPr>
      <w:color w:val="666666"/>
    </w:rPr>
  </w:style>
  <w:style w:type="paragraph" w:styleId="Heading6">
    <w:name w:val="heading 6"/>
    <w:basedOn w:val="Normal1"/>
    <w:next w:val="Normal1"/>
    <w:rsid w:val="00DE5498"/>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E5498"/>
    <w:tblPr>
      <w:tblCellMar>
        <w:top w:w="100" w:type="dxa"/>
        <w:left w:w="100" w:type="dxa"/>
        <w:bottom w:w="100" w:type="dxa"/>
        <w:right w:w="100" w:type="dxa"/>
      </w:tblCellMar>
    </w:tblPr>
  </w:style>
  <w:style w:type="paragraph" w:customStyle="1" w:styleId="Normal1">
    <w:name w:val="Normal1"/>
    <w:rsid w:val="00DE5498"/>
  </w:style>
  <w:style w:type="paragraph" w:styleId="Title">
    <w:name w:val="Title"/>
    <w:basedOn w:val="Normal1"/>
    <w:next w:val="Normal1"/>
    <w:rsid w:val="00DE5498"/>
    <w:pPr>
      <w:keepNext/>
      <w:keepLines/>
      <w:spacing w:after="60"/>
    </w:pPr>
    <w:rPr>
      <w:sz w:val="52"/>
      <w:szCs w:val="52"/>
    </w:rPr>
  </w:style>
  <w:style w:type="paragraph" w:styleId="Subtitle">
    <w:name w:val="Subtitle"/>
    <w:basedOn w:val="Normal1"/>
    <w:next w:val="Normal1"/>
    <w:rsid w:val="00DE549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D7D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7D10"/>
    <w:rPr>
      <w:rFonts w:ascii="Tahoma" w:hAnsi="Tahoma" w:cs="Tahoma"/>
      <w:sz w:val="16"/>
      <w:szCs w:val="16"/>
    </w:rPr>
  </w:style>
  <w:style w:type="paragraph" w:styleId="TOCHeading">
    <w:name w:val="TOC Heading"/>
    <w:basedOn w:val="Heading1"/>
    <w:next w:val="Normal"/>
    <w:uiPriority w:val="39"/>
    <w:semiHidden/>
    <w:unhideWhenUsed/>
    <w:qFormat/>
    <w:rsid w:val="004D7D10"/>
    <w:pPr>
      <w:spacing w:before="48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4D7D10"/>
    <w:pPr>
      <w:spacing w:after="100"/>
    </w:pPr>
  </w:style>
  <w:style w:type="paragraph" w:styleId="TOC2">
    <w:name w:val="toc 2"/>
    <w:basedOn w:val="Normal"/>
    <w:next w:val="Normal"/>
    <w:autoRedefine/>
    <w:uiPriority w:val="39"/>
    <w:unhideWhenUsed/>
    <w:rsid w:val="004D7D10"/>
    <w:pPr>
      <w:spacing w:after="100"/>
      <w:ind w:left="220"/>
    </w:pPr>
  </w:style>
  <w:style w:type="character" w:styleId="Hyperlink">
    <w:name w:val="Hyperlink"/>
    <w:basedOn w:val="DefaultParagraphFont"/>
    <w:uiPriority w:val="99"/>
    <w:unhideWhenUsed/>
    <w:rsid w:val="004D7D10"/>
    <w:rPr>
      <w:color w:val="0000FF" w:themeColor="hyperlink"/>
      <w:u w:val="single"/>
    </w:rPr>
  </w:style>
  <w:style w:type="paragraph" w:styleId="Header">
    <w:name w:val="header"/>
    <w:basedOn w:val="Normal"/>
    <w:link w:val="HeaderChar"/>
    <w:uiPriority w:val="99"/>
    <w:semiHidden/>
    <w:unhideWhenUsed/>
    <w:rsid w:val="004D7D1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D7D10"/>
  </w:style>
  <w:style w:type="paragraph" w:styleId="Footer">
    <w:name w:val="footer"/>
    <w:basedOn w:val="Normal"/>
    <w:link w:val="FooterChar"/>
    <w:uiPriority w:val="99"/>
    <w:unhideWhenUsed/>
    <w:rsid w:val="004D7D10"/>
    <w:pPr>
      <w:tabs>
        <w:tab w:val="center" w:pos="4680"/>
        <w:tab w:val="right" w:pos="9360"/>
      </w:tabs>
      <w:spacing w:line="240" w:lineRule="auto"/>
    </w:pPr>
  </w:style>
  <w:style w:type="character" w:customStyle="1" w:styleId="FooterChar">
    <w:name w:val="Footer Char"/>
    <w:basedOn w:val="DefaultParagraphFont"/>
    <w:link w:val="Footer"/>
    <w:uiPriority w:val="99"/>
    <w:rsid w:val="004D7D10"/>
  </w:style>
  <w:style w:type="character" w:customStyle="1" w:styleId="Heading2Char">
    <w:name w:val="Heading 2 Char"/>
    <w:basedOn w:val="DefaultParagraphFont"/>
    <w:link w:val="Heading2"/>
    <w:rsid w:val="00D74DB6"/>
    <w:rPr>
      <w:rFonts w:ascii="Times New Roman" w:eastAsia="Times New Roman" w:hAnsi="Times New Roman" w:cs="Times New Roman"/>
      <w:b/>
      <w:b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hyperlink" Target="https://www.econstor.eu/bitstream/10419/310741/1/18_2_01.pdf?utm_source=chatgpt.com" TargetMode="External"/><Relationship Id="rId18" Type="http://schemas.openxmlformats.org/officeDocument/2006/relationships/hyperlink" Target="https://globeproject.com/results/clusters/southern-asia%3Fmenu%3Dlist.html?utm_source=chatgpt.com" TargetMode="External"/><Relationship Id="rId26" Type="http://schemas.openxmlformats.org/officeDocument/2006/relationships/hyperlink" Target="https://www.internationalbusinesscenter.org/geert-hofstede/hofstede_india.shtml?utm_source=chatgpt.com" TargetMode="External"/><Relationship Id="rId39" Type="http://schemas.openxmlformats.org/officeDocument/2006/relationships/hyperlink" Target="https://unitesi.unive.it/retrieve/4fdca18d-0240-43fe-83bb-0c51370b65ba/868943-1268053.pdf?utm_source=chatgpt.com" TargetMode="External"/><Relationship Id="rId21" Type="http://schemas.openxmlformats.org/officeDocument/2006/relationships/hyperlink" Target="https://www.iamai.in/sites/default/files/research/INTERNET%20IN%20INDIA%202023.pdf?utm_source=chatgpt.com" TargetMode="External"/><Relationship Id="rId34" Type="http://schemas.openxmlformats.org/officeDocument/2006/relationships/hyperlink" Target="https://www.mreport.co.th/en/news/industry-movement/160-toyota-rd-spending-2025?utm_source=chatgpt.com" TargetMode="External"/><Relationship Id="rId42" Type="http://schemas.openxmlformats.org/officeDocument/2006/relationships/hyperlink" Target="https://www.pwc.in/press-releases/2024/82-of-indian-consumers-consider-protection-of-personal-data-as-most-crucial-factor-in-building-trust-pwcs-voice-of-the-consumer-survey-2024.html?utm_source=chatgpt.com" TargetMode="External"/><Relationship Id="rId47" Type="http://schemas.openxmlformats.org/officeDocument/2006/relationships/hyperlink" Target="https://global.toyota/pages/global_toyota/ir/library/sec/20-F_202403_final.pdf?utm_source=chatgpt.com" TargetMode="External"/><Relationship Id="rId50" Type="http://schemas.openxmlformats.org/officeDocument/2006/relationships/hyperlink" Target="https://www.sec.gov/Archives/edgar/data/1094517/000119312525142326/d925022d20f.htm?utm_source=chatgpt.com" TargetMode="External"/><Relationship Id="rId55" Type="http://schemas.openxmlformats.org/officeDocument/2006/relationships/hyperlink" Target="https://www.annualreports.com/HostedData/AnnualReportArchive/t/NYSE_TM_2007.pdf?utm_source=chatgpt.com" TargetMode="External"/><Relationship Id="rId63" Type="http://schemas.openxmlformats.org/officeDocument/2006/relationships/hyperlink" Target="https://unitesi.unive.it/retrieve/4fdca18d-0240-43fe-83bb-0c51370b65ba/868943-1268053.pdf?utm_source=chatgpt.com" TargetMode="External"/><Relationship Id="rId68" Type="http://schemas.openxmlformats.org/officeDocument/2006/relationships/hyperlink" Target="https://diposit.ub.edu/dspace/bitstream/2445/221823/1/871859.pdf" TargetMode="External"/><Relationship Id="rId7" Type="http://schemas.openxmlformats.org/officeDocument/2006/relationships/image" Target="media/image1.png"/><Relationship Id="rId71" Type="http://schemas.openxmlformats.org/officeDocument/2006/relationships/hyperlink" Target="http://doi.org/10.54691/bcpbm.v34i.3160" TargetMode="External"/><Relationship Id="rId2" Type="http://schemas.openxmlformats.org/officeDocument/2006/relationships/styles" Target="styles.xml"/><Relationship Id="rId16" Type="http://schemas.openxmlformats.org/officeDocument/2006/relationships/hyperlink" Target="https://www.econstor.eu/bitstream/10419/310741/1/18_2_01.pdf?utm_source=chatgpt.com" TargetMode="External"/><Relationship Id="rId29" Type="http://schemas.openxmlformats.org/officeDocument/2006/relationships/hyperlink" Target="https://www.jdpower.com/business/press-releases/2022-india-customer-service-index-csi-study?utm_source=chatgpt.com" TargetMode="External"/><Relationship Id="rId11" Type="http://schemas.openxmlformats.org/officeDocument/2006/relationships/hyperlink" Target="https://www.business-to-you.com/choosing-the-right-entry-mode-strategy/" TargetMode="External"/><Relationship Id="rId24" Type="http://schemas.openxmlformats.org/officeDocument/2006/relationships/hyperlink" Target="https://competitiveness.in/mind-the-gap-then-fix-it-the-mismatch-between-workforce-skills-and-job-market-demands-in-india/?utm_source=chatgpt.com" TargetMode="External"/><Relationship Id="rId32" Type="http://schemas.openxmlformats.org/officeDocument/2006/relationships/hyperlink" Target="https://www.jdpower.com/business/press-releases/2023-india-customer-service-index-csi-study?utm_source=chatgpt.com" TargetMode="External"/><Relationship Id="rId37" Type="http://schemas.openxmlformats.org/officeDocument/2006/relationships/hyperlink" Target="https://prezi.com/p/9r1lryq4knlp/hofstedes-cultural-dimensions-japan/" TargetMode="External"/><Relationship Id="rId40" Type="http://schemas.openxmlformats.org/officeDocument/2006/relationships/hyperlink" Target="https://unitesi.unive.it/retrieve/4fdca18d-0240-43fe-83bb-0c51370b65ba/868943-1268053.pdf?utm_source=chatgpt.com" TargetMode="External"/><Relationship Id="rId45" Type="http://schemas.openxmlformats.org/officeDocument/2006/relationships/hyperlink" Target="https://dx.doi.org/10.61426/sjbcm.v9i1.2220" TargetMode="External"/><Relationship Id="rId53" Type="http://schemas.openxmlformats.org/officeDocument/2006/relationships/hyperlink" Target="https://www.toyota-global.com/pages/contents/investors/ir_library/annual/pdf/2007/pdf/ar07_e.pdf" TargetMode="External"/><Relationship Id="rId58" Type="http://schemas.openxmlformats.org/officeDocument/2006/relationships/hyperlink" Target="https://www.sec.gov/Archives/edgar/data/1094517/000119312523179181/d360541d20f.htm?utm_source=chatgpt.com" TargetMode="External"/><Relationship Id="rId66" Type="http://schemas.openxmlformats.org/officeDocument/2006/relationships/hyperlink" Target="https://onlinelibrary.wiley.com/doi/abs/10.1002/9781394287659.ch15" TargetMode="External"/><Relationship Id="rId7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constor.eu/bitstream/10419/310741/1/18_2_01.pdf?utm_source=chatgpt.com" TargetMode="External"/><Relationship Id="rId23" Type="http://schemas.openxmlformats.org/officeDocument/2006/relationships/hyperlink" Target="https://competitiveness.in/mind-the-gap-then-fix-it-the-mismatch-between-workforce-skills-and-job-market-demands-in-india/?utm_source=chatgpt.com" TargetMode="External"/><Relationship Id="rId28" Type="http://schemas.openxmlformats.org/officeDocument/2006/relationships/hyperlink" Target="https://www.internationalbusinesscenter.org/geert-hofstede/hofstede_india.shtml?utm_source=chatgpt.com" TargetMode="External"/><Relationship Id="rId36" Type="http://schemas.openxmlformats.org/officeDocument/2006/relationships/hyperlink" Target="https://doi.org/10.46254/AU02.20230060" TargetMode="External"/><Relationship Id="rId49" Type="http://schemas.openxmlformats.org/officeDocument/2006/relationships/hyperlink" Target="https://global.toyota/pages/fact-data/fact-data_001_06_en.pdf" TargetMode="External"/><Relationship Id="rId57" Type="http://schemas.openxmlformats.org/officeDocument/2006/relationships/hyperlink" Target="https://pressroom.toyota.com/tmc-announces-april-through-march-2025-financial-results/?utm_source=chatgpt.com" TargetMode="External"/><Relationship Id="rId61" Type="http://schemas.openxmlformats.org/officeDocument/2006/relationships/hyperlink" Target="https://unitesi.unive.it/retrieve/4fdca18d-0240-43fe-83bb-0c51370b65ba/868943-1268053.pdf?utm_source=chatgpt.com" TargetMode="External"/><Relationship Id="rId10" Type="http://schemas.openxmlformats.org/officeDocument/2006/relationships/image" Target="media/image4.png"/><Relationship Id="rId19" Type="http://schemas.openxmlformats.org/officeDocument/2006/relationships/hyperlink" Target="https://doi.org/10.1016/j.joitmc.2023.100031" TargetMode="External"/><Relationship Id="rId31" Type="http://schemas.openxmlformats.org/officeDocument/2006/relationships/hyperlink" Target="https://www.jdpower.com/business/press-releases/2023-india-customer-service-index-csi-study?utm_source=chatgpt.com" TargetMode="External"/><Relationship Id="rId44" Type="http://schemas.openxmlformats.org/officeDocument/2006/relationships/hyperlink" Target="https://www.spglobal.com/en/research-insights/special-reports/india-forward/india-manufacturing-opportunity-amid-global-trade-uncertainty?utm_source=chatgpt.com" TargetMode="External"/><Relationship Id="rId52" Type="http://schemas.openxmlformats.org/officeDocument/2006/relationships/hyperlink" Target="https://www.toyota-global.com/pages/contents/investors/ir_library/annual/pdf/2007/pdf/ar07_e.pdf" TargetMode="External"/><Relationship Id="rId60" Type="http://schemas.openxmlformats.org/officeDocument/2006/relationships/hyperlink" Target="https://unitesi.unive.it/retrieve/4fdca18d-0240-43fe-83bb-0c51370b65ba/868943-1268053.pdf?utm_source=chatgpt.com" TargetMode="External"/><Relationship Id="rId65" Type="http://schemas.openxmlformats.org/officeDocument/2006/relationships/hyperlink" Target="https://public.websites.umich.edu/~psycours/490/cdimen.pdf?utm_source=chatgpt.com" TargetMode="External"/><Relationship Id="rId73"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constor.eu/bitstream/10419/310741/1/18_2_01.pdf?utm_source=chatgpt.com" TargetMode="External"/><Relationship Id="rId22" Type="http://schemas.openxmlformats.org/officeDocument/2006/relationships/hyperlink" Target="https://www.iamai.in/sites/default/files/research/INTERNET%20IN%20INDIA%202023.pdf?utm_source=chatgpt.com" TargetMode="External"/><Relationship Id="rId27" Type="http://schemas.openxmlformats.org/officeDocument/2006/relationships/hyperlink" Target="https://www.internationalbusinesscenter.org/geert-hofstede/hofstede_india.shtml?utm_source=chatgpt.com" TargetMode="External"/><Relationship Id="rId30" Type="http://schemas.openxmlformats.org/officeDocument/2006/relationships/hyperlink" Target="https://www.jdpower.com/business/press-releases/2022-india-customer-service-index-csi-study?utm_source=chatgpt.com" TargetMode="External"/><Relationship Id="rId35" Type="http://schemas.openxmlformats.org/officeDocument/2006/relationships/hyperlink" Target="https://www.mreport.co.th/en/news/industry-movement/160-toyota-rd-spending-2025?utm_source=chatgpt.com" TargetMode="External"/><Relationship Id="rId43" Type="http://schemas.openxmlformats.org/officeDocument/2006/relationships/hyperlink" Target="https://www.spglobal.com/en/research-insights/special-reports/india-forward/india-manufacturing-opportunity-amid-global-trade-uncertainty?utm_source=chatgpt.com" TargetMode="External"/><Relationship Id="rId48" Type="http://schemas.openxmlformats.org/officeDocument/2006/relationships/hyperlink" Target="https://global.toyota/pages/fact-data/fact-data_001_06_en.pdf" TargetMode="External"/><Relationship Id="rId56" Type="http://schemas.openxmlformats.org/officeDocument/2006/relationships/hyperlink" Target="https://pressroom.toyota.com/tmc-announces-april-through-march-2025-financial-results/?utm_source=chatgpt.com" TargetMode="External"/><Relationship Id="rId64" Type="http://schemas.openxmlformats.org/officeDocument/2006/relationships/hyperlink" Target="https://public.websites.umich.edu/~psycours/490/cdimen.pdf?utm_source=chatgpt.com" TargetMode="External"/><Relationship Id="rId69" Type="http://schemas.openxmlformats.org/officeDocument/2006/relationships/hyperlink" Target="https://uen.pressbooks.pub/speakingofculture/chapter/chapter-6-a-closer-look-at-values/?utm_source=chatgpt.com" TargetMode="External"/><Relationship Id="rId8" Type="http://schemas.openxmlformats.org/officeDocument/2006/relationships/image" Target="media/image2.png"/><Relationship Id="rId51" Type="http://schemas.openxmlformats.org/officeDocument/2006/relationships/hyperlink" Target="https://www.sec.gov/Archives/edgar/data/1094517/000119312525142326/d925022d20f.htm?utm_source=chatgpt.com" TargetMode="External"/><Relationship Id="rId72"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business-to-you.com/choosing-the-right-entry-mode-strategy/" TargetMode="External"/><Relationship Id="rId17" Type="http://schemas.openxmlformats.org/officeDocument/2006/relationships/hyperlink" Target="https://globeproject.com/results/clusters/southern-asia%3Fmenu%3Dlist.html?utm_source=chatgpt.com" TargetMode="External"/><Relationship Id="rId25" Type="http://schemas.openxmlformats.org/officeDocument/2006/relationships/hyperlink" Target="https://www.internationalbusinesscenter.org/geert-hofstede/hofstede_india.shtml?utm_source=chatgpt.com" TargetMode="External"/><Relationship Id="rId33" Type="http://schemas.openxmlformats.org/officeDocument/2006/relationships/hyperlink" Target="https://doi.org/10.1093/irap/lcae002" TargetMode="External"/><Relationship Id="rId38" Type="http://schemas.openxmlformats.org/officeDocument/2006/relationships/hyperlink" Target="https://prezi.com/p/9r1lryq4knlp/hofstedes-cultural-dimensions-japan/" TargetMode="External"/><Relationship Id="rId46" Type="http://schemas.openxmlformats.org/officeDocument/2006/relationships/hyperlink" Target="https://global.toyota/pages/global_toyota/ir/library/sec/20-F_202403_final.pdf?utm_source=chatgpt.com" TargetMode="External"/><Relationship Id="rId59" Type="http://schemas.openxmlformats.org/officeDocument/2006/relationships/hyperlink" Target="https://www.sec.gov/Archives/edgar/data/1094517/000119312523179181/d360541d20f.htm?utm_source=chatgpt.com" TargetMode="External"/><Relationship Id="rId67" Type="http://schemas.openxmlformats.org/officeDocument/2006/relationships/hyperlink" Target="https://onlinelibrary.wiley.com/doi/abs/10.1002/9781394287659.ch15" TargetMode="External"/><Relationship Id="rId20" Type="http://schemas.openxmlformats.org/officeDocument/2006/relationships/hyperlink" Target="https://doi.org/10.1016/j.joitmc.2023.100031" TargetMode="External"/><Relationship Id="rId41" Type="http://schemas.openxmlformats.org/officeDocument/2006/relationships/hyperlink" Target="https://www.pwc.in/press-releases/2024/82-of-indian-consumers-consider-protection-of-personal-data-as-most-crucial-factor-in-building-trust-pwcs-voice-of-the-consumer-survey-2024.html?utm_source=chatgpt.com" TargetMode="External"/><Relationship Id="rId54" Type="http://schemas.openxmlformats.org/officeDocument/2006/relationships/hyperlink" Target="https://www.annualreports.com/HostedData/AnnualReportArchive/t/NYSE_TM_2007.pdf?utm_source=chatgpt.com" TargetMode="External"/><Relationship Id="rId62" Type="http://schemas.openxmlformats.org/officeDocument/2006/relationships/hyperlink" Target="https://unitesi.unive.it/retrieve/4fdca18d-0240-43fe-83bb-0c51370b65ba/868943-1268053.pdf?utm_source=chatgpt.com" TargetMode="External"/><Relationship Id="rId70" Type="http://schemas.openxmlformats.org/officeDocument/2006/relationships/hyperlink" Target="https://uen.pressbooks.pub/speakingofculture/chapter/chapter-6-a-closer-look-at-values/?utm_source=chatgpt.com"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A90F6F-076B-401A-A094-DF43C1A81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8038</Words>
  <Characters>45823</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2025-12-13T14:22:00Z</dcterms:created>
  <dcterms:modified xsi:type="dcterms:W3CDTF">2025-12-13T14:22:00Z</dcterms:modified>
</cp:coreProperties>
</file>