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E7F58" w14:textId="57B94F6A" w:rsidR="001E0BD4" w:rsidRPr="009B3942" w:rsidRDefault="009B3942" w:rsidP="009B3942">
      <w:pPr>
        <w:jc w:val="center"/>
        <w:rPr>
          <w:rStyle w:val="IntenseEmphasis"/>
          <w:b/>
          <w:i w:val="0"/>
          <w:color w:val="auto"/>
          <w:sz w:val="24"/>
          <w:u w:val="single"/>
        </w:rPr>
      </w:pPr>
      <w:r w:rsidRPr="009B3942">
        <w:rPr>
          <w:rStyle w:val="IntenseEmphasis"/>
          <w:b/>
          <w:i w:val="0"/>
          <w:color w:val="auto"/>
          <w:sz w:val="24"/>
          <w:u w:val="single"/>
        </w:rPr>
        <w:t>How Important was a concept of economic reward in motiving people to go on crusade?</w:t>
      </w:r>
    </w:p>
    <w:p w14:paraId="2EF35307" w14:textId="1182A185" w:rsidR="009B3942" w:rsidRDefault="009B3942" w:rsidP="009B3942">
      <w:pPr>
        <w:rPr>
          <w:rStyle w:val="IntenseEmphasis"/>
          <w:i w:val="0"/>
          <w:color w:val="auto"/>
        </w:rPr>
      </w:pPr>
    </w:p>
    <w:p w14:paraId="6B857B09" w14:textId="6376D17F" w:rsidR="006F6C66" w:rsidRDefault="006F6C66" w:rsidP="009B3942">
      <w:pPr>
        <w:rPr>
          <w:rStyle w:val="IntenseEmphasis"/>
          <w:i w:val="0"/>
          <w:color w:val="auto"/>
        </w:rPr>
      </w:pPr>
      <w:r>
        <w:rPr>
          <w:rStyle w:val="IntenseEmphasis"/>
          <w:i w:val="0"/>
          <w:color w:val="auto"/>
        </w:rPr>
        <w:t>The First Crusade lasted from 1096-1099 and during this Crusade, thousands of people – men and women, rich and poor, old and young – travelled across Christendom, through the Byzantine Empire and down to Jerusalem to liberate it from the Turks</w:t>
      </w:r>
      <w:r w:rsidR="00F27E87">
        <w:rPr>
          <w:rStyle w:val="IntenseEmphasis"/>
          <w:i w:val="0"/>
          <w:color w:val="auto"/>
        </w:rPr>
        <w:t xml:space="preserve"> who had captured it years previously</w:t>
      </w:r>
      <w:r>
        <w:rPr>
          <w:rStyle w:val="IntenseEmphasis"/>
          <w:i w:val="0"/>
          <w:color w:val="auto"/>
        </w:rPr>
        <w:t xml:space="preserve">. There </w:t>
      </w:r>
      <w:r w:rsidR="00D90806">
        <w:rPr>
          <w:rStyle w:val="IntenseEmphasis"/>
          <w:i w:val="0"/>
          <w:color w:val="auto"/>
        </w:rPr>
        <w:t xml:space="preserve">seems to be </w:t>
      </w:r>
      <w:r>
        <w:rPr>
          <w:rStyle w:val="IntenseEmphasis"/>
          <w:i w:val="0"/>
          <w:color w:val="auto"/>
        </w:rPr>
        <w:t xml:space="preserve">many different motives for why the Crusades began and why </w:t>
      </w:r>
      <w:r w:rsidR="00435163">
        <w:rPr>
          <w:rStyle w:val="IntenseEmphasis"/>
          <w:i w:val="0"/>
          <w:color w:val="auto"/>
        </w:rPr>
        <w:t xml:space="preserve">ordinary people signed up for it; revenge for the Christian deaths and torture taking place in Jerusalem, people hoping to further their </w:t>
      </w:r>
      <w:r w:rsidR="00F27E87">
        <w:rPr>
          <w:rStyle w:val="IntenseEmphasis"/>
          <w:i w:val="0"/>
          <w:color w:val="auto"/>
        </w:rPr>
        <w:t xml:space="preserve">economic </w:t>
      </w:r>
      <w:r w:rsidR="00435163">
        <w:rPr>
          <w:rStyle w:val="IntenseEmphasis"/>
          <w:i w:val="0"/>
          <w:color w:val="auto"/>
        </w:rPr>
        <w:t xml:space="preserve">wealth and </w:t>
      </w:r>
      <w:r w:rsidR="00F27E87">
        <w:rPr>
          <w:rStyle w:val="IntenseEmphasis"/>
          <w:i w:val="0"/>
          <w:color w:val="auto"/>
        </w:rPr>
        <w:t xml:space="preserve">political </w:t>
      </w:r>
      <w:r w:rsidR="00435163">
        <w:rPr>
          <w:rStyle w:val="IntenseEmphasis"/>
          <w:i w:val="0"/>
          <w:color w:val="auto"/>
        </w:rPr>
        <w:t xml:space="preserve">power, people </w:t>
      </w:r>
      <w:r w:rsidR="00D90806">
        <w:rPr>
          <w:rStyle w:val="IntenseEmphasis"/>
          <w:i w:val="0"/>
          <w:color w:val="auto"/>
        </w:rPr>
        <w:t>who were just looking for an adventure, a reason to leave their home and see the world</w:t>
      </w:r>
      <w:r w:rsidR="00AD78DE">
        <w:rPr>
          <w:rStyle w:val="IntenseEmphasis"/>
          <w:i w:val="0"/>
          <w:color w:val="auto"/>
        </w:rPr>
        <w:t xml:space="preserve">, and the desperate need to get rid of the violent types, give them an enemy outside of Christendom to face (Peace God Movement, set up by the Church to limit violence </w:t>
      </w:r>
      <w:r w:rsidR="00FE405F">
        <w:rPr>
          <w:rStyle w:val="IntenseEmphasis"/>
          <w:i w:val="0"/>
          <w:color w:val="auto"/>
        </w:rPr>
        <w:t>through</w:t>
      </w:r>
      <w:r w:rsidR="00AD78DE">
        <w:rPr>
          <w:rStyle w:val="IntenseEmphasis"/>
          <w:i w:val="0"/>
          <w:color w:val="auto"/>
        </w:rPr>
        <w:t xml:space="preserve"> any means)</w:t>
      </w:r>
      <w:r w:rsidR="00D90806">
        <w:rPr>
          <w:rStyle w:val="IntenseEmphasis"/>
          <w:i w:val="0"/>
          <w:color w:val="auto"/>
        </w:rPr>
        <w:t>. There were also people who were doing it for religious reasons; because the Pope said so, being God’s hand, or even just in hopes to gain access to Heaven despite previous sins. But how important were each of these motivations in the hearts and minds of the crusaders?</w:t>
      </w:r>
    </w:p>
    <w:p w14:paraId="4ACD92A6" w14:textId="77777777" w:rsidR="00122F4F" w:rsidRDefault="00791330" w:rsidP="009B3942">
      <w:pPr>
        <w:rPr>
          <w:rStyle w:val="IntenseEmphasis"/>
          <w:i w:val="0"/>
          <w:color w:val="auto"/>
        </w:rPr>
      </w:pPr>
      <w:r w:rsidRPr="00791330">
        <w:rPr>
          <w:rStyle w:val="IntenseEmphasis"/>
          <w:i w:val="0"/>
          <w:color w:val="auto"/>
        </w:rPr>
        <w:t xml:space="preserve">The concept of economic reward was definitely present in some crusaders, for example </w:t>
      </w:r>
      <w:proofErr w:type="spellStart"/>
      <w:r w:rsidRPr="00791330">
        <w:rPr>
          <w:rStyle w:val="IntenseEmphasis"/>
          <w:rFonts w:cstheme="minorHAnsi"/>
          <w:i w:val="0"/>
          <w:color w:val="auto"/>
        </w:rPr>
        <w:t>Emico</w:t>
      </w:r>
      <w:proofErr w:type="spellEnd"/>
      <w:r w:rsidRPr="00791330">
        <w:rPr>
          <w:rStyle w:val="IntenseEmphasis"/>
          <w:rFonts w:cstheme="minorHAnsi"/>
          <w:i w:val="0"/>
          <w:color w:val="auto"/>
        </w:rPr>
        <w:t xml:space="preserve"> of </w:t>
      </w:r>
      <w:bookmarkStart w:id="0" w:name="_Hlk509136607"/>
      <w:proofErr w:type="spellStart"/>
      <w:r w:rsidRPr="00791330">
        <w:rPr>
          <w:rFonts w:cstheme="minorHAnsi"/>
          <w:shd w:val="clear" w:color="auto" w:fill="FFFFFF"/>
        </w:rPr>
        <w:t>Leininge</w:t>
      </w:r>
      <w:bookmarkEnd w:id="0"/>
      <w:r w:rsidRPr="00791330">
        <w:rPr>
          <w:rFonts w:cstheme="minorHAnsi"/>
          <w:shd w:val="clear" w:color="auto" w:fill="FFFFFF"/>
        </w:rPr>
        <w:t>n</w:t>
      </w:r>
      <w:proofErr w:type="spellEnd"/>
      <w:r>
        <w:rPr>
          <w:rFonts w:ascii="Arial" w:hAnsi="Arial" w:cs="Arial"/>
          <w:shd w:val="clear" w:color="auto" w:fill="FFFFFF"/>
        </w:rPr>
        <w:t xml:space="preserve"> </w:t>
      </w:r>
      <w:r>
        <w:rPr>
          <w:rFonts w:cstheme="minorHAnsi"/>
          <w:shd w:val="clear" w:color="auto" w:fill="FFFFFF"/>
        </w:rPr>
        <w:t xml:space="preserve">who “slaughtered and exiled the Jews through greed of money”, it seems that Albert of Aix, the author of the source, believed that </w:t>
      </w:r>
      <w:proofErr w:type="spellStart"/>
      <w:r>
        <w:rPr>
          <w:rFonts w:cstheme="minorHAnsi"/>
          <w:shd w:val="clear" w:color="auto" w:fill="FFFFFF"/>
        </w:rPr>
        <w:t>Emico’s</w:t>
      </w:r>
      <w:proofErr w:type="spellEnd"/>
      <w:r>
        <w:rPr>
          <w:rFonts w:cstheme="minorHAnsi"/>
          <w:shd w:val="clear" w:color="auto" w:fill="FFFFFF"/>
        </w:rPr>
        <w:t xml:space="preserve"> actions against the Rhineland Jews in 1096 had nothing to do with “God’s justice” and everything to do with the concept of economic reward.</w:t>
      </w:r>
      <w:r w:rsidR="00773AC2">
        <w:rPr>
          <w:rStyle w:val="FootnoteReference"/>
          <w:rFonts w:cstheme="minorHAnsi"/>
          <w:shd w:val="clear" w:color="auto" w:fill="FFFFFF"/>
        </w:rPr>
        <w:footnoteReference w:id="1"/>
      </w:r>
      <w:r>
        <w:rPr>
          <w:rFonts w:cstheme="minorHAnsi"/>
          <w:shd w:val="clear" w:color="auto" w:fill="FFFFFF"/>
        </w:rPr>
        <w:t xml:space="preserve"> </w:t>
      </w:r>
      <w:proofErr w:type="spellStart"/>
      <w:r w:rsidR="00B32DDE">
        <w:rPr>
          <w:rFonts w:cstheme="minorHAnsi"/>
          <w:shd w:val="clear" w:color="auto" w:fill="FFFFFF"/>
        </w:rPr>
        <w:t>Coulton</w:t>
      </w:r>
      <w:proofErr w:type="spellEnd"/>
      <w:r w:rsidR="00B32DDE">
        <w:rPr>
          <w:rFonts w:cstheme="minorHAnsi"/>
          <w:shd w:val="clear" w:color="auto" w:fill="FFFFFF"/>
        </w:rPr>
        <w:t xml:space="preserve"> stated that men pitched battles with no other motive than “insatiable greed” and that “whatsoever was open to the sight of these covetous men was exposed to their ravage” and it didn’t matter who owned these things, whether they were ‘pagans’ or ‘heathens’ or ‘Turks’ or Christians, or even fellow Crusaders – anyone was a target for these greedy men.</w:t>
      </w:r>
      <w:r w:rsidR="00773AC2">
        <w:rPr>
          <w:rStyle w:val="FootnoteReference"/>
          <w:rFonts w:cstheme="minorHAnsi"/>
          <w:shd w:val="clear" w:color="auto" w:fill="FFFFFF"/>
        </w:rPr>
        <w:footnoteReference w:id="2"/>
      </w:r>
      <w:r w:rsidR="00B32DDE">
        <w:rPr>
          <w:rFonts w:cstheme="minorHAnsi"/>
          <w:shd w:val="clear" w:color="auto" w:fill="FFFFFF"/>
        </w:rPr>
        <w:t xml:space="preserve"> </w:t>
      </w:r>
      <w:r w:rsidR="00B351AE">
        <w:rPr>
          <w:rFonts w:cstheme="minorHAnsi"/>
          <w:shd w:val="clear" w:color="auto" w:fill="FFFFFF"/>
        </w:rPr>
        <w:t xml:space="preserve">Hans </w:t>
      </w:r>
      <w:proofErr w:type="spellStart"/>
      <w:r w:rsidR="00B351AE">
        <w:rPr>
          <w:rFonts w:cstheme="minorHAnsi"/>
          <w:shd w:val="clear" w:color="auto" w:fill="FFFFFF"/>
        </w:rPr>
        <w:t>Eberhad</w:t>
      </w:r>
      <w:proofErr w:type="spellEnd"/>
      <w:r w:rsidR="00B351AE">
        <w:rPr>
          <w:rFonts w:cstheme="minorHAnsi"/>
          <w:shd w:val="clear" w:color="auto" w:fill="FFFFFF"/>
        </w:rPr>
        <w:t xml:space="preserve"> Mayer drew attention to Urban promising, in his speech at Clermont that anyone who went on Crusade would enjoy “undisturbed possession of the lands they conquered”</w:t>
      </w:r>
      <w:r w:rsidR="00104F7E">
        <w:rPr>
          <w:rStyle w:val="FootnoteReference"/>
          <w:rFonts w:cstheme="minorHAnsi"/>
          <w:shd w:val="clear" w:color="auto" w:fill="FFFFFF"/>
        </w:rPr>
        <w:footnoteReference w:id="3"/>
      </w:r>
      <w:r w:rsidR="00B351AE">
        <w:rPr>
          <w:rFonts w:cstheme="minorHAnsi"/>
          <w:shd w:val="clear" w:color="auto" w:fill="FFFFFF"/>
        </w:rPr>
        <w:t xml:space="preserve"> and while I cannot </w:t>
      </w:r>
      <w:r w:rsidR="004F72D4">
        <w:rPr>
          <w:rFonts w:cstheme="minorHAnsi"/>
          <w:shd w:val="clear" w:color="auto" w:fill="FFFFFF"/>
        </w:rPr>
        <w:t>find a source where Urban II sa</w:t>
      </w:r>
      <w:r w:rsidR="00EA147D">
        <w:rPr>
          <w:rFonts w:cstheme="minorHAnsi"/>
          <w:shd w:val="clear" w:color="auto" w:fill="FFFFFF"/>
        </w:rPr>
        <w:t>ys anything about the land of the enemy</w:t>
      </w:r>
      <w:r w:rsidR="004F72D4">
        <w:rPr>
          <w:rFonts w:cstheme="minorHAnsi"/>
          <w:shd w:val="clear" w:color="auto" w:fill="FFFFFF"/>
        </w:rPr>
        <w:t xml:space="preserve"> he does say that “the possessions of the enemy, too, will be yours” and encourages them to “make spoil of their treasures”</w:t>
      </w:r>
      <w:r w:rsidR="00104F7E">
        <w:rPr>
          <w:rStyle w:val="FootnoteReference"/>
          <w:rFonts w:cstheme="minorHAnsi"/>
          <w:shd w:val="clear" w:color="auto" w:fill="FFFFFF"/>
        </w:rPr>
        <w:footnoteReference w:id="4"/>
      </w:r>
      <w:r w:rsidR="004F72D4">
        <w:rPr>
          <w:rFonts w:cstheme="minorHAnsi"/>
          <w:shd w:val="clear" w:color="auto" w:fill="FFFFFF"/>
        </w:rPr>
        <w:t xml:space="preserve">. </w:t>
      </w:r>
      <w:r w:rsidR="00EA147D">
        <w:rPr>
          <w:rFonts w:cstheme="minorHAnsi"/>
          <w:shd w:val="clear" w:color="auto" w:fill="FFFFFF"/>
        </w:rPr>
        <w:t xml:space="preserve"> Urban II also promised that those who went on Crusade </w:t>
      </w:r>
      <w:r w:rsidR="00EA147D" w:rsidRPr="00EA147D">
        <w:rPr>
          <w:rFonts w:cstheme="minorHAnsi"/>
          <w:shd w:val="clear" w:color="auto" w:fill="FFFFFF"/>
        </w:rPr>
        <w:t>could</w:t>
      </w:r>
      <w:r w:rsidR="00B351AE" w:rsidRPr="00EA147D">
        <w:rPr>
          <w:rFonts w:cstheme="minorHAnsi"/>
          <w:color w:val="000000"/>
        </w:rPr>
        <w:t xml:space="preserve"> </w:t>
      </w:r>
      <w:r w:rsidR="00EA147D" w:rsidRPr="00EA147D">
        <w:rPr>
          <w:rFonts w:cstheme="minorHAnsi"/>
          <w:color w:val="000000"/>
        </w:rPr>
        <w:t>“</w:t>
      </w:r>
      <w:r w:rsidR="00B351AE" w:rsidRPr="00EA147D">
        <w:rPr>
          <w:rFonts w:cstheme="minorHAnsi"/>
          <w:color w:val="000000"/>
        </w:rPr>
        <w:t>rent their lands and collect money for their expenses</w:t>
      </w:r>
      <w:r w:rsidR="00EA147D" w:rsidRPr="00EA147D">
        <w:rPr>
          <w:rFonts w:cstheme="minorHAnsi"/>
          <w:color w:val="000000"/>
        </w:rPr>
        <w:t>”</w:t>
      </w:r>
      <w:r w:rsidR="00104F7E">
        <w:rPr>
          <w:rStyle w:val="FootnoteReference"/>
          <w:rFonts w:cstheme="minorHAnsi"/>
          <w:color w:val="000000"/>
        </w:rPr>
        <w:footnoteReference w:id="5"/>
      </w:r>
      <w:r w:rsidR="00EA147D">
        <w:rPr>
          <w:rFonts w:cstheme="minorHAnsi"/>
          <w:color w:val="000000"/>
        </w:rPr>
        <w:t xml:space="preserve"> and for those lacking </w:t>
      </w:r>
      <w:r w:rsidR="00EA147D" w:rsidRPr="00EA147D">
        <w:rPr>
          <w:rFonts w:cstheme="minorHAnsi"/>
          <w:color w:val="000000"/>
        </w:rPr>
        <w:t>money “</w:t>
      </w:r>
      <w:r w:rsidR="00B351AE" w:rsidRPr="00EA147D">
        <w:rPr>
          <w:rFonts w:cstheme="minorHAnsi"/>
          <w:color w:val="000000"/>
        </w:rPr>
        <w:t>divine mercy will give him enough</w:t>
      </w:r>
      <w:r w:rsidR="00EA147D" w:rsidRPr="00EA147D">
        <w:rPr>
          <w:rFonts w:cstheme="minorHAnsi"/>
          <w:color w:val="000000"/>
        </w:rPr>
        <w:t>”</w:t>
      </w:r>
      <w:r w:rsidR="00104F7E">
        <w:rPr>
          <w:rStyle w:val="FootnoteReference"/>
          <w:rFonts w:cstheme="minorHAnsi"/>
          <w:color w:val="000000"/>
        </w:rPr>
        <w:footnoteReference w:id="6"/>
      </w:r>
      <w:r w:rsidR="00EA147D">
        <w:rPr>
          <w:rFonts w:cstheme="minorHAnsi"/>
          <w:color w:val="000000"/>
        </w:rPr>
        <w:t xml:space="preserve">. </w:t>
      </w:r>
      <w:r w:rsidR="001F0777">
        <w:rPr>
          <w:rFonts w:cstheme="minorHAnsi"/>
          <w:color w:val="000000"/>
        </w:rPr>
        <w:t>There was also a crisis in the “agrarian economy” of south</w:t>
      </w:r>
      <w:r w:rsidR="00B32DDE">
        <w:rPr>
          <w:rFonts w:cstheme="minorHAnsi"/>
          <w:color w:val="000000"/>
        </w:rPr>
        <w:t>ern</w:t>
      </w:r>
      <w:r w:rsidR="001F0777">
        <w:rPr>
          <w:rFonts w:cstheme="minorHAnsi"/>
          <w:color w:val="000000"/>
        </w:rPr>
        <w:t xml:space="preserve"> France and Italy that began in 850 and got steadily worse until around 1000, and basically meant that agricultural production could not keep up with the rising </w:t>
      </w:r>
      <w:r w:rsidR="00EA78C2">
        <w:rPr>
          <w:rStyle w:val="IntenseEmphasis"/>
          <w:i w:val="0"/>
          <w:color w:val="auto"/>
        </w:rPr>
        <w:t>population.</w:t>
      </w:r>
      <w:r w:rsidR="001F0777">
        <w:rPr>
          <w:rStyle w:val="IntenseEmphasis"/>
          <w:i w:val="0"/>
          <w:color w:val="auto"/>
        </w:rPr>
        <w:t xml:space="preserve"> </w:t>
      </w:r>
      <w:r w:rsidR="00EA78C2">
        <w:rPr>
          <w:rStyle w:val="IntenseEmphasis"/>
          <w:i w:val="0"/>
          <w:color w:val="auto"/>
        </w:rPr>
        <w:t xml:space="preserve">In France, because of </w:t>
      </w:r>
      <w:proofErr w:type="spellStart"/>
      <w:r w:rsidR="00EA78C2">
        <w:rPr>
          <w:rStyle w:val="IntenseEmphasis"/>
          <w:i w:val="0"/>
          <w:color w:val="auto"/>
        </w:rPr>
        <w:t>th</w:t>
      </w:r>
      <w:proofErr w:type="spellEnd"/>
    </w:p>
    <w:p w14:paraId="22250D74" w14:textId="51CD4499" w:rsidR="00B26C4A" w:rsidRDefault="00EA78C2" w:rsidP="009B3942">
      <w:pPr>
        <w:rPr>
          <w:rStyle w:val="IntenseEmphasis"/>
          <w:i w:val="0"/>
          <w:color w:val="auto"/>
        </w:rPr>
      </w:pPr>
      <w:r>
        <w:rPr>
          <w:rStyle w:val="IntenseEmphasis"/>
          <w:i w:val="0"/>
          <w:color w:val="auto"/>
        </w:rPr>
        <w:t>ese economic problems, they developed “primogeniture” where the eldest son inherited everything, and any younger sons had to look after themselves. They did this either through joining the Church or signing up to the military careers</w:t>
      </w:r>
      <w:r w:rsidR="005C3495">
        <w:rPr>
          <w:rStyle w:val="IntenseEmphasis"/>
          <w:i w:val="0"/>
          <w:color w:val="auto"/>
        </w:rPr>
        <w:t xml:space="preserve"> available</w:t>
      </w:r>
      <w:r>
        <w:rPr>
          <w:rStyle w:val="IntenseEmphasis"/>
          <w:i w:val="0"/>
          <w:color w:val="auto"/>
        </w:rPr>
        <w:t>. The Crusades became a great “safety valve” for these younger sons, as it offered a real chance for them to become independent</w:t>
      </w:r>
      <w:r w:rsidR="00104F7E">
        <w:rPr>
          <w:rStyle w:val="FootnoteReference"/>
          <w:iCs/>
        </w:rPr>
        <w:footnoteReference w:id="7"/>
      </w:r>
      <w:r w:rsidR="001F0777">
        <w:rPr>
          <w:rStyle w:val="IntenseEmphasis"/>
          <w:i w:val="0"/>
          <w:color w:val="auto"/>
        </w:rPr>
        <w:t xml:space="preserve"> and w</w:t>
      </w:r>
      <w:r>
        <w:rPr>
          <w:rStyle w:val="IntenseEmphasis"/>
          <w:i w:val="0"/>
          <w:color w:val="auto"/>
        </w:rPr>
        <w:t>hile no Knight was bound “by duty” to follow their lord on Crusade, many joined eagerly but expected wages and rations, at least until they reach the “lands of the infidel” and c</w:t>
      </w:r>
      <w:r w:rsidR="005C3495">
        <w:rPr>
          <w:rStyle w:val="IntenseEmphasis"/>
          <w:i w:val="0"/>
          <w:color w:val="auto"/>
        </w:rPr>
        <w:t>ould</w:t>
      </w:r>
      <w:r>
        <w:rPr>
          <w:rStyle w:val="IntenseEmphasis"/>
          <w:i w:val="0"/>
          <w:color w:val="auto"/>
        </w:rPr>
        <w:t xml:space="preserve"> survive off plundering what they </w:t>
      </w:r>
      <w:r>
        <w:rPr>
          <w:rStyle w:val="IntenseEmphasis"/>
          <w:i w:val="0"/>
          <w:color w:val="auto"/>
        </w:rPr>
        <w:lastRenderedPageBreak/>
        <w:t>find.</w:t>
      </w:r>
      <w:r w:rsidR="00104F7E">
        <w:rPr>
          <w:rStyle w:val="FootnoteReference"/>
          <w:iCs/>
        </w:rPr>
        <w:footnoteReference w:id="8"/>
      </w:r>
      <w:r w:rsidR="001F0777">
        <w:rPr>
          <w:rStyle w:val="IntenseEmphasis"/>
          <w:i w:val="0"/>
          <w:color w:val="auto"/>
        </w:rPr>
        <w:t xml:space="preserve"> </w:t>
      </w:r>
      <w:r w:rsidR="00E871FE">
        <w:rPr>
          <w:rStyle w:val="IntenseEmphasis"/>
          <w:i w:val="0"/>
          <w:color w:val="auto"/>
        </w:rPr>
        <w:t xml:space="preserve">The agricultural failure of the time meant that the lowest classes of people were hit really hard, </w:t>
      </w:r>
      <w:proofErr w:type="spellStart"/>
      <w:r w:rsidR="00E871FE">
        <w:rPr>
          <w:rStyle w:val="IntenseEmphasis"/>
          <w:i w:val="0"/>
          <w:color w:val="auto"/>
        </w:rPr>
        <w:t>Coulton</w:t>
      </w:r>
      <w:proofErr w:type="spellEnd"/>
      <w:r w:rsidR="00E871FE">
        <w:rPr>
          <w:rStyle w:val="IntenseEmphasis"/>
          <w:i w:val="0"/>
          <w:color w:val="auto"/>
        </w:rPr>
        <w:t xml:space="preserve"> says that the fact that they were “desperately needy” </w:t>
      </w:r>
      <w:r w:rsidR="00104F7E">
        <w:rPr>
          <w:rStyle w:val="FootnoteReference"/>
          <w:iCs/>
        </w:rPr>
        <w:footnoteReference w:id="9"/>
      </w:r>
      <w:r w:rsidR="00E871FE">
        <w:rPr>
          <w:rStyle w:val="IntenseEmphasis"/>
          <w:i w:val="0"/>
          <w:color w:val="auto"/>
        </w:rPr>
        <w:t xml:space="preserve">directly led to the violence against the Jews, and that an estimated 10,000 Jews were slaughtered by the needy peasants. </w:t>
      </w:r>
      <w:r w:rsidR="001F0777">
        <w:rPr>
          <w:rStyle w:val="IntenseEmphasis"/>
          <w:i w:val="0"/>
          <w:color w:val="auto"/>
        </w:rPr>
        <w:t xml:space="preserve">John Francis Lowe argued that Crusaders remained in the Holy Lands </w:t>
      </w:r>
      <w:r w:rsidR="005C3495">
        <w:rPr>
          <w:rStyle w:val="IntenseEmphasis"/>
          <w:i w:val="0"/>
          <w:color w:val="auto"/>
        </w:rPr>
        <w:t xml:space="preserve">after re-conquering them </w:t>
      </w:r>
      <w:r w:rsidR="001F0777">
        <w:rPr>
          <w:rStyle w:val="IntenseEmphasis"/>
          <w:i w:val="0"/>
          <w:color w:val="auto"/>
        </w:rPr>
        <w:t xml:space="preserve">because they had gained some property and at least a small degree of wealth that needed to be protected and defended, </w:t>
      </w:r>
      <w:r w:rsidR="00E871FE">
        <w:rPr>
          <w:rStyle w:val="IntenseEmphasis"/>
          <w:i w:val="0"/>
          <w:color w:val="auto"/>
        </w:rPr>
        <w:t>as was the case of Baldwin the first Latin King of Jerusalem in 1100.</w:t>
      </w:r>
      <w:r w:rsidR="00104F7E">
        <w:rPr>
          <w:rStyle w:val="FootnoteReference"/>
          <w:iCs/>
        </w:rPr>
        <w:footnoteReference w:id="10"/>
      </w:r>
      <w:r w:rsidR="00E871FE">
        <w:rPr>
          <w:rStyle w:val="IntenseEmphasis"/>
          <w:i w:val="0"/>
          <w:color w:val="auto"/>
        </w:rPr>
        <w:t xml:space="preserve"> </w:t>
      </w:r>
      <w:r w:rsidR="00B26C4A">
        <w:rPr>
          <w:rStyle w:val="IntenseEmphasis"/>
          <w:i w:val="0"/>
          <w:color w:val="auto"/>
        </w:rPr>
        <w:t>It is</w:t>
      </w:r>
      <w:r w:rsidR="00E871FE">
        <w:rPr>
          <w:rStyle w:val="IntenseEmphasis"/>
          <w:i w:val="0"/>
          <w:color w:val="auto"/>
        </w:rPr>
        <w:t xml:space="preserve"> also clear from above, Europe was struggling to create the food to sustain the population, so it made sense for people to remain outside of Europe.</w:t>
      </w:r>
    </w:p>
    <w:p w14:paraId="35A8974F" w14:textId="7FDE9612" w:rsidR="00C70DC9" w:rsidRPr="00B26C4A" w:rsidRDefault="00B32DDE" w:rsidP="009B3942">
      <w:pPr>
        <w:rPr>
          <w:rStyle w:val="IntenseEmphasis"/>
          <w:i w:val="0"/>
          <w:color w:val="auto"/>
        </w:rPr>
      </w:pPr>
      <w:r>
        <w:rPr>
          <w:rStyle w:val="IntenseEmphasis"/>
          <w:i w:val="0"/>
          <w:color w:val="auto"/>
        </w:rPr>
        <w:t>However,</w:t>
      </w:r>
      <w:r w:rsidR="0096059F">
        <w:rPr>
          <w:rStyle w:val="IntenseEmphasis"/>
          <w:i w:val="0"/>
          <w:color w:val="auto"/>
        </w:rPr>
        <w:t xml:space="preserve"> </w:t>
      </w:r>
      <w:r w:rsidR="00D90806">
        <w:rPr>
          <w:rStyle w:val="IntenseEmphasis"/>
          <w:i w:val="0"/>
          <w:color w:val="auto"/>
        </w:rPr>
        <w:t xml:space="preserve">Erdmann states that the Crusades were a </w:t>
      </w:r>
      <w:r w:rsidR="002E2359">
        <w:rPr>
          <w:rStyle w:val="IntenseEmphasis"/>
          <w:i w:val="0"/>
          <w:color w:val="auto"/>
        </w:rPr>
        <w:t>‘</w:t>
      </w:r>
      <w:r w:rsidR="00D90806">
        <w:rPr>
          <w:rStyle w:val="IntenseEmphasis"/>
          <w:i w:val="0"/>
          <w:color w:val="auto"/>
        </w:rPr>
        <w:t>Holy War</w:t>
      </w:r>
      <w:r w:rsidR="002E2359">
        <w:rPr>
          <w:rStyle w:val="IntenseEmphasis"/>
          <w:i w:val="0"/>
          <w:color w:val="auto"/>
        </w:rPr>
        <w:t>’</w:t>
      </w:r>
      <w:r w:rsidR="00D90806">
        <w:rPr>
          <w:rStyle w:val="IntenseEmphasis"/>
          <w:i w:val="0"/>
          <w:color w:val="auto"/>
        </w:rPr>
        <w:t xml:space="preserve"> and that Holy Wars can be defined as “any war that is regarded as a religious act”</w:t>
      </w:r>
      <w:r>
        <w:rPr>
          <w:rStyle w:val="IntenseEmphasis"/>
          <w:i w:val="0"/>
          <w:color w:val="auto"/>
        </w:rPr>
        <w:t xml:space="preserve"> rather than </w:t>
      </w:r>
      <w:r w:rsidR="005C3495">
        <w:rPr>
          <w:rStyle w:val="IntenseEmphasis"/>
          <w:i w:val="0"/>
          <w:color w:val="auto"/>
        </w:rPr>
        <w:t xml:space="preserve">an act of </w:t>
      </w:r>
      <w:r>
        <w:rPr>
          <w:rStyle w:val="IntenseEmphasis"/>
          <w:i w:val="0"/>
          <w:color w:val="auto"/>
        </w:rPr>
        <w:t>the greed of man</w:t>
      </w:r>
      <w:r w:rsidR="00267DE1">
        <w:rPr>
          <w:rStyle w:val="IntenseEmphasis"/>
          <w:i w:val="0"/>
          <w:color w:val="auto"/>
        </w:rPr>
        <w:t>.</w:t>
      </w:r>
      <w:r w:rsidR="00BA7CE5">
        <w:rPr>
          <w:rStyle w:val="FootnoteReference"/>
          <w:iCs/>
        </w:rPr>
        <w:footnoteReference w:id="11"/>
      </w:r>
      <w:r w:rsidR="00D90806">
        <w:rPr>
          <w:rStyle w:val="IntenseEmphasis"/>
          <w:i w:val="0"/>
          <w:color w:val="auto"/>
        </w:rPr>
        <w:t xml:space="preserve"> </w:t>
      </w:r>
      <w:r w:rsidR="00267DE1">
        <w:rPr>
          <w:rStyle w:val="IntenseEmphasis"/>
          <w:i w:val="0"/>
          <w:color w:val="auto"/>
        </w:rPr>
        <w:t xml:space="preserve">According to some Historians one of the major catalysts of the first Crusade was Pope Urban II’s speech at Claremont </w:t>
      </w:r>
      <w:r w:rsidR="0007602C">
        <w:rPr>
          <w:rStyle w:val="IntenseEmphasis"/>
          <w:i w:val="0"/>
          <w:color w:val="auto"/>
        </w:rPr>
        <w:t xml:space="preserve">in </w:t>
      </w:r>
      <w:r w:rsidR="002E2359">
        <w:rPr>
          <w:rStyle w:val="IntenseEmphasis"/>
          <w:i w:val="0"/>
          <w:color w:val="auto"/>
        </w:rPr>
        <w:t xml:space="preserve">1095 where he said </w:t>
      </w:r>
      <w:r w:rsidR="00F27E87">
        <w:rPr>
          <w:rStyle w:val="IntenseEmphasis"/>
          <w:i w:val="0"/>
          <w:color w:val="auto"/>
        </w:rPr>
        <w:t>that anyone who claimed to love God, and the “shrines which are the marks of His footprints on Earth”, and anyone who wishes to follow God into Heaven needed</w:t>
      </w:r>
      <w:r w:rsidR="00B05668">
        <w:rPr>
          <w:rStyle w:val="IntenseEmphasis"/>
          <w:i w:val="0"/>
          <w:color w:val="auto"/>
        </w:rPr>
        <w:t xml:space="preserve"> to</w:t>
      </w:r>
      <w:r w:rsidR="00F27E87">
        <w:rPr>
          <w:rStyle w:val="IntenseEmphasis"/>
          <w:i w:val="0"/>
          <w:color w:val="auto"/>
        </w:rPr>
        <w:t xml:space="preserve"> “strive with their utmost efforts to cleans the Holy city” from the pollution from those who had invaded.</w:t>
      </w:r>
      <w:r w:rsidR="00BA7CE5">
        <w:rPr>
          <w:rStyle w:val="FootnoteReference"/>
          <w:iCs/>
        </w:rPr>
        <w:footnoteReference w:id="12"/>
      </w:r>
      <w:r w:rsidR="00F27E87">
        <w:rPr>
          <w:rStyle w:val="IntenseEmphasis"/>
          <w:i w:val="0"/>
          <w:color w:val="auto"/>
        </w:rPr>
        <w:t xml:space="preserve"> This is important because not only is Urban insinuating that those who do not </w:t>
      </w:r>
      <w:r w:rsidR="00715C17">
        <w:rPr>
          <w:rStyle w:val="IntenseEmphasis"/>
          <w:i w:val="0"/>
          <w:color w:val="auto"/>
        </w:rPr>
        <w:t>at least whole heartedly attempt to cleans Jerusalem will find it difficult to advance to Heaven</w:t>
      </w:r>
      <w:r w:rsidR="002B0CD6">
        <w:rPr>
          <w:rStyle w:val="IntenseEmphasis"/>
          <w:i w:val="0"/>
          <w:color w:val="auto"/>
        </w:rPr>
        <w:t xml:space="preserve"> after death</w:t>
      </w:r>
      <w:r w:rsidR="00715C17">
        <w:rPr>
          <w:rStyle w:val="IntenseEmphasis"/>
          <w:i w:val="0"/>
          <w:color w:val="auto"/>
        </w:rPr>
        <w:t>, but it</w:t>
      </w:r>
      <w:r w:rsidR="00B26C4A">
        <w:rPr>
          <w:rStyle w:val="IntenseEmphasis"/>
          <w:i w:val="0"/>
          <w:color w:val="auto"/>
        </w:rPr>
        <w:t xml:space="preserve"> i</w:t>
      </w:r>
      <w:r w:rsidR="00715C17">
        <w:rPr>
          <w:rStyle w:val="IntenseEmphasis"/>
          <w:i w:val="0"/>
          <w:color w:val="auto"/>
        </w:rPr>
        <w:t xml:space="preserve">s coming from the mouth of the Pope. The Pope has always acted as God’s representative on Earth, the Vicar of Christ, and also the direct successor of Jesus’ friend </w:t>
      </w:r>
      <w:r w:rsidR="002B0CD6">
        <w:rPr>
          <w:rStyle w:val="IntenseEmphasis"/>
          <w:i w:val="0"/>
          <w:color w:val="auto"/>
        </w:rPr>
        <w:t>and the ‘Prince of the Apostles’ Simon Peter</w:t>
      </w:r>
      <w:r w:rsidR="00715C17">
        <w:rPr>
          <w:rStyle w:val="IntenseEmphasis"/>
          <w:i w:val="0"/>
          <w:color w:val="auto"/>
        </w:rPr>
        <w:t xml:space="preserve"> – therefore, in this time, most Catholics would adhere to his every word as everything he says is the direct word of God so, the Pope advocating for a Holy War against the Turks residing in Jerusalem would have been a major </w:t>
      </w:r>
      <w:r w:rsidR="007C15DF">
        <w:rPr>
          <w:rStyle w:val="IntenseEmphasis"/>
          <w:i w:val="0"/>
          <w:color w:val="auto"/>
        </w:rPr>
        <w:t>motivation for people to join the Crusades. Especially considering at this time every person was fixated on getting into Heaven upon their deaths, according the British Library the “very purpose” of an entire life was to prepare for the afterlife. This was done through avoiding sins (and confessing those committed and begging for forgiveness), preforming ‘good works’, participating in the Sacraments of the Church and following its teachings and the scriptures, people during this period also believed that those who were guilty of committing mortal sins were sentenced to eternal life in Hell and Paradise, or eternal life with God</w:t>
      </w:r>
      <w:r w:rsidR="002B0CD6">
        <w:rPr>
          <w:rStyle w:val="IntenseEmphasis"/>
          <w:i w:val="0"/>
          <w:color w:val="auto"/>
        </w:rPr>
        <w:t>,</w:t>
      </w:r>
      <w:r w:rsidR="007C15DF">
        <w:rPr>
          <w:rStyle w:val="IntenseEmphasis"/>
          <w:i w:val="0"/>
          <w:color w:val="auto"/>
        </w:rPr>
        <w:t xml:space="preserve"> was the reward for those who abstained.</w:t>
      </w:r>
      <w:r w:rsidR="00BA7CE5">
        <w:rPr>
          <w:rStyle w:val="FootnoteReference"/>
          <w:iCs/>
        </w:rPr>
        <w:footnoteReference w:id="13"/>
      </w:r>
      <w:r w:rsidR="002B0CD6">
        <w:rPr>
          <w:rStyle w:val="IntenseEmphasis"/>
          <w:i w:val="0"/>
          <w:color w:val="auto"/>
        </w:rPr>
        <w:t xml:space="preserve">  People wanted to get into Heaven and following the words of the Church, Pope and God and abstaining from sin was one way to do this, another was to do good deeds to make up for the sins – such as going to war in God’s name to defend his religion</w:t>
      </w:r>
      <w:r w:rsidR="005C3495">
        <w:rPr>
          <w:rStyle w:val="IntenseEmphasis"/>
          <w:i w:val="0"/>
          <w:color w:val="auto"/>
        </w:rPr>
        <w:t xml:space="preserve"> and his people.</w:t>
      </w:r>
      <w:r w:rsidR="002B0CD6">
        <w:rPr>
          <w:rStyle w:val="IntenseEmphasis"/>
          <w:i w:val="0"/>
          <w:color w:val="auto"/>
        </w:rPr>
        <w:t xml:space="preserve"> Also, earlier, </w:t>
      </w:r>
      <w:r w:rsidR="00B05668">
        <w:rPr>
          <w:rStyle w:val="IntenseEmphasis"/>
          <w:i w:val="0"/>
          <w:color w:val="auto"/>
        </w:rPr>
        <w:t xml:space="preserve">Pope John VIII made a speech that shows that many people in 878 expressed interest in whether those who died fighting to defend the </w:t>
      </w:r>
      <w:r w:rsidR="002B0CD6">
        <w:rPr>
          <w:rStyle w:val="IntenseEmphasis"/>
          <w:i w:val="0"/>
          <w:color w:val="auto"/>
        </w:rPr>
        <w:t xml:space="preserve">Catholic </w:t>
      </w:r>
      <w:r w:rsidR="00B05668">
        <w:rPr>
          <w:rStyle w:val="IntenseEmphasis"/>
          <w:i w:val="0"/>
          <w:color w:val="auto"/>
        </w:rPr>
        <w:t xml:space="preserve">Church would receive indulgences for their past sins. To which he replied – </w:t>
      </w:r>
      <w:r w:rsidR="00B05668" w:rsidRPr="00B05668">
        <w:rPr>
          <w:rStyle w:val="IntenseEmphasis"/>
          <w:rFonts w:cstheme="minorHAnsi"/>
          <w:i w:val="0"/>
          <w:color w:val="auto"/>
        </w:rPr>
        <w:t>“</w:t>
      </w:r>
      <w:r w:rsidR="00B05668" w:rsidRPr="00B05668">
        <w:rPr>
          <w:rFonts w:eastAsia="Times New Roman" w:cstheme="minorHAnsi"/>
          <w:lang w:eastAsia="en-GB"/>
        </w:rPr>
        <w:t>those who, out of love to the Christian religion, shall die in battle fighting bravely against pagans or unbelievers, shall receive eternal life.”</w:t>
      </w:r>
      <w:r w:rsidR="00BA7CE5">
        <w:rPr>
          <w:rStyle w:val="FootnoteReference"/>
          <w:rFonts w:eastAsia="Times New Roman" w:cstheme="minorHAnsi"/>
          <w:lang w:eastAsia="en-GB"/>
        </w:rPr>
        <w:footnoteReference w:id="14"/>
      </w:r>
      <w:r w:rsidR="002B0CD6">
        <w:rPr>
          <w:rFonts w:eastAsia="Times New Roman" w:cstheme="minorHAnsi"/>
          <w:lang w:eastAsia="en-GB"/>
        </w:rPr>
        <w:t xml:space="preserve"> </w:t>
      </w:r>
      <w:r w:rsidR="00831B81">
        <w:rPr>
          <w:rFonts w:eastAsia="Times New Roman" w:cstheme="minorHAnsi"/>
          <w:lang w:eastAsia="en-GB"/>
        </w:rPr>
        <w:lastRenderedPageBreak/>
        <w:t>It is also impossible to ignore the impact of Peter the Hermit who was arguably the most successful of the preachers after Clermont and was so inspirational that thousands took the cross, and even took the hairs off his mule to keep as Holy relics</w:t>
      </w:r>
      <w:r w:rsidR="00E871FE">
        <w:rPr>
          <w:rFonts w:eastAsia="Times New Roman" w:cstheme="minorHAnsi"/>
          <w:lang w:eastAsia="en-GB"/>
        </w:rPr>
        <w:t>, he is also, of course, the leader of the People’s Crusade – or the first wave of the first crusade.</w:t>
      </w:r>
      <w:r w:rsidR="00BA7CE5">
        <w:rPr>
          <w:rStyle w:val="FootnoteReference"/>
          <w:rFonts w:eastAsia="Times New Roman" w:cstheme="minorHAnsi"/>
          <w:lang w:eastAsia="en-GB"/>
        </w:rPr>
        <w:footnoteReference w:id="15"/>
      </w:r>
    </w:p>
    <w:p w14:paraId="5DE24C83" w14:textId="55AA7F6E" w:rsidR="00C70DC9" w:rsidRDefault="00C70DC9" w:rsidP="009B3942">
      <w:pPr>
        <w:rPr>
          <w:rStyle w:val="IntenseEmphasis"/>
          <w:i w:val="0"/>
          <w:color w:val="auto"/>
        </w:rPr>
      </w:pPr>
      <w:commentRangeStart w:id="7"/>
      <w:r>
        <w:rPr>
          <w:noProof/>
        </w:rPr>
        <w:drawing>
          <wp:inline distT="0" distB="0" distL="0" distR="0" wp14:anchorId="4ED91BBD" wp14:editId="7D878803">
            <wp:extent cx="5731510" cy="3569335"/>
            <wp:effectExtent l="0" t="0" r="254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0940" b="46410"/>
                    <a:stretch/>
                  </pic:blipFill>
                  <pic:spPr bwMode="auto">
                    <a:xfrm>
                      <a:off x="0" y="0"/>
                      <a:ext cx="5731510" cy="3569335"/>
                    </a:xfrm>
                    <a:prstGeom prst="rect">
                      <a:avLst/>
                    </a:prstGeom>
                    <a:noFill/>
                    <a:ln>
                      <a:noFill/>
                    </a:ln>
                    <a:extLst/>
                  </pic:spPr>
                </pic:pic>
              </a:graphicData>
            </a:graphic>
          </wp:inline>
        </w:drawing>
      </w:r>
      <w:commentRangeEnd w:id="7"/>
      <w:r w:rsidR="00BD7221">
        <w:rPr>
          <w:rStyle w:val="CommentReference"/>
        </w:rPr>
        <w:commentReference w:id="7"/>
      </w:r>
      <w:r w:rsidR="00BA7CE5">
        <w:rPr>
          <w:rStyle w:val="FootnoteReference"/>
          <w:iCs/>
        </w:rPr>
        <w:footnoteReference w:id="16"/>
      </w:r>
    </w:p>
    <w:p w14:paraId="717D0603" w14:textId="79A123E5" w:rsidR="00435163" w:rsidRDefault="005C0C34" w:rsidP="009B3942">
      <w:pPr>
        <w:rPr>
          <w:rStyle w:val="IntenseEmphasis"/>
          <w:i w:val="0"/>
          <w:color w:val="auto"/>
        </w:rPr>
      </w:pPr>
      <w:r>
        <w:rPr>
          <w:rStyle w:val="IntenseEmphasis"/>
          <w:i w:val="0"/>
          <w:color w:val="auto"/>
        </w:rPr>
        <w:t xml:space="preserve">The above photo is of a miniature in three parts, the first depicting the Saracens viciously attacking </w:t>
      </w:r>
      <w:r w:rsidR="00C70DC9">
        <w:rPr>
          <w:rStyle w:val="IntenseEmphasis"/>
          <w:i w:val="0"/>
          <w:color w:val="auto"/>
        </w:rPr>
        <w:t xml:space="preserve">and killing </w:t>
      </w:r>
      <w:r>
        <w:rPr>
          <w:rStyle w:val="IntenseEmphasis"/>
          <w:i w:val="0"/>
          <w:color w:val="auto"/>
        </w:rPr>
        <w:t xml:space="preserve">the Christian residents </w:t>
      </w:r>
      <w:r w:rsidR="00C70DC9">
        <w:rPr>
          <w:rStyle w:val="IntenseEmphasis"/>
          <w:i w:val="0"/>
          <w:color w:val="auto"/>
        </w:rPr>
        <w:t xml:space="preserve">of, </w:t>
      </w:r>
      <w:r>
        <w:rPr>
          <w:rStyle w:val="IntenseEmphasis"/>
          <w:i w:val="0"/>
          <w:color w:val="auto"/>
        </w:rPr>
        <w:t>and those on Pilgrimage to Jerusalem</w:t>
      </w:r>
      <w:r w:rsidR="00C70DC9">
        <w:rPr>
          <w:rStyle w:val="IntenseEmphasis"/>
          <w:i w:val="0"/>
          <w:color w:val="auto"/>
        </w:rPr>
        <w:t>. The second part depicts the Patriarch of Jerusalem asking Constantine for assistance to defeat said Saracens, and the third is Constantine sending envoys to</w:t>
      </w:r>
      <w:r w:rsidR="005C3495">
        <w:rPr>
          <w:rStyle w:val="IntenseEmphasis"/>
          <w:i w:val="0"/>
          <w:color w:val="auto"/>
        </w:rPr>
        <w:t xml:space="preserve"> Emperor</w:t>
      </w:r>
      <w:r w:rsidR="00C70DC9">
        <w:rPr>
          <w:rStyle w:val="IntenseEmphasis"/>
          <w:i w:val="0"/>
          <w:color w:val="auto"/>
        </w:rPr>
        <w:t xml:space="preserve"> Charlemagne. This picture provides evidence that a possible motive for people to go on Crusade was to defend their Holy Land, and their Christian Brethren.</w:t>
      </w:r>
      <w:r w:rsidR="002C4C11">
        <w:rPr>
          <w:rStyle w:val="IntenseEmphasis"/>
          <w:i w:val="0"/>
          <w:color w:val="auto"/>
        </w:rPr>
        <w:t xml:space="preserve"> To further support this possible motive is Gregory </w:t>
      </w:r>
      <w:proofErr w:type="spellStart"/>
      <w:r w:rsidR="002C4C11">
        <w:rPr>
          <w:rStyle w:val="IntenseEmphasis"/>
          <w:i w:val="0"/>
          <w:color w:val="auto"/>
        </w:rPr>
        <w:t>VII</w:t>
      </w:r>
      <w:r w:rsidR="005C3495">
        <w:rPr>
          <w:rStyle w:val="IntenseEmphasis"/>
          <w:i w:val="0"/>
          <w:color w:val="auto"/>
        </w:rPr>
        <w:t>,a</w:t>
      </w:r>
      <w:proofErr w:type="spellEnd"/>
      <w:r w:rsidR="005C3495">
        <w:rPr>
          <w:rStyle w:val="IntenseEmphasis"/>
          <w:i w:val="0"/>
          <w:color w:val="auto"/>
        </w:rPr>
        <w:t xml:space="preserve"> </w:t>
      </w:r>
      <w:r w:rsidR="002C4C11">
        <w:rPr>
          <w:rStyle w:val="IntenseEmphasis"/>
          <w:i w:val="0"/>
          <w:color w:val="auto"/>
        </w:rPr>
        <w:t>Bishop</w:t>
      </w:r>
      <w:r w:rsidR="005C3495">
        <w:rPr>
          <w:rStyle w:val="IntenseEmphasis"/>
          <w:i w:val="0"/>
          <w:color w:val="auto"/>
        </w:rPr>
        <w:t>’</w:t>
      </w:r>
      <w:r w:rsidR="002C4C11">
        <w:rPr>
          <w:rStyle w:val="IntenseEmphasis"/>
          <w:i w:val="0"/>
          <w:color w:val="auto"/>
        </w:rPr>
        <w:t>s</w:t>
      </w:r>
      <w:r w:rsidR="005C3495">
        <w:rPr>
          <w:rStyle w:val="IntenseEmphasis"/>
          <w:i w:val="0"/>
          <w:color w:val="auto"/>
        </w:rPr>
        <w:t>,</w:t>
      </w:r>
      <w:r w:rsidR="002C4C11">
        <w:rPr>
          <w:rStyle w:val="IntenseEmphasis"/>
          <w:i w:val="0"/>
          <w:color w:val="auto"/>
        </w:rPr>
        <w:t xml:space="preserve"> Call for a Crusade in 1074, which was issued three years after the battle of Manzikert, in which the Byzantine Empire lost control of their hold in Asia Minor and, according to J.J. Saunders, in turn </w:t>
      </w:r>
      <w:r w:rsidR="002C4C11" w:rsidRPr="002C4C11">
        <w:rPr>
          <w:rStyle w:val="IntenseEmphasis"/>
          <w:rFonts w:cstheme="minorHAnsi"/>
          <w:i w:val="0"/>
          <w:color w:val="auto"/>
        </w:rPr>
        <w:t>“</w:t>
      </w:r>
      <w:r w:rsidR="002C4C11" w:rsidRPr="002C4C11">
        <w:rPr>
          <w:rFonts w:cstheme="minorHAnsi"/>
          <w:color w:val="000000"/>
        </w:rPr>
        <w:t>faced total ruin, and appeals for help to the Pope and the Latin world went out from Constantinople which produced twenty-five years after Manzikert the preaching of the First Crusade.”</w:t>
      </w:r>
      <w:r w:rsidR="00BA7CE5">
        <w:rPr>
          <w:rStyle w:val="FootnoteReference"/>
          <w:rFonts w:cstheme="minorHAnsi"/>
          <w:color w:val="000000"/>
        </w:rPr>
        <w:footnoteReference w:id="17"/>
      </w:r>
      <w:r w:rsidR="002C4C11">
        <w:rPr>
          <w:rFonts w:cstheme="minorHAnsi"/>
          <w:color w:val="000000"/>
        </w:rPr>
        <w:t xml:space="preserve"> Gregory’s writing in 1074 </w:t>
      </w:r>
      <w:r w:rsidR="00BD7221">
        <w:rPr>
          <w:rFonts w:cstheme="minorHAnsi"/>
          <w:color w:val="000000"/>
        </w:rPr>
        <w:t>contains explicit details of the “horrible cruelty” and the “tyrannical violence” the “Pagan race” was subjecting the Christians in their newly conquered land and beseeches the Christians to “undertake the difficult task of bearing aid to your brethren”</w:t>
      </w:r>
      <w:r w:rsidR="00BA7CE5">
        <w:rPr>
          <w:rStyle w:val="FootnoteReference"/>
          <w:rFonts w:cstheme="minorHAnsi"/>
          <w:color w:val="000000"/>
        </w:rPr>
        <w:footnoteReference w:id="18"/>
      </w:r>
      <w:r w:rsidR="00BD7221">
        <w:rPr>
          <w:rStyle w:val="IntenseEmphasis"/>
          <w:i w:val="0"/>
          <w:color w:val="auto"/>
        </w:rPr>
        <w:t xml:space="preserve"> it is said that when Urban II made his speech in 1095 he had nothing more in mind than what Gregory VII did when he called for Crusade and that the situation hadn’t much </w:t>
      </w:r>
      <w:r w:rsidR="00BD7221">
        <w:rPr>
          <w:rStyle w:val="IntenseEmphasis"/>
          <w:i w:val="0"/>
          <w:color w:val="auto"/>
        </w:rPr>
        <w:lastRenderedPageBreak/>
        <w:t>changed in between these calls.</w:t>
      </w:r>
      <w:r w:rsidR="0092697A">
        <w:rPr>
          <w:rStyle w:val="IntenseEmphasis"/>
          <w:i w:val="0"/>
          <w:color w:val="auto"/>
        </w:rPr>
        <w:t xml:space="preserve"> Thomas Fuller summed this up in one sentence “religion </w:t>
      </w:r>
      <w:proofErr w:type="spellStart"/>
      <w:r w:rsidR="0092697A">
        <w:rPr>
          <w:rStyle w:val="IntenseEmphasis"/>
          <w:i w:val="0"/>
          <w:color w:val="auto"/>
        </w:rPr>
        <w:t>bindeth</w:t>
      </w:r>
      <w:proofErr w:type="spellEnd"/>
      <w:r w:rsidR="0092697A">
        <w:rPr>
          <w:rStyle w:val="IntenseEmphasis"/>
          <w:i w:val="0"/>
          <w:color w:val="auto"/>
        </w:rPr>
        <w:t xml:space="preserve"> men to relieve their brethren in </w:t>
      </w:r>
      <w:proofErr w:type="spellStart"/>
      <w:r w:rsidR="0092697A">
        <w:rPr>
          <w:rStyle w:val="IntenseEmphasis"/>
          <w:i w:val="0"/>
          <w:color w:val="auto"/>
        </w:rPr>
        <w:t>distresse</w:t>
      </w:r>
      <w:proofErr w:type="spellEnd"/>
      <w:r w:rsidR="0092697A">
        <w:rPr>
          <w:rStyle w:val="IntenseEmphasis"/>
          <w:i w:val="0"/>
          <w:color w:val="auto"/>
        </w:rPr>
        <w:t>”</w:t>
      </w:r>
      <w:r w:rsidR="00BA7CE5">
        <w:rPr>
          <w:rStyle w:val="FootnoteReference"/>
          <w:iCs/>
        </w:rPr>
        <w:footnoteReference w:id="19"/>
      </w:r>
      <w:r w:rsidR="0092697A">
        <w:rPr>
          <w:rStyle w:val="IntenseEmphasis"/>
          <w:i w:val="0"/>
          <w:color w:val="auto"/>
        </w:rPr>
        <w:t xml:space="preserve"> </w:t>
      </w:r>
    </w:p>
    <w:p w14:paraId="73F98147" w14:textId="49DC2156" w:rsidR="00B26C4A" w:rsidRDefault="00B26C4A" w:rsidP="00B26C4A">
      <w:pPr>
        <w:rPr>
          <w:rStyle w:val="IntenseEmphasis"/>
          <w:i w:val="0"/>
          <w:color w:val="auto"/>
        </w:rPr>
      </w:pPr>
      <w:r>
        <w:rPr>
          <w:rStyle w:val="IntenseEmphasis"/>
          <w:i w:val="0"/>
          <w:color w:val="auto"/>
        </w:rPr>
        <w:t xml:space="preserve">Peoples argues that the Crusades were one of the most transformative series of events in all of European history, but that Crusaders didn’t sign up with the same motives in mind, some joined </w:t>
      </w:r>
      <w:r w:rsidR="005C2F2D">
        <w:rPr>
          <w:rStyle w:val="IntenseEmphasis"/>
          <w:i w:val="0"/>
          <w:color w:val="auto"/>
        </w:rPr>
        <w:t xml:space="preserve">because it was a </w:t>
      </w:r>
      <w:r w:rsidR="00E71583">
        <w:rPr>
          <w:rStyle w:val="IntenseEmphasis"/>
          <w:i w:val="0"/>
          <w:color w:val="auto"/>
        </w:rPr>
        <w:t>‘</w:t>
      </w:r>
      <w:r w:rsidR="005C2F2D">
        <w:rPr>
          <w:rStyle w:val="IntenseEmphasis"/>
          <w:i w:val="0"/>
          <w:color w:val="auto"/>
        </w:rPr>
        <w:t>Holy war</w:t>
      </w:r>
      <w:r w:rsidR="00E71583">
        <w:rPr>
          <w:rStyle w:val="IntenseEmphasis"/>
          <w:i w:val="0"/>
          <w:color w:val="auto"/>
        </w:rPr>
        <w:t>’</w:t>
      </w:r>
      <w:r w:rsidR="005C2F2D">
        <w:rPr>
          <w:rStyle w:val="IntenseEmphasis"/>
          <w:i w:val="0"/>
          <w:color w:val="auto"/>
        </w:rPr>
        <w:t>, others just for the opportunities that arose, and some for the sheer adventure of it all For example, William IX, Duke of Aquitaine, is believed to have gone purely for an adventure.</w:t>
      </w:r>
      <w:r w:rsidR="00BA7CE5">
        <w:rPr>
          <w:rStyle w:val="FootnoteReference"/>
          <w:iCs/>
        </w:rPr>
        <w:footnoteReference w:id="20"/>
      </w:r>
      <w:r w:rsidR="005C2F2D">
        <w:rPr>
          <w:rStyle w:val="IntenseEmphasis"/>
          <w:i w:val="0"/>
          <w:color w:val="auto"/>
        </w:rPr>
        <w:t xml:space="preserve"> </w:t>
      </w:r>
      <w:r w:rsidR="001144A6">
        <w:rPr>
          <w:rStyle w:val="IntenseEmphasis"/>
          <w:i w:val="0"/>
          <w:color w:val="auto"/>
        </w:rPr>
        <w:t>It was also believed that all Europeans were gifted with a “sense of adventure”</w:t>
      </w:r>
      <w:r w:rsidR="00BA7CE5">
        <w:rPr>
          <w:rStyle w:val="FootnoteReference"/>
          <w:iCs/>
        </w:rPr>
        <w:footnoteReference w:id="21"/>
      </w:r>
      <w:r w:rsidR="001144A6">
        <w:rPr>
          <w:rStyle w:val="IntenseEmphasis"/>
          <w:i w:val="0"/>
          <w:color w:val="auto"/>
        </w:rPr>
        <w:t xml:space="preserve"> but it is important to remember that </w:t>
      </w:r>
      <w:r>
        <w:rPr>
          <w:rStyle w:val="IntenseEmphasis"/>
          <w:i w:val="0"/>
          <w:color w:val="auto"/>
        </w:rPr>
        <w:t>“love of adventure, lust for booty – these are the characteristics of individuals”</w:t>
      </w:r>
      <w:r w:rsidR="00BA7CE5">
        <w:rPr>
          <w:rStyle w:val="FootnoteReference"/>
          <w:iCs/>
        </w:rPr>
        <w:footnoteReference w:id="22"/>
      </w:r>
    </w:p>
    <w:p w14:paraId="4D6BD0C4" w14:textId="34824C26" w:rsidR="00B26C4A" w:rsidRDefault="008011F8" w:rsidP="008011F8">
      <w:pPr>
        <w:rPr>
          <w:rStyle w:val="IntenseEmphasis"/>
          <w:i w:val="0"/>
          <w:color w:val="auto"/>
        </w:rPr>
      </w:pPr>
      <w:r>
        <w:rPr>
          <w:rStyle w:val="IntenseEmphasis"/>
          <w:i w:val="0"/>
          <w:color w:val="auto"/>
        </w:rPr>
        <w:t>As mentioned above parts of Europe had suffered a terrible agricultural season, and there wasn’t enough food to feed people, the situation became so dire that the “poor folk must march or starve”</w:t>
      </w:r>
      <w:r w:rsidR="00AB02E9">
        <w:rPr>
          <w:rStyle w:val="FootnoteReference"/>
          <w:iCs/>
        </w:rPr>
        <w:footnoteReference w:id="23"/>
      </w:r>
      <w:r>
        <w:rPr>
          <w:rStyle w:val="IntenseEmphasis"/>
          <w:i w:val="0"/>
          <w:color w:val="auto"/>
        </w:rPr>
        <w:t xml:space="preserve">. So perhaps at least some of the poor people of Europe had no motive other than economic reward, but not for greed, just for basic survival. While others, like </w:t>
      </w:r>
      <w:proofErr w:type="spellStart"/>
      <w:r>
        <w:rPr>
          <w:rStyle w:val="IntenseEmphasis"/>
          <w:i w:val="0"/>
          <w:color w:val="auto"/>
        </w:rPr>
        <w:t>Emico</w:t>
      </w:r>
      <w:proofErr w:type="spellEnd"/>
      <w:r>
        <w:rPr>
          <w:rStyle w:val="IntenseEmphasis"/>
          <w:i w:val="0"/>
          <w:color w:val="auto"/>
        </w:rPr>
        <w:t xml:space="preserve"> of </w:t>
      </w:r>
      <w:proofErr w:type="spellStart"/>
      <w:r w:rsidRPr="00791330">
        <w:rPr>
          <w:rFonts w:cstheme="minorHAnsi"/>
          <w:shd w:val="clear" w:color="auto" w:fill="FFFFFF"/>
        </w:rPr>
        <w:t>Leininge</w:t>
      </w:r>
      <w:r>
        <w:rPr>
          <w:rFonts w:cstheme="minorHAnsi"/>
          <w:shd w:val="clear" w:color="auto" w:fill="FFFFFF"/>
        </w:rPr>
        <w:t>n</w:t>
      </w:r>
      <w:proofErr w:type="spellEnd"/>
      <w:r>
        <w:rPr>
          <w:rFonts w:cstheme="minorHAnsi"/>
          <w:shd w:val="clear" w:color="auto" w:fill="FFFFFF"/>
        </w:rPr>
        <w:t>, and those who ransacked and pillaged whatever they could get their hands on</w:t>
      </w:r>
      <w:r w:rsidR="00831B81">
        <w:rPr>
          <w:rFonts w:cstheme="minorHAnsi"/>
          <w:shd w:val="clear" w:color="auto" w:fill="FFFFFF"/>
        </w:rPr>
        <w:t xml:space="preserve"> were motivated by nothing other than personal greed</w:t>
      </w:r>
      <w:r>
        <w:rPr>
          <w:rFonts w:cstheme="minorHAnsi"/>
          <w:shd w:val="clear" w:color="auto" w:fill="FFFFFF"/>
        </w:rPr>
        <w:t>. However, it is impossible to deny that religion played a part. At this period of history religion would most probably have been the single most important thing to a person, the need to get them and their loved ones into Heaven in the afterlife</w:t>
      </w:r>
      <w:r w:rsidR="00831B81">
        <w:rPr>
          <w:rFonts w:cstheme="minorHAnsi"/>
          <w:shd w:val="clear" w:color="auto" w:fill="FFFFFF"/>
        </w:rPr>
        <w:t xml:space="preserve"> would have been of utmost importance</w:t>
      </w:r>
      <w:r>
        <w:rPr>
          <w:rFonts w:cstheme="minorHAnsi"/>
          <w:shd w:val="clear" w:color="auto" w:fill="FFFFFF"/>
        </w:rPr>
        <w:t xml:space="preserve">. In </w:t>
      </w:r>
      <w:r w:rsidR="00831B81">
        <w:rPr>
          <w:rFonts w:cstheme="minorHAnsi"/>
          <w:shd w:val="clear" w:color="auto" w:fill="FFFFFF"/>
        </w:rPr>
        <w:t>fact,</w:t>
      </w:r>
      <w:r>
        <w:rPr>
          <w:rFonts w:cstheme="minorHAnsi"/>
          <w:shd w:val="clear" w:color="auto" w:fill="FFFFFF"/>
        </w:rPr>
        <w:t xml:space="preserve"> </w:t>
      </w:r>
      <w:proofErr w:type="spellStart"/>
      <w:r>
        <w:rPr>
          <w:rFonts w:cstheme="minorHAnsi"/>
          <w:shd w:val="clear" w:color="auto" w:fill="FFFFFF"/>
        </w:rPr>
        <w:t>Coulton</w:t>
      </w:r>
      <w:proofErr w:type="spellEnd"/>
      <w:r>
        <w:rPr>
          <w:rFonts w:cstheme="minorHAnsi"/>
          <w:shd w:val="clear" w:color="auto" w:fill="FFFFFF"/>
        </w:rPr>
        <w:t xml:space="preserve"> says that the preachers at Clermont were only successful in their call for a crusade because they made promises of indulgences for sins, which would mean no matter what they had done, or what they did </w:t>
      </w:r>
      <w:r w:rsidR="005C2F2D">
        <w:rPr>
          <w:rFonts w:cstheme="minorHAnsi"/>
          <w:shd w:val="clear" w:color="auto" w:fill="FFFFFF"/>
        </w:rPr>
        <w:t xml:space="preserve">during the crusades, crusaders </w:t>
      </w:r>
      <w:r>
        <w:rPr>
          <w:rFonts w:cstheme="minorHAnsi"/>
          <w:shd w:val="clear" w:color="auto" w:fill="FFFFFF"/>
        </w:rPr>
        <w:t xml:space="preserve">would be accepted into Heaven with God. Speeches at Clermont also promised men “all the freedom of a warrior with all the sacredness of a </w:t>
      </w:r>
      <w:r>
        <w:rPr>
          <w:rStyle w:val="IntenseEmphasis"/>
          <w:i w:val="0"/>
          <w:color w:val="auto"/>
        </w:rPr>
        <w:t>pilgrim.”</w:t>
      </w:r>
      <w:r w:rsidR="00AB02E9">
        <w:rPr>
          <w:rStyle w:val="FootnoteReference"/>
          <w:iCs/>
        </w:rPr>
        <w:footnoteReference w:id="24"/>
      </w:r>
      <w:r w:rsidR="005C2F2D">
        <w:rPr>
          <w:rStyle w:val="IntenseEmphasis"/>
          <w:i w:val="0"/>
          <w:color w:val="auto"/>
        </w:rPr>
        <w:t xml:space="preserve"> Despite this, Whilst it was “once fashionable” to suggest that Crusaders were inspired to “take the cross” purely by greed or that the crusades were a “grand adventure” </w:t>
      </w:r>
      <w:proofErr w:type="spellStart"/>
      <w:r w:rsidR="005C2F2D">
        <w:rPr>
          <w:rStyle w:val="IntenseEmphasis"/>
          <w:i w:val="0"/>
          <w:color w:val="auto"/>
        </w:rPr>
        <w:t>Asbridge</w:t>
      </w:r>
      <w:proofErr w:type="spellEnd"/>
      <w:r w:rsidR="005C2F2D">
        <w:rPr>
          <w:rStyle w:val="IntenseEmphasis"/>
          <w:i w:val="0"/>
          <w:color w:val="auto"/>
        </w:rPr>
        <w:t xml:space="preserve"> argues that</w:t>
      </w:r>
      <w:r>
        <w:rPr>
          <w:rStyle w:val="IntenseEmphasis"/>
          <w:i w:val="0"/>
          <w:color w:val="auto"/>
        </w:rPr>
        <w:t xml:space="preserve"> </w:t>
      </w:r>
      <w:r w:rsidR="005C2F2D">
        <w:rPr>
          <w:rStyle w:val="IntenseEmphasis"/>
          <w:i w:val="0"/>
          <w:color w:val="auto"/>
        </w:rPr>
        <w:t>i</w:t>
      </w:r>
      <w:r w:rsidR="00B26C4A">
        <w:rPr>
          <w:rStyle w:val="IntenseEmphasis"/>
          <w:i w:val="0"/>
          <w:color w:val="auto"/>
        </w:rPr>
        <w:t>t is almost impossible to pick apart the motivations of the Crusaders because “</w:t>
      </w:r>
      <w:commentRangeStart w:id="10"/>
      <w:r w:rsidR="00B26C4A">
        <w:rPr>
          <w:rStyle w:val="IntenseEmphasis"/>
          <w:i w:val="0"/>
          <w:color w:val="auto"/>
        </w:rPr>
        <w:t xml:space="preserve">most crusaders were motivated by a complex combination” of motives </w:t>
      </w:r>
      <w:r w:rsidR="005C2F2D">
        <w:rPr>
          <w:rStyle w:val="IntenseEmphasis"/>
          <w:i w:val="0"/>
          <w:color w:val="auto"/>
        </w:rPr>
        <w:t xml:space="preserve">possibly including;  </w:t>
      </w:r>
      <w:r w:rsidR="00B26C4A">
        <w:rPr>
          <w:rStyle w:val="IntenseEmphasis"/>
          <w:i w:val="0"/>
          <w:color w:val="auto"/>
        </w:rPr>
        <w:t>Christian devotion</w:t>
      </w:r>
      <w:r w:rsidR="005C2F2D">
        <w:rPr>
          <w:rStyle w:val="IntenseEmphasis"/>
          <w:i w:val="0"/>
          <w:color w:val="auto"/>
        </w:rPr>
        <w:t>, economic and political greed, thirst for adventure, and a myriad of others</w:t>
      </w:r>
      <w:r w:rsidR="00B26C4A">
        <w:rPr>
          <w:rStyle w:val="IntenseEmphasis"/>
          <w:i w:val="0"/>
          <w:color w:val="auto"/>
        </w:rPr>
        <w:t xml:space="preserve">. </w:t>
      </w:r>
      <w:proofErr w:type="spellStart"/>
      <w:r w:rsidR="00B26C4A">
        <w:rPr>
          <w:rStyle w:val="IntenseEmphasis"/>
          <w:i w:val="0"/>
          <w:color w:val="auto"/>
        </w:rPr>
        <w:t>Asbridge</w:t>
      </w:r>
      <w:proofErr w:type="spellEnd"/>
      <w:r w:rsidR="00B26C4A">
        <w:rPr>
          <w:rStyle w:val="IntenseEmphasis"/>
          <w:i w:val="0"/>
          <w:color w:val="auto"/>
        </w:rPr>
        <w:t xml:space="preserve"> states that people wouldn’t have gone on Crusade purely for economic greed, or the hope of a reward, because Crusades were “cripplingly expensive”, for a Knight to be able to go on Crusade, it is estimated that he would have </w:t>
      </w:r>
      <w:r w:rsidR="005C2F2D">
        <w:rPr>
          <w:rStyle w:val="IntenseEmphasis"/>
          <w:i w:val="0"/>
          <w:color w:val="auto"/>
        </w:rPr>
        <w:t xml:space="preserve">had to </w:t>
      </w:r>
      <w:r w:rsidR="00B26C4A">
        <w:rPr>
          <w:rStyle w:val="IntenseEmphasis"/>
          <w:i w:val="0"/>
          <w:color w:val="auto"/>
        </w:rPr>
        <w:t xml:space="preserve">raised 5 times his annual income, which is an extortionate amount. </w:t>
      </w:r>
      <w:proofErr w:type="spellStart"/>
      <w:r w:rsidR="00B26C4A">
        <w:rPr>
          <w:rStyle w:val="IntenseEmphasis"/>
          <w:i w:val="0"/>
          <w:color w:val="auto"/>
        </w:rPr>
        <w:t>Asbridge</w:t>
      </w:r>
      <w:proofErr w:type="spellEnd"/>
      <w:r w:rsidR="00B26C4A">
        <w:rPr>
          <w:rStyle w:val="IntenseEmphasis"/>
          <w:i w:val="0"/>
          <w:color w:val="auto"/>
        </w:rPr>
        <w:t xml:space="preserve"> also says that for every crusader who entered the Crusades purely hoping for an economic reward, there were “countless more” who weren’t interested in economic rewards</w:t>
      </w:r>
      <w:r w:rsidR="005C2F2D">
        <w:rPr>
          <w:rStyle w:val="IntenseEmphasis"/>
          <w:i w:val="0"/>
          <w:color w:val="auto"/>
        </w:rPr>
        <w:t xml:space="preserve"> at all</w:t>
      </w:r>
      <w:r w:rsidR="00B26C4A">
        <w:rPr>
          <w:rStyle w:val="IntenseEmphasis"/>
          <w:i w:val="0"/>
          <w:color w:val="auto"/>
        </w:rPr>
        <w:t>.</w:t>
      </w:r>
      <w:commentRangeEnd w:id="10"/>
      <w:r w:rsidR="00B26C4A">
        <w:rPr>
          <w:rStyle w:val="CommentReference"/>
        </w:rPr>
        <w:commentReference w:id="10"/>
      </w:r>
      <w:r w:rsidR="00AB02E9">
        <w:rPr>
          <w:rStyle w:val="FootnoteReference"/>
          <w:iCs/>
        </w:rPr>
        <w:footnoteReference w:id="25"/>
      </w:r>
    </w:p>
    <w:p w14:paraId="561DC3D0" w14:textId="0E6E3C37" w:rsidR="008011F8" w:rsidRDefault="008011F8">
      <w:pPr>
        <w:rPr>
          <w:rStyle w:val="IntenseEmphasis"/>
          <w:i w:val="0"/>
          <w:color w:val="auto"/>
        </w:rPr>
      </w:pPr>
    </w:p>
    <w:p w14:paraId="6AD97002" w14:textId="1DFFB36A" w:rsidR="008011F8" w:rsidRDefault="008011F8">
      <w:pPr>
        <w:rPr>
          <w:rStyle w:val="IntenseEmphasis"/>
          <w:i w:val="0"/>
          <w:color w:val="auto"/>
        </w:rPr>
      </w:pPr>
    </w:p>
    <w:p w14:paraId="7592A9F1" w14:textId="168E8AD9" w:rsidR="006243C2" w:rsidRDefault="006243C2">
      <w:pPr>
        <w:rPr>
          <w:rStyle w:val="IntenseEmphasis"/>
          <w:i w:val="0"/>
          <w:color w:val="auto"/>
        </w:rPr>
      </w:pPr>
    </w:p>
    <w:p w14:paraId="757169E4" w14:textId="1AF83F79" w:rsidR="006243C2" w:rsidRDefault="006243C2">
      <w:pPr>
        <w:rPr>
          <w:rStyle w:val="IntenseEmphasis"/>
          <w:i w:val="0"/>
          <w:color w:val="auto"/>
        </w:rPr>
      </w:pPr>
    </w:p>
    <w:p w14:paraId="40A7D14F" w14:textId="59E0D973" w:rsidR="006243C2" w:rsidRDefault="006243C2">
      <w:pPr>
        <w:rPr>
          <w:rStyle w:val="IntenseEmphasis"/>
          <w:i w:val="0"/>
          <w:color w:val="auto"/>
        </w:rPr>
      </w:pPr>
      <w:r>
        <w:rPr>
          <w:rStyle w:val="IntenseEmphasis"/>
          <w:i w:val="0"/>
          <w:color w:val="auto"/>
        </w:rPr>
        <w:lastRenderedPageBreak/>
        <w:t>Bibliography</w:t>
      </w:r>
    </w:p>
    <w:p w14:paraId="4BFB4C9F" w14:textId="77777777" w:rsidR="006243C2" w:rsidRPr="006243C2" w:rsidRDefault="006243C2" w:rsidP="006243C2">
      <w:pPr>
        <w:pStyle w:val="FootnoteText"/>
        <w:rPr>
          <w:rFonts w:ascii="Tahoma" w:hAnsi="Tahoma" w:cs="Tahoma"/>
          <w:sz w:val="18"/>
          <w:szCs w:val="18"/>
        </w:rPr>
      </w:pPr>
    </w:p>
    <w:p w14:paraId="30192B1A" w14:textId="77777777" w:rsidR="006243C2" w:rsidRPr="006243C2" w:rsidRDefault="006243C2" w:rsidP="006243C2">
      <w:pPr>
        <w:rPr>
          <w:rStyle w:val="IntenseEmphasis"/>
          <w:rFonts w:ascii="Tahoma" w:hAnsi="Tahoma" w:cs="Tahoma"/>
          <w:i w:val="0"/>
          <w:color w:val="auto"/>
          <w:sz w:val="18"/>
          <w:szCs w:val="18"/>
        </w:rPr>
      </w:pPr>
    </w:p>
    <w:p w14:paraId="509747CE" w14:textId="77777777" w:rsidR="006243C2" w:rsidRPr="006243C2" w:rsidRDefault="006243C2" w:rsidP="006243C2">
      <w:pPr>
        <w:rPr>
          <w:rFonts w:ascii="Tahoma" w:hAnsi="Tahoma" w:cs="Tahoma"/>
          <w:sz w:val="18"/>
          <w:szCs w:val="18"/>
        </w:rPr>
      </w:pPr>
      <w:proofErr w:type="spellStart"/>
      <w:r>
        <w:rPr>
          <w:rFonts w:ascii="Tahoma" w:hAnsi="Tahoma" w:cs="Tahoma"/>
          <w:sz w:val="18"/>
          <w:szCs w:val="18"/>
        </w:rPr>
        <w:t>Asbridge</w:t>
      </w:r>
      <w:proofErr w:type="spellEnd"/>
      <w:r>
        <w:rPr>
          <w:rFonts w:ascii="Tahoma" w:hAnsi="Tahoma" w:cs="Tahoma"/>
          <w:sz w:val="18"/>
          <w:szCs w:val="18"/>
        </w:rPr>
        <w:t xml:space="preserve">, Thomas, </w:t>
      </w:r>
      <w:r w:rsidRPr="006243C2">
        <w:rPr>
          <w:rFonts w:ascii="Tahoma" w:hAnsi="Tahoma" w:cs="Tahoma"/>
          <w:i/>
          <w:sz w:val="18"/>
          <w:szCs w:val="18"/>
        </w:rPr>
        <w:t xml:space="preserve">The First Crusade: A New History </w:t>
      </w:r>
      <w:r w:rsidRPr="006243C2">
        <w:rPr>
          <w:rFonts w:ascii="Tahoma" w:hAnsi="Tahoma" w:cs="Tahoma"/>
          <w:sz w:val="18"/>
          <w:szCs w:val="18"/>
        </w:rPr>
        <w:t>(Oxford, Oxford University Press, 2005) pp 66-68</w:t>
      </w:r>
    </w:p>
    <w:p w14:paraId="56AA8EFD" w14:textId="77777777" w:rsidR="006243C2" w:rsidRPr="006243C2" w:rsidRDefault="006243C2" w:rsidP="006243C2">
      <w:pPr>
        <w:pStyle w:val="FootnoteText"/>
        <w:rPr>
          <w:rFonts w:ascii="Tahoma" w:hAnsi="Tahoma" w:cs="Tahoma"/>
          <w:sz w:val="18"/>
          <w:szCs w:val="18"/>
        </w:rPr>
      </w:pPr>
      <w:proofErr w:type="spellStart"/>
      <w:r w:rsidRPr="006243C2">
        <w:rPr>
          <w:rFonts w:ascii="Tahoma" w:hAnsi="Tahoma" w:cs="Tahoma"/>
          <w:sz w:val="18"/>
          <w:szCs w:val="18"/>
        </w:rPr>
        <w:t>Bongars</w:t>
      </w:r>
      <w:proofErr w:type="spellEnd"/>
      <w:r w:rsidRPr="006243C2">
        <w:rPr>
          <w:rFonts w:ascii="Tahoma" w:hAnsi="Tahoma" w:cs="Tahoma"/>
          <w:sz w:val="18"/>
          <w:szCs w:val="18"/>
        </w:rPr>
        <w:t>, </w:t>
      </w:r>
      <w:proofErr w:type="spellStart"/>
      <w:r w:rsidRPr="006243C2">
        <w:rPr>
          <w:rFonts w:ascii="Tahoma" w:hAnsi="Tahoma" w:cs="Tahoma"/>
          <w:i/>
          <w:iCs/>
          <w:sz w:val="18"/>
          <w:szCs w:val="18"/>
        </w:rPr>
        <w:t>Gesta</w:t>
      </w:r>
      <w:proofErr w:type="spellEnd"/>
      <w:r w:rsidRPr="006243C2">
        <w:rPr>
          <w:rFonts w:ascii="Tahoma" w:hAnsi="Tahoma" w:cs="Tahoma"/>
          <w:i/>
          <w:iCs/>
          <w:sz w:val="18"/>
          <w:szCs w:val="18"/>
        </w:rPr>
        <w:t xml:space="preserve"> Dei per </w:t>
      </w:r>
      <w:proofErr w:type="spellStart"/>
      <w:r w:rsidRPr="006243C2">
        <w:rPr>
          <w:rFonts w:ascii="Tahoma" w:hAnsi="Tahoma" w:cs="Tahoma"/>
          <w:i/>
          <w:iCs/>
          <w:sz w:val="18"/>
          <w:szCs w:val="18"/>
        </w:rPr>
        <w:t>Francos</w:t>
      </w:r>
      <w:proofErr w:type="spellEnd"/>
      <w:r w:rsidRPr="006243C2">
        <w:rPr>
          <w:rFonts w:ascii="Tahoma" w:hAnsi="Tahoma" w:cs="Tahoma"/>
          <w:sz w:val="18"/>
          <w:szCs w:val="18"/>
        </w:rPr>
        <w:t>, 1, pp. 382 f., trans in Oliver J. Thatcher, and Edgar Holmes McNeal, eds., </w:t>
      </w:r>
      <w:r w:rsidRPr="006243C2">
        <w:rPr>
          <w:rFonts w:ascii="Tahoma" w:hAnsi="Tahoma" w:cs="Tahoma"/>
          <w:i/>
          <w:iCs/>
          <w:sz w:val="18"/>
          <w:szCs w:val="18"/>
        </w:rPr>
        <w:t>A Source Book for Medieval History</w:t>
      </w:r>
      <w:r w:rsidRPr="006243C2">
        <w:rPr>
          <w:rFonts w:ascii="Tahoma" w:hAnsi="Tahoma" w:cs="Tahoma"/>
          <w:sz w:val="18"/>
          <w:szCs w:val="18"/>
        </w:rPr>
        <w:t xml:space="preserve">, (New York: </w:t>
      </w:r>
      <w:proofErr w:type="spellStart"/>
      <w:r w:rsidRPr="006243C2">
        <w:rPr>
          <w:rFonts w:ascii="Tahoma" w:hAnsi="Tahoma" w:cs="Tahoma"/>
          <w:sz w:val="18"/>
          <w:szCs w:val="18"/>
        </w:rPr>
        <w:t>Scribners</w:t>
      </w:r>
      <w:proofErr w:type="spellEnd"/>
      <w:r w:rsidRPr="006243C2">
        <w:rPr>
          <w:rFonts w:ascii="Tahoma" w:hAnsi="Tahoma" w:cs="Tahoma"/>
          <w:sz w:val="18"/>
          <w:szCs w:val="18"/>
        </w:rPr>
        <w:t>, 1905), 513-17 </w:t>
      </w:r>
    </w:p>
    <w:p w14:paraId="683C61FD" w14:textId="77777777" w:rsidR="006243C2" w:rsidRPr="006243C2" w:rsidRDefault="006243C2" w:rsidP="006243C2">
      <w:pPr>
        <w:pStyle w:val="Heading1"/>
        <w:shd w:val="clear" w:color="auto" w:fill="FFFFFF"/>
        <w:spacing w:before="161" w:after="161"/>
        <w:rPr>
          <w:rFonts w:ascii="Tahoma" w:eastAsia="Times New Roman" w:hAnsi="Tahoma" w:cs="Tahoma"/>
          <w:bCs/>
          <w:color w:val="auto"/>
          <w:kern w:val="36"/>
          <w:sz w:val="18"/>
          <w:szCs w:val="18"/>
          <w:lang w:eastAsia="en-GB"/>
        </w:rPr>
      </w:pPr>
      <w:r>
        <w:rPr>
          <w:rFonts w:ascii="Tahoma" w:hAnsi="Tahoma" w:cs="Tahoma"/>
          <w:color w:val="auto"/>
          <w:sz w:val="18"/>
          <w:szCs w:val="18"/>
        </w:rPr>
        <w:t xml:space="preserve">Bovey, </w:t>
      </w:r>
      <w:proofErr w:type="spellStart"/>
      <w:r w:rsidRPr="006243C2">
        <w:rPr>
          <w:rFonts w:ascii="Tahoma" w:hAnsi="Tahoma" w:cs="Tahoma"/>
          <w:color w:val="auto"/>
          <w:sz w:val="18"/>
          <w:szCs w:val="18"/>
        </w:rPr>
        <w:t>Alixe</w:t>
      </w:r>
      <w:proofErr w:type="spellEnd"/>
      <w:r w:rsidRPr="006243C2">
        <w:rPr>
          <w:rFonts w:ascii="Tahoma" w:hAnsi="Tahoma" w:cs="Tahoma"/>
          <w:color w:val="auto"/>
          <w:sz w:val="18"/>
          <w:szCs w:val="18"/>
        </w:rPr>
        <w:t xml:space="preserve">, </w:t>
      </w:r>
      <w:r w:rsidRPr="006243C2">
        <w:rPr>
          <w:rFonts w:ascii="Tahoma" w:eastAsia="Times New Roman" w:hAnsi="Tahoma" w:cs="Tahoma"/>
          <w:bCs/>
          <w:i/>
          <w:color w:val="auto"/>
          <w:kern w:val="36"/>
          <w:sz w:val="18"/>
          <w:szCs w:val="18"/>
          <w:lang w:eastAsia="en-GB"/>
        </w:rPr>
        <w:t>Death and the afterlife: how dying affected the living (</w:t>
      </w:r>
      <w:r w:rsidRPr="006243C2">
        <w:rPr>
          <w:rFonts w:ascii="Tahoma" w:eastAsia="Times New Roman" w:hAnsi="Tahoma" w:cs="Tahoma"/>
          <w:bCs/>
          <w:color w:val="auto"/>
          <w:kern w:val="36"/>
          <w:sz w:val="18"/>
          <w:szCs w:val="18"/>
          <w:lang w:eastAsia="en-GB"/>
        </w:rPr>
        <w:t>2015) &lt;</w:t>
      </w:r>
      <w:hyperlink r:id="rId12" w:history="1">
        <w:r w:rsidRPr="006243C2">
          <w:rPr>
            <w:rStyle w:val="Hyperlink"/>
            <w:rFonts w:ascii="Tahoma" w:eastAsia="Times New Roman" w:hAnsi="Tahoma" w:cs="Tahoma"/>
            <w:bCs/>
            <w:color w:val="auto"/>
            <w:kern w:val="36"/>
            <w:sz w:val="18"/>
            <w:szCs w:val="18"/>
            <w:lang w:eastAsia="en-GB"/>
          </w:rPr>
          <w:t>https://www.bl.uk/the-middle-ages/articles/death-and-the-afterlife-how-dying-affected-the-living</w:t>
        </w:r>
      </w:hyperlink>
      <w:r w:rsidRPr="006243C2">
        <w:rPr>
          <w:rFonts w:ascii="Tahoma" w:eastAsia="Times New Roman" w:hAnsi="Tahoma" w:cs="Tahoma"/>
          <w:bCs/>
          <w:color w:val="auto"/>
          <w:kern w:val="36"/>
          <w:sz w:val="18"/>
          <w:szCs w:val="18"/>
          <w:lang w:eastAsia="en-GB"/>
        </w:rPr>
        <w:t>&gt;  [10/03/18]</w:t>
      </w:r>
    </w:p>
    <w:p w14:paraId="6F881E32" w14:textId="165FACBC" w:rsidR="006243C2" w:rsidRPr="006243C2" w:rsidRDefault="006243C2" w:rsidP="006243C2">
      <w:pPr>
        <w:pStyle w:val="FootnoteText"/>
        <w:rPr>
          <w:rFonts w:ascii="Tahoma" w:hAnsi="Tahoma" w:cs="Tahoma"/>
          <w:sz w:val="18"/>
          <w:szCs w:val="18"/>
        </w:rPr>
      </w:pPr>
      <w:proofErr w:type="spellStart"/>
      <w:r>
        <w:rPr>
          <w:rFonts w:ascii="Tahoma" w:hAnsi="Tahoma" w:cs="Tahoma"/>
          <w:sz w:val="18"/>
          <w:szCs w:val="18"/>
        </w:rPr>
        <w:t>Coulton</w:t>
      </w:r>
      <w:proofErr w:type="spellEnd"/>
      <w:r>
        <w:rPr>
          <w:rFonts w:ascii="Tahoma" w:hAnsi="Tahoma" w:cs="Tahoma"/>
          <w:sz w:val="18"/>
          <w:szCs w:val="18"/>
        </w:rPr>
        <w:t xml:space="preserve">, </w:t>
      </w:r>
      <w:r w:rsidRPr="006243C2">
        <w:rPr>
          <w:rFonts w:ascii="Tahoma" w:hAnsi="Tahoma" w:cs="Tahoma"/>
          <w:sz w:val="18"/>
          <w:szCs w:val="18"/>
        </w:rPr>
        <w:t xml:space="preserve">C.G., </w:t>
      </w:r>
      <w:r w:rsidRPr="006243C2">
        <w:rPr>
          <w:rFonts w:ascii="Tahoma" w:hAnsi="Tahoma" w:cs="Tahoma"/>
          <w:i/>
          <w:sz w:val="18"/>
          <w:szCs w:val="18"/>
        </w:rPr>
        <w:t xml:space="preserve">Crusades, Commerce and Adventure </w:t>
      </w:r>
      <w:r w:rsidRPr="006243C2">
        <w:rPr>
          <w:rFonts w:ascii="Tahoma" w:hAnsi="Tahoma" w:cs="Tahoma"/>
          <w:sz w:val="18"/>
          <w:szCs w:val="18"/>
        </w:rPr>
        <w:t>(London, Thomas Nelson and Sons, LTD, 1930) p27</w:t>
      </w:r>
    </w:p>
    <w:p w14:paraId="53FB4499" w14:textId="6F726835" w:rsidR="006243C2" w:rsidRPr="006243C2" w:rsidRDefault="006243C2" w:rsidP="006243C2">
      <w:pPr>
        <w:pStyle w:val="FootnoteText"/>
        <w:rPr>
          <w:rFonts w:ascii="Tahoma" w:hAnsi="Tahoma" w:cs="Tahoma"/>
          <w:sz w:val="18"/>
          <w:szCs w:val="18"/>
        </w:rPr>
      </w:pPr>
      <w:r>
        <w:rPr>
          <w:rFonts w:ascii="Tahoma" w:hAnsi="Tahoma" w:cs="Tahoma"/>
          <w:sz w:val="18"/>
          <w:szCs w:val="18"/>
        </w:rPr>
        <w:br/>
        <w:t xml:space="preserve">Duggan, </w:t>
      </w:r>
      <w:proofErr w:type="spellStart"/>
      <w:proofErr w:type="gramStart"/>
      <w:r>
        <w:rPr>
          <w:rFonts w:ascii="Tahoma" w:hAnsi="Tahoma" w:cs="Tahoma"/>
          <w:sz w:val="18"/>
          <w:szCs w:val="18"/>
        </w:rPr>
        <w:t>Alfred,</w:t>
      </w:r>
      <w:r w:rsidRPr="006243C2">
        <w:rPr>
          <w:rFonts w:ascii="Tahoma" w:hAnsi="Tahoma" w:cs="Tahoma"/>
          <w:i/>
          <w:sz w:val="18"/>
          <w:szCs w:val="18"/>
        </w:rPr>
        <w:t>The</w:t>
      </w:r>
      <w:proofErr w:type="spellEnd"/>
      <w:proofErr w:type="gramEnd"/>
      <w:r w:rsidRPr="006243C2">
        <w:rPr>
          <w:rFonts w:ascii="Tahoma" w:hAnsi="Tahoma" w:cs="Tahoma"/>
          <w:i/>
          <w:sz w:val="18"/>
          <w:szCs w:val="18"/>
        </w:rPr>
        <w:t xml:space="preserve"> Story of the Crusades </w:t>
      </w:r>
      <w:r w:rsidRPr="006243C2">
        <w:rPr>
          <w:rFonts w:ascii="Tahoma" w:hAnsi="Tahoma" w:cs="Tahoma"/>
          <w:sz w:val="18"/>
          <w:szCs w:val="18"/>
        </w:rPr>
        <w:t>(London, Faber and Faber,1963) p24</w:t>
      </w:r>
    </w:p>
    <w:p w14:paraId="698372BA" w14:textId="1314B723" w:rsidR="006243C2" w:rsidRPr="006243C2" w:rsidRDefault="006243C2" w:rsidP="006243C2">
      <w:pPr>
        <w:pStyle w:val="FootnoteText"/>
        <w:rPr>
          <w:rFonts w:ascii="Tahoma" w:hAnsi="Tahoma" w:cs="Tahoma"/>
          <w:sz w:val="18"/>
          <w:szCs w:val="18"/>
        </w:rPr>
      </w:pPr>
      <w:r>
        <w:rPr>
          <w:rFonts w:ascii="Tahoma" w:hAnsi="Tahoma" w:cs="Tahoma"/>
          <w:sz w:val="18"/>
          <w:szCs w:val="18"/>
        </w:rPr>
        <w:br/>
        <w:t xml:space="preserve">Erdmann, </w:t>
      </w:r>
      <w:proofErr w:type="spellStart"/>
      <w:proofErr w:type="gramStart"/>
      <w:r w:rsidRPr="006243C2">
        <w:rPr>
          <w:rFonts w:ascii="Tahoma" w:hAnsi="Tahoma" w:cs="Tahoma"/>
          <w:sz w:val="18"/>
          <w:szCs w:val="18"/>
        </w:rPr>
        <w:t>Carl,</w:t>
      </w:r>
      <w:r w:rsidRPr="006243C2">
        <w:rPr>
          <w:rFonts w:ascii="Tahoma" w:hAnsi="Tahoma" w:cs="Tahoma"/>
          <w:i/>
          <w:sz w:val="18"/>
          <w:szCs w:val="18"/>
        </w:rPr>
        <w:t>The</w:t>
      </w:r>
      <w:proofErr w:type="spellEnd"/>
      <w:proofErr w:type="gramEnd"/>
      <w:r w:rsidRPr="006243C2">
        <w:rPr>
          <w:rFonts w:ascii="Tahoma" w:hAnsi="Tahoma" w:cs="Tahoma"/>
          <w:i/>
          <w:sz w:val="18"/>
          <w:szCs w:val="18"/>
        </w:rPr>
        <w:t xml:space="preserve"> Origin of the Idea of Crusade </w:t>
      </w:r>
      <w:r w:rsidRPr="006243C2">
        <w:rPr>
          <w:rFonts w:ascii="Tahoma" w:hAnsi="Tahoma" w:cs="Tahoma"/>
          <w:sz w:val="18"/>
          <w:szCs w:val="18"/>
        </w:rPr>
        <w:t>(Surrey, Princeton University Press, 1977) p3</w:t>
      </w:r>
    </w:p>
    <w:p w14:paraId="72D53EE8" w14:textId="1CC27330" w:rsidR="006243C2" w:rsidRPr="006243C2" w:rsidRDefault="006243C2" w:rsidP="006243C2">
      <w:pPr>
        <w:pStyle w:val="FootnoteText"/>
        <w:rPr>
          <w:rFonts w:ascii="Tahoma" w:hAnsi="Tahoma" w:cs="Tahoma"/>
          <w:sz w:val="18"/>
          <w:szCs w:val="18"/>
        </w:rPr>
      </w:pPr>
      <w:r>
        <w:rPr>
          <w:rFonts w:ascii="Tahoma" w:hAnsi="Tahoma" w:cs="Tahoma"/>
          <w:sz w:val="18"/>
          <w:szCs w:val="18"/>
        </w:rPr>
        <w:br/>
        <w:t>Fuller, Thomas</w:t>
      </w:r>
      <w:r w:rsidRPr="006243C2">
        <w:rPr>
          <w:rFonts w:ascii="Tahoma" w:hAnsi="Tahoma" w:cs="Tahoma"/>
          <w:sz w:val="18"/>
          <w:szCs w:val="18"/>
        </w:rPr>
        <w:t xml:space="preserve">, </w:t>
      </w:r>
      <w:r w:rsidRPr="006243C2">
        <w:rPr>
          <w:rFonts w:ascii="Tahoma" w:hAnsi="Tahoma" w:cs="Tahoma"/>
          <w:i/>
          <w:sz w:val="18"/>
          <w:szCs w:val="18"/>
        </w:rPr>
        <w:t>The Crusades: What Was Their Justification</w:t>
      </w:r>
      <w:r w:rsidRPr="006243C2">
        <w:rPr>
          <w:rFonts w:ascii="Tahoma" w:hAnsi="Tahoma" w:cs="Tahoma"/>
          <w:sz w:val="18"/>
          <w:szCs w:val="18"/>
        </w:rPr>
        <w:t xml:space="preserve"> in </w:t>
      </w:r>
      <w:r w:rsidRPr="006243C2">
        <w:rPr>
          <w:rFonts w:ascii="Tahoma" w:hAnsi="Tahoma" w:cs="Tahoma"/>
          <w:i/>
          <w:sz w:val="18"/>
          <w:szCs w:val="18"/>
        </w:rPr>
        <w:t xml:space="preserve">The Crusades: Motives and Achievements </w:t>
      </w:r>
      <w:r w:rsidRPr="006243C2">
        <w:rPr>
          <w:rFonts w:ascii="Tahoma" w:hAnsi="Tahoma" w:cs="Tahoma"/>
          <w:sz w:val="18"/>
          <w:szCs w:val="18"/>
        </w:rPr>
        <w:t>(</w:t>
      </w:r>
      <w:r w:rsidRPr="006243C2">
        <w:rPr>
          <w:rFonts w:ascii="Tahoma" w:hAnsi="Tahoma" w:cs="Tahoma"/>
          <w:sz w:val="18"/>
          <w:szCs w:val="18"/>
          <w:shd w:val="clear" w:color="auto" w:fill="FFFFFF"/>
        </w:rPr>
        <w:t>Massachusetts, D.C. Heath and Company, 1965) p1</w:t>
      </w:r>
    </w:p>
    <w:p w14:paraId="79DB355A" w14:textId="6AC9B820" w:rsidR="006243C2" w:rsidRPr="006243C2" w:rsidRDefault="006243C2" w:rsidP="006243C2">
      <w:pPr>
        <w:rPr>
          <w:rFonts w:ascii="Tahoma" w:hAnsi="Tahoma" w:cs="Tahoma"/>
          <w:sz w:val="18"/>
          <w:szCs w:val="18"/>
        </w:rPr>
      </w:pPr>
      <w:r>
        <w:rPr>
          <w:rFonts w:ascii="Tahoma" w:hAnsi="Tahoma" w:cs="Tahoma"/>
          <w:sz w:val="18"/>
          <w:szCs w:val="18"/>
        </w:rPr>
        <w:br/>
      </w:r>
      <w:r w:rsidRPr="006243C2">
        <w:rPr>
          <w:rFonts w:ascii="Tahoma" w:hAnsi="Tahoma" w:cs="Tahoma"/>
          <w:sz w:val="18"/>
          <w:szCs w:val="18"/>
        </w:rPr>
        <w:t xml:space="preserve">In </w:t>
      </w:r>
      <w:proofErr w:type="spellStart"/>
      <w:r w:rsidRPr="006243C2">
        <w:rPr>
          <w:rFonts w:ascii="Tahoma" w:hAnsi="Tahoma" w:cs="Tahoma"/>
          <w:sz w:val="18"/>
          <w:szCs w:val="18"/>
        </w:rPr>
        <w:t>Migne</w:t>
      </w:r>
      <w:proofErr w:type="spellEnd"/>
      <w:r w:rsidRPr="006243C2">
        <w:rPr>
          <w:rFonts w:ascii="Tahoma" w:hAnsi="Tahoma" w:cs="Tahoma"/>
          <w:sz w:val="18"/>
          <w:szCs w:val="18"/>
        </w:rPr>
        <w:t>, </w:t>
      </w:r>
      <w:proofErr w:type="spellStart"/>
      <w:r w:rsidRPr="006243C2">
        <w:rPr>
          <w:rFonts w:ascii="Tahoma" w:hAnsi="Tahoma" w:cs="Tahoma"/>
          <w:i/>
          <w:iCs/>
          <w:sz w:val="18"/>
          <w:szCs w:val="18"/>
        </w:rPr>
        <w:t>Patrologia</w:t>
      </w:r>
      <w:proofErr w:type="spellEnd"/>
      <w:r w:rsidRPr="006243C2">
        <w:rPr>
          <w:rFonts w:ascii="Tahoma" w:hAnsi="Tahoma" w:cs="Tahoma"/>
          <w:i/>
          <w:iCs/>
          <w:sz w:val="18"/>
          <w:szCs w:val="18"/>
        </w:rPr>
        <w:t xml:space="preserve"> Latina</w:t>
      </w:r>
      <w:r w:rsidRPr="006243C2">
        <w:rPr>
          <w:rFonts w:ascii="Tahoma" w:hAnsi="Tahoma" w:cs="Tahoma"/>
          <w:sz w:val="18"/>
          <w:szCs w:val="18"/>
        </w:rPr>
        <w:t>, 126: 816 </w:t>
      </w:r>
      <w:r w:rsidRPr="006243C2">
        <w:rPr>
          <w:rFonts w:ascii="Tahoma" w:hAnsi="Tahoma" w:cs="Tahoma"/>
          <w:sz w:val="18"/>
          <w:szCs w:val="18"/>
        </w:rPr>
        <w:br/>
        <w:t>trans. Oliver J. Thatcher, and Edgar Holmes McNeal, eds., </w:t>
      </w:r>
      <w:r w:rsidRPr="006243C2">
        <w:rPr>
          <w:rFonts w:ascii="Tahoma" w:hAnsi="Tahoma" w:cs="Tahoma"/>
          <w:i/>
          <w:iCs/>
          <w:sz w:val="18"/>
          <w:szCs w:val="18"/>
        </w:rPr>
        <w:t>A Source Book for Medieval History</w:t>
      </w:r>
      <w:r w:rsidRPr="006243C2">
        <w:rPr>
          <w:rFonts w:ascii="Tahoma" w:hAnsi="Tahoma" w:cs="Tahoma"/>
          <w:sz w:val="18"/>
          <w:szCs w:val="18"/>
        </w:rPr>
        <w:t xml:space="preserve">, (New York: </w:t>
      </w:r>
      <w:proofErr w:type="spellStart"/>
      <w:r w:rsidRPr="006243C2">
        <w:rPr>
          <w:rFonts w:ascii="Tahoma" w:hAnsi="Tahoma" w:cs="Tahoma"/>
          <w:sz w:val="18"/>
          <w:szCs w:val="18"/>
        </w:rPr>
        <w:t>Scribners</w:t>
      </w:r>
      <w:proofErr w:type="spellEnd"/>
      <w:r w:rsidRPr="006243C2">
        <w:rPr>
          <w:rFonts w:ascii="Tahoma" w:hAnsi="Tahoma" w:cs="Tahoma"/>
          <w:sz w:val="18"/>
          <w:szCs w:val="18"/>
        </w:rPr>
        <w:t>, 1905), 512</w:t>
      </w:r>
    </w:p>
    <w:p w14:paraId="699AAD43" w14:textId="77777777" w:rsidR="006243C2" w:rsidRPr="006243C2" w:rsidRDefault="006243C2" w:rsidP="006243C2">
      <w:pPr>
        <w:rPr>
          <w:rFonts w:ascii="Tahoma" w:hAnsi="Tahoma" w:cs="Tahoma"/>
          <w:sz w:val="18"/>
          <w:szCs w:val="18"/>
        </w:rPr>
      </w:pPr>
      <w:r w:rsidRPr="006243C2">
        <w:rPr>
          <w:rFonts w:ascii="Tahoma" w:hAnsi="Tahoma" w:cs="Tahoma"/>
          <w:sz w:val="18"/>
          <w:szCs w:val="18"/>
        </w:rPr>
        <w:t xml:space="preserve">In </w:t>
      </w:r>
      <w:proofErr w:type="spellStart"/>
      <w:r w:rsidRPr="006243C2">
        <w:rPr>
          <w:rFonts w:ascii="Tahoma" w:hAnsi="Tahoma" w:cs="Tahoma"/>
          <w:sz w:val="18"/>
          <w:szCs w:val="18"/>
        </w:rPr>
        <w:t>Migne</w:t>
      </w:r>
      <w:proofErr w:type="spellEnd"/>
      <w:r w:rsidRPr="006243C2">
        <w:rPr>
          <w:rFonts w:ascii="Tahoma" w:hAnsi="Tahoma" w:cs="Tahoma"/>
          <w:sz w:val="18"/>
          <w:szCs w:val="18"/>
        </w:rPr>
        <w:t>, </w:t>
      </w:r>
      <w:proofErr w:type="spellStart"/>
      <w:r w:rsidRPr="006243C2">
        <w:rPr>
          <w:rFonts w:ascii="Tahoma" w:hAnsi="Tahoma" w:cs="Tahoma"/>
          <w:i/>
          <w:iCs/>
          <w:sz w:val="18"/>
          <w:szCs w:val="18"/>
        </w:rPr>
        <w:t>Patrologia</w:t>
      </w:r>
      <w:proofErr w:type="spellEnd"/>
      <w:r w:rsidRPr="006243C2">
        <w:rPr>
          <w:rFonts w:ascii="Tahoma" w:hAnsi="Tahoma" w:cs="Tahoma"/>
          <w:i/>
          <w:iCs/>
          <w:sz w:val="18"/>
          <w:szCs w:val="18"/>
        </w:rPr>
        <w:t xml:space="preserve"> Latina</w:t>
      </w:r>
      <w:r w:rsidRPr="006243C2">
        <w:rPr>
          <w:rFonts w:ascii="Tahoma" w:hAnsi="Tahoma" w:cs="Tahoma"/>
          <w:sz w:val="18"/>
          <w:szCs w:val="18"/>
        </w:rPr>
        <w:t>, 148:329 </w:t>
      </w:r>
      <w:r w:rsidRPr="006243C2">
        <w:rPr>
          <w:rFonts w:ascii="Tahoma" w:hAnsi="Tahoma" w:cs="Tahoma"/>
          <w:sz w:val="18"/>
          <w:szCs w:val="18"/>
        </w:rPr>
        <w:br/>
        <w:t>trans. Oliver J. Thatcher, and Edgar Holmes McNeal, eds., </w:t>
      </w:r>
      <w:r w:rsidRPr="006243C2">
        <w:rPr>
          <w:rFonts w:ascii="Tahoma" w:hAnsi="Tahoma" w:cs="Tahoma"/>
          <w:i/>
          <w:iCs/>
          <w:sz w:val="18"/>
          <w:szCs w:val="18"/>
        </w:rPr>
        <w:t>A Source Book for Medieval History</w:t>
      </w:r>
      <w:r w:rsidRPr="006243C2">
        <w:rPr>
          <w:rFonts w:ascii="Tahoma" w:hAnsi="Tahoma" w:cs="Tahoma"/>
          <w:sz w:val="18"/>
          <w:szCs w:val="18"/>
        </w:rPr>
        <w:t xml:space="preserve">, (New York: </w:t>
      </w:r>
      <w:proofErr w:type="spellStart"/>
      <w:r w:rsidRPr="006243C2">
        <w:rPr>
          <w:rFonts w:ascii="Tahoma" w:hAnsi="Tahoma" w:cs="Tahoma"/>
          <w:sz w:val="18"/>
          <w:szCs w:val="18"/>
        </w:rPr>
        <w:t>Scribners</w:t>
      </w:r>
      <w:proofErr w:type="spellEnd"/>
      <w:r w:rsidRPr="006243C2">
        <w:rPr>
          <w:rFonts w:ascii="Tahoma" w:hAnsi="Tahoma" w:cs="Tahoma"/>
          <w:sz w:val="18"/>
          <w:szCs w:val="18"/>
        </w:rPr>
        <w:t>, 1905), 512-13</w:t>
      </w:r>
    </w:p>
    <w:p w14:paraId="6DF5CF02" w14:textId="77777777" w:rsidR="006243C2" w:rsidRPr="006243C2" w:rsidRDefault="006243C2" w:rsidP="006243C2">
      <w:pPr>
        <w:pStyle w:val="FootnoteText"/>
        <w:rPr>
          <w:rFonts w:ascii="Tahoma" w:hAnsi="Tahoma" w:cs="Tahoma"/>
          <w:sz w:val="18"/>
          <w:szCs w:val="18"/>
        </w:rPr>
      </w:pPr>
      <w:proofErr w:type="spellStart"/>
      <w:r>
        <w:rPr>
          <w:rFonts w:ascii="Tahoma" w:hAnsi="Tahoma" w:cs="Tahoma"/>
          <w:sz w:val="18"/>
          <w:szCs w:val="18"/>
        </w:rPr>
        <w:t>Krey</w:t>
      </w:r>
      <w:proofErr w:type="spellEnd"/>
      <w:r>
        <w:rPr>
          <w:rFonts w:ascii="Tahoma" w:hAnsi="Tahoma" w:cs="Tahoma"/>
          <w:sz w:val="18"/>
          <w:szCs w:val="18"/>
        </w:rPr>
        <w:t xml:space="preserve">, </w:t>
      </w:r>
      <w:r w:rsidRPr="006243C2">
        <w:rPr>
          <w:rFonts w:ascii="Tahoma" w:hAnsi="Tahoma" w:cs="Tahoma"/>
          <w:sz w:val="18"/>
          <w:szCs w:val="18"/>
        </w:rPr>
        <w:t>August. C., </w:t>
      </w:r>
      <w:r w:rsidRPr="006243C2">
        <w:rPr>
          <w:rFonts w:ascii="Tahoma" w:hAnsi="Tahoma" w:cs="Tahoma"/>
          <w:i/>
          <w:iCs/>
          <w:sz w:val="18"/>
          <w:szCs w:val="18"/>
        </w:rPr>
        <w:t>The First Crusade: The Accounts of Eyewitnesses and Participants</w:t>
      </w:r>
      <w:r w:rsidRPr="006243C2">
        <w:rPr>
          <w:rFonts w:ascii="Tahoma" w:hAnsi="Tahoma" w:cs="Tahoma"/>
          <w:sz w:val="18"/>
          <w:szCs w:val="18"/>
        </w:rPr>
        <w:t>, (Princeton: 1921), 53-54</w:t>
      </w:r>
    </w:p>
    <w:p w14:paraId="0A13809B" w14:textId="57A98C99" w:rsidR="006243C2" w:rsidRPr="006243C2" w:rsidRDefault="006243C2" w:rsidP="006243C2">
      <w:pPr>
        <w:pStyle w:val="FootnoteText"/>
        <w:rPr>
          <w:rFonts w:ascii="Tahoma" w:hAnsi="Tahoma" w:cs="Tahoma"/>
          <w:sz w:val="18"/>
          <w:szCs w:val="18"/>
        </w:rPr>
      </w:pPr>
      <w:r>
        <w:rPr>
          <w:rFonts w:ascii="Tahoma" w:hAnsi="Tahoma" w:cs="Tahoma"/>
          <w:sz w:val="18"/>
          <w:szCs w:val="18"/>
        </w:rPr>
        <w:br/>
        <w:t>Lockman, Zachary,</w:t>
      </w:r>
      <w:r w:rsidRPr="006243C2">
        <w:rPr>
          <w:rFonts w:ascii="Tahoma" w:hAnsi="Tahoma" w:cs="Tahoma"/>
          <w:sz w:val="18"/>
          <w:szCs w:val="18"/>
        </w:rPr>
        <w:t xml:space="preserve"> </w:t>
      </w:r>
      <w:r w:rsidRPr="006243C2">
        <w:rPr>
          <w:rFonts w:ascii="Tahoma" w:hAnsi="Tahoma" w:cs="Tahoma"/>
          <w:i/>
          <w:sz w:val="18"/>
          <w:szCs w:val="18"/>
        </w:rPr>
        <w:t xml:space="preserve">Contending visions of the middle east: the history and politics of orientalism </w:t>
      </w:r>
      <w:r w:rsidRPr="006243C2">
        <w:rPr>
          <w:rFonts w:ascii="Tahoma" w:hAnsi="Tahoma" w:cs="Tahoma"/>
          <w:sz w:val="18"/>
          <w:szCs w:val="18"/>
        </w:rPr>
        <w:t xml:space="preserve">(Cambridge, Cambridge University Press, 2004) </w:t>
      </w:r>
    </w:p>
    <w:p w14:paraId="29397DF8" w14:textId="1E83B5DB" w:rsidR="006243C2" w:rsidRPr="006243C2" w:rsidRDefault="006243C2" w:rsidP="006243C2">
      <w:pPr>
        <w:pStyle w:val="FootnoteText"/>
        <w:rPr>
          <w:rFonts w:ascii="Tahoma" w:hAnsi="Tahoma" w:cs="Tahoma"/>
          <w:sz w:val="18"/>
          <w:szCs w:val="18"/>
        </w:rPr>
      </w:pPr>
      <w:r>
        <w:rPr>
          <w:rFonts w:ascii="Tahoma" w:hAnsi="Tahoma" w:cs="Tahoma"/>
          <w:sz w:val="18"/>
          <w:szCs w:val="18"/>
        </w:rPr>
        <w:br/>
        <w:t xml:space="preserve">Lowe, </w:t>
      </w:r>
      <w:r w:rsidRPr="006243C2">
        <w:rPr>
          <w:rFonts w:ascii="Tahoma" w:hAnsi="Tahoma" w:cs="Tahoma"/>
          <w:sz w:val="18"/>
          <w:szCs w:val="18"/>
        </w:rPr>
        <w:t>John Fra</w:t>
      </w:r>
      <w:r>
        <w:rPr>
          <w:rFonts w:ascii="Tahoma" w:hAnsi="Tahoma" w:cs="Tahoma"/>
          <w:sz w:val="18"/>
          <w:szCs w:val="18"/>
        </w:rPr>
        <w:t>ncis</w:t>
      </w:r>
      <w:r w:rsidRPr="006243C2">
        <w:rPr>
          <w:rFonts w:ascii="Tahoma" w:hAnsi="Tahoma" w:cs="Tahoma"/>
          <w:sz w:val="18"/>
          <w:szCs w:val="18"/>
        </w:rPr>
        <w:t>, ‘</w:t>
      </w:r>
      <w:r w:rsidRPr="006243C2">
        <w:rPr>
          <w:rFonts w:ascii="Tahoma" w:hAnsi="Tahoma" w:cs="Tahoma"/>
          <w:i/>
          <w:sz w:val="18"/>
          <w:szCs w:val="18"/>
        </w:rPr>
        <w:t xml:space="preserve">Baldwin I of Jerusalem: Defender of the Latin Kingdom of Jerusalem </w:t>
      </w:r>
      <w:r w:rsidRPr="006243C2">
        <w:rPr>
          <w:rFonts w:ascii="Tahoma" w:hAnsi="Tahoma" w:cs="Tahoma"/>
          <w:sz w:val="18"/>
          <w:szCs w:val="18"/>
        </w:rPr>
        <w:t xml:space="preserve">(M.A Thesis, Portland State University, 2013) </w:t>
      </w:r>
      <w:hyperlink r:id="rId13" w:history="1">
        <w:r w:rsidRPr="006243C2">
          <w:rPr>
            <w:rStyle w:val="Hyperlink"/>
            <w:rFonts w:ascii="Tahoma" w:hAnsi="Tahoma" w:cs="Tahoma"/>
            <w:color w:val="auto"/>
            <w:sz w:val="18"/>
            <w:szCs w:val="18"/>
          </w:rPr>
          <w:t>https://pdxscholar.library.pdx.edu/cgi/viewcontent.cgi?article=2028&amp;context=open_access_etds</w:t>
        </w:r>
      </w:hyperlink>
      <w:r w:rsidRPr="006243C2">
        <w:rPr>
          <w:rFonts w:ascii="Tahoma" w:hAnsi="Tahoma" w:cs="Tahoma"/>
          <w:sz w:val="18"/>
          <w:szCs w:val="18"/>
        </w:rPr>
        <w:t xml:space="preserve"> [Accessed on 8/03/18]</w:t>
      </w:r>
    </w:p>
    <w:p w14:paraId="1DA26DC2" w14:textId="3DE45818" w:rsidR="006243C2" w:rsidRPr="006243C2" w:rsidRDefault="006243C2" w:rsidP="006243C2">
      <w:pPr>
        <w:pStyle w:val="FootnoteText"/>
        <w:rPr>
          <w:rFonts w:ascii="Tahoma" w:hAnsi="Tahoma" w:cs="Tahoma"/>
          <w:sz w:val="18"/>
          <w:szCs w:val="18"/>
        </w:rPr>
      </w:pPr>
      <w:r>
        <w:rPr>
          <w:rFonts w:ascii="Tahoma" w:hAnsi="Tahoma" w:cs="Tahoma"/>
          <w:sz w:val="18"/>
          <w:szCs w:val="18"/>
        </w:rPr>
        <w:br/>
        <w:t xml:space="preserve">Mayer, </w:t>
      </w:r>
      <w:r w:rsidRPr="006243C2">
        <w:rPr>
          <w:rFonts w:ascii="Tahoma" w:hAnsi="Tahoma" w:cs="Tahoma"/>
          <w:sz w:val="18"/>
          <w:szCs w:val="18"/>
        </w:rPr>
        <w:t>Hans Eberhard,</w:t>
      </w:r>
      <w:r w:rsidRPr="006243C2">
        <w:rPr>
          <w:rFonts w:ascii="Tahoma" w:hAnsi="Tahoma" w:cs="Tahoma"/>
          <w:i/>
          <w:sz w:val="18"/>
          <w:szCs w:val="18"/>
        </w:rPr>
        <w:t xml:space="preserve"> The Crusades </w:t>
      </w:r>
      <w:r w:rsidRPr="006243C2">
        <w:rPr>
          <w:rFonts w:ascii="Tahoma" w:hAnsi="Tahoma" w:cs="Tahoma"/>
          <w:sz w:val="18"/>
          <w:szCs w:val="18"/>
        </w:rPr>
        <w:t>second edition (New York, Oxford University Press, 1972) pp 21-22</w:t>
      </w:r>
    </w:p>
    <w:p w14:paraId="33201453" w14:textId="06A0D832" w:rsidR="006243C2" w:rsidRPr="006243C2" w:rsidRDefault="006243C2" w:rsidP="006243C2">
      <w:pPr>
        <w:pStyle w:val="FootnoteText"/>
        <w:ind w:left="1620"/>
        <w:rPr>
          <w:rFonts w:ascii="Tahoma" w:hAnsi="Tahoma" w:cs="Tahoma"/>
          <w:sz w:val="18"/>
          <w:szCs w:val="18"/>
        </w:rPr>
      </w:pPr>
      <w:r>
        <w:rPr>
          <w:rFonts w:ascii="Tahoma" w:eastAsia="+mn-ea" w:hAnsi="Tahoma" w:cs="Tahoma"/>
          <w:kern w:val="24"/>
          <w:sz w:val="18"/>
          <w:szCs w:val="18"/>
        </w:rPr>
        <w:br/>
      </w:r>
      <w:r w:rsidRPr="006243C2">
        <w:rPr>
          <w:rFonts w:ascii="Tahoma" w:eastAsia="+mn-ea" w:hAnsi="Tahoma" w:cs="Tahoma"/>
          <w:kern w:val="24"/>
          <w:sz w:val="18"/>
          <w:szCs w:val="18"/>
        </w:rPr>
        <w:t xml:space="preserve">Royal 16 G VI f. 155 </w:t>
      </w:r>
      <w:r w:rsidRPr="006243C2">
        <w:rPr>
          <w:rFonts w:ascii="Tahoma" w:eastAsia="+mn-ea" w:hAnsi="Tahoma" w:cs="Tahoma"/>
          <w:kern w:val="24"/>
          <w:sz w:val="18"/>
          <w:szCs w:val="18"/>
        </w:rPr>
        <w:tab/>
        <w:t>Saracens</w:t>
      </w:r>
      <w:r>
        <w:rPr>
          <w:rFonts w:ascii="Tahoma" w:eastAsia="+mn-ea" w:hAnsi="Tahoma" w:cs="Tahoma"/>
          <w:kern w:val="24"/>
          <w:sz w:val="18"/>
          <w:szCs w:val="18"/>
        </w:rPr>
        <w:br/>
      </w:r>
      <w:r w:rsidRPr="006243C2">
        <w:rPr>
          <w:rFonts w:ascii="Tahoma" w:eastAsia="+mn-ea" w:hAnsi="Tahoma" w:cs="Tahoma"/>
          <w:kern w:val="24"/>
          <w:sz w:val="18"/>
          <w:szCs w:val="18"/>
        </w:rPr>
        <w:t xml:space="preserve">Origin: </w:t>
      </w:r>
      <w:r w:rsidRPr="006243C2">
        <w:rPr>
          <w:rFonts w:ascii="Tahoma" w:eastAsia="+mn-ea" w:hAnsi="Tahoma" w:cs="Tahoma"/>
          <w:kern w:val="24"/>
          <w:sz w:val="18"/>
          <w:szCs w:val="18"/>
        </w:rPr>
        <w:tab/>
        <w:t>France, Central (Paris)</w:t>
      </w:r>
    </w:p>
    <w:p w14:paraId="70B8867F" w14:textId="6392999A" w:rsidR="006243C2" w:rsidRPr="006243C2" w:rsidRDefault="006243C2" w:rsidP="006243C2">
      <w:pPr>
        <w:pStyle w:val="FootnoteText"/>
        <w:rPr>
          <w:rFonts w:ascii="Tahoma" w:hAnsi="Tahoma" w:cs="Tahoma"/>
          <w:sz w:val="18"/>
          <w:szCs w:val="18"/>
        </w:rPr>
      </w:pPr>
      <w:r>
        <w:rPr>
          <w:rFonts w:ascii="Tahoma" w:hAnsi="Tahoma" w:cs="Tahoma"/>
          <w:sz w:val="18"/>
          <w:szCs w:val="18"/>
        </w:rPr>
        <w:br/>
        <w:t>Saunders, J.J.,</w:t>
      </w:r>
      <w:r w:rsidRPr="006243C2">
        <w:rPr>
          <w:rFonts w:ascii="Tahoma" w:hAnsi="Tahoma" w:cs="Tahoma"/>
          <w:sz w:val="18"/>
          <w:szCs w:val="18"/>
        </w:rPr>
        <w:t xml:space="preserve"> </w:t>
      </w:r>
      <w:r w:rsidRPr="006243C2">
        <w:rPr>
          <w:rFonts w:ascii="Tahoma" w:hAnsi="Tahoma" w:cs="Tahoma"/>
          <w:i/>
          <w:sz w:val="18"/>
          <w:szCs w:val="18"/>
        </w:rPr>
        <w:t xml:space="preserve">A History of Medieval Islam </w:t>
      </w:r>
      <w:r w:rsidRPr="006243C2">
        <w:rPr>
          <w:rFonts w:ascii="Tahoma" w:hAnsi="Tahoma" w:cs="Tahoma"/>
          <w:sz w:val="18"/>
          <w:szCs w:val="18"/>
        </w:rPr>
        <w:t xml:space="preserve">(London, Routledge, 1978) </w:t>
      </w:r>
      <w:proofErr w:type="spellStart"/>
      <w:r w:rsidRPr="006243C2">
        <w:rPr>
          <w:rFonts w:ascii="Tahoma" w:hAnsi="Tahoma" w:cs="Tahoma"/>
          <w:sz w:val="18"/>
          <w:szCs w:val="18"/>
        </w:rPr>
        <w:t>chpt</w:t>
      </w:r>
      <w:proofErr w:type="spellEnd"/>
      <w:r w:rsidRPr="006243C2">
        <w:rPr>
          <w:rFonts w:ascii="Tahoma" w:hAnsi="Tahoma" w:cs="Tahoma"/>
          <w:sz w:val="18"/>
          <w:szCs w:val="18"/>
        </w:rPr>
        <w:t xml:space="preserve"> 9</w:t>
      </w:r>
    </w:p>
    <w:p w14:paraId="720CA7E0" w14:textId="229C22CB" w:rsidR="006243C2" w:rsidRPr="006243C2" w:rsidRDefault="006243C2" w:rsidP="006243C2">
      <w:pPr>
        <w:pStyle w:val="FootnoteText"/>
        <w:rPr>
          <w:rFonts w:ascii="Tahoma" w:hAnsi="Tahoma" w:cs="Tahoma"/>
          <w:sz w:val="18"/>
          <w:szCs w:val="18"/>
        </w:rPr>
      </w:pPr>
      <w:r>
        <w:rPr>
          <w:rFonts w:ascii="Tahoma" w:hAnsi="Tahoma" w:cs="Tahoma"/>
          <w:sz w:val="18"/>
          <w:szCs w:val="18"/>
        </w:rPr>
        <w:br/>
        <w:t>Shaw, Jeffrey M.</w:t>
      </w:r>
      <w:r w:rsidRPr="006243C2">
        <w:rPr>
          <w:rFonts w:ascii="Tahoma" w:hAnsi="Tahoma" w:cs="Tahoma"/>
          <w:sz w:val="18"/>
          <w:szCs w:val="18"/>
          <w:shd w:val="clear" w:color="auto" w:fill="FFFFFF"/>
        </w:rPr>
        <w:t xml:space="preserve">, Timothy J. Demy, </w:t>
      </w:r>
      <w:r w:rsidRPr="006243C2">
        <w:rPr>
          <w:rFonts w:ascii="Tahoma" w:hAnsi="Tahoma" w:cs="Tahoma"/>
          <w:i/>
          <w:sz w:val="18"/>
          <w:szCs w:val="18"/>
          <w:shd w:val="clear" w:color="auto" w:fill="FFFFFF"/>
        </w:rPr>
        <w:t xml:space="preserve">War and religion: an encyclopaedia of faith and conflict </w:t>
      </w:r>
      <w:r w:rsidRPr="006243C2">
        <w:rPr>
          <w:rFonts w:ascii="Tahoma" w:hAnsi="Tahoma" w:cs="Tahoma"/>
          <w:sz w:val="18"/>
          <w:szCs w:val="18"/>
          <w:shd w:val="clear" w:color="auto" w:fill="FFFFFF"/>
        </w:rPr>
        <w:t xml:space="preserve">(California, ABC-CLIO, 2017) p208 </w:t>
      </w:r>
      <w:bookmarkStart w:id="11" w:name="_GoBack"/>
      <w:bookmarkEnd w:id="11"/>
    </w:p>
    <w:sectPr w:rsidR="006243C2" w:rsidRPr="006243C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Lucy Peebles (1701044)" w:date="2018-03-15T20:31:00Z" w:initials="LP(">
    <w:p w14:paraId="5591D8F6" w14:textId="77777777" w:rsidR="00FE405F" w:rsidRPr="00435163" w:rsidRDefault="00FE405F" w:rsidP="00BD7221">
      <w:pPr>
        <w:pStyle w:val="NormalWeb"/>
        <w:spacing w:before="0" w:beforeAutospacing="0" w:after="0" w:afterAutospacing="0"/>
      </w:pPr>
      <w:r>
        <w:rPr>
          <w:rStyle w:val="CommentReference"/>
        </w:rPr>
        <w:annotationRef/>
      </w:r>
      <w:bookmarkStart w:id="8" w:name="_Hlk509145832"/>
      <w:r w:rsidRPr="00435163">
        <w:rPr>
          <w:rFonts w:ascii="Calibri" w:eastAsia="+mn-ea" w:hAnsi="Calibri" w:cs="+mn-cs"/>
          <w:kern w:val="24"/>
          <w:sz w:val="36"/>
          <w:szCs w:val="36"/>
        </w:rPr>
        <w:t xml:space="preserve">Royal 16 G VI f. 155 </w:t>
      </w:r>
      <w:r w:rsidRPr="00435163">
        <w:rPr>
          <w:rFonts w:ascii="Calibri" w:eastAsia="+mn-ea" w:hAnsi="Calibri" w:cs="+mn-cs"/>
          <w:kern w:val="24"/>
          <w:sz w:val="36"/>
          <w:szCs w:val="36"/>
        </w:rPr>
        <w:tab/>
        <w:t>Saracens</w:t>
      </w:r>
    </w:p>
    <w:p w14:paraId="573D4097" w14:textId="77777777" w:rsidR="00FE405F" w:rsidRPr="00435163" w:rsidRDefault="00FE405F" w:rsidP="00BD7221">
      <w:pPr>
        <w:pStyle w:val="NormalWeb"/>
        <w:spacing w:before="0" w:beforeAutospacing="0" w:after="0" w:afterAutospacing="0"/>
      </w:pPr>
      <w:r w:rsidRPr="00435163">
        <w:rPr>
          <w:rFonts w:ascii="Calibri" w:eastAsia="+mn-ea" w:hAnsi="Calibri" w:cs="+mn-cs"/>
          <w:kern w:val="24"/>
          <w:sz w:val="36"/>
          <w:szCs w:val="36"/>
        </w:rPr>
        <w:tab/>
      </w:r>
      <w:r w:rsidRPr="00435163">
        <w:rPr>
          <w:rFonts w:ascii="Calibri" w:eastAsia="+mn-ea" w:hAnsi="Calibri" w:cs="+mn-cs"/>
          <w:kern w:val="24"/>
          <w:sz w:val="36"/>
          <w:szCs w:val="36"/>
        </w:rPr>
        <w:tab/>
        <w:t xml:space="preserve">Origin: </w:t>
      </w:r>
      <w:r w:rsidRPr="00435163">
        <w:rPr>
          <w:rFonts w:ascii="Calibri" w:eastAsia="+mn-ea" w:hAnsi="Calibri" w:cs="+mn-cs"/>
          <w:kern w:val="24"/>
          <w:sz w:val="36"/>
          <w:szCs w:val="36"/>
        </w:rPr>
        <w:tab/>
        <w:t xml:space="preserve">France, Central (Paris) </w:t>
      </w:r>
      <w:bookmarkEnd w:id="8"/>
    </w:p>
    <w:p w14:paraId="2E7E9F87" w14:textId="4ABAD0C3" w:rsidR="00FE405F" w:rsidRDefault="00FE405F">
      <w:pPr>
        <w:pStyle w:val="CommentText"/>
      </w:pPr>
    </w:p>
  </w:comment>
  <w:comment w:id="10" w:author="Lucy Peebles (1701044)" w:date="2018-03-18T12:39:00Z" w:initials="LP(">
    <w:p w14:paraId="46D6F38D" w14:textId="5489CCD8" w:rsidR="00B26C4A" w:rsidRDefault="00B26C4A">
      <w:pPr>
        <w:pStyle w:val="CommentText"/>
      </w:pPr>
      <w:r>
        <w:rPr>
          <w:rStyle w:val="CommentReference"/>
        </w:rPr>
        <w:annotationRef/>
      </w:r>
      <w:r>
        <w:t>The first crusade: a new history p</w:t>
      </w:r>
      <w:r w:rsidR="005C2F2D">
        <w:t>p66-</w:t>
      </w:r>
      <w:r>
        <w:t>68</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7E9F87" w15:done="0"/>
  <w15:commentEx w15:paraId="46D6F38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7E9F87" w16cid:durableId="1E5556B6"/>
  <w16cid:commentId w16cid:paraId="46D6F38D" w16cid:durableId="1E58DC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F61E6" w14:textId="77777777" w:rsidR="008E2B0D" w:rsidRDefault="008E2B0D" w:rsidP="00773AC2">
      <w:pPr>
        <w:spacing w:after="0" w:line="240" w:lineRule="auto"/>
      </w:pPr>
      <w:r>
        <w:separator/>
      </w:r>
    </w:p>
  </w:endnote>
  <w:endnote w:type="continuationSeparator" w:id="0">
    <w:p w14:paraId="15E1B0D1" w14:textId="77777777" w:rsidR="008E2B0D" w:rsidRDefault="008E2B0D" w:rsidP="0077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9E4AA" w14:textId="77777777" w:rsidR="008E2B0D" w:rsidRDefault="008E2B0D" w:rsidP="00773AC2">
      <w:pPr>
        <w:spacing w:after="0" w:line="240" w:lineRule="auto"/>
      </w:pPr>
      <w:r>
        <w:separator/>
      </w:r>
    </w:p>
  </w:footnote>
  <w:footnote w:type="continuationSeparator" w:id="0">
    <w:p w14:paraId="2BFFC4F4" w14:textId="77777777" w:rsidR="008E2B0D" w:rsidRDefault="008E2B0D" w:rsidP="00773AC2">
      <w:pPr>
        <w:spacing w:after="0" w:line="240" w:lineRule="auto"/>
      </w:pPr>
      <w:r>
        <w:continuationSeparator/>
      </w:r>
    </w:p>
  </w:footnote>
  <w:footnote w:id="1">
    <w:p w14:paraId="07BBD851" w14:textId="15456204" w:rsidR="00773AC2" w:rsidRDefault="00773AC2">
      <w:pPr>
        <w:pStyle w:val="FootnoteText"/>
      </w:pPr>
      <w:bookmarkStart w:id="1" w:name="_Hlk509147444"/>
      <w:r>
        <w:rPr>
          <w:rStyle w:val="FootnoteReference"/>
        </w:rPr>
        <w:footnoteRef/>
      </w:r>
      <w:r>
        <w:t xml:space="preserve"> </w:t>
      </w:r>
      <w:r w:rsidR="00AB02E9">
        <w:rPr>
          <w:rFonts w:ascii="Tahoma" w:hAnsi="Tahoma" w:cs="Tahoma"/>
          <w:color w:val="000000"/>
          <w:sz w:val="18"/>
          <w:szCs w:val="18"/>
        </w:rPr>
        <w:t xml:space="preserve">August. C. </w:t>
      </w:r>
      <w:proofErr w:type="spellStart"/>
      <w:r w:rsidR="00AB02E9">
        <w:rPr>
          <w:rFonts w:ascii="Tahoma" w:hAnsi="Tahoma" w:cs="Tahoma"/>
          <w:color w:val="000000"/>
          <w:sz w:val="18"/>
          <w:szCs w:val="18"/>
        </w:rPr>
        <w:t>Krey</w:t>
      </w:r>
      <w:proofErr w:type="spellEnd"/>
      <w:r w:rsidR="00AB02E9">
        <w:rPr>
          <w:rFonts w:ascii="Tahoma" w:hAnsi="Tahoma" w:cs="Tahoma"/>
          <w:color w:val="000000"/>
          <w:sz w:val="18"/>
          <w:szCs w:val="18"/>
        </w:rPr>
        <w:t>, </w:t>
      </w:r>
      <w:r w:rsidR="00AB02E9">
        <w:rPr>
          <w:rFonts w:ascii="Tahoma" w:hAnsi="Tahoma" w:cs="Tahoma"/>
          <w:i/>
          <w:iCs/>
          <w:color w:val="000000"/>
          <w:sz w:val="18"/>
          <w:szCs w:val="18"/>
        </w:rPr>
        <w:t>The First Crusade: The Accounts of Eyewitnesses and Participants</w:t>
      </w:r>
      <w:r w:rsidR="00AB02E9">
        <w:rPr>
          <w:rFonts w:ascii="Tahoma" w:hAnsi="Tahoma" w:cs="Tahoma"/>
          <w:color w:val="000000"/>
          <w:sz w:val="18"/>
          <w:szCs w:val="18"/>
        </w:rPr>
        <w:t>, (Princeton: 1921), 53-54</w:t>
      </w:r>
    </w:p>
  </w:footnote>
  <w:footnote w:id="2">
    <w:p w14:paraId="4B5DEF17" w14:textId="5D427888" w:rsidR="00773AC2" w:rsidRPr="001542BF" w:rsidRDefault="00773AC2">
      <w:pPr>
        <w:pStyle w:val="FootnoteText"/>
      </w:pPr>
      <w:r>
        <w:rPr>
          <w:rStyle w:val="FootnoteReference"/>
        </w:rPr>
        <w:footnoteRef/>
      </w:r>
      <w:r>
        <w:t xml:space="preserve"> </w:t>
      </w:r>
      <w:r w:rsidR="001542BF">
        <w:t xml:space="preserve">C.G. </w:t>
      </w:r>
      <w:proofErr w:type="spellStart"/>
      <w:r w:rsidR="001542BF">
        <w:t>Coulton</w:t>
      </w:r>
      <w:proofErr w:type="spellEnd"/>
      <w:r w:rsidR="001542BF">
        <w:t xml:space="preserve">, </w:t>
      </w:r>
      <w:r w:rsidR="001542BF">
        <w:rPr>
          <w:i/>
        </w:rPr>
        <w:t xml:space="preserve">Crusades, Commerce and Adventure </w:t>
      </w:r>
      <w:r w:rsidR="001542BF">
        <w:t>(London, Thomas Nelson and Sons, LTD, 1930) p27</w:t>
      </w:r>
    </w:p>
  </w:footnote>
  <w:footnote w:id="3">
    <w:p w14:paraId="64B66DB4" w14:textId="794CC629" w:rsidR="00104F7E" w:rsidRPr="001542BF" w:rsidRDefault="00104F7E">
      <w:pPr>
        <w:pStyle w:val="FootnoteText"/>
      </w:pPr>
      <w:r>
        <w:rPr>
          <w:rStyle w:val="FootnoteReference"/>
        </w:rPr>
        <w:footnoteRef/>
      </w:r>
      <w:r>
        <w:t xml:space="preserve"> </w:t>
      </w:r>
      <w:r w:rsidR="001542BF">
        <w:t>Hans Eberhard Mayer,</w:t>
      </w:r>
      <w:r w:rsidR="001542BF">
        <w:rPr>
          <w:i/>
        </w:rPr>
        <w:t xml:space="preserve"> The Crusades </w:t>
      </w:r>
      <w:r w:rsidR="001542BF">
        <w:t>second edition (</w:t>
      </w:r>
      <w:r w:rsidR="008D247F">
        <w:t>New York, Oxford University Press, 1972) pp 21-22</w:t>
      </w:r>
    </w:p>
  </w:footnote>
  <w:footnote w:id="4">
    <w:p w14:paraId="499C0F78" w14:textId="7A855053" w:rsidR="00104F7E" w:rsidRDefault="00104F7E">
      <w:pPr>
        <w:pStyle w:val="FootnoteText"/>
      </w:pPr>
      <w:r>
        <w:rPr>
          <w:rStyle w:val="FootnoteReference"/>
        </w:rPr>
        <w:footnoteRef/>
      </w:r>
      <w:r>
        <w:t xml:space="preserve"> </w:t>
      </w:r>
      <w:proofErr w:type="spellStart"/>
      <w:r w:rsidR="00AB02E9">
        <w:rPr>
          <w:rFonts w:ascii="Tahoma" w:hAnsi="Tahoma" w:cs="Tahoma"/>
          <w:color w:val="000000"/>
          <w:sz w:val="18"/>
          <w:szCs w:val="18"/>
        </w:rPr>
        <w:t>Krey</w:t>
      </w:r>
      <w:proofErr w:type="spellEnd"/>
      <w:r w:rsidR="00AB02E9">
        <w:rPr>
          <w:rFonts w:ascii="Tahoma" w:hAnsi="Tahoma" w:cs="Tahoma"/>
          <w:color w:val="000000"/>
          <w:sz w:val="18"/>
          <w:szCs w:val="18"/>
        </w:rPr>
        <w:t>, </w:t>
      </w:r>
      <w:r w:rsidR="00AB02E9">
        <w:rPr>
          <w:rFonts w:ascii="Tahoma" w:hAnsi="Tahoma" w:cs="Tahoma"/>
          <w:i/>
          <w:iCs/>
          <w:color w:val="000000"/>
          <w:sz w:val="18"/>
          <w:szCs w:val="18"/>
        </w:rPr>
        <w:t xml:space="preserve">The First Crusade </w:t>
      </w:r>
      <w:r>
        <w:rPr>
          <w:rFonts w:ascii="Tahoma" w:hAnsi="Tahoma" w:cs="Tahoma"/>
          <w:color w:val="000000"/>
          <w:sz w:val="18"/>
          <w:szCs w:val="18"/>
        </w:rPr>
        <w:t>33-36</w:t>
      </w:r>
    </w:p>
  </w:footnote>
  <w:footnote w:id="5">
    <w:p w14:paraId="4DA5B05A" w14:textId="641CD015" w:rsidR="00104F7E" w:rsidRDefault="00104F7E">
      <w:pPr>
        <w:pStyle w:val="FootnoteText"/>
      </w:pPr>
      <w:r>
        <w:rPr>
          <w:rStyle w:val="FootnoteReference"/>
        </w:rPr>
        <w:footnoteRef/>
      </w:r>
      <w:r>
        <w:t xml:space="preserve"> </w:t>
      </w:r>
      <w:proofErr w:type="spellStart"/>
      <w:r>
        <w:rPr>
          <w:rFonts w:ascii="Tahoma" w:hAnsi="Tahoma" w:cs="Tahoma"/>
          <w:color w:val="000000"/>
          <w:sz w:val="18"/>
          <w:szCs w:val="18"/>
        </w:rPr>
        <w:t>Bongars</w:t>
      </w:r>
      <w:proofErr w:type="spellEnd"/>
      <w:r>
        <w:rPr>
          <w:rFonts w:ascii="Tahoma" w:hAnsi="Tahoma" w:cs="Tahoma"/>
          <w:color w:val="000000"/>
          <w:sz w:val="18"/>
          <w:szCs w:val="18"/>
        </w:rPr>
        <w:t>, </w:t>
      </w:r>
      <w:proofErr w:type="spellStart"/>
      <w:r>
        <w:rPr>
          <w:rFonts w:ascii="Tahoma" w:hAnsi="Tahoma" w:cs="Tahoma"/>
          <w:i/>
          <w:iCs/>
          <w:color w:val="000000"/>
          <w:sz w:val="18"/>
          <w:szCs w:val="18"/>
        </w:rPr>
        <w:t>Gesta</w:t>
      </w:r>
      <w:proofErr w:type="spellEnd"/>
      <w:r>
        <w:rPr>
          <w:rFonts w:ascii="Tahoma" w:hAnsi="Tahoma" w:cs="Tahoma"/>
          <w:i/>
          <w:iCs/>
          <w:color w:val="000000"/>
          <w:sz w:val="18"/>
          <w:szCs w:val="18"/>
        </w:rPr>
        <w:t xml:space="preserve"> Dei per </w:t>
      </w:r>
      <w:proofErr w:type="spellStart"/>
      <w:r>
        <w:rPr>
          <w:rFonts w:ascii="Tahoma" w:hAnsi="Tahoma" w:cs="Tahoma"/>
          <w:i/>
          <w:iCs/>
          <w:color w:val="000000"/>
          <w:sz w:val="18"/>
          <w:szCs w:val="18"/>
        </w:rPr>
        <w:t>Francos</w:t>
      </w:r>
      <w:proofErr w:type="spellEnd"/>
      <w:r>
        <w:rPr>
          <w:rFonts w:ascii="Tahoma" w:hAnsi="Tahoma" w:cs="Tahoma"/>
          <w:color w:val="000000"/>
          <w:sz w:val="18"/>
          <w:szCs w:val="18"/>
        </w:rPr>
        <w:t>, 1, pp. 382 f., trans in Oliver J. Thatcher, and Edgar Holmes McNeal, eds., </w:t>
      </w:r>
      <w:r>
        <w:rPr>
          <w:rFonts w:ascii="Tahoma" w:hAnsi="Tahoma" w:cs="Tahoma"/>
          <w:i/>
          <w:iCs/>
          <w:color w:val="000000"/>
          <w:sz w:val="18"/>
          <w:szCs w:val="18"/>
        </w:rPr>
        <w:t>A Source Book for Medieval History</w:t>
      </w:r>
      <w:r>
        <w:rPr>
          <w:rFonts w:ascii="Tahoma" w:hAnsi="Tahoma" w:cs="Tahoma"/>
          <w:color w:val="000000"/>
          <w:sz w:val="18"/>
          <w:szCs w:val="18"/>
        </w:rPr>
        <w:t xml:space="preserve">, (New York: </w:t>
      </w:r>
      <w:proofErr w:type="spellStart"/>
      <w:r>
        <w:rPr>
          <w:rFonts w:ascii="Tahoma" w:hAnsi="Tahoma" w:cs="Tahoma"/>
          <w:color w:val="000000"/>
          <w:sz w:val="18"/>
          <w:szCs w:val="18"/>
        </w:rPr>
        <w:t>Scribners</w:t>
      </w:r>
      <w:proofErr w:type="spellEnd"/>
      <w:r>
        <w:rPr>
          <w:rFonts w:ascii="Tahoma" w:hAnsi="Tahoma" w:cs="Tahoma"/>
          <w:color w:val="000000"/>
          <w:sz w:val="18"/>
          <w:szCs w:val="18"/>
        </w:rPr>
        <w:t>, 1905), 513-17 </w:t>
      </w:r>
    </w:p>
  </w:footnote>
  <w:footnote w:id="6">
    <w:p w14:paraId="5D7474FD" w14:textId="3D63661B" w:rsidR="00104F7E" w:rsidRDefault="00104F7E">
      <w:pPr>
        <w:pStyle w:val="FootnoteText"/>
      </w:pPr>
      <w:r>
        <w:rPr>
          <w:rStyle w:val="FootnoteReference"/>
        </w:rPr>
        <w:footnoteRef/>
      </w:r>
      <w:r>
        <w:t xml:space="preserve"> </w:t>
      </w:r>
      <w:bookmarkStart w:id="2" w:name="_Hlk509142514"/>
      <w:bookmarkStart w:id="3" w:name="_Hlk509143443"/>
      <w:proofErr w:type="spellStart"/>
      <w:r>
        <w:rPr>
          <w:rFonts w:ascii="Tahoma" w:hAnsi="Tahoma" w:cs="Tahoma"/>
          <w:color w:val="000000"/>
          <w:sz w:val="18"/>
          <w:szCs w:val="18"/>
        </w:rPr>
        <w:t>Krey</w:t>
      </w:r>
      <w:proofErr w:type="spellEnd"/>
      <w:r>
        <w:rPr>
          <w:rFonts w:ascii="Tahoma" w:hAnsi="Tahoma" w:cs="Tahoma"/>
          <w:color w:val="000000"/>
          <w:sz w:val="18"/>
          <w:szCs w:val="18"/>
        </w:rPr>
        <w:t>, </w:t>
      </w:r>
      <w:r>
        <w:rPr>
          <w:rFonts w:ascii="Tahoma" w:hAnsi="Tahoma" w:cs="Tahoma"/>
          <w:i/>
          <w:iCs/>
          <w:color w:val="000000"/>
          <w:sz w:val="18"/>
          <w:szCs w:val="18"/>
        </w:rPr>
        <w:t>The First Crusade</w:t>
      </w:r>
      <w:r>
        <w:rPr>
          <w:rFonts w:ascii="Tahoma" w:hAnsi="Tahoma" w:cs="Tahoma"/>
          <w:i/>
          <w:iCs/>
          <w:color w:val="000000"/>
          <w:sz w:val="18"/>
          <w:szCs w:val="18"/>
        </w:rPr>
        <w:t xml:space="preserve"> </w:t>
      </w:r>
      <w:bookmarkEnd w:id="3"/>
      <w:r>
        <w:rPr>
          <w:rFonts w:ascii="Tahoma" w:hAnsi="Tahoma" w:cs="Tahoma"/>
          <w:color w:val="000000"/>
          <w:sz w:val="18"/>
          <w:szCs w:val="18"/>
        </w:rPr>
        <w:t>28-30. </w:t>
      </w:r>
    </w:p>
    <w:bookmarkEnd w:id="2"/>
  </w:footnote>
  <w:footnote w:id="7">
    <w:p w14:paraId="2FFD4207" w14:textId="4B95F72B" w:rsidR="00104F7E" w:rsidRPr="008D247F" w:rsidRDefault="00104F7E">
      <w:pPr>
        <w:pStyle w:val="FootnoteText"/>
      </w:pPr>
      <w:r>
        <w:rPr>
          <w:rStyle w:val="FootnoteReference"/>
        </w:rPr>
        <w:footnoteRef/>
      </w:r>
      <w:r>
        <w:t xml:space="preserve"> </w:t>
      </w:r>
      <w:r w:rsidR="008D247F">
        <w:t xml:space="preserve">Mayer, </w:t>
      </w:r>
      <w:r w:rsidR="008D247F">
        <w:rPr>
          <w:i/>
        </w:rPr>
        <w:t>The Crusades</w:t>
      </w:r>
      <w:r w:rsidR="008D247F">
        <w:t xml:space="preserve"> pp 21-22</w:t>
      </w:r>
    </w:p>
  </w:footnote>
  <w:footnote w:id="8">
    <w:p w14:paraId="2FF89937" w14:textId="4263B529" w:rsidR="00565A92" w:rsidRPr="008D247F" w:rsidRDefault="00104F7E">
      <w:pPr>
        <w:pStyle w:val="FootnoteText"/>
      </w:pPr>
      <w:bookmarkStart w:id="4" w:name="_Hlk509147430"/>
      <w:r>
        <w:rPr>
          <w:rStyle w:val="FootnoteReference"/>
        </w:rPr>
        <w:footnoteRef/>
      </w:r>
      <w:r>
        <w:t xml:space="preserve"> </w:t>
      </w:r>
      <w:r w:rsidR="008D247F">
        <w:t xml:space="preserve">Alfred Duggan, </w:t>
      </w:r>
      <w:r w:rsidR="008D247F">
        <w:rPr>
          <w:i/>
        </w:rPr>
        <w:t xml:space="preserve">The Story of the Crusades </w:t>
      </w:r>
      <w:r w:rsidR="008D247F">
        <w:t>(London, Faber and Faber,1963) p24</w:t>
      </w:r>
    </w:p>
  </w:footnote>
  <w:footnote w:id="9">
    <w:p w14:paraId="4AEA0618" w14:textId="433E8210" w:rsidR="00104F7E" w:rsidRPr="001542BF" w:rsidRDefault="00104F7E">
      <w:pPr>
        <w:pStyle w:val="FootnoteText"/>
        <w:rPr>
          <w:rFonts w:ascii="Tahoma" w:hAnsi="Tahoma" w:cs="Tahoma"/>
        </w:rPr>
      </w:pPr>
      <w:bookmarkStart w:id="5" w:name="_Hlk509144066"/>
      <w:r w:rsidRPr="001542BF">
        <w:rPr>
          <w:rStyle w:val="FootnoteReference"/>
          <w:rFonts w:ascii="Tahoma" w:hAnsi="Tahoma" w:cs="Tahoma"/>
          <w:sz w:val="18"/>
        </w:rPr>
        <w:footnoteRef/>
      </w:r>
      <w:r w:rsidRPr="001542BF">
        <w:rPr>
          <w:rFonts w:ascii="Tahoma" w:hAnsi="Tahoma" w:cs="Tahoma"/>
          <w:sz w:val="18"/>
        </w:rPr>
        <w:t xml:space="preserve"> </w:t>
      </w:r>
      <w:proofErr w:type="spellStart"/>
      <w:r w:rsidR="001542BF" w:rsidRPr="001542BF">
        <w:rPr>
          <w:rFonts w:ascii="Tahoma" w:hAnsi="Tahoma" w:cs="Tahoma"/>
          <w:sz w:val="18"/>
        </w:rPr>
        <w:t>Coulton</w:t>
      </w:r>
      <w:proofErr w:type="spellEnd"/>
      <w:r w:rsidR="001542BF" w:rsidRPr="001542BF">
        <w:rPr>
          <w:rFonts w:ascii="Tahoma" w:hAnsi="Tahoma" w:cs="Tahoma"/>
          <w:sz w:val="18"/>
        </w:rPr>
        <w:t xml:space="preserve">, </w:t>
      </w:r>
      <w:r w:rsidR="001542BF" w:rsidRPr="001542BF">
        <w:rPr>
          <w:rFonts w:ascii="Tahoma" w:hAnsi="Tahoma" w:cs="Tahoma"/>
          <w:i/>
          <w:sz w:val="18"/>
        </w:rPr>
        <w:t xml:space="preserve">Crusades, Commerce and Adventure </w:t>
      </w:r>
      <w:r w:rsidR="001542BF" w:rsidRPr="001542BF">
        <w:rPr>
          <w:rFonts w:ascii="Tahoma" w:hAnsi="Tahoma" w:cs="Tahoma"/>
          <w:sz w:val="18"/>
        </w:rPr>
        <w:t>P28</w:t>
      </w:r>
    </w:p>
    <w:bookmarkEnd w:id="5"/>
  </w:footnote>
  <w:footnote w:id="10">
    <w:p w14:paraId="73033431" w14:textId="4A76FCCE" w:rsidR="00104F7E" w:rsidRPr="00122F4F" w:rsidRDefault="00104F7E">
      <w:pPr>
        <w:pStyle w:val="FootnoteText"/>
      </w:pPr>
      <w:r>
        <w:rPr>
          <w:rStyle w:val="FootnoteReference"/>
        </w:rPr>
        <w:footnoteRef/>
      </w:r>
      <w:r>
        <w:t xml:space="preserve"> </w:t>
      </w:r>
      <w:r w:rsidR="00122F4F">
        <w:t>John Francis Lowe, ‘</w:t>
      </w:r>
      <w:r w:rsidR="00122F4F">
        <w:rPr>
          <w:i/>
        </w:rPr>
        <w:t>Baldwin I of Jerusalem</w:t>
      </w:r>
      <w:r w:rsidR="00122F4F" w:rsidRPr="00122F4F">
        <w:rPr>
          <w:i/>
        </w:rPr>
        <w:t>: Defender of the Latin Kingdom of Jerusalem</w:t>
      </w:r>
      <w:r w:rsidR="00122F4F">
        <w:rPr>
          <w:i/>
        </w:rPr>
        <w:t xml:space="preserve"> </w:t>
      </w:r>
      <w:r w:rsidR="00122F4F">
        <w:t xml:space="preserve">(M.A Thesis, Portland State University, 2013) </w:t>
      </w:r>
      <w:hyperlink r:id="rId1" w:history="1">
        <w:r w:rsidR="00122F4F" w:rsidRPr="00BD49CA">
          <w:rPr>
            <w:rStyle w:val="Hyperlink"/>
          </w:rPr>
          <w:t>https://pdxscholar.library.pdx.edu/cgi/viewcontent.cgi?article=2028&amp;context=open_access_etds</w:t>
        </w:r>
      </w:hyperlink>
      <w:r w:rsidR="00122F4F">
        <w:t xml:space="preserve"> [Accessed on 8/03/18]</w:t>
      </w:r>
    </w:p>
  </w:footnote>
  <w:footnote w:id="11">
    <w:p w14:paraId="1C996B31" w14:textId="5F57EF4A" w:rsidR="00122F4F" w:rsidRPr="00122F4F" w:rsidRDefault="00BA7CE5">
      <w:pPr>
        <w:pStyle w:val="FootnoteText"/>
      </w:pPr>
      <w:r>
        <w:rPr>
          <w:rStyle w:val="FootnoteReference"/>
        </w:rPr>
        <w:footnoteRef/>
      </w:r>
      <w:r>
        <w:t xml:space="preserve"> </w:t>
      </w:r>
      <w:r w:rsidR="00122F4F">
        <w:t xml:space="preserve">Carl Erdmann, </w:t>
      </w:r>
      <w:r w:rsidR="00122F4F">
        <w:rPr>
          <w:i/>
        </w:rPr>
        <w:t xml:space="preserve">The Origin of the Idea of Crusade </w:t>
      </w:r>
      <w:r w:rsidR="00122F4F">
        <w:t>(Surrey, Princeton University Press, 1977) p3</w:t>
      </w:r>
    </w:p>
  </w:footnote>
  <w:footnote w:id="12">
    <w:p w14:paraId="71F85FE1" w14:textId="564987C0" w:rsidR="00BA7CE5" w:rsidRDefault="00BA7CE5">
      <w:pPr>
        <w:pStyle w:val="FootnoteText"/>
      </w:pPr>
      <w:r>
        <w:rPr>
          <w:rStyle w:val="FootnoteReference"/>
        </w:rPr>
        <w:footnoteRef/>
      </w:r>
      <w:r>
        <w:t xml:space="preserve"> </w:t>
      </w:r>
      <w:proofErr w:type="spellStart"/>
      <w:r>
        <w:rPr>
          <w:rFonts w:ascii="Tahoma" w:hAnsi="Tahoma" w:cs="Tahoma"/>
          <w:color w:val="000000"/>
          <w:sz w:val="18"/>
          <w:szCs w:val="18"/>
        </w:rPr>
        <w:t>Krey</w:t>
      </w:r>
      <w:proofErr w:type="spellEnd"/>
      <w:r>
        <w:rPr>
          <w:rFonts w:ascii="Tahoma" w:hAnsi="Tahoma" w:cs="Tahoma"/>
          <w:color w:val="000000"/>
          <w:sz w:val="18"/>
          <w:szCs w:val="18"/>
        </w:rPr>
        <w:t>, </w:t>
      </w:r>
      <w:r>
        <w:rPr>
          <w:rFonts w:ascii="Tahoma" w:hAnsi="Tahoma" w:cs="Tahoma"/>
          <w:i/>
          <w:iCs/>
          <w:color w:val="000000"/>
          <w:sz w:val="18"/>
          <w:szCs w:val="18"/>
        </w:rPr>
        <w:t xml:space="preserve">The First Crusade </w:t>
      </w:r>
      <w:r>
        <w:rPr>
          <w:rFonts w:ascii="Tahoma" w:hAnsi="Tahoma" w:cs="Tahoma"/>
          <w:color w:val="000000"/>
          <w:sz w:val="18"/>
          <w:szCs w:val="18"/>
        </w:rPr>
        <w:t>28-30. </w:t>
      </w:r>
    </w:p>
  </w:footnote>
  <w:footnote w:id="13">
    <w:p w14:paraId="3751A991" w14:textId="298185BD" w:rsidR="00BA7CE5" w:rsidRPr="00122F4F" w:rsidRDefault="00BA7CE5" w:rsidP="00122F4F">
      <w:pPr>
        <w:pStyle w:val="Heading1"/>
        <w:shd w:val="clear" w:color="auto" w:fill="FFFFFF"/>
        <w:spacing w:before="161" w:after="161"/>
        <w:rPr>
          <w:rFonts w:ascii="Tahoma" w:eastAsia="Times New Roman" w:hAnsi="Tahoma" w:cs="Tahoma"/>
          <w:bCs/>
          <w:color w:val="auto"/>
          <w:kern w:val="36"/>
          <w:sz w:val="18"/>
          <w:szCs w:val="18"/>
          <w:lang w:eastAsia="en-GB"/>
        </w:rPr>
      </w:pPr>
      <w:r w:rsidRPr="00122F4F">
        <w:rPr>
          <w:rStyle w:val="FootnoteReference"/>
          <w:rFonts w:ascii="Tahoma" w:hAnsi="Tahoma" w:cs="Tahoma"/>
          <w:sz w:val="18"/>
          <w:szCs w:val="18"/>
        </w:rPr>
        <w:footnoteRef/>
      </w:r>
      <w:r w:rsidRPr="00122F4F">
        <w:rPr>
          <w:rFonts w:ascii="Tahoma" w:hAnsi="Tahoma" w:cs="Tahoma"/>
          <w:sz w:val="18"/>
          <w:szCs w:val="18"/>
        </w:rPr>
        <w:t xml:space="preserve"> </w:t>
      </w:r>
      <w:proofErr w:type="spellStart"/>
      <w:r w:rsidR="00122F4F" w:rsidRPr="00122F4F">
        <w:rPr>
          <w:rFonts w:ascii="Tahoma" w:hAnsi="Tahoma" w:cs="Tahoma"/>
          <w:color w:val="auto"/>
          <w:sz w:val="18"/>
          <w:szCs w:val="18"/>
        </w:rPr>
        <w:t>Alixe</w:t>
      </w:r>
      <w:proofErr w:type="spellEnd"/>
      <w:r w:rsidR="00122F4F" w:rsidRPr="00122F4F">
        <w:rPr>
          <w:rFonts w:ascii="Tahoma" w:hAnsi="Tahoma" w:cs="Tahoma"/>
          <w:color w:val="auto"/>
          <w:sz w:val="18"/>
          <w:szCs w:val="18"/>
        </w:rPr>
        <w:t xml:space="preserve"> Bovey, </w:t>
      </w:r>
      <w:r w:rsidR="00122F4F" w:rsidRPr="00122F4F">
        <w:rPr>
          <w:rFonts w:ascii="Tahoma" w:eastAsia="Times New Roman" w:hAnsi="Tahoma" w:cs="Tahoma"/>
          <w:bCs/>
          <w:i/>
          <w:color w:val="auto"/>
          <w:kern w:val="36"/>
          <w:sz w:val="18"/>
          <w:szCs w:val="18"/>
          <w:lang w:eastAsia="en-GB"/>
        </w:rPr>
        <w:t>Death and the afterlife: how dying affected the living</w:t>
      </w:r>
      <w:r w:rsidR="00122F4F">
        <w:rPr>
          <w:rFonts w:ascii="Tahoma" w:eastAsia="Times New Roman" w:hAnsi="Tahoma" w:cs="Tahoma"/>
          <w:bCs/>
          <w:i/>
          <w:color w:val="auto"/>
          <w:kern w:val="36"/>
          <w:sz w:val="18"/>
          <w:szCs w:val="18"/>
          <w:lang w:eastAsia="en-GB"/>
        </w:rPr>
        <w:t xml:space="preserve"> (</w:t>
      </w:r>
      <w:r w:rsidR="00122F4F" w:rsidRPr="00122F4F">
        <w:rPr>
          <w:rFonts w:ascii="Tahoma" w:eastAsia="Times New Roman" w:hAnsi="Tahoma" w:cs="Tahoma"/>
          <w:bCs/>
          <w:color w:val="auto"/>
          <w:kern w:val="36"/>
          <w:sz w:val="18"/>
          <w:szCs w:val="18"/>
          <w:lang w:eastAsia="en-GB"/>
        </w:rPr>
        <w:t>2015)</w:t>
      </w:r>
      <w:r w:rsidR="00122F4F">
        <w:rPr>
          <w:rFonts w:ascii="Tahoma" w:eastAsia="Times New Roman" w:hAnsi="Tahoma" w:cs="Tahoma"/>
          <w:bCs/>
          <w:color w:val="auto"/>
          <w:kern w:val="36"/>
          <w:sz w:val="18"/>
          <w:szCs w:val="18"/>
          <w:lang w:eastAsia="en-GB"/>
        </w:rPr>
        <w:t xml:space="preserve"> </w:t>
      </w:r>
      <w:r w:rsidR="00C9435C">
        <w:rPr>
          <w:rFonts w:ascii="Tahoma" w:eastAsia="Times New Roman" w:hAnsi="Tahoma" w:cs="Tahoma"/>
          <w:bCs/>
          <w:color w:val="auto"/>
          <w:kern w:val="36"/>
          <w:sz w:val="16"/>
          <w:szCs w:val="18"/>
          <w:lang w:eastAsia="en-GB"/>
        </w:rPr>
        <w:t>&lt;</w:t>
      </w:r>
      <w:hyperlink r:id="rId2" w:history="1">
        <w:r w:rsidR="00C9435C" w:rsidRPr="00BD49CA">
          <w:rPr>
            <w:rStyle w:val="Hyperlink"/>
            <w:rFonts w:ascii="Tahoma" w:eastAsia="Times New Roman" w:hAnsi="Tahoma" w:cs="Tahoma"/>
            <w:bCs/>
            <w:kern w:val="36"/>
            <w:sz w:val="18"/>
            <w:szCs w:val="18"/>
            <w:lang w:eastAsia="en-GB"/>
          </w:rPr>
          <w:t>https://www.bl.uk/the-middle-ages/articles/death-and-the-afterlife-how-dying-affected-the-living</w:t>
        </w:r>
      </w:hyperlink>
      <w:r w:rsidR="00C9435C">
        <w:rPr>
          <w:rFonts w:ascii="Tahoma" w:eastAsia="Times New Roman" w:hAnsi="Tahoma" w:cs="Tahoma"/>
          <w:bCs/>
          <w:color w:val="auto"/>
          <w:kern w:val="36"/>
          <w:sz w:val="18"/>
          <w:szCs w:val="18"/>
          <w:lang w:eastAsia="en-GB"/>
        </w:rPr>
        <w:t>&gt;  [10/03/18]</w:t>
      </w:r>
    </w:p>
  </w:footnote>
  <w:footnote w:id="14">
    <w:p w14:paraId="4856A617" w14:textId="53442B77" w:rsidR="00BA7CE5" w:rsidRDefault="00BA7CE5">
      <w:pPr>
        <w:pStyle w:val="FootnoteText"/>
      </w:pPr>
      <w:r>
        <w:rPr>
          <w:rStyle w:val="FootnoteReference"/>
        </w:rPr>
        <w:footnoteRef/>
      </w:r>
      <w:r>
        <w:t xml:space="preserve"> </w:t>
      </w:r>
      <w:r w:rsidR="00565A92">
        <w:rPr>
          <w:rFonts w:ascii="Tahoma" w:hAnsi="Tahoma" w:cs="Tahoma"/>
          <w:color w:val="000000"/>
          <w:sz w:val="18"/>
          <w:szCs w:val="18"/>
        </w:rPr>
        <w:t xml:space="preserve">In </w:t>
      </w:r>
      <w:proofErr w:type="spellStart"/>
      <w:r w:rsidR="00565A92">
        <w:rPr>
          <w:rFonts w:ascii="Tahoma" w:hAnsi="Tahoma" w:cs="Tahoma"/>
          <w:color w:val="000000"/>
          <w:sz w:val="18"/>
          <w:szCs w:val="18"/>
        </w:rPr>
        <w:t>Migne</w:t>
      </w:r>
      <w:proofErr w:type="spellEnd"/>
      <w:r w:rsidR="00565A92">
        <w:rPr>
          <w:rFonts w:ascii="Tahoma" w:hAnsi="Tahoma" w:cs="Tahoma"/>
          <w:color w:val="000000"/>
          <w:sz w:val="18"/>
          <w:szCs w:val="18"/>
        </w:rPr>
        <w:t>, </w:t>
      </w:r>
      <w:proofErr w:type="spellStart"/>
      <w:r w:rsidR="00565A92">
        <w:rPr>
          <w:rFonts w:ascii="Tahoma" w:hAnsi="Tahoma" w:cs="Tahoma"/>
          <w:i/>
          <w:iCs/>
          <w:color w:val="000000"/>
          <w:sz w:val="18"/>
          <w:szCs w:val="18"/>
        </w:rPr>
        <w:t>Patrologia</w:t>
      </w:r>
      <w:proofErr w:type="spellEnd"/>
      <w:r w:rsidR="00565A92">
        <w:rPr>
          <w:rFonts w:ascii="Tahoma" w:hAnsi="Tahoma" w:cs="Tahoma"/>
          <w:i/>
          <w:iCs/>
          <w:color w:val="000000"/>
          <w:sz w:val="18"/>
          <w:szCs w:val="18"/>
        </w:rPr>
        <w:t xml:space="preserve"> Latina</w:t>
      </w:r>
      <w:r w:rsidR="00565A92">
        <w:rPr>
          <w:rFonts w:ascii="Tahoma" w:hAnsi="Tahoma" w:cs="Tahoma"/>
          <w:color w:val="000000"/>
          <w:sz w:val="18"/>
          <w:szCs w:val="18"/>
        </w:rPr>
        <w:t>, 126: 816 </w:t>
      </w:r>
      <w:r w:rsidR="00565A92">
        <w:rPr>
          <w:rFonts w:ascii="Tahoma" w:hAnsi="Tahoma" w:cs="Tahoma"/>
          <w:color w:val="000000"/>
          <w:sz w:val="18"/>
          <w:szCs w:val="18"/>
        </w:rPr>
        <w:br/>
        <w:t>trans. Oliver J. Thatcher, and Edgar Holmes McNeal, eds., </w:t>
      </w:r>
      <w:r w:rsidR="00565A92">
        <w:rPr>
          <w:rFonts w:ascii="Tahoma" w:hAnsi="Tahoma" w:cs="Tahoma"/>
          <w:i/>
          <w:iCs/>
          <w:color w:val="000000"/>
          <w:sz w:val="18"/>
          <w:szCs w:val="18"/>
        </w:rPr>
        <w:t>A Source Book for Medieval History</w:t>
      </w:r>
      <w:r w:rsidR="00565A92">
        <w:rPr>
          <w:rFonts w:ascii="Tahoma" w:hAnsi="Tahoma" w:cs="Tahoma"/>
          <w:color w:val="000000"/>
          <w:sz w:val="18"/>
          <w:szCs w:val="18"/>
        </w:rPr>
        <w:t xml:space="preserve">, (New York: </w:t>
      </w:r>
      <w:proofErr w:type="spellStart"/>
      <w:r w:rsidR="00565A92">
        <w:rPr>
          <w:rFonts w:ascii="Tahoma" w:hAnsi="Tahoma" w:cs="Tahoma"/>
          <w:color w:val="000000"/>
          <w:sz w:val="18"/>
          <w:szCs w:val="18"/>
        </w:rPr>
        <w:t>Scribners</w:t>
      </w:r>
      <w:proofErr w:type="spellEnd"/>
      <w:r w:rsidR="00565A92">
        <w:rPr>
          <w:rFonts w:ascii="Tahoma" w:hAnsi="Tahoma" w:cs="Tahoma"/>
          <w:color w:val="000000"/>
          <w:sz w:val="18"/>
          <w:szCs w:val="18"/>
        </w:rPr>
        <w:t>, 1905), 512</w:t>
      </w:r>
    </w:p>
  </w:footnote>
  <w:footnote w:id="15">
    <w:p w14:paraId="1930214F" w14:textId="7688B037" w:rsidR="00BA7CE5" w:rsidRPr="001542BF" w:rsidRDefault="00BA7CE5">
      <w:pPr>
        <w:pStyle w:val="FootnoteText"/>
        <w:rPr>
          <w:rFonts w:ascii="Tahoma" w:hAnsi="Tahoma" w:cs="Tahoma"/>
        </w:rPr>
      </w:pPr>
      <w:bookmarkStart w:id="6" w:name="_Hlk509147413"/>
      <w:r>
        <w:rPr>
          <w:rStyle w:val="FootnoteReference"/>
        </w:rPr>
        <w:footnoteRef/>
      </w:r>
      <w:proofErr w:type="spellStart"/>
      <w:r w:rsidR="001542BF" w:rsidRPr="001542BF">
        <w:rPr>
          <w:rFonts w:ascii="Tahoma" w:hAnsi="Tahoma" w:cs="Tahoma"/>
          <w:sz w:val="18"/>
        </w:rPr>
        <w:t>Coulton</w:t>
      </w:r>
      <w:proofErr w:type="spellEnd"/>
      <w:r w:rsidR="001542BF" w:rsidRPr="001542BF">
        <w:rPr>
          <w:rFonts w:ascii="Tahoma" w:hAnsi="Tahoma" w:cs="Tahoma"/>
          <w:sz w:val="18"/>
        </w:rPr>
        <w:t xml:space="preserve">, </w:t>
      </w:r>
      <w:r w:rsidR="001542BF" w:rsidRPr="001542BF">
        <w:rPr>
          <w:rFonts w:ascii="Tahoma" w:hAnsi="Tahoma" w:cs="Tahoma"/>
          <w:i/>
          <w:sz w:val="18"/>
        </w:rPr>
        <w:t xml:space="preserve">Crusades, Commerce and Adventure </w:t>
      </w:r>
      <w:r w:rsidR="001542BF" w:rsidRPr="001542BF">
        <w:rPr>
          <w:rFonts w:ascii="Tahoma" w:hAnsi="Tahoma" w:cs="Tahoma"/>
          <w:sz w:val="18"/>
        </w:rPr>
        <w:t>P2</w:t>
      </w:r>
      <w:r w:rsidR="001542BF">
        <w:rPr>
          <w:rFonts w:ascii="Tahoma" w:hAnsi="Tahoma" w:cs="Tahoma"/>
          <w:sz w:val="18"/>
        </w:rPr>
        <w:t>5</w:t>
      </w:r>
    </w:p>
  </w:footnote>
  <w:footnote w:id="16">
    <w:p w14:paraId="6BD5B4DC" w14:textId="77777777" w:rsidR="00565A92" w:rsidRPr="00565A92" w:rsidRDefault="00BA7CE5" w:rsidP="00565A92">
      <w:pPr>
        <w:pStyle w:val="NormalWeb"/>
        <w:spacing w:before="0" w:beforeAutospacing="0" w:after="0" w:afterAutospacing="0"/>
        <w:rPr>
          <w:rFonts w:ascii="Tahoma" w:hAnsi="Tahoma" w:cs="Tahoma"/>
          <w:sz w:val="18"/>
          <w:szCs w:val="18"/>
        </w:rPr>
      </w:pPr>
      <w:r>
        <w:rPr>
          <w:rStyle w:val="FootnoteReference"/>
        </w:rPr>
        <w:footnoteRef/>
      </w:r>
      <w:r>
        <w:t xml:space="preserve"> </w:t>
      </w:r>
      <w:r w:rsidR="00565A92" w:rsidRPr="00565A92">
        <w:rPr>
          <w:rFonts w:ascii="Tahoma" w:eastAsia="+mn-ea" w:hAnsi="Tahoma" w:cs="Tahoma"/>
          <w:kern w:val="24"/>
          <w:sz w:val="18"/>
          <w:szCs w:val="18"/>
        </w:rPr>
        <w:t xml:space="preserve">Royal 16 G VI f. 155 </w:t>
      </w:r>
      <w:r w:rsidR="00565A92" w:rsidRPr="00565A92">
        <w:rPr>
          <w:rFonts w:ascii="Tahoma" w:eastAsia="+mn-ea" w:hAnsi="Tahoma" w:cs="Tahoma"/>
          <w:kern w:val="24"/>
          <w:sz w:val="18"/>
          <w:szCs w:val="18"/>
        </w:rPr>
        <w:tab/>
        <w:t>Saracens</w:t>
      </w:r>
    </w:p>
    <w:p w14:paraId="08E78E02" w14:textId="0088565C" w:rsidR="00BA7CE5" w:rsidRDefault="00565A92" w:rsidP="00565A92">
      <w:pPr>
        <w:pStyle w:val="FootnoteText"/>
      </w:pPr>
      <w:r w:rsidRPr="00565A92">
        <w:rPr>
          <w:rFonts w:ascii="Tahoma" w:eastAsia="+mn-ea" w:hAnsi="Tahoma" w:cs="Tahoma"/>
          <w:kern w:val="24"/>
          <w:sz w:val="18"/>
          <w:szCs w:val="18"/>
        </w:rPr>
        <w:tab/>
      </w:r>
      <w:r w:rsidRPr="00565A92">
        <w:rPr>
          <w:rFonts w:ascii="Tahoma" w:eastAsia="+mn-ea" w:hAnsi="Tahoma" w:cs="Tahoma"/>
          <w:kern w:val="24"/>
          <w:sz w:val="18"/>
          <w:szCs w:val="18"/>
        </w:rPr>
        <w:tab/>
        <w:t xml:space="preserve">Origin: </w:t>
      </w:r>
      <w:r w:rsidRPr="00565A92">
        <w:rPr>
          <w:rFonts w:ascii="Tahoma" w:eastAsia="+mn-ea" w:hAnsi="Tahoma" w:cs="Tahoma"/>
          <w:kern w:val="24"/>
          <w:sz w:val="18"/>
          <w:szCs w:val="18"/>
        </w:rPr>
        <w:tab/>
        <w:t>France, Central (Paris)</w:t>
      </w:r>
    </w:p>
  </w:footnote>
  <w:footnote w:id="17">
    <w:p w14:paraId="12D67E7D" w14:textId="0A54C692" w:rsidR="00BA7CE5" w:rsidRPr="00565A92" w:rsidRDefault="00BA7CE5">
      <w:pPr>
        <w:pStyle w:val="FootnoteText"/>
        <w:rPr>
          <w:sz w:val="18"/>
        </w:rPr>
      </w:pPr>
      <w:r>
        <w:rPr>
          <w:rStyle w:val="FootnoteReference"/>
        </w:rPr>
        <w:footnoteRef/>
      </w:r>
      <w:r>
        <w:t xml:space="preserve"> </w:t>
      </w:r>
      <w:r w:rsidR="00565A92">
        <w:t xml:space="preserve">J.J. Saunders, </w:t>
      </w:r>
      <w:r w:rsidR="00565A92">
        <w:rPr>
          <w:i/>
        </w:rPr>
        <w:t xml:space="preserve">A History of Medieval Islam </w:t>
      </w:r>
      <w:r w:rsidR="00565A92">
        <w:t xml:space="preserve">(London, Routledge, 1978) </w:t>
      </w:r>
      <w:proofErr w:type="spellStart"/>
      <w:r w:rsidR="00565A92">
        <w:t>chpt</w:t>
      </w:r>
      <w:proofErr w:type="spellEnd"/>
      <w:r w:rsidR="00565A92">
        <w:t xml:space="preserve"> 9</w:t>
      </w:r>
    </w:p>
  </w:footnote>
  <w:footnote w:id="18">
    <w:p w14:paraId="1681BE23" w14:textId="1C4E0EF9" w:rsidR="00BA7CE5" w:rsidRDefault="00BA7CE5">
      <w:pPr>
        <w:pStyle w:val="FootnoteText"/>
      </w:pPr>
      <w:r>
        <w:rPr>
          <w:rStyle w:val="FootnoteReference"/>
        </w:rPr>
        <w:footnoteRef/>
      </w:r>
      <w:r>
        <w:t xml:space="preserve"> </w:t>
      </w:r>
      <w:r>
        <w:rPr>
          <w:rFonts w:ascii="Tahoma" w:hAnsi="Tahoma" w:cs="Tahoma"/>
          <w:color w:val="000000"/>
          <w:sz w:val="18"/>
          <w:szCs w:val="18"/>
        </w:rPr>
        <w:t xml:space="preserve">In </w:t>
      </w:r>
      <w:proofErr w:type="spellStart"/>
      <w:r>
        <w:rPr>
          <w:rFonts w:ascii="Tahoma" w:hAnsi="Tahoma" w:cs="Tahoma"/>
          <w:color w:val="000000"/>
          <w:sz w:val="18"/>
          <w:szCs w:val="18"/>
        </w:rPr>
        <w:t>Migne</w:t>
      </w:r>
      <w:proofErr w:type="spellEnd"/>
      <w:r>
        <w:rPr>
          <w:rFonts w:ascii="Tahoma" w:hAnsi="Tahoma" w:cs="Tahoma"/>
          <w:color w:val="000000"/>
          <w:sz w:val="18"/>
          <w:szCs w:val="18"/>
        </w:rPr>
        <w:t>, </w:t>
      </w:r>
      <w:proofErr w:type="spellStart"/>
      <w:r>
        <w:rPr>
          <w:rFonts w:ascii="Tahoma" w:hAnsi="Tahoma" w:cs="Tahoma"/>
          <w:i/>
          <w:iCs/>
          <w:color w:val="000000"/>
          <w:sz w:val="18"/>
          <w:szCs w:val="18"/>
        </w:rPr>
        <w:t>Patrologia</w:t>
      </w:r>
      <w:proofErr w:type="spellEnd"/>
      <w:r>
        <w:rPr>
          <w:rFonts w:ascii="Tahoma" w:hAnsi="Tahoma" w:cs="Tahoma"/>
          <w:i/>
          <w:iCs/>
          <w:color w:val="000000"/>
          <w:sz w:val="18"/>
          <w:szCs w:val="18"/>
        </w:rPr>
        <w:t xml:space="preserve"> Latina</w:t>
      </w:r>
      <w:r>
        <w:rPr>
          <w:rFonts w:ascii="Tahoma" w:hAnsi="Tahoma" w:cs="Tahoma"/>
          <w:color w:val="000000"/>
          <w:sz w:val="18"/>
          <w:szCs w:val="18"/>
        </w:rPr>
        <w:t>, 148:329 </w:t>
      </w:r>
      <w:r>
        <w:rPr>
          <w:rFonts w:ascii="Tahoma" w:hAnsi="Tahoma" w:cs="Tahoma"/>
          <w:color w:val="000000"/>
          <w:sz w:val="18"/>
          <w:szCs w:val="18"/>
        </w:rPr>
        <w:br/>
        <w:t>trans. Oliver J. Thatcher, and Edgar Holmes McNeal, eds., </w:t>
      </w:r>
      <w:r>
        <w:rPr>
          <w:rFonts w:ascii="Tahoma" w:hAnsi="Tahoma" w:cs="Tahoma"/>
          <w:i/>
          <w:iCs/>
          <w:color w:val="000000"/>
          <w:sz w:val="18"/>
          <w:szCs w:val="18"/>
        </w:rPr>
        <w:t>A Source Book for Medieval History</w:t>
      </w:r>
      <w:r>
        <w:rPr>
          <w:rFonts w:ascii="Tahoma" w:hAnsi="Tahoma" w:cs="Tahoma"/>
          <w:color w:val="000000"/>
          <w:sz w:val="18"/>
          <w:szCs w:val="18"/>
        </w:rPr>
        <w:t xml:space="preserve">, (New York: </w:t>
      </w:r>
      <w:proofErr w:type="spellStart"/>
      <w:r>
        <w:rPr>
          <w:rFonts w:ascii="Tahoma" w:hAnsi="Tahoma" w:cs="Tahoma"/>
          <w:color w:val="000000"/>
          <w:sz w:val="18"/>
          <w:szCs w:val="18"/>
        </w:rPr>
        <w:t>Scribners</w:t>
      </w:r>
      <w:proofErr w:type="spellEnd"/>
      <w:r>
        <w:rPr>
          <w:rFonts w:ascii="Tahoma" w:hAnsi="Tahoma" w:cs="Tahoma"/>
          <w:color w:val="000000"/>
          <w:sz w:val="18"/>
          <w:szCs w:val="18"/>
        </w:rPr>
        <w:t>, 1905), 512-13</w:t>
      </w:r>
    </w:p>
  </w:footnote>
  <w:footnote w:id="19">
    <w:p w14:paraId="35EB064C" w14:textId="4019AA6E" w:rsidR="00BA7CE5" w:rsidRPr="0079544F" w:rsidRDefault="00BA7CE5">
      <w:pPr>
        <w:pStyle w:val="FootnoteText"/>
      </w:pPr>
      <w:bookmarkStart w:id="9" w:name="_Hlk509147401"/>
      <w:r>
        <w:rPr>
          <w:rStyle w:val="FootnoteReference"/>
        </w:rPr>
        <w:footnoteRef/>
      </w:r>
      <w:r>
        <w:t xml:space="preserve"> </w:t>
      </w:r>
      <w:r w:rsidR="0079544F">
        <w:t xml:space="preserve">Thomas Fuller, </w:t>
      </w:r>
      <w:r w:rsidR="0079544F">
        <w:rPr>
          <w:i/>
        </w:rPr>
        <w:t>The Crusades: What Was Their Justification</w:t>
      </w:r>
      <w:r w:rsidR="0079544F">
        <w:t xml:space="preserve"> in </w:t>
      </w:r>
      <w:r w:rsidR="0079544F">
        <w:rPr>
          <w:i/>
        </w:rPr>
        <w:t xml:space="preserve">The Crusades: Motives and Achievements </w:t>
      </w:r>
      <w:r w:rsidR="0079544F" w:rsidRPr="0079544F">
        <w:rPr>
          <w:rFonts w:ascii="Tahoma" w:hAnsi="Tahoma" w:cs="Tahoma"/>
          <w:sz w:val="18"/>
        </w:rPr>
        <w:t>(</w:t>
      </w:r>
      <w:r w:rsidR="0079544F" w:rsidRPr="0079544F">
        <w:rPr>
          <w:rFonts w:ascii="Tahoma" w:hAnsi="Tahoma" w:cs="Tahoma"/>
          <w:sz w:val="18"/>
          <w:shd w:val="clear" w:color="auto" w:fill="FFFFFF"/>
        </w:rPr>
        <w:t>Massachusetts</w:t>
      </w:r>
      <w:r w:rsidR="0079544F" w:rsidRPr="0079544F">
        <w:rPr>
          <w:rFonts w:ascii="Tahoma" w:hAnsi="Tahoma" w:cs="Tahoma"/>
          <w:sz w:val="18"/>
          <w:shd w:val="clear" w:color="auto" w:fill="FFFFFF"/>
        </w:rPr>
        <w:t xml:space="preserve">, D.C. Heath and Company, 1965) </w:t>
      </w:r>
      <w:r w:rsidR="0079544F">
        <w:rPr>
          <w:rFonts w:ascii="Tahoma" w:hAnsi="Tahoma" w:cs="Tahoma"/>
          <w:sz w:val="18"/>
          <w:shd w:val="clear" w:color="auto" w:fill="FFFFFF"/>
        </w:rPr>
        <w:t>p1</w:t>
      </w:r>
    </w:p>
  </w:footnote>
  <w:footnote w:id="20">
    <w:p w14:paraId="6CF3CE86" w14:textId="64D44975" w:rsidR="00BA7CE5" w:rsidRPr="00E71583" w:rsidRDefault="00BA7CE5">
      <w:pPr>
        <w:pStyle w:val="FootnoteText"/>
      </w:pPr>
      <w:r>
        <w:rPr>
          <w:rStyle w:val="FootnoteReference"/>
        </w:rPr>
        <w:footnoteRef/>
      </w:r>
      <w:r w:rsidR="00E71583" w:rsidRPr="00E71583">
        <w:rPr>
          <w:rFonts w:ascii="Tahoma" w:hAnsi="Tahoma" w:cs="Tahoma"/>
          <w:sz w:val="18"/>
          <w:szCs w:val="18"/>
          <w:shd w:val="clear" w:color="auto" w:fill="FFFFFF"/>
        </w:rPr>
        <w:t>Jeffrey M. Shaw, Timothy J. Demy</w:t>
      </w:r>
      <w:r w:rsidR="00E71583">
        <w:rPr>
          <w:rFonts w:ascii="Tahoma" w:hAnsi="Tahoma" w:cs="Tahoma"/>
          <w:sz w:val="18"/>
          <w:szCs w:val="18"/>
          <w:shd w:val="clear" w:color="auto" w:fill="FFFFFF"/>
        </w:rPr>
        <w:t xml:space="preserve">, </w:t>
      </w:r>
      <w:r w:rsidR="00E71583" w:rsidRPr="00E71583">
        <w:rPr>
          <w:rFonts w:ascii="Tahoma" w:hAnsi="Tahoma" w:cs="Tahoma"/>
          <w:i/>
          <w:sz w:val="18"/>
          <w:szCs w:val="18"/>
          <w:shd w:val="clear" w:color="auto" w:fill="FFFFFF"/>
        </w:rPr>
        <w:t>War and religion: an encyclopaedia of faith and conflict</w:t>
      </w:r>
      <w:r w:rsidR="00E71583">
        <w:rPr>
          <w:rFonts w:ascii="Tahoma" w:hAnsi="Tahoma" w:cs="Tahoma"/>
          <w:i/>
          <w:sz w:val="18"/>
          <w:szCs w:val="18"/>
          <w:shd w:val="clear" w:color="auto" w:fill="FFFFFF"/>
        </w:rPr>
        <w:t xml:space="preserve"> </w:t>
      </w:r>
      <w:r w:rsidR="00E71583">
        <w:rPr>
          <w:rFonts w:ascii="Tahoma" w:hAnsi="Tahoma" w:cs="Tahoma"/>
          <w:sz w:val="18"/>
          <w:szCs w:val="18"/>
          <w:shd w:val="clear" w:color="auto" w:fill="FFFFFF"/>
        </w:rPr>
        <w:t xml:space="preserve">(California, </w:t>
      </w:r>
      <w:r w:rsidR="00E71583" w:rsidRPr="00E71583">
        <w:rPr>
          <w:rFonts w:ascii="Tahoma" w:hAnsi="Tahoma" w:cs="Tahoma"/>
          <w:sz w:val="18"/>
          <w:shd w:val="clear" w:color="auto" w:fill="FFFFFF"/>
        </w:rPr>
        <w:t>ABC-CLI</w:t>
      </w:r>
      <w:r w:rsidR="00E71583" w:rsidRPr="00E71583">
        <w:rPr>
          <w:rFonts w:ascii="Tahoma" w:hAnsi="Tahoma" w:cs="Tahoma"/>
          <w:sz w:val="18"/>
          <w:szCs w:val="18"/>
          <w:shd w:val="clear" w:color="auto" w:fill="FFFFFF"/>
        </w:rPr>
        <w:t>O</w:t>
      </w:r>
      <w:r w:rsidR="00E71583">
        <w:rPr>
          <w:rFonts w:ascii="Tahoma" w:hAnsi="Tahoma" w:cs="Tahoma"/>
          <w:color w:val="000000"/>
          <w:sz w:val="18"/>
          <w:szCs w:val="18"/>
          <w:shd w:val="clear" w:color="auto" w:fill="FFFFFF"/>
        </w:rPr>
        <w:t>, 2017) p208</w:t>
      </w:r>
      <w:r w:rsidR="00E71583">
        <w:rPr>
          <w:rFonts w:ascii="Arial" w:hAnsi="Arial" w:cs="Arial"/>
          <w:color w:val="000000"/>
          <w:shd w:val="clear" w:color="auto" w:fill="FFFFFF"/>
        </w:rPr>
        <w:t xml:space="preserve"> </w:t>
      </w:r>
    </w:p>
  </w:footnote>
  <w:footnote w:id="21">
    <w:p w14:paraId="5BEBD5A3" w14:textId="4EAF72D5" w:rsidR="00BA7CE5" w:rsidRPr="00E71583" w:rsidRDefault="00BA7CE5">
      <w:pPr>
        <w:pStyle w:val="FootnoteText"/>
        <w:rPr>
          <w:rFonts w:ascii="Tahoma" w:hAnsi="Tahoma" w:cs="Tahoma"/>
          <w:sz w:val="18"/>
        </w:rPr>
      </w:pPr>
      <w:r>
        <w:rPr>
          <w:rStyle w:val="FootnoteReference"/>
        </w:rPr>
        <w:footnoteRef/>
      </w:r>
      <w:r>
        <w:t xml:space="preserve"> </w:t>
      </w:r>
      <w:r w:rsidR="00E71583">
        <w:t xml:space="preserve">Zachary Lockman, </w:t>
      </w:r>
      <w:r w:rsidR="00E71583" w:rsidRPr="00E71583">
        <w:rPr>
          <w:rFonts w:ascii="Tahoma" w:hAnsi="Tahoma" w:cs="Tahoma"/>
          <w:i/>
          <w:sz w:val="18"/>
        </w:rPr>
        <w:t>Contending visions of the middle east: the history and politics of orientalism</w:t>
      </w:r>
      <w:r w:rsidR="00E71583">
        <w:rPr>
          <w:rFonts w:ascii="Tahoma" w:hAnsi="Tahoma" w:cs="Tahoma"/>
          <w:i/>
          <w:sz w:val="18"/>
        </w:rPr>
        <w:t xml:space="preserve"> </w:t>
      </w:r>
      <w:r w:rsidR="00E71583">
        <w:rPr>
          <w:rFonts w:ascii="Tahoma" w:hAnsi="Tahoma" w:cs="Tahoma"/>
          <w:sz w:val="18"/>
        </w:rPr>
        <w:t xml:space="preserve">(Cambridge, Cambridge University Press, 2004) </w:t>
      </w:r>
    </w:p>
  </w:footnote>
  <w:footnote w:id="22">
    <w:p w14:paraId="534267E9" w14:textId="49A2A4AF" w:rsidR="00BA7CE5" w:rsidRPr="008D247F" w:rsidRDefault="00BA7CE5">
      <w:pPr>
        <w:pStyle w:val="FootnoteText"/>
      </w:pPr>
      <w:r>
        <w:rPr>
          <w:rStyle w:val="FootnoteReference"/>
        </w:rPr>
        <w:footnoteRef/>
      </w:r>
      <w:r>
        <w:t xml:space="preserve"> </w:t>
      </w:r>
      <w:r w:rsidR="008D247F">
        <w:t xml:space="preserve">Mayer, </w:t>
      </w:r>
      <w:r w:rsidR="008D247F">
        <w:rPr>
          <w:i/>
        </w:rPr>
        <w:t>The Crusades</w:t>
      </w:r>
      <w:r w:rsidR="008D247F">
        <w:t xml:space="preserve"> pp21-22</w:t>
      </w:r>
    </w:p>
  </w:footnote>
  <w:footnote w:id="23">
    <w:p w14:paraId="6C41AD21" w14:textId="210CDE94" w:rsidR="00AB02E9" w:rsidRPr="001542BF" w:rsidRDefault="00AB02E9">
      <w:pPr>
        <w:pStyle w:val="FootnoteText"/>
        <w:rPr>
          <w:rFonts w:ascii="Tahoma" w:hAnsi="Tahoma" w:cs="Tahoma"/>
        </w:rPr>
      </w:pPr>
      <w:r>
        <w:rPr>
          <w:rStyle w:val="FootnoteReference"/>
        </w:rPr>
        <w:footnoteRef/>
      </w:r>
      <w:r>
        <w:t xml:space="preserve"> </w:t>
      </w:r>
      <w:proofErr w:type="spellStart"/>
      <w:r w:rsidR="001542BF" w:rsidRPr="001542BF">
        <w:rPr>
          <w:rFonts w:ascii="Tahoma" w:hAnsi="Tahoma" w:cs="Tahoma"/>
          <w:sz w:val="18"/>
        </w:rPr>
        <w:t>Coulton</w:t>
      </w:r>
      <w:proofErr w:type="spellEnd"/>
      <w:r w:rsidR="001542BF" w:rsidRPr="001542BF">
        <w:rPr>
          <w:rFonts w:ascii="Tahoma" w:hAnsi="Tahoma" w:cs="Tahoma"/>
          <w:sz w:val="18"/>
        </w:rPr>
        <w:t xml:space="preserve">, </w:t>
      </w:r>
      <w:r w:rsidR="001542BF" w:rsidRPr="001542BF">
        <w:rPr>
          <w:rFonts w:ascii="Tahoma" w:hAnsi="Tahoma" w:cs="Tahoma"/>
          <w:i/>
          <w:sz w:val="18"/>
        </w:rPr>
        <w:t xml:space="preserve">Crusades, Commerce and Adventure </w:t>
      </w:r>
      <w:r w:rsidR="001542BF" w:rsidRPr="001542BF">
        <w:rPr>
          <w:rFonts w:ascii="Tahoma" w:hAnsi="Tahoma" w:cs="Tahoma"/>
          <w:sz w:val="18"/>
        </w:rPr>
        <w:t>P28</w:t>
      </w:r>
    </w:p>
  </w:footnote>
  <w:footnote w:id="24">
    <w:p w14:paraId="456E0F8D" w14:textId="3B0B1178" w:rsidR="00AB02E9" w:rsidRPr="001542BF" w:rsidRDefault="00AB02E9">
      <w:pPr>
        <w:pStyle w:val="FootnoteText"/>
        <w:rPr>
          <w:rFonts w:ascii="Tahoma" w:hAnsi="Tahoma" w:cs="Tahoma"/>
        </w:rPr>
      </w:pPr>
      <w:r>
        <w:rPr>
          <w:rStyle w:val="FootnoteReference"/>
        </w:rPr>
        <w:footnoteRef/>
      </w:r>
      <w:r>
        <w:t xml:space="preserve"> </w:t>
      </w:r>
      <w:proofErr w:type="spellStart"/>
      <w:r w:rsidR="001542BF" w:rsidRPr="001542BF">
        <w:rPr>
          <w:rFonts w:ascii="Tahoma" w:hAnsi="Tahoma" w:cs="Tahoma"/>
          <w:sz w:val="18"/>
        </w:rPr>
        <w:t>Coulton</w:t>
      </w:r>
      <w:proofErr w:type="spellEnd"/>
      <w:r w:rsidR="001542BF" w:rsidRPr="001542BF">
        <w:rPr>
          <w:rFonts w:ascii="Tahoma" w:hAnsi="Tahoma" w:cs="Tahoma"/>
          <w:sz w:val="18"/>
        </w:rPr>
        <w:t xml:space="preserve">, </w:t>
      </w:r>
      <w:r w:rsidR="001542BF" w:rsidRPr="001542BF">
        <w:rPr>
          <w:rFonts w:ascii="Tahoma" w:hAnsi="Tahoma" w:cs="Tahoma"/>
          <w:i/>
          <w:sz w:val="18"/>
        </w:rPr>
        <w:t xml:space="preserve">Crusades, Commerce and Adventure </w:t>
      </w:r>
      <w:r w:rsidR="001542BF" w:rsidRPr="001542BF">
        <w:rPr>
          <w:rFonts w:ascii="Tahoma" w:hAnsi="Tahoma" w:cs="Tahoma"/>
          <w:sz w:val="18"/>
        </w:rPr>
        <w:t>P28</w:t>
      </w:r>
    </w:p>
  </w:footnote>
  <w:footnote w:id="25">
    <w:p w14:paraId="05B0142B" w14:textId="22B586EE" w:rsidR="00AB02E9" w:rsidRPr="00E71583" w:rsidRDefault="00AB02E9">
      <w:pPr>
        <w:pStyle w:val="FootnoteText"/>
      </w:pPr>
      <w:r>
        <w:rPr>
          <w:rStyle w:val="FootnoteReference"/>
        </w:rPr>
        <w:footnoteRef/>
      </w:r>
      <w:r>
        <w:t xml:space="preserve"> </w:t>
      </w:r>
      <w:r w:rsidR="00E71583">
        <w:t xml:space="preserve">Thomas </w:t>
      </w:r>
      <w:proofErr w:type="spellStart"/>
      <w:r w:rsidR="00E71583">
        <w:t>Asbridge</w:t>
      </w:r>
      <w:proofErr w:type="spellEnd"/>
      <w:r w:rsidR="00E71583">
        <w:t xml:space="preserve">, </w:t>
      </w:r>
      <w:r w:rsidR="00E71583">
        <w:rPr>
          <w:i/>
        </w:rPr>
        <w:t xml:space="preserve">The First Crusade: A New History </w:t>
      </w:r>
      <w:r w:rsidR="00E71583">
        <w:t>(</w:t>
      </w:r>
      <w:r w:rsidR="005912F4">
        <w:t>Oxford</w:t>
      </w:r>
      <w:r w:rsidR="00E71583">
        <w:t xml:space="preserve">, Oxford </w:t>
      </w:r>
      <w:r w:rsidR="005912F4">
        <w:t>University Press, 2005) pp 66-68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4578B"/>
    <w:multiLevelType w:val="hybridMultilevel"/>
    <w:tmpl w:val="4B2AD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ucy Peebles (1701044)">
    <w15:presenceInfo w15:providerId="None" w15:userId="Lucy Peebles (17010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94"/>
    <w:rsid w:val="0007602C"/>
    <w:rsid w:val="000B1784"/>
    <w:rsid w:val="000D077C"/>
    <w:rsid w:val="00104F7E"/>
    <w:rsid w:val="001144A6"/>
    <w:rsid w:val="00122F4F"/>
    <w:rsid w:val="001542BF"/>
    <w:rsid w:val="001D731B"/>
    <w:rsid w:val="001E0BD4"/>
    <w:rsid w:val="001F0777"/>
    <w:rsid w:val="00267DE1"/>
    <w:rsid w:val="0028375D"/>
    <w:rsid w:val="00294872"/>
    <w:rsid w:val="002B0CD6"/>
    <w:rsid w:val="002C4C11"/>
    <w:rsid w:val="002E2359"/>
    <w:rsid w:val="002E32BA"/>
    <w:rsid w:val="00435163"/>
    <w:rsid w:val="004365D6"/>
    <w:rsid w:val="00474470"/>
    <w:rsid w:val="004F72D4"/>
    <w:rsid w:val="00565A92"/>
    <w:rsid w:val="005912F4"/>
    <w:rsid w:val="005C0C34"/>
    <w:rsid w:val="005C2F2D"/>
    <w:rsid w:val="005C3495"/>
    <w:rsid w:val="005C793F"/>
    <w:rsid w:val="006243C2"/>
    <w:rsid w:val="006F6C66"/>
    <w:rsid w:val="00715C17"/>
    <w:rsid w:val="00773AC2"/>
    <w:rsid w:val="00791330"/>
    <w:rsid w:val="0079544F"/>
    <w:rsid w:val="007C15DF"/>
    <w:rsid w:val="008011F8"/>
    <w:rsid w:val="008014D8"/>
    <w:rsid w:val="00831B81"/>
    <w:rsid w:val="00886949"/>
    <w:rsid w:val="008C5378"/>
    <w:rsid w:val="008D247F"/>
    <w:rsid w:val="008E2B0D"/>
    <w:rsid w:val="00907D15"/>
    <w:rsid w:val="0092697A"/>
    <w:rsid w:val="0096059F"/>
    <w:rsid w:val="009724E9"/>
    <w:rsid w:val="009B3942"/>
    <w:rsid w:val="00AB02E9"/>
    <w:rsid w:val="00AD78DE"/>
    <w:rsid w:val="00B05668"/>
    <w:rsid w:val="00B26C4A"/>
    <w:rsid w:val="00B32DDE"/>
    <w:rsid w:val="00B351AE"/>
    <w:rsid w:val="00B46C48"/>
    <w:rsid w:val="00BA7CE5"/>
    <w:rsid w:val="00BD7221"/>
    <w:rsid w:val="00C527A8"/>
    <w:rsid w:val="00C53B1F"/>
    <w:rsid w:val="00C659DD"/>
    <w:rsid w:val="00C70DC9"/>
    <w:rsid w:val="00C9435C"/>
    <w:rsid w:val="00C9538C"/>
    <w:rsid w:val="00D07BAC"/>
    <w:rsid w:val="00D75B94"/>
    <w:rsid w:val="00D90806"/>
    <w:rsid w:val="00E10A49"/>
    <w:rsid w:val="00E71583"/>
    <w:rsid w:val="00E871FE"/>
    <w:rsid w:val="00EA147D"/>
    <w:rsid w:val="00EA78C2"/>
    <w:rsid w:val="00F1688E"/>
    <w:rsid w:val="00F27E87"/>
    <w:rsid w:val="00FE4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807A6"/>
  <w15:chartTrackingRefBased/>
  <w15:docId w15:val="{9A08265D-D58B-4836-BF63-06D2F1472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4C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9B3942"/>
    <w:rPr>
      <w:i/>
      <w:iCs/>
      <w:color w:val="4472C4" w:themeColor="accent1"/>
    </w:rPr>
  </w:style>
  <w:style w:type="paragraph" w:styleId="NormalWeb">
    <w:name w:val="Normal (Web)"/>
    <w:basedOn w:val="Normal"/>
    <w:uiPriority w:val="99"/>
    <w:unhideWhenUsed/>
    <w:rsid w:val="004351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67DE1"/>
    <w:rPr>
      <w:sz w:val="16"/>
      <w:szCs w:val="16"/>
    </w:rPr>
  </w:style>
  <w:style w:type="paragraph" w:styleId="CommentText">
    <w:name w:val="annotation text"/>
    <w:basedOn w:val="Normal"/>
    <w:link w:val="CommentTextChar"/>
    <w:uiPriority w:val="99"/>
    <w:semiHidden/>
    <w:unhideWhenUsed/>
    <w:rsid w:val="00267DE1"/>
    <w:pPr>
      <w:spacing w:line="240" w:lineRule="auto"/>
    </w:pPr>
    <w:rPr>
      <w:sz w:val="20"/>
      <w:szCs w:val="20"/>
    </w:rPr>
  </w:style>
  <w:style w:type="character" w:customStyle="1" w:styleId="CommentTextChar">
    <w:name w:val="Comment Text Char"/>
    <w:basedOn w:val="DefaultParagraphFont"/>
    <w:link w:val="CommentText"/>
    <w:uiPriority w:val="99"/>
    <w:semiHidden/>
    <w:rsid w:val="00267DE1"/>
    <w:rPr>
      <w:sz w:val="20"/>
      <w:szCs w:val="20"/>
    </w:rPr>
  </w:style>
  <w:style w:type="paragraph" w:styleId="CommentSubject">
    <w:name w:val="annotation subject"/>
    <w:basedOn w:val="CommentText"/>
    <w:next w:val="CommentText"/>
    <w:link w:val="CommentSubjectChar"/>
    <w:uiPriority w:val="99"/>
    <w:semiHidden/>
    <w:unhideWhenUsed/>
    <w:rsid w:val="00267DE1"/>
    <w:rPr>
      <w:b/>
      <w:bCs/>
    </w:rPr>
  </w:style>
  <w:style w:type="character" w:customStyle="1" w:styleId="CommentSubjectChar">
    <w:name w:val="Comment Subject Char"/>
    <w:basedOn w:val="CommentTextChar"/>
    <w:link w:val="CommentSubject"/>
    <w:uiPriority w:val="99"/>
    <w:semiHidden/>
    <w:rsid w:val="00267DE1"/>
    <w:rPr>
      <w:b/>
      <w:bCs/>
      <w:sz w:val="20"/>
      <w:szCs w:val="20"/>
    </w:rPr>
  </w:style>
  <w:style w:type="paragraph" w:styleId="BalloonText">
    <w:name w:val="Balloon Text"/>
    <w:basedOn w:val="Normal"/>
    <w:link w:val="BalloonTextChar"/>
    <w:uiPriority w:val="99"/>
    <w:semiHidden/>
    <w:unhideWhenUsed/>
    <w:rsid w:val="00267D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DE1"/>
    <w:rPr>
      <w:rFonts w:ascii="Segoe UI" w:hAnsi="Segoe UI" w:cs="Segoe UI"/>
      <w:sz w:val="18"/>
      <w:szCs w:val="18"/>
    </w:rPr>
  </w:style>
  <w:style w:type="character" w:customStyle="1" w:styleId="Heading3Char">
    <w:name w:val="Heading 3 Char"/>
    <w:basedOn w:val="DefaultParagraphFont"/>
    <w:link w:val="Heading3"/>
    <w:uiPriority w:val="9"/>
    <w:semiHidden/>
    <w:rsid w:val="002C4C1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unhideWhenUsed/>
    <w:rsid w:val="00773AC2"/>
    <w:pPr>
      <w:spacing w:after="0" w:line="240" w:lineRule="auto"/>
    </w:pPr>
    <w:rPr>
      <w:sz w:val="20"/>
      <w:szCs w:val="20"/>
    </w:rPr>
  </w:style>
  <w:style w:type="character" w:customStyle="1" w:styleId="FootnoteTextChar">
    <w:name w:val="Footnote Text Char"/>
    <w:basedOn w:val="DefaultParagraphFont"/>
    <w:link w:val="FootnoteText"/>
    <w:uiPriority w:val="99"/>
    <w:rsid w:val="00773AC2"/>
    <w:rPr>
      <w:sz w:val="20"/>
      <w:szCs w:val="20"/>
    </w:rPr>
  </w:style>
  <w:style w:type="character" w:styleId="FootnoteReference">
    <w:name w:val="footnote reference"/>
    <w:basedOn w:val="DefaultParagraphFont"/>
    <w:uiPriority w:val="99"/>
    <w:semiHidden/>
    <w:unhideWhenUsed/>
    <w:rsid w:val="00773AC2"/>
    <w:rPr>
      <w:vertAlign w:val="superscript"/>
    </w:rPr>
  </w:style>
  <w:style w:type="character" w:styleId="Hyperlink">
    <w:name w:val="Hyperlink"/>
    <w:basedOn w:val="DefaultParagraphFont"/>
    <w:uiPriority w:val="99"/>
    <w:unhideWhenUsed/>
    <w:rsid w:val="00122F4F"/>
    <w:rPr>
      <w:color w:val="0563C1" w:themeColor="hyperlink"/>
      <w:u w:val="single"/>
    </w:rPr>
  </w:style>
  <w:style w:type="character" w:styleId="UnresolvedMention">
    <w:name w:val="Unresolved Mention"/>
    <w:basedOn w:val="DefaultParagraphFont"/>
    <w:uiPriority w:val="99"/>
    <w:semiHidden/>
    <w:unhideWhenUsed/>
    <w:rsid w:val="00122F4F"/>
    <w:rPr>
      <w:color w:val="808080"/>
      <w:shd w:val="clear" w:color="auto" w:fill="E6E6E6"/>
    </w:rPr>
  </w:style>
  <w:style w:type="character" w:customStyle="1" w:styleId="Heading1Char">
    <w:name w:val="Heading 1 Char"/>
    <w:basedOn w:val="DefaultParagraphFont"/>
    <w:link w:val="Heading1"/>
    <w:uiPriority w:val="9"/>
    <w:rsid w:val="00122F4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24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876042">
      <w:bodyDiv w:val="1"/>
      <w:marLeft w:val="0"/>
      <w:marRight w:val="0"/>
      <w:marTop w:val="0"/>
      <w:marBottom w:val="0"/>
      <w:divBdr>
        <w:top w:val="none" w:sz="0" w:space="0" w:color="auto"/>
        <w:left w:val="none" w:sz="0" w:space="0" w:color="auto"/>
        <w:bottom w:val="none" w:sz="0" w:space="0" w:color="auto"/>
        <w:right w:val="none" w:sz="0" w:space="0" w:color="auto"/>
      </w:divBdr>
    </w:div>
    <w:div w:id="278030976">
      <w:bodyDiv w:val="1"/>
      <w:marLeft w:val="0"/>
      <w:marRight w:val="0"/>
      <w:marTop w:val="0"/>
      <w:marBottom w:val="0"/>
      <w:divBdr>
        <w:top w:val="none" w:sz="0" w:space="0" w:color="auto"/>
        <w:left w:val="none" w:sz="0" w:space="0" w:color="auto"/>
        <w:bottom w:val="none" w:sz="0" w:space="0" w:color="auto"/>
        <w:right w:val="none" w:sz="0" w:space="0" w:color="auto"/>
      </w:divBdr>
    </w:div>
    <w:div w:id="1570655851">
      <w:bodyDiv w:val="1"/>
      <w:marLeft w:val="0"/>
      <w:marRight w:val="0"/>
      <w:marTop w:val="0"/>
      <w:marBottom w:val="0"/>
      <w:divBdr>
        <w:top w:val="none" w:sz="0" w:space="0" w:color="auto"/>
        <w:left w:val="none" w:sz="0" w:space="0" w:color="auto"/>
        <w:bottom w:val="none" w:sz="0" w:space="0" w:color="auto"/>
        <w:right w:val="none" w:sz="0" w:space="0" w:color="auto"/>
      </w:divBdr>
    </w:div>
    <w:div w:id="199984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xscholar.library.pdx.edu/cgi/viewcontent.cgi?article=2028&amp;context=open_access_et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uk/the-middle-ages/articles/death-and-the-afterlife-how-dying-affected-the-liv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bl.uk/the-middle-ages/articles/death-and-the-afterlife-how-dying-affected-the-living" TargetMode="External"/><Relationship Id="rId1" Type="http://schemas.openxmlformats.org/officeDocument/2006/relationships/hyperlink" Target="https://pdxscholar.library.pdx.edu/cgi/viewcontent.cgi?article=2028&amp;context=open_access_et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28A32-E720-43EE-B8D5-5BA028BC6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TotalTime>
  <Pages>5</Pages>
  <Words>2246</Words>
  <Characters>11346</Characters>
  <Application>Microsoft Office Word</Application>
  <DocSecurity>0</DocSecurity>
  <Lines>171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Peebles (1701044)</dc:creator>
  <cp:keywords/>
  <dc:description/>
  <cp:lastModifiedBy>Lucy Peebles (1701044)</cp:lastModifiedBy>
  <cp:revision>20</cp:revision>
  <dcterms:created xsi:type="dcterms:W3CDTF">2018-03-14T11:12:00Z</dcterms:created>
  <dcterms:modified xsi:type="dcterms:W3CDTF">2018-03-18T14:50:00Z</dcterms:modified>
</cp:coreProperties>
</file>