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169E4D9" wp14:paraId="5894062D" wp14:textId="68B43CD4">
      <w:pPr>
        <w:spacing w:after="165" w:line="360" w:lineRule="auto"/>
        <w:rPr>
          <w:rFonts w:ascii="Tahoma" w:hAnsi="Tahoma" w:eastAsia="Tahoma" w:cs="Tahoma"/>
          <w:noProof w:val="0"/>
          <w:color w:val="000000" w:themeColor="text1" w:themeTint="FF" w:themeShade="FF"/>
          <w:sz w:val="40"/>
          <w:szCs w:val="40"/>
          <w:lang w:val="en-US"/>
        </w:rPr>
      </w:pPr>
      <w:r w:rsidR="59DD83D0">
        <w:drawing>
          <wp:inline xmlns:wp14="http://schemas.microsoft.com/office/word/2010/wordprocessingDrawing" wp14:editId="0E828C91" wp14:anchorId="2FEA2EE2">
            <wp:extent cx="2210108" cy="743054"/>
            <wp:effectExtent l="0" t="0" r="0" b="0"/>
            <wp:docPr id="1362381428"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2381428" name=""/>
                    <pic:cNvPicPr/>
                  </pic:nvPicPr>
                  <pic:blipFill>
                    <a:blip xmlns:r="http://schemas.openxmlformats.org/officeDocument/2006/relationships" r:embed="rId687197578">
                      <a:extLst>
                        <a:ext xmlns:a="http://schemas.openxmlformats.org/drawingml/2006/main" uri="{28A0092B-C50C-407E-A947-70E740481C1C}">
                          <a14:useLocalDpi xmlns:a14="http://schemas.microsoft.com/office/drawing/2010/main" val="0"/>
                        </a:ext>
                      </a:extLst>
                    </a:blip>
                    <a:stretch>
                      <a:fillRect/>
                    </a:stretch>
                  </pic:blipFill>
                  <pic:spPr>
                    <a:xfrm>
                      <a:off x="0" y="0"/>
                      <a:ext cx="2210108" cy="743054"/>
                    </a:xfrm>
                    <a:prstGeom prst="rect">
                      <a:avLst/>
                    </a:prstGeom>
                  </pic:spPr>
                </pic:pic>
              </a:graphicData>
            </a:graphic>
          </wp:inline>
        </w:drawing>
      </w:r>
    </w:p>
    <w:p xmlns:wp14="http://schemas.microsoft.com/office/word/2010/wordml" w:rsidP="1169E4D9" wp14:paraId="42ABD5B9" wp14:textId="07395D96">
      <w:pPr>
        <w:spacing w:after="165" w:line="360" w:lineRule="auto"/>
        <w:jc w:val="center"/>
        <w:rPr>
          <w:rFonts w:ascii="Tahoma" w:hAnsi="Tahoma" w:eastAsia="Tahoma" w:cs="Tahoma"/>
          <w:noProof w:val="0"/>
          <w:color w:val="000000" w:themeColor="text1" w:themeTint="FF" w:themeShade="FF"/>
          <w:sz w:val="40"/>
          <w:szCs w:val="40"/>
          <w:lang w:val="en-US"/>
        </w:rPr>
      </w:pPr>
      <w:r w:rsidRPr="1169E4D9" w:rsidR="59DD83D0">
        <w:rPr>
          <w:rFonts w:ascii="Tahoma" w:hAnsi="Tahoma" w:eastAsia="Tahoma" w:cs="Tahoma"/>
          <w:noProof w:val="0"/>
          <w:color w:val="000000" w:themeColor="text1" w:themeTint="FF" w:themeShade="FF"/>
          <w:sz w:val="40"/>
          <w:szCs w:val="40"/>
          <w:lang w:val="en-GB"/>
        </w:rPr>
        <w:t>Applied Leadership and Management in the Workplace</w:t>
      </w:r>
      <w:r>
        <w:br/>
      </w:r>
      <w:r w:rsidRPr="1169E4D9" w:rsidR="59DD83D0">
        <w:rPr>
          <w:rFonts w:ascii="Tahoma" w:hAnsi="Tahoma" w:eastAsia="Tahoma" w:cs="Tahoma"/>
          <w:noProof w:val="0"/>
          <w:color w:val="000000" w:themeColor="text1" w:themeTint="FF" w:themeShade="FF"/>
          <w:sz w:val="40"/>
          <w:szCs w:val="40"/>
          <w:lang w:val="en-GB"/>
        </w:rPr>
        <w:t xml:space="preserve">Module Assignment Submission </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446"/>
        <w:gridCol w:w="6064"/>
      </w:tblGrid>
      <w:tr w:rsidR="1169E4D9" w:rsidTr="1169E4D9" w14:paraId="3904A13D">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448A3474" w14:textId="61100C4D">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Student Name:</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169E4D9" w:rsidP="1169E4D9" w:rsidRDefault="1169E4D9" w14:paraId="74C1603E" w14:textId="1900381C">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Scott Morgan</w:t>
            </w:r>
          </w:p>
        </w:tc>
      </w:tr>
      <w:tr w:rsidR="1169E4D9" w:rsidTr="1169E4D9" w14:paraId="67E20AB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6C30D6C1" w14:textId="78ACA0D0">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Student Number:</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169E4D9" w:rsidP="1169E4D9" w:rsidRDefault="1169E4D9" w14:paraId="6CD1CCA7" w14:textId="7BDFFCE9">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2319551</w:t>
            </w:r>
          </w:p>
        </w:tc>
      </w:tr>
      <w:tr w:rsidR="1169E4D9" w:rsidTr="1169E4D9" w14:paraId="4D4B55A4">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36087F9D" w14:textId="63185584">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Module No:</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169E4D9" w:rsidP="1169E4D9" w:rsidRDefault="1169E4D9" w14:paraId="2C347888" w14:textId="5DC7848F">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BMSK501</w:t>
            </w:r>
            <w:r w:rsidRPr="1169E4D9" w:rsidR="00450AFB">
              <w:rPr>
                <w:rFonts w:ascii="Tahoma" w:hAnsi="Tahoma" w:eastAsia="Tahoma" w:cs="Tahoma"/>
                <w:sz w:val="32"/>
                <w:szCs w:val="32"/>
                <w:lang w:val="en-GB"/>
              </w:rPr>
              <w:t>3</w:t>
            </w:r>
          </w:p>
        </w:tc>
      </w:tr>
      <w:tr w:rsidR="1169E4D9" w:rsidTr="1169E4D9" w14:paraId="07C4FDF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169E4D9" w:rsidP="1169E4D9" w:rsidRDefault="1169E4D9" w14:paraId="47DC01A8" w14:textId="475DE272">
            <w:pPr>
              <w:spacing w:before="120" w:after="120" w:line="360" w:lineRule="auto"/>
              <w:rPr>
                <w:rFonts w:ascii="Tahoma" w:hAnsi="Tahoma" w:eastAsia="Tahoma" w:cs="Tahoma"/>
                <w:sz w:val="32"/>
                <w:szCs w:val="32"/>
              </w:rPr>
            </w:pPr>
            <w:r w:rsidRPr="1169E4D9" w:rsidR="1169E4D9">
              <w:rPr>
                <w:rFonts w:ascii="Tahoma" w:hAnsi="Tahoma" w:eastAsia="Tahoma" w:cs="Tahoma"/>
                <w:sz w:val="32"/>
                <w:szCs w:val="32"/>
                <w:lang w:val="en-GB"/>
              </w:rPr>
              <w:t>Module Title:</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6876CEF" w:rsidP="1169E4D9" w:rsidRDefault="36876CEF" w14:paraId="034B4CC7" w14:textId="74A239DC">
            <w:pPr>
              <w:pStyle w:val="Normal"/>
              <w:suppressLineNumbers w:val="0"/>
              <w:bidi w:val="0"/>
              <w:spacing w:before="120" w:beforeAutospacing="off" w:after="120" w:afterAutospacing="off" w:line="360" w:lineRule="auto"/>
              <w:ind w:left="0" w:right="0"/>
              <w:jc w:val="left"/>
            </w:pPr>
            <w:r w:rsidRPr="1169E4D9" w:rsidR="36876CEF">
              <w:rPr>
                <w:rFonts w:ascii="Tahoma" w:hAnsi="Tahoma" w:eastAsia="Tahoma" w:cs="Tahoma"/>
                <w:sz w:val="32"/>
                <w:szCs w:val="32"/>
                <w:lang w:val="en-GB"/>
              </w:rPr>
              <w:t>Knowledge Management</w:t>
            </w:r>
          </w:p>
        </w:tc>
      </w:tr>
    </w:tbl>
    <w:p xmlns:wp14="http://schemas.microsoft.com/office/word/2010/wordml" w:rsidP="1169E4D9" wp14:paraId="28C6D2DC" wp14:textId="4C824981">
      <w:pPr>
        <w:rPr>
          <w:rFonts w:ascii="Calibri" w:hAnsi="Calibri" w:eastAsia="Calibri" w:cs="Calibri"/>
          <w:noProof w:val="0"/>
          <w:sz w:val="22"/>
          <w:szCs w:val="22"/>
          <w:lang w:val="en-US"/>
        </w:rPr>
      </w:pPr>
    </w:p>
    <w:p xmlns:wp14="http://schemas.microsoft.com/office/word/2010/wordml" w:rsidP="1169E4D9" wp14:paraId="4A30AC19" wp14:textId="12D3EDE4">
      <w:pPr>
        <w:rPr>
          <w:rFonts w:ascii="Calibri" w:hAnsi="Calibri" w:eastAsia="Calibri" w:cs="Calibri"/>
          <w:noProof w:val="0"/>
          <w:sz w:val="22"/>
          <w:szCs w:val="22"/>
          <w:lang w:val="en-US"/>
        </w:rPr>
      </w:pPr>
    </w:p>
    <w:p xmlns:wp14="http://schemas.microsoft.com/office/word/2010/wordml" w:rsidP="1169E4D9" wp14:paraId="0990F6BF" wp14:textId="5D24E4B2">
      <w:pPr>
        <w:rPr>
          <w:rFonts w:ascii="Calibri" w:hAnsi="Calibri" w:eastAsia="Calibri" w:cs="Calibri"/>
          <w:noProof w:val="0"/>
          <w:sz w:val="22"/>
          <w:szCs w:val="22"/>
          <w:lang w:val="en-US"/>
        </w:rPr>
      </w:pPr>
    </w:p>
    <w:p xmlns:wp14="http://schemas.microsoft.com/office/word/2010/wordml" w:rsidP="1169E4D9" wp14:paraId="18E72619" wp14:textId="3273879B">
      <w:pPr>
        <w:rPr>
          <w:rFonts w:ascii="Calibri" w:hAnsi="Calibri" w:eastAsia="Calibri" w:cs="Calibri"/>
          <w:noProof w:val="0"/>
          <w:sz w:val="22"/>
          <w:szCs w:val="22"/>
          <w:lang w:val="en-US"/>
        </w:rPr>
      </w:pPr>
    </w:p>
    <w:p xmlns:wp14="http://schemas.microsoft.com/office/word/2010/wordml" w:rsidP="1169E4D9" wp14:paraId="0830787E" wp14:textId="57F0B96D">
      <w:pPr>
        <w:rPr>
          <w:rFonts w:ascii="Calibri" w:hAnsi="Calibri" w:eastAsia="Calibri" w:cs="Calibri"/>
          <w:noProof w:val="0"/>
          <w:sz w:val="22"/>
          <w:szCs w:val="22"/>
          <w:lang w:val="en-US"/>
        </w:rPr>
      </w:pPr>
    </w:p>
    <w:p xmlns:wp14="http://schemas.microsoft.com/office/word/2010/wordml" w:rsidP="1169E4D9" wp14:paraId="7164CC1A" wp14:textId="1E2E06F1">
      <w:pPr>
        <w:rPr>
          <w:rFonts w:ascii="Calibri" w:hAnsi="Calibri" w:eastAsia="Calibri" w:cs="Calibri"/>
          <w:noProof w:val="0"/>
          <w:sz w:val="22"/>
          <w:szCs w:val="22"/>
          <w:lang w:val="en-US"/>
        </w:rPr>
      </w:pPr>
    </w:p>
    <w:p xmlns:wp14="http://schemas.microsoft.com/office/word/2010/wordml" w:rsidP="1169E4D9" wp14:paraId="3D17A5DA" wp14:textId="55FB572C">
      <w:pPr>
        <w:rPr>
          <w:rFonts w:ascii="Calibri" w:hAnsi="Calibri" w:eastAsia="Calibri" w:cs="Calibri"/>
          <w:noProof w:val="0"/>
          <w:sz w:val="22"/>
          <w:szCs w:val="22"/>
          <w:lang w:val="en-US"/>
        </w:rPr>
      </w:pPr>
    </w:p>
    <w:p xmlns:wp14="http://schemas.microsoft.com/office/word/2010/wordml" w:rsidP="1169E4D9" wp14:paraId="161AB9CF" wp14:textId="6E6956F7">
      <w:pPr>
        <w:rPr>
          <w:rFonts w:ascii="Calibri" w:hAnsi="Calibri" w:eastAsia="Calibri" w:cs="Calibri"/>
          <w:noProof w:val="0"/>
          <w:sz w:val="22"/>
          <w:szCs w:val="22"/>
          <w:lang w:val="en-US"/>
        </w:rPr>
      </w:pPr>
    </w:p>
    <w:p xmlns:wp14="http://schemas.microsoft.com/office/word/2010/wordml" w:rsidP="1169E4D9" wp14:paraId="45A98E63" wp14:textId="749D4454">
      <w:pPr>
        <w:rPr>
          <w:rFonts w:ascii="Calibri" w:hAnsi="Calibri" w:eastAsia="Calibri" w:cs="Calibri"/>
          <w:noProof w:val="0"/>
          <w:sz w:val="22"/>
          <w:szCs w:val="22"/>
          <w:lang w:val="en-US"/>
        </w:rPr>
      </w:pPr>
    </w:p>
    <w:p xmlns:wp14="http://schemas.microsoft.com/office/word/2010/wordml" w:rsidP="1169E4D9" wp14:paraId="53345C8A" wp14:textId="06E2A934">
      <w:pPr>
        <w:rPr>
          <w:rFonts w:ascii="Calibri" w:hAnsi="Calibri" w:eastAsia="Calibri" w:cs="Calibri"/>
          <w:noProof w:val="0"/>
          <w:sz w:val="22"/>
          <w:szCs w:val="22"/>
          <w:lang w:val="en-US"/>
        </w:rPr>
      </w:pPr>
    </w:p>
    <w:p xmlns:wp14="http://schemas.microsoft.com/office/word/2010/wordml" w:rsidP="1169E4D9" wp14:paraId="5182D164" wp14:textId="2881BEA9">
      <w:pPr>
        <w:rPr>
          <w:rFonts w:ascii="Calibri" w:hAnsi="Calibri" w:eastAsia="Calibri" w:cs="Calibri"/>
          <w:noProof w:val="0"/>
          <w:sz w:val="22"/>
          <w:szCs w:val="22"/>
          <w:lang w:val="en-US"/>
        </w:rPr>
      </w:pPr>
    </w:p>
    <w:p xmlns:wp14="http://schemas.microsoft.com/office/word/2010/wordml" w:rsidP="1169E4D9" wp14:paraId="6B0269EA" wp14:textId="1D1EEA5E">
      <w:pPr>
        <w:rPr>
          <w:rFonts w:ascii="Calibri" w:hAnsi="Calibri" w:eastAsia="Calibri" w:cs="Calibri"/>
          <w:noProof w:val="0"/>
          <w:sz w:val="22"/>
          <w:szCs w:val="22"/>
          <w:lang w:val="en-US"/>
        </w:rPr>
      </w:pPr>
      <w:r w:rsidRPr="4E8BE5FC" w:rsidR="59DD83D0">
        <w:rPr>
          <w:rFonts w:ascii="Calibri" w:hAnsi="Calibri" w:eastAsia="Calibri" w:cs="Calibri"/>
          <w:noProof w:val="0"/>
          <w:sz w:val="22"/>
          <w:szCs w:val="22"/>
          <w:lang w:val="en-GB"/>
        </w:rPr>
        <w:t xml:space="preserve">I acknowledge the use of ChatGPT, </w:t>
      </w:r>
      <w:hyperlink r:id="R56a14ac2ebd64299">
        <w:r w:rsidRPr="4E8BE5FC" w:rsidR="54315217">
          <w:rPr>
            <w:rStyle w:val="Hyperlink"/>
            <w:rFonts w:ascii="Calibri" w:hAnsi="Calibri" w:eastAsia="Calibri" w:cs="Calibri"/>
            <w:noProof w:val="0"/>
            <w:sz w:val="22"/>
            <w:szCs w:val="22"/>
            <w:lang w:val="en-GB"/>
          </w:rPr>
          <w:t>https://chatgpt.com/g/g-kZ0eYXlJe-scholar-gpt/c/681fcec3-c9a4-8003-b995-6486f6710135</w:t>
        </w:r>
      </w:hyperlink>
      <w:r w:rsidRPr="4E8BE5FC" w:rsidR="59DD83D0">
        <w:rPr>
          <w:rFonts w:ascii="Calibri" w:hAnsi="Calibri" w:eastAsia="Calibri" w:cs="Calibri"/>
          <w:noProof w:val="0"/>
          <w:sz w:val="22"/>
          <w:szCs w:val="22"/>
          <w:lang w:val="en-GB"/>
        </w:rPr>
        <w:t xml:space="preserve"> and Grammarly, </w:t>
      </w:r>
      <w:hyperlink r:id="Rc8407f4ea890423f">
        <w:r w:rsidRPr="4E8BE5FC" w:rsidR="5FDE4CE7">
          <w:rPr>
            <w:rStyle w:val="Hyperlink"/>
            <w:rFonts w:ascii="Calibri" w:hAnsi="Calibri" w:eastAsia="Calibri" w:cs="Calibri"/>
            <w:noProof w:val="0"/>
            <w:sz w:val="22"/>
            <w:szCs w:val="22"/>
            <w:lang w:val="en-GB"/>
          </w:rPr>
          <w:t>https://app.grammarly.com/ddocs/2821679710</w:t>
        </w:r>
      </w:hyperlink>
      <w:r w:rsidRPr="4E8BE5FC" w:rsidR="5FDE4CE7">
        <w:rPr>
          <w:rFonts w:ascii="Calibri" w:hAnsi="Calibri" w:eastAsia="Calibri" w:cs="Calibri"/>
          <w:noProof w:val="0"/>
          <w:sz w:val="22"/>
          <w:szCs w:val="22"/>
          <w:lang w:val="en-GB"/>
        </w:rPr>
        <w:t xml:space="preserve"> </w:t>
      </w:r>
      <w:r w:rsidRPr="4E8BE5FC" w:rsidR="59DD83D0">
        <w:rPr>
          <w:rFonts w:ascii="Calibri" w:hAnsi="Calibri" w:eastAsia="Calibri" w:cs="Calibri"/>
          <w:noProof w:val="0"/>
          <w:sz w:val="22"/>
          <w:szCs w:val="22"/>
          <w:lang w:val="en-GB"/>
        </w:rPr>
        <w:t>to support my research using the following prompts:</w:t>
      </w:r>
    </w:p>
    <w:p xmlns:wp14="http://schemas.microsoft.com/office/word/2010/wordml" w:rsidP="785DB312" wp14:paraId="324A8929" wp14:textId="67943E17">
      <w:pPr>
        <w:pStyle w:val="ListParagraph"/>
        <w:numPr>
          <w:ilvl w:val="0"/>
          <w:numId w:val="1"/>
        </w:numPr>
        <w:rPr>
          <w:rFonts w:ascii="Calibri" w:hAnsi="Calibri" w:eastAsia="Calibri" w:cs="Calibri"/>
          <w:noProof w:val="0"/>
          <w:sz w:val="22"/>
          <w:szCs w:val="22"/>
          <w:lang w:val="en-GB"/>
        </w:rPr>
      </w:pPr>
      <w:r w:rsidRPr="785DB312" w:rsidR="59DD83D0">
        <w:rPr>
          <w:rFonts w:ascii="Calibri" w:hAnsi="Calibri" w:eastAsia="Calibri" w:cs="Calibri"/>
          <w:noProof w:val="0"/>
          <w:sz w:val="22"/>
          <w:szCs w:val="22"/>
          <w:lang w:val="en-GB"/>
        </w:rPr>
        <w:t xml:space="preserve">Please provide me with a template following the criteria provided </w:t>
      </w:r>
      <w:r w:rsidRPr="785DB312" w:rsidR="59DD83D0">
        <w:rPr>
          <w:rFonts w:ascii="Calibri" w:hAnsi="Calibri" w:eastAsia="Calibri" w:cs="Calibri"/>
          <w:noProof w:val="0"/>
          <w:sz w:val="22"/>
          <w:szCs w:val="22"/>
          <w:lang w:val="en-GB"/>
        </w:rPr>
        <w:t>in order to</w:t>
      </w:r>
      <w:r w:rsidRPr="785DB312" w:rsidR="59DD83D0">
        <w:rPr>
          <w:rFonts w:ascii="Calibri" w:hAnsi="Calibri" w:eastAsia="Calibri" w:cs="Calibri"/>
          <w:noProof w:val="0"/>
          <w:sz w:val="22"/>
          <w:szCs w:val="22"/>
          <w:lang w:val="en-GB"/>
        </w:rPr>
        <w:t xml:space="preserve"> create a report on </w:t>
      </w:r>
      <w:r w:rsidRPr="785DB312" w:rsidR="50AC9511">
        <w:rPr>
          <w:rFonts w:ascii="Calibri" w:hAnsi="Calibri" w:eastAsia="Calibri" w:cs="Calibri"/>
          <w:noProof w:val="0"/>
          <w:sz w:val="22"/>
          <w:szCs w:val="22"/>
          <w:lang w:val="en-GB"/>
        </w:rPr>
        <w:t>Knowledge management</w:t>
      </w:r>
      <w:r w:rsidRPr="785DB312" w:rsidR="59DD83D0">
        <w:rPr>
          <w:rFonts w:ascii="Calibri" w:hAnsi="Calibri" w:eastAsia="Calibri" w:cs="Calibri"/>
          <w:noProof w:val="0"/>
          <w:sz w:val="22"/>
          <w:szCs w:val="22"/>
          <w:lang w:val="en-GB"/>
        </w:rPr>
        <w:t>.</w:t>
      </w:r>
    </w:p>
    <w:p xmlns:wp14="http://schemas.microsoft.com/office/word/2010/wordml" w:rsidP="1169E4D9" wp14:paraId="583552C6" wp14:textId="28F9CA2D">
      <w:pPr>
        <w:pStyle w:val="ListParagraph"/>
        <w:numPr>
          <w:ilvl w:val="0"/>
          <w:numId w:val="1"/>
        </w:numPr>
        <w:rPr>
          <w:rFonts w:ascii="Calibri" w:hAnsi="Calibri" w:eastAsia="Calibri" w:cs="Calibri"/>
          <w:noProof w:val="0"/>
          <w:sz w:val="22"/>
          <w:szCs w:val="22"/>
          <w:lang w:val="en-US"/>
        </w:rPr>
      </w:pPr>
      <w:r w:rsidRPr="1169E4D9" w:rsidR="59DD83D0">
        <w:rPr>
          <w:rFonts w:ascii="Calibri" w:hAnsi="Calibri" w:eastAsia="Calibri" w:cs="Calibri"/>
          <w:noProof w:val="0"/>
          <w:sz w:val="22"/>
          <w:szCs w:val="22"/>
          <w:lang w:val="en-GB"/>
        </w:rPr>
        <w:t>Please help me to apa7 reference my references.</w:t>
      </w:r>
    </w:p>
    <w:p xmlns:wp14="http://schemas.microsoft.com/office/word/2010/wordml" w:rsidP="1169E4D9" wp14:paraId="0FA9CD41" wp14:textId="7D1BC7A4">
      <w:pPr>
        <w:pStyle w:val="ListParagraph"/>
        <w:numPr>
          <w:ilvl w:val="0"/>
          <w:numId w:val="1"/>
        </w:numPr>
        <w:rPr>
          <w:rFonts w:ascii="Calibri" w:hAnsi="Calibri" w:eastAsia="Calibri" w:cs="Calibri"/>
          <w:noProof w:val="0"/>
          <w:color w:val="000000" w:themeColor="text1" w:themeTint="FF" w:themeShade="FF"/>
          <w:sz w:val="22"/>
          <w:szCs w:val="22"/>
          <w:lang w:val="en-US"/>
        </w:rPr>
      </w:pPr>
      <w:r w:rsidRPr="1169E4D9" w:rsidR="59DD83D0">
        <w:rPr>
          <w:rFonts w:ascii="Calibri" w:hAnsi="Calibri" w:eastAsia="Calibri" w:cs="Calibri"/>
          <w:noProof w:val="0"/>
          <w:color w:val="000000" w:themeColor="text1" w:themeTint="FF" w:themeShade="FF"/>
          <w:sz w:val="22"/>
          <w:szCs w:val="22"/>
          <w:lang w:val="en-GB"/>
        </w:rPr>
        <w:t>Please review the attached report and check for gramma, spelling, formatting and general structure. Please highlight areas where I can improve the flow, write more concisely, contextualize and add in critical elements. Please could you look to identify, any gaps where I need to add a source to support the writing. Please can you also check citations are included within the reference list and vice versa, additionally, please highlight any errors with my citations and reference list in accordance to APA7</w:t>
      </w:r>
    </w:p>
    <w:p xmlns:wp14="http://schemas.microsoft.com/office/word/2010/wordml" w:rsidP="1169E4D9" wp14:paraId="3CB25FE4" wp14:textId="18C82620">
      <w:pPr>
        <w:rPr>
          <w:rFonts w:ascii="Arial" w:hAnsi="Arial" w:eastAsia="Arial" w:cs="Arial"/>
          <w:noProof w:val="0"/>
          <w:sz w:val="22"/>
          <w:szCs w:val="22"/>
          <w:lang w:val="en-US"/>
        </w:rPr>
      </w:pPr>
      <w:r w:rsidRPr="1169E4D9" w:rsidR="59DD83D0">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1169E4D9" w:rsidR="59DD83D0">
        <w:rPr>
          <w:rFonts w:ascii="Calibri" w:hAnsi="Calibri" w:eastAsia="Calibri" w:cs="Calibri"/>
          <w:noProof w:val="0"/>
          <w:sz w:val="22"/>
          <w:szCs w:val="22"/>
          <w:lang w:val="en-GB"/>
        </w:rPr>
        <w:t>notes</w:t>
      </w:r>
      <w:r w:rsidRPr="1169E4D9" w:rsidR="59DD83D0">
        <w:rPr>
          <w:rFonts w:ascii="Calibri" w:hAnsi="Calibri" w:eastAsia="Calibri" w:cs="Calibri"/>
          <w:noProof w:val="0"/>
          <w:sz w:val="22"/>
          <w:szCs w:val="22"/>
          <w:lang w:val="en-GB"/>
        </w:rPr>
        <w:t xml:space="preserve"> and other resources I have used before, and after the use of AI tools which I may be asked to produce in evidence</w:t>
      </w:r>
      <w:r w:rsidRPr="1169E4D9" w:rsidR="59DD83D0">
        <w:rPr>
          <w:rFonts w:ascii="Calibri" w:hAnsi="Calibri" w:eastAsia="Calibri" w:cs="Calibri"/>
          <w:noProof w:val="0"/>
          <w:sz w:val="22"/>
          <w:szCs w:val="22"/>
          <w:lang w:val="en-GB"/>
        </w:rPr>
        <w:t>.</w:t>
      </w:r>
      <w:r w:rsidRPr="1169E4D9" w:rsidR="59DD83D0">
        <w:rPr>
          <w:rFonts w:ascii="Arial" w:hAnsi="Arial" w:eastAsia="Arial" w:cs="Arial"/>
          <w:noProof w:val="0"/>
          <w:sz w:val="22"/>
          <w:szCs w:val="22"/>
          <w:lang w:val="en-GB"/>
        </w:rPr>
        <w:t xml:space="preserve"> </w:t>
      </w:r>
      <w:r w:rsidRPr="1169E4D9" w:rsidR="59DD83D0">
        <w:rPr>
          <w:rFonts w:ascii="Calibri" w:hAnsi="Calibri" w:eastAsia="Calibri" w:cs="Calibri"/>
          <w:noProof w:val="0"/>
          <w:sz w:val="22"/>
          <w:szCs w:val="22"/>
          <w:lang w:val="en-GB"/>
        </w:rPr>
        <w:t xml:space="preserve"> </w:t>
      </w:r>
    </w:p>
    <w:sdt>
      <w:sdtPr>
        <w:id w:val="770072395"/>
        <w:docPartObj>
          <w:docPartGallery w:val="Table of Contents"/>
          <w:docPartUnique/>
        </w:docPartObj>
      </w:sdtPr>
      <w:sdtContent>
        <w:p xmlns:wp14="http://schemas.microsoft.com/office/word/2010/wordml" w:rsidP="1169E4D9" wp14:paraId="39B303D3" wp14:textId="533EDCEF">
          <w:pPr>
            <w:pStyle w:val="TOC1"/>
            <w:tabs>
              <w:tab w:val="right" w:leader="dot" w:pos="9360"/>
            </w:tabs>
            <w:bidi w:val="0"/>
            <w:rPr>
              <w:rStyle w:val="Hyperlink"/>
            </w:rPr>
          </w:pPr>
          <w:r>
            <w:fldChar w:fldCharType="begin"/>
          </w:r>
          <w:r>
            <w:instrText xml:space="preserve">TOC \o "1-9" \z \u \h</w:instrText>
          </w:r>
          <w:r>
            <w:fldChar w:fldCharType="separate"/>
          </w:r>
          <w:hyperlink w:anchor="_Toc1552342475">
            <w:r w:rsidRPr="4E8BE5FC" w:rsidR="4E8BE5FC">
              <w:rPr>
                <w:rStyle w:val="Hyperlink"/>
              </w:rPr>
              <w:t>1. Introduction</w:t>
            </w:r>
            <w:r>
              <w:tab/>
            </w:r>
            <w:r>
              <w:fldChar w:fldCharType="begin"/>
            </w:r>
            <w:r>
              <w:instrText xml:space="preserve">PAGEREF _Toc1552342475 \h</w:instrText>
            </w:r>
            <w:r>
              <w:fldChar w:fldCharType="separate"/>
            </w:r>
            <w:r w:rsidRPr="4E8BE5FC" w:rsidR="4E8BE5FC">
              <w:rPr>
                <w:rStyle w:val="Hyperlink"/>
              </w:rPr>
              <w:t>2</w:t>
            </w:r>
            <w:r>
              <w:fldChar w:fldCharType="end"/>
            </w:r>
          </w:hyperlink>
        </w:p>
        <w:p xmlns:wp14="http://schemas.microsoft.com/office/word/2010/wordml" w:rsidP="1169E4D9" wp14:paraId="7C909991" wp14:textId="7FD3DB9D">
          <w:pPr>
            <w:pStyle w:val="TOC1"/>
            <w:tabs>
              <w:tab w:val="right" w:leader="dot" w:pos="9360"/>
            </w:tabs>
            <w:bidi w:val="0"/>
            <w:rPr>
              <w:rStyle w:val="Hyperlink"/>
            </w:rPr>
          </w:pPr>
          <w:hyperlink w:anchor="_Toc1709870442">
            <w:r w:rsidRPr="4E8BE5FC" w:rsidR="4E8BE5FC">
              <w:rPr>
                <w:rStyle w:val="Hyperlink"/>
              </w:rPr>
              <w:t>2. Knowledge and Information Management in Context</w:t>
            </w:r>
            <w:r>
              <w:tab/>
            </w:r>
            <w:r>
              <w:fldChar w:fldCharType="begin"/>
            </w:r>
            <w:r>
              <w:instrText xml:space="preserve">PAGEREF _Toc1709870442 \h</w:instrText>
            </w:r>
            <w:r>
              <w:fldChar w:fldCharType="separate"/>
            </w:r>
            <w:r w:rsidRPr="4E8BE5FC" w:rsidR="4E8BE5FC">
              <w:rPr>
                <w:rStyle w:val="Hyperlink"/>
              </w:rPr>
              <w:t>3</w:t>
            </w:r>
            <w:r>
              <w:fldChar w:fldCharType="end"/>
            </w:r>
          </w:hyperlink>
        </w:p>
        <w:p xmlns:wp14="http://schemas.microsoft.com/office/word/2010/wordml" w:rsidP="1169E4D9" wp14:paraId="7AEB2691" wp14:textId="633B4D05">
          <w:pPr>
            <w:pStyle w:val="TOC2"/>
            <w:tabs>
              <w:tab w:val="right" w:leader="dot" w:pos="9360"/>
            </w:tabs>
            <w:bidi w:val="0"/>
            <w:rPr>
              <w:rStyle w:val="Hyperlink"/>
            </w:rPr>
          </w:pPr>
          <w:hyperlink w:anchor="_Toc1334407494">
            <w:r w:rsidRPr="4E8BE5FC" w:rsidR="4E8BE5FC">
              <w:rPr>
                <w:rStyle w:val="Hyperlink"/>
              </w:rPr>
              <w:t>2.1 Understanding Knowledge and Information</w:t>
            </w:r>
            <w:r>
              <w:tab/>
            </w:r>
            <w:r>
              <w:fldChar w:fldCharType="begin"/>
            </w:r>
            <w:r>
              <w:instrText xml:space="preserve">PAGEREF _Toc1334407494 \h</w:instrText>
            </w:r>
            <w:r>
              <w:fldChar w:fldCharType="separate"/>
            </w:r>
            <w:r w:rsidRPr="4E8BE5FC" w:rsidR="4E8BE5FC">
              <w:rPr>
                <w:rStyle w:val="Hyperlink"/>
              </w:rPr>
              <w:t>3</w:t>
            </w:r>
            <w:r>
              <w:fldChar w:fldCharType="end"/>
            </w:r>
          </w:hyperlink>
        </w:p>
        <w:p xmlns:wp14="http://schemas.microsoft.com/office/word/2010/wordml" w:rsidP="1169E4D9" wp14:paraId="7C357E8B" wp14:textId="225BCDED">
          <w:pPr>
            <w:pStyle w:val="TOC2"/>
            <w:tabs>
              <w:tab w:val="right" w:leader="dot" w:pos="9360"/>
            </w:tabs>
            <w:bidi w:val="0"/>
            <w:rPr>
              <w:rStyle w:val="Hyperlink"/>
            </w:rPr>
          </w:pPr>
          <w:hyperlink w:anchor="_Toc1091674989">
            <w:r w:rsidRPr="4E8BE5FC" w:rsidR="4E8BE5FC">
              <w:rPr>
                <w:rStyle w:val="Hyperlink"/>
              </w:rPr>
              <w:t>2.2 Knowledge Management in Practice</w:t>
            </w:r>
            <w:r>
              <w:tab/>
            </w:r>
            <w:r>
              <w:fldChar w:fldCharType="begin"/>
            </w:r>
            <w:r>
              <w:instrText xml:space="preserve">PAGEREF _Toc1091674989 \h</w:instrText>
            </w:r>
            <w:r>
              <w:fldChar w:fldCharType="separate"/>
            </w:r>
            <w:r w:rsidRPr="4E8BE5FC" w:rsidR="4E8BE5FC">
              <w:rPr>
                <w:rStyle w:val="Hyperlink"/>
              </w:rPr>
              <w:t>4</w:t>
            </w:r>
            <w:r>
              <w:fldChar w:fldCharType="end"/>
            </w:r>
          </w:hyperlink>
        </w:p>
        <w:p xmlns:wp14="http://schemas.microsoft.com/office/word/2010/wordml" w:rsidP="1169E4D9" wp14:paraId="7849BF28" wp14:textId="224FB48E">
          <w:pPr>
            <w:pStyle w:val="TOC1"/>
            <w:tabs>
              <w:tab w:val="right" w:leader="dot" w:pos="9360"/>
            </w:tabs>
            <w:bidi w:val="0"/>
            <w:rPr>
              <w:rStyle w:val="Hyperlink"/>
            </w:rPr>
          </w:pPr>
          <w:hyperlink w:anchor="_Toc963882566">
            <w:r w:rsidRPr="4E8BE5FC" w:rsidR="4E8BE5FC">
              <w:rPr>
                <w:rStyle w:val="Hyperlink"/>
              </w:rPr>
              <w:t>3. Strategic Knowledge Use</w:t>
            </w:r>
            <w:r>
              <w:tab/>
            </w:r>
            <w:r>
              <w:fldChar w:fldCharType="begin"/>
            </w:r>
            <w:r>
              <w:instrText xml:space="preserve">PAGEREF _Toc963882566 \h</w:instrText>
            </w:r>
            <w:r>
              <w:fldChar w:fldCharType="separate"/>
            </w:r>
            <w:r w:rsidRPr="4E8BE5FC" w:rsidR="4E8BE5FC">
              <w:rPr>
                <w:rStyle w:val="Hyperlink"/>
              </w:rPr>
              <w:t>5</w:t>
            </w:r>
            <w:r>
              <w:fldChar w:fldCharType="end"/>
            </w:r>
          </w:hyperlink>
        </w:p>
        <w:p xmlns:wp14="http://schemas.microsoft.com/office/word/2010/wordml" w:rsidP="1169E4D9" wp14:paraId="131E422E" wp14:textId="16403635">
          <w:pPr>
            <w:pStyle w:val="TOC2"/>
            <w:tabs>
              <w:tab w:val="right" w:leader="dot" w:pos="9360"/>
            </w:tabs>
            <w:bidi w:val="0"/>
            <w:rPr>
              <w:rStyle w:val="Hyperlink"/>
            </w:rPr>
          </w:pPr>
          <w:hyperlink w:anchor="_Toc20343974">
            <w:r w:rsidRPr="4E8BE5FC" w:rsidR="4E8BE5FC">
              <w:rPr>
                <w:rStyle w:val="Hyperlink"/>
              </w:rPr>
              <w:t>3.1 Managing Key Performance Indicators (KPIs)</w:t>
            </w:r>
            <w:r>
              <w:tab/>
            </w:r>
            <w:r>
              <w:fldChar w:fldCharType="begin"/>
            </w:r>
            <w:r>
              <w:instrText xml:space="preserve">PAGEREF _Toc20343974 \h</w:instrText>
            </w:r>
            <w:r>
              <w:fldChar w:fldCharType="separate"/>
            </w:r>
            <w:r w:rsidRPr="4E8BE5FC" w:rsidR="4E8BE5FC">
              <w:rPr>
                <w:rStyle w:val="Hyperlink"/>
              </w:rPr>
              <w:t>5</w:t>
            </w:r>
            <w:r>
              <w:fldChar w:fldCharType="end"/>
            </w:r>
          </w:hyperlink>
        </w:p>
        <w:p xmlns:wp14="http://schemas.microsoft.com/office/word/2010/wordml" w:rsidP="1169E4D9" wp14:paraId="4475F9CA" wp14:textId="60FBA279">
          <w:pPr>
            <w:pStyle w:val="TOC2"/>
            <w:tabs>
              <w:tab w:val="right" w:leader="dot" w:pos="9360"/>
            </w:tabs>
            <w:bidi w:val="0"/>
            <w:rPr>
              <w:rStyle w:val="Hyperlink"/>
            </w:rPr>
          </w:pPr>
          <w:hyperlink w:anchor="_Toc1497884225">
            <w:r w:rsidRPr="4E8BE5FC" w:rsidR="4E8BE5FC">
              <w:rPr>
                <w:rStyle w:val="Hyperlink"/>
              </w:rPr>
              <w:t>3.2 Strategic Evaluation Using VRIO</w:t>
            </w:r>
            <w:r>
              <w:tab/>
            </w:r>
            <w:r>
              <w:fldChar w:fldCharType="begin"/>
            </w:r>
            <w:r>
              <w:instrText xml:space="preserve">PAGEREF _Toc1497884225 \h</w:instrText>
            </w:r>
            <w:r>
              <w:fldChar w:fldCharType="separate"/>
            </w:r>
            <w:r w:rsidRPr="4E8BE5FC" w:rsidR="4E8BE5FC">
              <w:rPr>
                <w:rStyle w:val="Hyperlink"/>
              </w:rPr>
              <w:t>6</w:t>
            </w:r>
            <w:r>
              <w:fldChar w:fldCharType="end"/>
            </w:r>
          </w:hyperlink>
        </w:p>
        <w:p xmlns:wp14="http://schemas.microsoft.com/office/word/2010/wordml" w:rsidP="1169E4D9" wp14:paraId="7AA478EC" wp14:textId="5BCCB19D">
          <w:pPr>
            <w:pStyle w:val="TOC1"/>
            <w:tabs>
              <w:tab w:val="right" w:leader="dot" w:pos="9360"/>
            </w:tabs>
            <w:bidi w:val="0"/>
            <w:rPr>
              <w:rStyle w:val="Hyperlink"/>
            </w:rPr>
          </w:pPr>
          <w:hyperlink w:anchor="_Toc1802140352">
            <w:r w:rsidRPr="4E8BE5FC" w:rsidR="4E8BE5FC">
              <w:rPr>
                <w:rStyle w:val="Hyperlink"/>
              </w:rPr>
              <w:t>4. Technology and Tools- Kaas and Digital Knowledge Systems</w:t>
            </w:r>
            <w:r>
              <w:tab/>
            </w:r>
            <w:r>
              <w:fldChar w:fldCharType="begin"/>
            </w:r>
            <w:r>
              <w:instrText xml:space="preserve">PAGEREF _Toc1802140352 \h</w:instrText>
            </w:r>
            <w:r>
              <w:fldChar w:fldCharType="separate"/>
            </w:r>
            <w:r w:rsidRPr="4E8BE5FC" w:rsidR="4E8BE5FC">
              <w:rPr>
                <w:rStyle w:val="Hyperlink"/>
              </w:rPr>
              <w:t>7</w:t>
            </w:r>
            <w:r>
              <w:fldChar w:fldCharType="end"/>
            </w:r>
          </w:hyperlink>
        </w:p>
        <w:p xmlns:wp14="http://schemas.microsoft.com/office/word/2010/wordml" w:rsidP="1169E4D9" wp14:paraId="082C9081" wp14:textId="680EBEEC">
          <w:pPr>
            <w:pStyle w:val="TOC2"/>
            <w:tabs>
              <w:tab w:val="right" w:leader="dot" w:pos="9360"/>
            </w:tabs>
            <w:bidi w:val="0"/>
            <w:rPr>
              <w:rStyle w:val="Hyperlink"/>
            </w:rPr>
          </w:pPr>
          <w:hyperlink w:anchor="_Toc90773408">
            <w:r w:rsidRPr="4E8BE5FC" w:rsidR="4E8BE5FC">
              <w:rPr>
                <w:rStyle w:val="Hyperlink"/>
              </w:rPr>
              <w:t>4.1 Knowledge as a Service (KaaS) in Vocational Training</w:t>
            </w:r>
            <w:r>
              <w:tab/>
            </w:r>
            <w:r>
              <w:fldChar w:fldCharType="begin"/>
            </w:r>
            <w:r>
              <w:instrText xml:space="preserve">PAGEREF _Toc90773408 \h</w:instrText>
            </w:r>
            <w:r>
              <w:fldChar w:fldCharType="separate"/>
            </w:r>
            <w:r w:rsidRPr="4E8BE5FC" w:rsidR="4E8BE5FC">
              <w:rPr>
                <w:rStyle w:val="Hyperlink"/>
              </w:rPr>
              <w:t>7</w:t>
            </w:r>
            <w:r>
              <w:fldChar w:fldCharType="end"/>
            </w:r>
          </w:hyperlink>
        </w:p>
        <w:p xmlns:wp14="http://schemas.microsoft.com/office/word/2010/wordml" w:rsidP="1169E4D9" wp14:paraId="2CF46730" wp14:textId="4830E7C3">
          <w:pPr>
            <w:pStyle w:val="TOC2"/>
            <w:tabs>
              <w:tab w:val="right" w:leader="dot" w:pos="9360"/>
            </w:tabs>
            <w:bidi w:val="0"/>
            <w:rPr>
              <w:rStyle w:val="Hyperlink"/>
            </w:rPr>
          </w:pPr>
          <w:hyperlink w:anchor="_Toc651758113">
            <w:r w:rsidRPr="4E8BE5FC" w:rsidR="4E8BE5FC">
              <w:rPr>
                <w:rStyle w:val="Hyperlink"/>
              </w:rPr>
              <w:t>4.2 Digital Tools for Knowledge Sharing</w:t>
            </w:r>
            <w:r>
              <w:tab/>
            </w:r>
            <w:r>
              <w:fldChar w:fldCharType="begin"/>
            </w:r>
            <w:r>
              <w:instrText xml:space="preserve">PAGEREF _Toc651758113 \h</w:instrText>
            </w:r>
            <w:r>
              <w:fldChar w:fldCharType="separate"/>
            </w:r>
            <w:r w:rsidRPr="4E8BE5FC" w:rsidR="4E8BE5FC">
              <w:rPr>
                <w:rStyle w:val="Hyperlink"/>
              </w:rPr>
              <w:t>8</w:t>
            </w:r>
            <w:r>
              <w:fldChar w:fldCharType="end"/>
            </w:r>
          </w:hyperlink>
        </w:p>
        <w:p xmlns:wp14="http://schemas.microsoft.com/office/word/2010/wordml" w:rsidP="1169E4D9" wp14:paraId="698C3EBD" wp14:textId="559CDB23">
          <w:pPr>
            <w:pStyle w:val="TOC1"/>
            <w:tabs>
              <w:tab w:val="right" w:leader="dot" w:pos="9360"/>
            </w:tabs>
            <w:bidi w:val="0"/>
            <w:rPr>
              <w:rStyle w:val="Hyperlink"/>
            </w:rPr>
          </w:pPr>
          <w:hyperlink w:anchor="_Toc1955388227">
            <w:r w:rsidRPr="4E8BE5FC" w:rsidR="4E8BE5FC">
              <w:rPr>
                <w:rStyle w:val="Hyperlink"/>
              </w:rPr>
              <w:t>5. Governance, GDPR and Ethical Knowledge Handling</w:t>
            </w:r>
            <w:r>
              <w:tab/>
            </w:r>
            <w:r>
              <w:fldChar w:fldCharType="begin"/>
            </w:r>
            <w:r>
              <w:instrText xml:space="preserve">PAGEREF _Toc1955388227 \h</w:instrText>
            </w:r>
            <w:r>
              <w:fldChar w:fldCharType="separate"/>
            </w:r>
            <w:r w:rsidRPr="4E8BE5FC" w:rsidR="4E8BE5FC">
              <w:rPr>
                <w:rStyle w:val="Hyperlink"/>
              </w:rPr>
              <w:t>8</w:t>
            </w:r>
            <w:r>
              <w:fldChar w:fldCharType="end"/>
            </w:r>
          </w:hyperlink>
        </w:p>
        <w:p xmlns:wp14="http://schemas.microsoft.com/office/word/2010/wordml" w:rsidP="1169E4D9" wp14:paraId="19EF1575" wp14:textId="12E1E9AC">
          <w:pPr>
            <w:pStyle w:val="TOC2"/>
            <w:tabs>
              <w:tab w:val="right" w:leader="dot" w:pos="9360"/>
            </w:tabs>
            <w:bidi w:val="0"/>
            <w:rPr>
              <w:rStyle w:val="Hyperlink"/>
            </w:rPr>
          </w:pPr>
          <w:hyperlink w:anchor="_Toc1438321456">
            <w:r w:rsidRPr="4E8BE5FC" w:rsidR="4E8BE5FC">
              <w:rPr>
                <w:rStyle w:val="Hyperlink"/>
              </w:rPr>
              <w:t>5.1 Knowledge Governance and Access Control</w:t>
            </w:r>
            <w:r>
              <w:tab/>
            </w:r>
            <w:r>
              <w:fldChar w:fldCharType="begin"/>
            </w:r>
            <w:r>
              <w:instrText xml:space="preserve">PAGEREF _Toc1438321456 \h</w:instrText>
            </w:r>
            <w:r>
              <w:fldChar w:fldCharType="separate"/>
            </w:r>
            <w:r w:rsidRPr="4E8BE5FC" w:rsidR="4E8BE5FC">
              <w:rPr>
                <w:rStyle w:val="Hyperlink"/>
              </w:rPr>
              <w:t>8</w:t>
            </w:r>
            <w:r>
              <w:fldChar w:fldCharType="end"/>
            </w:r>
          </w:hyperlink>
        </w:p>
        <w:p xmlns:wp14="http://schemas.microsoft.com/office/word/2010/wordml" w:rsidP="1169E4D9" wp14:paraId="65F928DC" wp14:textId="470A4D98">
          <w:pPr>
            <w:pStyle w:val="TOC2"/>
            <w:tabs>
              <w:tab w:val="right" w:leader="dot" w:pos="9360"/>
            </w:tabs>
            <w:bidi w:val="0"/>
            <w:rPr>
              <w:rStyle w:val="Hyperlink"/>
            </w:rPr>
          </w:pPr>
          <w:hyperlink w:anchor="_Toc1072141559">
            <w:r w:rsidRPr="4E8BE5FC" w:rsidR="4E8BE5FC">
              <w:rPr>
                <w:rStyle w:val="Hyperlink"/>
              </w:rPr>
              <w:t>5.2 Ethical and Legan Compliance (GDPR)</w:t>
            </w:r>
            <w:r>
              <w:tab/>
            </w:r>
            <w:r>
              <w:fldChar w:fldCharType="begin"/>
            </w:r>
            <w:r>
              <w:instrText xml:space="preserve">PAGEREF _Toc1072141559 \h</w:instrText>
            </w:r>
            <w:r>
              <w:fldChar w:fldCharType="separate"/>
            </w:r>
            <w:r w:rsidRPr="4E8BE5FC" w:rsidR="4E8BE5FC">
              <w:rPr>
                <w:rStyle w:val="Hyperlink"/>
              </w:rPr>
              <w:t>9</w:t>
            </w:r>
            <w:r>
              <w:fldChar w:fldCharType="end"/>
            </w:r>
          </w:hyperlink>
        </w:p>
        <w:p xmlns:wp14="http://schemas.microsoft.com/office/word/2010/wordml" w:rsidP="1169E4D9" wp14:paraId="5D2F1A1C" wp14:textId="5B1DBCD0">
          <w:pPr>
            <w:pStyle w:val="TOC1"/>
            <w:tabs>
              <w:tab w:val="right" w:leader="dot" w:pos="9360"/>
            </w:tabs>
            <w:bidi w:val="0"/>
            <w:rPr>
              <w:rStyle w:val="Hyperlink"/>
            </w:rPr>
          </w:pPr>
          <w:hyperlink w:anchor="_Toc1901417712">
            <w:r w:rsidRPr="4E8BE5FC" w:rsidR="4E8BE5FC">
              <w:rPr>
                <w:rStyle w:val="Hyperlink"/>
              </w:rPr>
              <w:t>6. Conclusion</w:t>
            </w:r>
            <w:r>
              <w:tab/>
            </w:r>
            <w:r>
              <w:fldChar w:fldCharType="begin"/>
            </w:r>
            <w:r>
              <w:instrText xml:space="preserve">PAGEREF _Toc1901417712 \h</w:instrText>
            </w:r>
            <w:r>
              <w:fldChar w:fldCharType="separate"/>
            </w:r>
            <w:r w:rsidRPr="4E8BE5FC" w:rsidR="4E8BE5FC">
              <w:rPr>
                <w:rStyle w:val="Hyperlink"/>
              </w:rPr>
              <w:t>9</w:t>
            </w:r>
            <w:r>
              <w:fldChar w:fldCharType="end"/>
            </w:r>
          </w:hyperlink>
        </w:p>
        <w:p xmlns:wp14="http://schemas.microsoft.com/office/word/2010/wordml" w:rsidP="1169E4D9" wp14:paraId="721EA3DF" wp14:textId="62C31F5B">
          <w:pPr>
            <w:pStyle w:val="TOC1"/>
            <w:tabs>
              <w:tab w:val="right" w:leader="dot" w:pos="9360"/>
            </w:tabs>
            <w:bidi w:val="0"/>
            <w:rPr>
              <w:rStyle w:val="Hyperlink"/>
            </w:rPr>
          </w:pPr>
          <w:hyperlink w:anchor="_Toc243503177">
            <w:r w:rsidRPr="4E8BE5FC" w:rsidR="4E8BE5FC">
              <w:rPr>
                <w:rStyle w:val="Hyperlink"/>
              </w:rPr>
              <w:t>7. refences</w:t>
            </w:r>
            <w:r>
              <w:tab/>
            </w:r>
            <w:r>
              <w:fldChar w:fldCharType="begin"/>
            </w:r>
            <w:r>
              <w:instrText xml:space="preserve">PAGEREF _Toc243503177 \h</w:instrText>
            </w:r>
            <w:r>
              <w:fldChar w:fldCharType="separate"/>
            </w:r>
            <w:r w:rsidRPr="4E8BE5FC" w:rsidR="4E8BE5FC">
              <w:rPr>
                <w:rStyle w:val="Hyperlink"/>
              </w:rPr>
              <w:t>10</w:t>
            </w:r>
            <w:r>
              <w:fldChar w:fldCharType="end"/>
            </w:r>
          </w:hyperlink>
          <w:r>
            <w:fldChar w:fldCharType="end"/>
          </w:r>
        </w:p>
      </w:sdtContent>
    </w:sdt>
    <w:p xmlns:wp14="http://schemas.microsoft.com/office/word/2010/wordml" w:rsidP="0A850446" wp14:paraId="26EE8B32" wp14:textId="4E7CDD78">
      <w:pPr>
        <w:pStyle w:val="Normal"/>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xmlns:wp14="http://schemas.microsoft.com/office/word/2010/wordml" w:rsidP="0A850446" wp14:paraId="00E823D0" wp14:textId="4049F176">
      <w:pPr>
        <w:pStyle w:val="Heading1"/>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xmlns:wp14="http://schemas.microsoft.com/office/word/2010/wordml" w:rsidP="0A850446" wp14:paraId="1830DE6B" wp14:textId="0F022E6E">
      <w:pPr>
        <w:pStyle w:val="Heading1"/>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xmlns:wp14="http://schemas.microsoft.com/office/word/2010/wordml" w:rsidP="0A850446" wp14:paraId="2F47CEBE" wp14:textId="77636E9A">
      <w:pPr>
        <w:pStyle w:val="Heading1"/>
        <w:keepNext w:val="1"/>
        <w:keepLines w:val="1"/>
        <w:pBdr>
          <w:top w:val="nil" w:color="000000" w:sz="0" w:space="0"/>
          <w:left w:val="nil" w:color="000000" w:sz="0" w:space="0"/>
          <w:bottom w:val="nil" w:color="000000" w:sz="0" w:space="0"/>
          <w:right w:val="nil" w:color="000000" w:sz="0" w:space="0"/>
          <w:between w:val="nil" w:color="000000" w:sz="0" w:space="0"/>
        </w:pBdr>
        <w:spacing w:before="0" w:beforeAutospacing="off" w:after="0"/>
        <w:rPr>
          <w:rFonts w:ascii="Calibri" w:hAnsi="Calibri" w:eastAsia="Calibri" w:cs="Calibri"/>
          <w:noProof w:val="0"/>
          <w:color w:val="auto"/>
          <w:sz w:val="32"/>
          <w:szCs w:val="32"/>
          <w:lang w:val="en-GB"/>
        </w:rPr>
      </w:pPr>
    </w:p>
    <w:p xmlns:wp14="http://schemas.microsoft.com/office/word/2010/wordml" w:rsidP="4E8BE5FC" wp14:paraId="1F8E4595" wp14:textId="1DB65A23">
      <w:pPr>
        <w:pStyle w:val="Heading1"/>
        <w:keepNext w:val="1"/>
        <w:keepLines w:val="1"/>
        <w:spacing w:before="0" w:beforeAutospacing="off" w:after="0"/>
        <w:rPr>
          <w:rFonts w:ascii="Calibri" w:hAnsi="Calibri" w:eastAsia="Calibri" w:cs="Calibri"/>
          <w:noProof w:val="0"/>
          <w:color w:val="auto"/>
          <w:sz w:val="32"/>
          <w:szCs w:val="32"/>
          <w:lang w:val="en-GB"/>
        </w:rPr>
      </w:pPr>
    </w:p>
    <w:p w:rsidR="27A17F3E" w:rsidP="27A17F3E" w:rsidRDefault="27A17F3E" w14:paraId="4A68AB3C" w14:textId="3A87D2A6">
      <w:pPr>
        <w:pStyle w:val="Normal"/>
        <w:keepNext w:val="1"/>
        <w:keepLines w:val="1"/>
        <w:rPr>
          <w:noProof w:val="0"/>
          <w:lang w:val="en-GB"/>
        </w:rPr>
      </w:pPr>
    </w:p>
    <w:p xmlns:wp14="http://schemas.microsoft.com/office/word/2010/wordml" w:rsidP="4E8BE5FC" wp14:paraId="17D78199" wp14:textId="39987EF1">
      <w:pPr>
        <w:pStyle w:val="Heading1"/>
        <w:keepNext w:val="1"/>
        <w:keepLines w:val="1"/>
        <w:spacing w:before="0" w:beforeAutospacing="off" w:after="0"/>
        <w:rPr>
          <w:rFonts w:ascii="Calibri" w:hAnsi="Calibri" w:eastAsia="Calibri" w:cs="Calibri"/>
          <w:noProof w:val="0"/>
          <w:color w:val="auto"/>
          <w:sz w:val="32"/>
          <w:szCs w:val="32"/>
          <w:lang w:val="en-US"/>
        </w:rPr>
      </w:pPr>
      <w:bookmarkStart w:name="_Toc1552342475" w:id="521081030"/>
      <w:r w:rsidRPr="4E8BE5FC" w:rsidR="59DD83D0">
        <w:rPr>
          <w:rFonts w:ascii="Calibri" w:hAnsi="Calibri" w:eastAsia="Calibri" w:cs="Calibri"/>
          <w:noProof w:val="0"/>
          <w:color w:val="auto"/>
          <w:sz w:val="32"/>
          <w:szCs w:val="32"/>
          <w:lang w:val="en-GB"/>
        </w:rPr>
        <w:t>1. Introduction</w:t>
      </w:r>
      <w:bookmarkEnd w:id="521081030"/>
      <w:r w:rsidRPr="4E8BE5FC" w:rsidR="59DD83D0">
        <w:rPr>
          <w:rFonts w:ascii="Calibri" w:hAnsi="Calibri" w:eastAsia="Calibri" w:cs="Calibri"/>
          <w:noProof w:val="0"/>
          <w:color w:val="auto"/>
          <w:sz w:val="32"/>
          <w:szCs w:val="32"/>
          <w:lang w:val="en-GB"/>
        </w:rPr>
        <w:t xml:space="preserve"> </w:t>
      </w:r>
      <w:r w:rsidRPr="4E8BE5FC" w:rsidR="59DD83D0">
        <w:rPr>
          <w:rFonts w:ascii="Calibri" w:hAnsi="Calibri" w:eastAsia="Calibri" w:cs="Calibri"/>
          <w:noProof w:val="0"/>
          <w:color w:val="auto"/>
          <w:sz w:val="32"/>
          <w:szCs w:val="32"/>
          <w:lang w:val="en-GB"/>
        </w:rPr>
        <w:t xml:space="preserve"> </w:t>
      </w:r>
    </w:p>
    <w:p w:rsidR="652D4218" w:rsidP="27A17F3E" w:rsidRDefault="652D4218" w14:paraId="33AC9565" w14:textId="0132C35B">
      <w:pPr>
        <w:pStyle w:val="Normal"/>
        <w:keepNext w:val="0"/>
        <w:keepLines w:val="0"/>
        <w:spacing w:before="0" w:beforeAutospacing="off" w:after="0" w:afterAutospacing="off" w:line="360" w:lineRule="auto"/>
        <w:ind w:firstLine="0"/>
        <w:jc w:val="both"/>
        <w:rPr>
          <w:rFonts w:ascii="Calibri" w:hAnsi="Calibri" w:eastAsia="Calibri" w:cs="Calibri"/>
          <w:noProof w:val="0"/>
          <w:color w:val="000000" w:themeColor="text1" w:themeTint="FF" w:themeShade="FF"/>
          <w:sz w:val="22"/>
          <w:szCs w:val="22"/>
          <w:lang w:val="en-US"/>
        </w:rPr>
      </w:pPr>
      <w:r w:rsidRPr="27A17F3E" w:rsidR="652D4218">
        <w:rPr>
          <w:rFonts w:ascii="Calibri" w:hAnsi="Calibri" w:eastAsia="Calibri" w:cs="Calibri"/>
          <w:noProof w:val="0"/>
          <w:color w:val="000000" w:themeColor="text1" w:themeTint="FF" w:themeShade="FF"/>
          <w:sz w:val="22"/>
          <w:szCs w:val="22"/>
          <w:lang w:val="en-US"/>
        </w:rPr>
        <w:t xml:space="preserve">Knowledge Management is critical for organisations to </w:t>
      </w:r>
      <w:r w:rsidRPr="27A17F3E" w:rsidR="652D4218">
        <w:rPr>
          <w:rFonts w:ascii="Calibri" w:hAnsi="Calibri" w:eastAsia="Calibri" w:cs="Calibri"/>
          <w:noProof w:val="0"/>
          <w:color w:val="000000" w:themeColor="text1" w:themeTint="FF" w:themeShade="FF"/>
          <w:sz w:val="22"/>
          <w:szCs w:val="22"/>
          <w:lang w:val="en-US"/>
        </w:rPr>
        <w:t>operate</w:t>
      </w:r>
      <w:r w:rsidRPr="27A17F3E" w:rsidR="652D4218">
        <w:rPr>
          <w:rFonts w:ascii="Calibri" w:hAnsi="Calibri" w:eastAsia="Calibri" w:cs="Calibri"/>
          <w:noProof w:val="0"/>
          <w:color w:val="000000" w:themeColor="text1" w:themeTint="FF" w:themeShade="FF"/>
          <w:sz w:val="22"/>
          <w:szCs w:val="22"/>
          <w:lang w:val="en-US"/>
        </w:rPr>
        <w:t xml:space="preserve"> efficiently, make evidence-based decisions and </w:t>
      </w:r>
      <w:r w:rsidRPr="27A17F3E" w:rsidR="652D4218">
        <w:rPr>
          <w:rFonts w:ascii="Calibri" w:hAnsi="Calibri" w:eastAsia="Calibri" w:cs="Calibri"/>
          <w:noProof w:val="0"/>
          <w:color w:val="000000" w:themeColor="text1" w:themeTint="FF" w:themeShade="FF"/>
          <w:sz w:val="22"/>
          <w:szCs w:val="22"/>
          <w:lang w:val="en-US"/>
        </w:rPr>
        <w:t>maintain</w:t>
      </w:r>
      <w:r w:rsidRPr="27A17F3E" w:rsidR="652D4218">
        <w:rPr>
          <w:rFonts w:ascii="Calibri" w:hAnsi="Calibri" w:eastAsia="Calibri" w:cs="Calibri"/>
          <w:noProof w:val="0"/>
          <w:color w:val="000000" w:themeColor="text1" w:themeTint="FF" w:themeShade="FF"/>
          <w:sz w:val="22"/>
          <w:szCs w:val="22"/>
          <w:lang w:val="en-US"/>
        </w:rPr>
        <w:t xml:space="preserve"> compliance with the main frameworks. Within Cambrian Training, the leading training provider in Wales, Training Officers are primarily responsible for knowledge management. This report explores the application of KIM principles from the perspective of a Training Officer working in the Hospitality Department, where learner data, progress tracking and compliance are central to success</w:t>
      </w:r>
      <w:r w:rsidRPr="27A17F3E" w:rsidR="652D4218">
        <w:rPr>
          <w:rFonts w:ascii="Calibri" w:hAnsi="Calibri" w:eastAsia="Calibri" w:cs="Calibri"/>
          <w:noProof w:val="0"/>
          <w:color w:val="000000" w:themeColor="text1" w:themeTint="FF" w:themeShade="FF"/>
          <w:sz w:val="22"/>
          <w:szCs w:val="22"/>
          <w:lang w:val="en-US"/>
        </w:rPr>
        <w:t xml:space="preserve">.  </w:t>
      </w:r>
    </w:p>
    <w:p w:rsidR="652D4218" w:rsidP="4E8BE5FC" w:rsidRDefault="652D4218" w14:paraId="0B61DA43" w14:textId="711A9C39">
      <w:pPr>
        <w:pStyle w:val="Normal"/>
        <w:keepNext w:val="0"/>
        <w:keepLines w:val="0"/>
        <w:spacing w:before="0" w:beforeAutospacing="off" w:after="0" w:afterAutospacing="off" w:line="360" w:lineRule="auto"/>
        <w:ind w:firstLine="720"/>
        <w:jc w:val="both"/>
      </w:pPr>
      <w:r w:rsidRPr="4E8BE5FC" w:rsidR="652D4218">
        <w:rPr>
          <w:rFonts w:ascii="Calibri" w:hAnsi="Calibri" w:eastAsia="Calibri" w:cs="Calibri"/>
          <w:noProof w:val="0"/>
          <w:color w:val="000000" w:themeColor="text1" w:themeTint="FF" w:themeShade="FF"/>
          <w:sz w:val="22"/>
          <w:szCs w:val="22"/>
          <w:lang w:val="en-GB"/>
        </w:rPr>
        <w:t xml:space="preserve">This report will examine how knowledge is created, shared, </w:t>
      </w:r>
      <w:r w:rsidRPr="4E8BE5FC" w:rsidR="652D4218">
        <w:rPr>
          <w:rFonts w:ascii="Calibri" w:hAnsi="Calibri" w:eastAsia="Calibri" w:cs="Calibri"/>
          <w:noProof w:val="0"/>
          <w:color w:val="000000" w:themeColor="text1" w:themeTint="FF" w:themeShade="FF"/>
          <w:sz w:val="22"/>
          <w:szCs w:val="22"/>
          <w:lang w:val="en-GB"/>
        </w:rPr>
        <w:t>governed</w:t>
      </w:r>
      <w:r w:rsidRPr="4E8BE5FC" w:rsidR="652D4218">
        <w:rPr>
          <w:rFonts w:ascii="Calibri" w:hAnsi="Calibri" w:eastAsia="Calibri" w:cs="Calibri"/>
          <w:noProof w:val="0"/>
          <w:color w:val="000000" w:themeColor="text1" w:themeTint="FF" w:themeShade="FF"/>
          <w:sz w:val="22"/>
          <w:szCs w:val="22"/>
          <w:lang w:val="en-GB"/>
        </w:rPr>
        <w:t xml:space="preserve"> and strategically applied within Cambrian Training. It focuses on four key themes: understanding knowledge management in a vocational setting; linking strategic knowledge to organisational performance through KPIs and the VRIO framework; utilising technology tools such as Knowledge as a Service (</w:t>
      </w:r>
      <w:r w:rsidRPr="4E8BE5FC" w:rsidR="652D4218">
        <w:rPr>
          <w:rFonts w:ascii="Calibri" w:hAnsi="Calibri" w:eastAsia="Calibri" w:cs="Calibri"/>
          <w:noProof w:val="0"/>
          <w:color w:val="000000" w:themeColor="text1" w:themeTint="FF" w:themeShade="FF"/>
          <w:sz w:val="22"/>
          <w:szCs w:val="22"/>
          <w:lang w:val="en-GB"/>
        </w:rPr>
        <w:t>KaaS</w:t>
      </w:r>
      <w:r w:rsidRPr="4E8BE5FC" w:rsidR="652D4218">
        <w:rPr>
          <w:rFonts w:ascii="Calibri" w:hAnsi="Calibri" w:eastAsia="Calibri" w:cs="Calibri"/>
          <w:noProof w:val="0"/>
          <w:color w:val="000000" w:themeColor="text1" w:themeTint="FF" w:themeShade="FF"/>
          <w:sz w:val="22"/>
          <w:szCs w:val="22"/>
          <w:lang w:val="en-GB"/>
        </w:rPr>
        <w:t xml:space="preserve">); and ensuring ethical, legal, and secure management of learner information in compliance with GDPR. Another knowledge model that will be discussed is the DIKW, which is the progression from raw data, then organised and conceptualised into an understanding of that information. </w:t>
      </w:r>
    </w:p>
    <w:p w:rsidR="652D4218" w:rsidP="27A17F3E" w:rsidRDefault="652D4218" w14:paraId="73D0D78D" w14:textId="621889B3">
      <w:pPr>
        <w:pStyle w:val="Normal"/>
        <w:keepNext w:val="0"/>
        <w:keepLines w:val="0"/>
        <w:spacing w:before="0" w:beforeAutospacing="off" w:after="0" w:afterAutospacing="off" w:line="360" w:lineRule="auto"/>
        <w:ind w:firstLine="720"/>
        <w:jc w:val="both"/>
        <w:rPr>
          <w:rFonts w:ascii="Calibri" w:hAnsi="Calibri" w:eastAsia="Calibri" w:cs="Calibri"/>
          <w:noProof w:val="0"/>
          <w:color w:val="000000" w:themeColor="text1" w:themeTint="FF" w:themeShade="FF"/>
          <w:sz w:val="22"/>
          <w:szCs w:val="22"/>
          <w:lang w:val="en-US"/>
        </w:rPr>
      </w:pPr>
      <w:r w:rsidRPr="27A17F3E" w:rsidR="652D4218">
        <w:rPr>
          <w:rFonts w:ascii="Calibri" w:hAnsi="Calibri" w:eastAsia="Calibri" w:cs="Calibri"/>
          <w:noProof w:val="0"/>
          <w:color w:val="000000" w:themeColor="text1" w:themeTint="FF" w:themeShade="FF"/>
          <w:sz w:val="22"/>
          <w:szCs w:val="22"/>
          <w:lang w:val="en-US"/>
        </w:rPr>
        <w:t xml:space="preserve">All Training Officers in Cambrian Training, particularly within the hospitality department have their own KPI targets to hit, such as managing a minimum caseload of 36 learners, completing four new learner inductions per </w:t>
      </w:r>
      <w:r w:rsidRPr="27A17F3E" w:rsidR="652D4218">
        <w:rPr>
          <w:rFonts w:ascii="Calibri" w:hAnsi="Calibri" w:eastAsia="Calibri" w:cs="Calibri"/>
          <w:noProof w:val="0"/>
          <w:color w:val="000000" w:themeColor="text1" w:themeTint="FF" w:themeShade="FF"/>
          <w:sz w:val="22"/>
          <w:szCs w:val="22"/>
          <w:lang w:val="en-US"/>
        </w:rPr>
        <w:t>month</w:t>
      </w:r>
      <w:r w:rsidRPr="27A17F3E" w:rsidR="652D4218">
        <w:rPr>
          <w:rFonts w:ascii="Calibri" w:hAnsi="Calibri" w:eastAsia="Calibri" w:cs="Calibri"/>
          <w:noProof w:val="0"/>
          <w:color w:val="000000" w:themeColor="text1" w:themeTint="FF" w:themeShade="FF"/>
          <w:sz w:val="22"/>
          <w:szCs w:val="22"/>
          <w:lang w:val="en-US"/>
        </w:rPr>
        <w:t xml:space="preserve"> and ensuring learners are seen within </w:t>
      </w:r>
      <w:r w:rsidRPr="27A17F3E" w:rsidR="652D4218">
        <w:rPr>
          <w:rFonts w:ascii="Calibri" w:hAnsi="Calibri" w:eastAsia="Calibri" w:cs="Calibri"/>
          <w:noProof w:val="0"/>
          <w:color w:val="000000" w:themeColor="text1" w:themeTint="FF" w:themeShade="FF"/>
          <w:sz w:val="22"/>
          <w:szCs w:val="22"/>
          <w:lang w:val="en-US"/>
        </w:rPr>
        <w:t>61 days</w:t>
      </w:r>
      <w:r w:rsidRPr="27A17F3E" w:rsidR="652D4218">
        <w:rPr>
          <w:rFonts w:ascii="Calibri" w:hAnsi="Calibri" w:eastAsia="Calibri" w:cs="Calibri"/>
          <w:noProof w:val="0"/>
          <w:color w:val="000000" w:themeColor="text1" w:themeTint="FF" w:themeShade="FF"/>
          <w:sz w:val="22"/>
          <w:szCs w:val="22"/>
          <w:lang w:val="en-US"/>
        </w:rPr>
        <w:t xml:space="preserve"> of sign-up. Moreover, they are expected to support </w:t>
      </w:r>
      <w:r w:rsidRPr="27A17F3E" w:rsidR="652D4218">
        <w:rPr>
          <w:rFonts w:ascii="Calibri" w:hAnsi="Calibri" w:eastAsia="Calibri" w:cs="Calibri"/>
          <w:noProof w:val="0"/>
          <w:color w:val="000000" w:themeColor="text1" w:themeTint="FF" w:themeShade="FF"/>
          <w:sz w:val="22"/>
          <w:szCs w:val="22"/>
          <w:lang w:val="en-US"/>
        </w:rPr>
        <w:t>timely</w:t>
      </w:r>
      <w:r w:rsidRPr="27A17F3E" w:rsidR="652D4218">
        <w:rPr>
          <w:rFonts w:ascii="Calibri" w:hAnsi="Calibri" w:eastAsia="Calibri" w:cs="Calibri"/>
          <w:noProof w:val="0"/>
          <w:color w:val="000000" w:themeColor="text1" w:themeTint="FF" w:themeShade="FF"/>
          <w:sz w:val="22"/>
          <w:szCs w:val="22"/>
          <w:lang w:val="en-US"/>
        </w:rPr>
        <w:t xml:space="preserve"> </w:t>
      </w:r>
      <w:r w:rsidRPr="27A17F3E" w:rsidR="33ED39FA">
        <w:rPr>
          <w:rFonts w:ascii="Calibri" w:hAnsi="Calibri" w:eastAsia="Calibri" w:cs="Calibri"/>
          <w:noProof w:val="0"/>
          <w:color w:val="000000" w:themeColor="text1" w:themeTint="FF" w:themeShade="FF"/>
          <w:sz w:val="22"/>
          <w:szCs w:val="22"/>
          <w:lang w:val="en-US"/>
        </w:rPr>
        <w:t>completion</w:t>
      </w:r>
      <w:r w:rsidRPr="27A17F3E" w:rsidR="652D4218">
        <w:rPr>
          <w:rFonts w:ascii="Calibri" w:hAnsi="Calibri" w:eastAsia="Calibri" w:cs="Calibri"/>
          <w:noProof w:val="0"/>
          <w:color w:val="000000" w:themeColor="text1" w:themeTint="FF" w:themeShade="FF"/>
          <w:sz w:val="22"/>
          <w:szCs w:val="22"/>
          <w:lang w:val="en-US"/>
        </w:rPr>
        <w:t xml:space="preserve"> within 14–</w:t>
      </w:r>
      <w:r w:rsidRPr="27A17F3E" w:rsidR="652D4218">
        <w:rPr>
          <w:rFonts w:ascii="Calibri" w:hAnsi="Calibri" w:eastAsia="Calibri" w:cs="Calibri"/>
          <w:noProof w:val="0"/>
          <w:color w:val="000000" w:themeColor="text1" w:themeTint="FF" w:themeShade="FF"/>
          <w:sz w:val="22"/>
          <w:szCs w:val="22"/>
          <w:lang w:val="en-US"/>
        </w:rPr>
        <w:t>18 months</w:t>
      </w:r>
      <w:r w:rsidRPr="27A17F3E" w:rsidR="652D4218">
        <w:rPr>
          <w:rFonts w:ascii="Calibri" w:hAnsi="Calibri" w:eastAsia="Calibri" w:cs="Calibri"/>
          <w:noProof w:val="0"/>
          <w:color w:val="000000" w:themeColor="text1" w:themeTint="FF" w:themeShade="FF"/>
          <w:sz w:val="22"/>
          <w:szCs w:val="22"/>
          <w:lang w:val="en-US"/>
        </w:rPr>
        <w:t xml:space="preserve"> depending on the level of qualification that the learner is on. These performance expectations rely on the officer’s ability to access and apply </w:t>
      </w:r>
      <w:r w:rsidRPr="27A17F3E" w:rsidR="652D4218">
        <w:rPr>
          <w:rFonts w:ascii="Calibri" w:hAnsi="Calibri" w:eastAsia="Calibri" w:cs="Calibri"/>
          <w:noProof w:val="0"/>
          <w:color w:val="000000" w:themeColor="text1" w:themeTint="FF" w:themeShade="FF"/>
          <w:sz w:val="22"/>
          <w:szCs w:val="22"/>
          <w:lang w:val="en-US"/>
        </w:rPr>
        <w:t>accurate</w:t>
      </w:r>
      <w:r w:rsidRPr="27A17F3E" w:rsidR="652D4218">
        <w:rPr>
          <w:rFonts w:ascii="Calibri" w:hAnsi="Calibri" w:eastAsia="Calibri" w:cs="Calibri"/>
          <w:noProof w:val="0"/>
          <w:color w:val="000000" w:themeColor="text1" w:themeTint="FF" w:themeShade="FF"/>
          <w:sz w:val="22"/>
          <w:szCs w:val="22"/>
          <w:lang w:val="en-US"/>
        </w:rPr>
        <w:t xml:space="preserve"> knowledge consistently and securely. At the same time, ethical </w:t>
      </w:r>
      <w:r w:rsidRPr="27A17F3E" w:rsidR="652D4218">
        <w:rPr>
          <w:rFonts w:ascii="Calibri" w:hAnsi="Calibri" w:eastAsia="Calibri" w:cs="Calibri"/>
          <w:noProof w:val="0"/>
          <w:color w:val="000000" w:themeColor="text1" w:themeTint="FF" w:themeShade="FF"/>
          <w:sz w:val="22"/>
          <w:szCs w:val="22"/>
          <w:lang w:val="en-US"/>
        </w:rPr>
        <w:t>governance</w:t>
      </w:r>
      <w:r w:rsidRPr="27A17F3E" w:rsidR="652D4218">
        <w:rPr>
          <w:rFonts w:ascii="Calibri" w:hAnsi="Calibri" w:eastAsia="Calibri" w:cs="Calibri"/>
          <w:noProof w:val="0"/>
          <w:color w:val="000000" w:themeColor="text1" w:themeTint="FF" w:themeShade="FF"/>
          <w:sz w:val="22"/>
          <w:szCs w:val="22"/>
          <w:lang w:val="en-US"/>
        </w:rPr>
        <w:t xml:space="preserve"> and information security, particularly regarding GDPR and data sharing protocols, are essential for </w:t>
      </w:r>
      <w:r w:rsidRPr="27A17F3E" w:rsidR="652D4218">
        <w:rPr>
          <w:rFonts w:ascii="Calibri" w:hAnsi="Calibri" w:eastAsia="Calibri" w:cs="Calibri"/>
          <w:noProof w:val="0"/>
          <w:color w:val="000000" w:themeColor="text1" w:themeTint="FF" w:themeShade="FF"/>
          <w:sz w:val="22"/>
          <w:szCs w:val="22"/>
          <w:lang w:val="en-US"/>
        </w:rPr>
        <w:t>maintaining</w:t>
      </w:r>
      <w:r w:rsidRPr="27A17F3E" w:rsidR="652D4218">
        <w:rPr>
          <w:rFonts w:ascii="Calibri" w:hAnsi="Calibri" w:eastAsia="Calibri" w:cs="Calibri"/>
          <w:noProof w:val="0"/>
          <w:color w:val="000000" w:themeColor="text1" w:themeTint="FF" w:themeShade="FF"/>
          <w:sz w:val="22"/>
          <w:szCs w:val="22"/>
          <w:lang w:val="en-US"/>
        </w:rPr>
        <w:t xml:space="preserve"> learner trust and meeting </w:t>
      </w:r>
      <w:r w:rsidRPr="27A17F3E" w:rsidR="652D4218">
        <w:rPr>
          <w:rFonts w:ascii="Calibri" w:hAnsi="Calibri" w:eastAsia="Calibri" w:cs="Calibri"/>
          <w:noProof w:val="0"/>
          <w:color w:val="000000" w:themeColor="text1" w:themeTint="FF" w:themeShade="FF"/>
          <w:sz w:val="22"/>
          <w:szCs w:val="22"/>
          <w:lang w:val="en-US"/>
        </w:rPr>
        <w:t>organisational</w:t>
      </w:r>
      <w:r w:rsidRPr="27A17F3E" w:rsidR="652D4218">
        <w:rPr>
          <w:rFonts w:ascii="Calibri" w:hAnsi="Calibri" w:eastAsia="Calibri" w:cs="Calibri"/>
          <w:noProof w:val="0"/>
          <w:color w:val="000000" w:themeColor="text1" w:themeTint="FF" w:themeShade="FF"/>
          <w:sz w:val="22"/>
          <w:szCs w:val="22"/>
          <w:lang w:val="en-US"/>
        </w:rPr>
        <w:t xml:space="preserve"> obligations</w:t>
      </w:r>
      <w:r w:rsidRPr="27A17F3E" w:rsidR="652D4218">
        <w:rPr>
          <w:rFonts w:ascii="Calibri" w:hAnsi="Calibri" w:eastAsia="Calibri" w:cs="Calibri"/>
          <w:noProof w:val="0"/>
          <w:color w:val="000000" w:themeColor="text1" w:themeTint="FF" w:themeShade="FF"/>
          <w:sz w:val="22"/>
          <w:szCs w:val="22"/>
          <w:lang w:val="en-US"/>
        </w:rPr>
        <w:t xml:space="preserve">.  </w:t>
      </w:r>
    </w:p>
    <w:p w:rsidR="652D4218" w:rsidP="4E8BE5FC" w:rsidRDefault="652D4218" w14:paraId="3554A378" w14:textId="49D89494">
      <w:pPr>
        <w:pStyle w:val="Normal"/>
        <w:keepNext w:val="0"/>
        <w:keepLines w:val="0"/>
        <w:spacing w:before="0" w:beforeAutospacing="off" w:after="0" w:afterAutospacing="off" w:line="360" w:lineRule="auto"/>
        <w:ind w:firstLine="720"/>
        <w:jc w:val="both"/>
      </w:pPr>
      <w:r w:rsidRPr="27A17F3E" w:rsidR="652D4218">
        <w:rPr>
          <w:rFonts w:ascii="Calibri" w:hAnsi="Calibri" w:eastAsia="Calibri" w:cs="Calibri"/>
          <w:noProof w:val="0"/>
          <w:color w:val="000000" w:themeColor="text1" w:themeTint="FF" w:themeShade="FF"/>
          <w:sz w:val="22"/>
          <w:szCs w:val="22"/>
          <w:lang w:val="en-GB"/>
        </w:rPr>
        <w:t xml:space="preserve">Through academic theory, practical examples, and workplace analysis, this report highlights how Cambrian Training’s systems and Training Officers use knowledge to meet individual and institutional </w:t>
      </w:r>
      <w:r w:rsidRPr="27A17F3E" w:rsidR="652D4218">
        <w:rPr>
          <w:rFonts w:ascii="Calibri" w:hAnsi="Calibri" w:eastAsia="Calibri" w:cs="Calibri"/>
          <w:noProof w:val="0"/>
          <w:color w:val="000000" w:themeColor="text1" w:themeTint="FF" w:themeShade="FF"/>
          <w:sz w:val="22"/>
          <w:szCs w:val="22"/>
          <w:lang w:val="en-GB"/>
        </w:rPr>
        <w:t>objectives</w:t>
      </w:r>
      <w:r w:rsidRPr="27A17F3E" w:rsidR="652D4218">
        <w:rPr>
          <w:rFonts w:ascii="Calibri" w:hAnsi="Calibri" w:eastAsia="Calibri" w:cs="Calibri"/>
          <w:noProof w:val="0"/>
          <w:color w:val="000000" w:themeColor="text1" w:themeTint="FF" w:themeShade="FF"/>
          <w:sz w:val="22"/>
          <w:szCs w:val="22"/>
          <w:lang w:val="en-GB"/>
        </w:rPr>
        <w:t>. This report also offers insight into the challenges and opportunities of knowledge governance, digital knowledge systems and strategic knowledge management in a regulated learning environment.</w:t>
      </w:r>
    </w:p>
    <w:p xmlns:wp14="http://schemas.microsoft.com/office/word/2010/wordml" w:rsidP="4E8BE5FC" wp14:paraId="4C18CD7A" wp14:textId="311E6CB2">
      <w:pPr>
        <w:pStyle w:val="Heading1"/>
        <w:keepNext w:val="0"/>
        <w:keepLines w:val="0"/>
        <w:spacing w:before="0" w:beforeAutospacing="off" w:after="0" w:line="360" w:lineRule="auto"/>
        <w:ind w:firstLine="0"/>
        <w:jc w:val="both"/>
        <w:rPr>
          <w:rFonts w:ascii="Calibri" w:hAnsi="Calibri" w:eastAsia="Calibri" w:cs="Calibri"/>
          <w:noProof w:val="0"/>
          <w:color w:val="auto"/>
          <w:sz w:val="32"/>
          <w:szCs w:val="32"/>
          <w:lang w:val="en-GB"/>
        </w:rPr>
      </w:pPr>
      <w:bookmarkStart w:name="_Toc1709870442" w:id="1700256873"/>
      <w:r w:rsidRPr="4E8BE5FC" w:rsidR="59DD83D0">
        <w:rPr>
          <w:rFonts w:ascii="Calibri" w:hAnsi="Calibri" w:eastAsia="Calibri" w:cs="Calibri"/>
          <w:noProof w:val="0"/>
          <w:color w:val="auto"/>
          <w:sz w:val="32"/>
          <w:szCs w:val="32"/>
          <w:lang w:val="en-GB"/>
        </w:rPr>
        <w:t xml:space="preserve">2. </w:t>
      </w:r>
      <w:r w:rsidRPr="4E8BE5FC" w:rsidR="1CE88C01">
        <w:rPr>
          <w:rFonts w:ascii="Calibri" w:hAnsi="Calibri" w:eastAsia="Calibri" w:cs="Calibri"/>
          <w:noProof w:val="0"/>
          <w:color w:val="auto"/>
          <w:sz w:val="32"/>
          <w:szCs w:val="32"/>
          <w:lang w:val="en-GB"/>
        </w:rPr>
        <w:t>Knowledge and Information Management</w:t>
      </w:r>
      <w:r w:rsidRPr="4E8BE5FC" w:rsidR="6C4ACA7F">
        <w:rPr>
          <w:rFonts w:ascii="Calibri" w:hAnsi="Calibri" w:eastAsia="Calibri" w:cs="Calibri"/>
          <w:noProof w:val="0"/>
          <w:color w:val="auto"/>
          <w:sz w:val="32"/>
          <w:szCs w:val="32"/>
          <w:lang w:val="en-GB"/>
        </w:rPr>
        <w:t xml:space="preserve"> in Context</w:t>
      </w:r>
      <w:bookmarkEnd w:id="1700256873"/>
    </w:p>
    <w:p xmlns:wp14="http://schemas.microsoft.com/office/word/2010/wordml" w:rsidP="4E8BE5FC" wp14:paraId="3E926D9B" wp14:textId="0B06A637">
      <w:pPr>
        <w:pStyle w:val="Heading2"/>
        <w:keepNext w:val="0"/>
        <w:keepLines w:val="0"/>
        <w:spacing w:before="0" w:beforeAutospacing="off" w:after="0" w:line="360" w:lineRule="auto"/>
        <w:ind w:firstLine="0"/>
        <w:jc w:val="both"/>
        <w:rPr>
          <w:rFonts w:ascii="Calibri" w:hAnsi="Calibri" w:eastAsia="Calibri" w:cs="Calibri"/>
          <w:noProof w:val="0"/>
          <w:color w:val="auto"/>
          <w:sz w:val="28"/>
          <w:szCs w:val="28"/>
          <w:lang w:val="en-GB"/>
        </w:rPr>
      </w:pPr>
      <w:bookmarkStart w:name="_Toc1334407494" w:id="853966797"/>
      <w:r w:rsidRPr="4E8BE5FC" w:rsidR="59DD83D0">
        <w:rPr>
          <w:rFonts w:ascii="Calibri" w:hAnsi="Calibri" w:eastAsia="Calibri" w:cs="Calibri"/>
          <w:noProof w:val="0"/>
          <w:color w:val="auto"/>
          <w:sz w:val="28"/>
          <w:szCs w:val="28"/>
          <w:lang w:val="en-GB"/>
        </w:rPr>
        <w:t xml:space="preserve">2.1 </w:t>
      </w:r>
      <w:r w:rsidRPr="4E8BE5FC" w:rsidR="531050AD">
        <w:rPr>
          <w:rFonts w:ascii="Calibri" w:hAnsi="Calibri" w:eastAsia="Calibri" w:cs="Calibri"/>
          <w:noProof w:val="0"/>
          <w:color w:val="auto"/>
          <w:sz w:val="28"/>
          <w:szCs w:val="28"/>
          <w:lang w:val="en-GB"/>
        </w:rPr>
        <w:t>Understanding Knowledge and Information</w:t>
      </w:r>
      <w:bookmarkEnd w:id="853966797"/>
      <w:r w:rsidRPr="4E8BE5FC" w:rsidR="531050AD">
        <w:rPr>
          <w:rFonts w:ascii="Calibri" w:hAnsi="Calibri" w:eastAsia="Calibri" w:cs="Calibri"/>
          <w:noProof w:val="0"/>
          <w:color w:val="auto"/>
          <w:sz w:val="28"/>
          <w:szCs w:val="28"/>
          <w:lang w:val="en-GB"/>
        </w:rPr>
        <w:t xml:space="preserve"> </w:t>
      </w:r>
    </w:p>
    <w:p w:rsidR="60DFB315" w:rsidP="4E8BE5FC" w:rsidRDefault="60DFB315" w14:paraId="68261C50" w14:textId="0BAD7ACA">
      <w:pPr>
        <w:keepNext w:val="0"/>
        <w:keepLines w:val="0"/>
        <w:spacing w:before="0" w:beforeAutospacing="off" w:after="0" w:afterAutospacing="off" w:line="360" w:lineRule="auto"/>
        <w:ind w:firstLine="0"/>
        <w:jc w:val="both"/>
      </w:pPr>
      <w:r w:rsidRPr="27A17F3E" w:rsidR="60DFB315">
        <w:rPr>
          <w:rFonts w:ascii="Calibri" w:hAnsi="Calibri" w:eastAsia="Calibri" w:cs="Calibri"/>
          <w:noProof w:val="0"/>
          <w:color w:val="0E101A"/>
          <w:sz w:val="22"/>
          <w:szCs w:val="22"/>
          <w:lang w:val="en-GB"/>
        </w:rPr>
        <w:t xml:space="preserve">In businesses today, it is essential for organisations to differentiate between data, information, knowledge and wisdom, the foundational components of the DIKW hierarchy (Rowley, 2007). </w:t>
      </w:r>
    </w:p>
    <w:p w:rsidR="60DFB315" w:rsidP="4E8BE5FC" w:rsidRDefault="60DFB315" w14:paraId="6F9C9CF4" w14:textId="6CB4071F">
      <w:pPr>
        <w:keepNext w:val="0"/>
        <w:keepLines w:val="0"/>
        <w:spacing w:before="0" w:beforeAutospacing="off" w:after="0" w:afterAutospacing="off" w:line="360" w:lineRule="auto"/>
        <w:ind w:firstLine="0"/>
        <w:jc w:val="both"/>
      </w:pPr>
      <w:r w:rsidRPr="27A17F3E" w:rsidR="60DFB315">
        <w:rPr>
          <w:rFonts w:ascii="Calibri" w:hAnsi="Calibri" w:eastAsia="Calibri" w:cs="Calibri"/>
          <w:noProof w:val="0"/>
          <w:color w:val="0E101A"/>
          <w:sz w:val="22"/>
          <w:szCs w:val="22"/>
          <w:lang w:val="en-GB"/>
        </w:rPr>
        <w:t xml:space="preserve">At Cambrian Training: </w:t>
      </w:r>
    </w:p>
    <w:p w:rsidR="60DFB315" w:rsidP="27A17F3E" w:rsidRDefault="60DFB315" w14:paraId="4376942C" w14:textId="6D1E1275">
      <w:pPr>
        <w:pStyle w:val="ListParagraph"/>
        <w:keepNext w:val="0"/>
        <w:keepLines w:val="0"/>
        <w:numPr>
          <w:ilvl w:val="0"/>
          <w:numId w:val="9"/>
        </w:numPr>
        <w:spacing w:before="0" w:beforeAutospacing="off" w:after="0" w:afterAutospacing="off" w:line="360" w:lineRule="auto"/>
        <w:ind w:left="0" w:firstLine="720"/>
        <w:jc w:val="both"/>
        <w:rPr>
          <w:rFonts w:ascii="Calibri" w:hAnsi="Calibri" w:eastAsia="Calibri" w:cs="Calibri"/>
          <w:noProof w:val="0"/>
          <w:color w:val="0E101A"/>
          <w:sz w:val="22"/>
          <w:szCs w:val="22"/>
          <w:lang w:val="en-GB"/>
        </w:rPr>
      </w:pPr>
      <w:r w:rsidRPr="27A17F3E" w:rsidR="60DFB315">
        <w:rPr>
          <w:rFonts w:ascii="Calibri" w:hAnsi="Calibri" w:eastAsia="Calibri" w:cs="Calibri"/>
          <w:noProof w:val="0"/>
          <w:color w:val="0E101A"/>
          <w:sz w:val="22"/>
          <w:szCs w:val="22"/>
          <w:lang w:val="en-GB"/>
        </w:rPr>
        <w:t xml:space="preserve">Data refers to raw, unprocessed facts such as start dates or completion deadlines. </w:t>
      </w:r>
    </w:p>
    <w:p w:rsidR="60DFB315" w:rsidP="27A17F3E" w:rsidRDefault="60DFB315" w14:paraId="626BBB31" w14:textId="75249ED3">
      <w:pPr>
        <w:pStyle w:val="ListParagraph"/>
        <w:keepNext w:val="0"/>
        <w:keepLines w:val="0"/>
        <w:numPr>
          <w:ilvl w:val="0"/>
          <w:numId w:val="9"/>
        </w:numPr>
        <w:spacing w:before="0" w:beforeAutospacing="off" w:after="0" w:afterAutospacing="off" w:line="360" w:lineRule="auto"/>
        <w:ind w:left="0" w:firstLine="720"/>
        <w:jc w:val="both"/>
        <w:rPr>
          <w:rFonts w:ascii="Calibri" w:hAnsi="Calibri" w:eastAsia="Calibri" w:cs="Calibri"/>
          <w:noProof w:val="0"/>
          <w:color w:val="0E101A"/>
          <w:sz w:val="22"/>
          <w:szCs w:val="22"/>
          <w:lang w:val="en-GB"/>
        </w:rPr>
      </w:pPr>
      <w:r w:rsidRPr="27A17F3E" w:rsidR="60DFB315">
        <w:rPr>
          <w:rFonts w:ascii="Calibri" w:hAnsi="Calibri" w:eastAsia="Calibri" w:cs="Calibri"/>
          <w:noProof w:val="0"/>
          <w:color w:val="0E101A"/>
          <w:sz w:val="22"/>
          <w:szCs w:val="22"/>
          <w:lang w:val="en-GB"/>
        </w:rPr>
        <w:t xml:space="preserve">When structured and contextualised, this becomes information, which supports decisions such as scheduling learner visits. </w:t>
      </w:r>
    </w:p>
    <w:p w:rsidR="60DFB315" w:rsidP="27A17F3E" w:rsidRDefault="60DFB315" w14:paraId="2CF10325" w14:textId="5956075B">
      <w:pPr>
        <w:pStyle w:val="ListParagraph"/>
        <w:keepNext w:val="0"/>
        <w:keepLines w:val="0"/>
        <w:numPr>
          <w:ilvl w:val="0"/>
          <w:numId w:val="9"/>
        </w:numPr>
        <w:spacing w:before="0" w:beforeAutospacing="off" w:after="0" w:afterAutospacing="off" w:line="360" w:lineRule="auto"/>
        <w:ind w:left="0" w:firstLine="720"/>
        <w:jc w:val="both"/>
        <w:rPr>
          <w:rFonts w:ascii="Calibri" w:hAnsi="Calibri" w:eastAsia="Calibri" w:cs="Calibri"/>
          <w:noProof w:val="0"/>
          <w:color w:val="0E101A"/>
          <w:sz w:val="22"/>
          <w:szCs w:val="22"/>
          <w:lang w:val="en-GB"/>
        </w:rPr>
      </w:pPr>
      <w:r w:rsidRPr="27A17F3E" w:rsidR="60DFB315">
        <w:rPr>
          <w:rFonts w:ascii="Calibri" w:hAnsi="Calibri" w:eastAsia="Calibri" w:cs="Calibri"/>
          <w:noProof w:val="0"/>
          <w:color w:val="0E101A"/>
          <w:sz w:val="22"/>
          <w:szCs w:val="22"/>
          <w:lang w:val="en-GB"/>
        </w:rPr>
        <w:t>Knowledge is formed when this information is combined with experience and judgement</w:t>
      </w:r>
      <w:r w:rsidRPr="27A17F3E" w:rsidR="469FE8D2">
        <w:rPr>
          <w:rFonts w:ascii="Calibri" w:hAnsi="Calibri" w:eastAsia="Calibri" w:cs="Calibri"/>
          <w:noProof w:val="0"/>
          <w:color w:val="0E101A"/>
          <w:sz w:val="22"/>
          <w:szCs w:val="22"/>
          <w:lang w:val="en-GB"/>
        </w:rPr>
        <w:t xml:space="preserve"> </w:t>
      </w:r>
      <w:r w:rsidRPr="27A17F3E" w:rsidR="60DFB315">
        <w:rPr>
          <w:rFonts w:ascii="Calibri" w:hAnsi="Calibri" w:eastAsia="Calibri" w:cs="Calibri"/>
          <w:noProof w:val="0"/>
          <w:color w:val="0E101A"/>
          <w:sz w:val="22"/>
          <w:szCs w:val="22"/>
          <w:lang w:val="en-GB"/>
        </w:rPr>
        <w:t xml:space="preserve">for example, </w:t>
      </w:r>
      <w:r w:rsidRPr="27A17F3E" w:rsidR="60DFB315">
        <w:rPr>
          <w:rFonts w:ascii="Calibri" w:hAnsi="Calibri" w:eastAsia="Calibri" w:cs="Calibri"/>
          <w:noProof w:val="0"/>
          <w:color w:val="0E101A"/>
          <w:sz w:val="22"/>
          <w:szCs w:val="22"/>
          <w:lang w:val="en-GB"/>
        </w:rPr>
        <w:t>identifying</w:t>
      </w:r>
      <w:r w:rsidRPr="27A17F3E" w:rsidR="60DFB315">
        <w:rPr>
          <w:rFonts w:ascii="Calibri" w:hAnsi="Calibri" w:eastAsia="Calibri" w:cs="Calibri"/>
          <w:noProof w:val="0"/>
          <w:color w:val="0E101A"/>
          <w:sz w:val="22"/>
          <w:szCs w:val="22"/>
          <w:lang w:val="en-GB"/>
        </w:rPr>
        <w:t xml:space="preserve"> disengaged learners based on past behaviour and employer feedback. </w:t>
      </w:r>
    </w:p>
    <w:p w:rsidR="60DFB315" w:rsidP="27A17F3E" w:rsidRDefault="60DFB315" w14:paraId="3B7A8D45" w14:textId="438B87EB">
      <w:pPr>
        <w:pStyle w:val="ListParagraph"/>
        <w:keepNext w:val="0"/>
        <w:keepLines w:val="0"/>
        <w:numPr>
          <w:ilvl w:val="0"/>
          <w:numId w:val="9"/>
        </w:numPr>
        <w:spacing w:before="0" w:beforeAutospacing="off" w:after="0" w:afterAutospacing="off" w:line="360" w:lineRule="auto"/>
        <w:ind w:left="0" w:firstLine="720"/>
        <w:jc w:val="both"/>
        <w:rPr>
          <w:rFonts w:ascii="Calibri" w:hAnsi="Calibri" w:eastAsia="Calibri" w:cs="Calibri"/>
          <w:noProof w:val="0"/>
          <w:color w:val="0E101A"/>
          <w:sz w:val="22"/>
          <w:szCs w:val="22"/>
          <w:lang w:val="en-GB"/>
        </w:rPr>
      </w:pPr>
      <w:r w:rsidRPr="27A17F3E" w:rsidR="60DFB315">
        <w:rPr>
          <w:rFonts w:ascii="Calibri" w:hAnsi="Calibri" w:eastAsia="Calibri" w:cs="Calibri"/>
          <w:noProof w:val="0"/>
          <w:color w:val="0E101A"/>
          <w:sz w:val="22"/>
          <w:szCs w:val="22"/>
          <w:lang w:val="en-GB"/>
        </w:rPr>
        <w:t xml:space="preserve">Wisdom is achieved when Training Officers apply this knowledge strategically, such as </w:t>
      </w:r>
      <w:r w:rsidRPr="27A17F3E" w:rsidR="60DFB315">
        <w:rPr>
          <w:rFonts w:ascii="Calibri" w:hAnsi="Calibri" w:eastAsia="Calibri" w:cs="Calibri"/>
          <w:noProof w:val="0"/>
          <w:color w:val="0E101A"/>
          <w:sz w:val="22"/>
          <w:szCs w:val="22"/>
          <w:lang w:val="en-GB"/>
        </w:rPr>
        <w:t>modifying</w:t>
      </w:r>
      <w:r w:rsidRPr="27A17F3E" w:rsidR="60DFB315">
        <w:rPr>
          <w:rFonts w:ascii="Calibri" w:hAnsi="Calibri" w:eastAsia="Calibri" w:cs="Calibri"/>
          <w:noProof w:val="0"/>
          <w:color w:val="0E101A"/>
          <w:sz w:val="22"/>
          <w:szCs w:val="22"/>
          <w:lang w:val="en-GB"/>
        </w:rPr>
        <w:t xml:space="preserve"> learning plans based on a learner’s job role or stress level. </w:t>
      </w:r>
    </w:p>
    <w:p w:rsidR="60DFB315" w:rsidP="4E8BE5FC" w:rsidRDefault="60DFB315" w14:paraId="6EF1EFC7" w14:textId="41824EDD">
      <w:pPr>
        <w:keepNext w:val="0"/>
        <w:keepLines w:val="0"/>
        <w:spacing w:before="0" w:beforeAutospacing="off" w:after="0" w:afterAutospacing="off" w:line="360" w:lineRule="auto"/>
        <w:ind w:firstLine="720"/>
        <w:jc w:val="both"/>
      </w:pPr>
      <w:r w:rsidRPr="4E8BE5FC" w:rsidR="60DFB315">
        <w:rPr>
          <w:rFonts w:ascii="Calibri" w:hAnsi="Calibri" w:eastAsia="Calibri" w:cs="Calibri"/>
          <w:noProof w:val="0"/>
          <w:color w:val="0E101A"/>
          <w:sz w:val="22"/>
          <w:szCs w:val="22"/>
          <w:lang w:val="en-GB"/>
        </w:rPr>
        <w:t xml:space="preserve">A key distinction within knowledge management is between tacit and explicit knowledge. Tacit knowledge includes the Training Officer’s personal experience, instincts about employer relationships and informal </w:t>
      </w:r>
      <w:r w:rsidRPr="4E8BE5FC" w:rsidR="60DFB315">
        <w:rPr>
          <w:rFonts w:ascii="Calibri" w:hAnsi="Calibri" w:eastAsia="Calibri" w:cs="Calibri"/>
          <w:noProof w:val="0"/>
          <w:color w:val="0E101A"/>
          <w:sz w:val="22"/>
          <w:szCs w:val="22"/>
          <w:lang w:val="en-GB"/>
        </w:rPr>
        <w:t>know-how</w:t>
      </w:r>
      <w:r w:rsidRPr="4E8BE5FC" w:rsidR="60DFB315">
        <w:rPr>
          <w:rFonts w:ascii="Calibri" w:hAnsi="Calibri" w:eastAsia="Calibri" w:cs="Calibri"/>
          <w:noProof w:val="0"/>
          <w:color w:val="0E101A"/>
          <w:sz w:val="22"/>
          <w:szCs w:val="22"/>
          <w:lang w:val="en-GB"/>
        </w:rPr>
        <w:t xml:space="preserve"> on handling difficult learners. Explicit knowledge is formalised, such as learner files, induction checklists or programme requirements. Both types are essential to effective training delivery. At Cambrian Training, explicit knowledge is stored in digital systems like Google Drive, Cognisoft YETI, Learning Assistant and the </w:t>
      </w:r>
      <w:r w:rsidRPr="4E8BE5FC" w:rsidR="60DFB315">
        <w:rPr>
          <w:rFonts w:ascii="Calibri" w:hAnsi="Calibri" w:eastAsia="Calibri" w:cs="Calibri"/>
          <w:noProof w:val="0"/>
          <w:color w:val="0E101A"/>
          <w:sz w:val="22"/>
          <w:szCs w:val="22"/>
          <w:lang w:val="en-GB"/>
        </w:rPr>
        <w:t>iPEGs</w:t>
      </w:r>
      <w:r w:rsidRPr="4E8BE5FC" w:rsidR="60DFB315">
        <w:rPr>
          <w:rFonts w:ascii="Calibri" w:hAnsi="Calibri" w:eastAsia="Calibri" w:cs="Calibri"/>
          <w:noProof w:val="0"/>
          <w:color w:val="0E101A"/>
          <w:sz w:val="22"/>
          <w:szCs w:val="22"/>
          <w:lang w:val="en-GB"/>
        </w:rPr>
        <w:t xml:space="preserve"> portal. Tacit knowledge is shared informally during team meetings, development days or through mentoring and shadowing. </w:t>
      </w:r>
    </w:p>
    <w:p w:rsidR="60DFB315" w:rsidP="4E8BE5FC" w:rsidRDefault="60DFB315" w14:paraId="74B6D33E" w14:textId="50AB7D8B">
      <w:pPr>
        <w:keepNext w:val="0"/>
        <w:keepLines w:val="0"/>
        <w:spacing w:before="0" w:beforeAutospacing="off" w:after="0" w:afterAutospacing="off" w:line="360" w:lineRule="auto"/>
        <w:ind w:firstLine="720"/>
        <w:jc w:val="both"/>
      </w:pPr>
      <w:r w:rsidRPr="4E8BE5FC" w:rsidR="60DFB315">
        <w:rPr>
          <w:rFonts w:ascii="Calibri" w:hAnsi="Calibri" w:eastAsia="Calibri" w:cs="Calibri"/>
          <w:noProof w:val="0"/>
          <w:color w:val="0E101A"/>
          <w:sz w:val="22"/>
          <w:szCs w:val="22"/>
          <w:lang w:val="en-GB"/>
        </w:rPr>
        <w:t xml:space="preserve">Training Officers must continuously translate both knowledge types into actions that improve learner experience and performance. For example, recognising that learners in this fast-paced industry may find time management difficult allows Training Officers to schedule visits flexibly and encourage employer involvement. Holistic assessment is a useful tool for a training officer to gather portfolio evidence for more than one learner. Therefore, understanding the types and flow of knowledge helps officers make strategic decisions that affect retention, </w:t>
      </w:r>
      <w:r w:rsidRPr="4E8BE5FC" w:rsidR="60DFB315">
        <w:rPr>
          <w:rFonts w:ascii="Calibri" w:hAnsi="Calibri" w:eastAsia="Calibri" w:cs="Calibri"/>
          <w:noProof w:val="0"/>
          <w:color w:val="0E101A"/>
          <w:sz w:val="22"/>
          <w:szCs w:val="22"/>
          <w:lang w:val="en-GB"/>
        </w:rPr>
        <w:t>compliance</w:t>
      </w:r>
      <w:r w:rsidRPr="4E8BE5FC" w:rsidR="60DFB315">
        <w:rPr>
          <w:rFonts w:ascii="Calibri" w:hAnsi="Calibri" w:eastAsia="Calibri" w:cs="Calibri"/>
          <w:noProof w:val="0"/>
          <w:color w:val="0E101A"/>
          <w:sz w:val="22"/>
          <w:szCs w:val="22"/>
          <w:lang w:val="en-GB"/>
        </w:rPr>
        <w:t xml:space="preserve"> and achievement rates.</w:t>
      </w:r>
    </w:p>
    <w:p w:rsidR="0A850446" w:rsidP="4E8BE5FC" w:rsidRDefault="0A850446" w14:paraId="1AD41C32" w14:textId="78495964">
      <w:pPr>
        <w:pStyle w:val="Normal"/>
        <w:keepNext w:val="0"/>
        <w:keepLines w:val="0"/>
        <w:spacing w:before="0" w:beforeAutospacing="off" w:after="0" w:afterAutospacing="off" w:line="360" w:lineRule="auto"/>
        <w:ind w:firstLine="720"/>
        <w:jc w:val="both"/>
        <w:rPr>
          <w:rFonts w:ascii="Calibri" w:hAnsi="Calibri" w:eastAsia="Calibri" w:cs="Calibri"/>
          <w:i w:val="0"/>
          <w:iCs w:val="0"/>
          <w:noProof w:val="0"/>
          <w:color w:val="000000" w:themeColor="text1" w:themeTint="FF" w:themeShade="FF"/>
          <w:sz w:val="22"/>
          <w:szCs w:val="22"/>
          <w:lang w:val="en-GB"/>
        </w:rPr>
      </w:pPr>
    </w:p>
    <w:p xmlns:wp14="http://schemas.microsoft.com/office/word/2010/wordml" w:rsidP="4E8BE5FC" wp14:paraId="628B9109" wp14:textId="498E2012">
      <w:pPr>
        <w:pStyle w:val="Heading2"/>
        <w:keepNext w:val="0"/>
        <w:keepLines w:val="0"/>
        <w:spacing w:before="0" w:beforeAutospacing="off" w:after="0" w:line="360" w:lineRule="auto"/>
        <w:ind w:firstLine="0"/>
        <w:jc w:val="both"/>
        <w:rPr>
          <w:rFonts w:ascii="Calibri" w:hAnsi="Calibri" w:eastAsia="Calibri" w:cs="Calibri"/>
          <w:noProof w:val="0"/>
          <w:color w:val="auto"/>
          <w:sz w:val="28"/>
          <w:szCs w:val="28"/>
          <w:lang w:val="en-GB"/>
        </w:rPr>
      </w:pPr>
      <w:bookmarkStart w:name="_Toc1091674989" w:id="873123229"/>
      <w:r w:rsidRPr="4E8BE5FC" w:rsidR="59DD83D0">
        <w:rPr>
          <w:rFonts w:ascii="Calibri" w:hAnsi="Calibri" w:eastAsia="Calibri" w:cs="Calibri"/>
          <w:noProof w:val="0"/>
          <w:color w:val="auto"/>
          <w:sz w:val="28"/>
          <w:szCs w:val="28"/>
          <w:lang w:val="en-GB"/>
        </w:rPr>
        <w:t xml:space="preserve">2.2 </w:t>
      </w:r>
      <w:r w:rsidRPr="4E8BE5FC" w:rsidR="6304BB12">
        <w:rPr>
          <w:rFonts w:ascii="Calibri" w:hAnsi="Calibri" w:eastAsia="Calibri" w:cs="Calibri"/>
          <w:noProof w:val="0"/>
          <w:color w:val="auto"/>
          <w:sz w:val="28"/>
          <w:szCs w:val="28"/>
          <w:lang w:val="en-GB"/>
        </w:rPr>
        <w:t>Knowledge Management in Practice</w:t>
      </w:r>
      <w:bookmarkEnd w:id="873123229"/>
    </w:p>
    <w:p w:rsidR="103649B3" w:rsidP="4E8BE5FC" w:rsidRDefault="103649B3" w14:paraId="16656D8C" w14:textId="29DD6166">
      <w:pPr>
        <w:keepNext w:val="0"/>
        <w:keepLines w:val="0"/>
        <w:spacing w:before="0" w:beforeAutospacing="off" w:after="0" w:afterAutospacing="off" w:line="360" w:lineRule="auto"/>
        <w:ind w:firstLine="0"/>
        <w:jc w:val="both"/>
      </w:pPr>
      <w:r w:rsidRPr="4E8BE5FC" w:rsidR="103649B3">
        <w:rPr>
          <w:rFonts w:ascii="Calibri" w:hAnsi="Calibri" w:eastAsia="Calibri" w:cs="Calibri"/>
          <w:noProof w:val="0"/>
          <w:color w:val="0E101A"/>
          <w:sz w:val="22"/>
          <w:szCs w:val="22"/>
          <w:lang w:val="en-GB"/>
        </w:rPr>
        <w:t xml:space="preserve">To manage the flow of knowledge carefully and critically, Cambrian Training applies several established knowledge management models. One relevant model is Nonaka and Takeuchi’s (1995) SECI model of Socialisation, Externalisation, </w:t>
      </w:r>
      <w:r w:rsidRPr="4E8BE5FC" w:rsidR="103649B3">
        <w:rPr>
          <w:rFonts w:ascii="Calibri" w:hAnsi="Calibri" w:eastAsia="Calibri" w:cs="Calibri"/>
          <w:noProof w:val="0"/>
          <w:color w:val="0E101A"/>
          <w:sz w:val="22"/>
          <w:szCs w:val="22"/>
          <w:lang w:val="en-GB"/>
        </w:rPr>
        <w:t>Combination</w:t>
      </w:r>
      <w:r w:rsidRPr="4E8BE5FC" w:rsidR="103649B3">
        <w:rPr>
          <w:rFonts w:ascii="Calibri" w:hAnsi="Calibri" w:eastAsia="Calibri" w:cs="Calibri"/>
          <w:noProof w:val="0"/>
          <w:color w:val="0E101A"/>
          <w:sz w:val="22"/>
          <w:szCs w:val="22"/>
          <w:lang w:val="en-GB"/>
        </w:rPr>
        <w:t xml:space="preserve"> and Internalisation. </w:t>
      </w:r>
    </w:p>
    <w:p w:rsidR="103649B3" w:rsidP="4E8BE5FC" w:rsidRDefault="103649B3" w14:paraId="4E5CD500" w14:textId="6F92EA8E">
      <w:pPr>
        <w:pStyle w:val="Normal"/>
        <w:keepNext w:val="0"/>
        <w:keepLines w:val="0"/>
        <w:spacing w:before="0" w:beforeAutospacing="off" w:after="0" w:afterAutospacing="off" w:line="360" w:lineRule="auto"/>
        <w:ind w:firstLine="720"/>
        <w:jc w:val="both"/>
      </w:pPr>
      <w:r w:rsidRPr="4E8BE5FC" w:rsidR="103649B3">
        <w:rPr>
          <w:rFonts w:ascii="Calibri" w:hAnsi="Calibri" w:eastAsia="Calibri" w:cs="Calibri"/>
          <w:noProof w:val="0"/>
          <w:color w:val="0E101A"/>
          <w:sz w:val="22"/>
          <w:szCs w:val="22"/>
          <w:lang w:val="en-GB"/>
        </w:rPr>
        <w:t xml:space="preserve">In the context of Cambrian Training, socialisation occurs when Training Officers shadow experienced colleagues during onboarding or </w:t>
      </w:r>
      <w:r w:rsidRPr="4E8BE5FC" w:rsidR="103649B3">
        <w:rPr>
          <w:rFonts w:ascii="Calibri" w:hAnsi="Calibri" w:eastAsia="Calibri" w:cs="Calibri"/>
          <w:noProof w:val="0"/>
          <w:color w:val="0E101A"/>
          <w:sz w:val="22"/>
          <w:szCs w:val="22"/>
          <w:lang w:val="en-GB"/>
        </w:rPr>
        <w:t>observe</w:t>
      </w:r>
      <w:r w:rsidRPr="4E8BE5FC" w:rsidR="103649B3">
        <w:rPr>
          <w:rFonts w:ascii="Calibri" w:hAnsi="Calibri" w:eastAsia="Calibri" w:cs="Calibri"/>
          <w:noProof w:val="0"/>
          <w:color w:val="0E101A"/>
          <w:sz w:val="22"/>
          <w:szCs w:val="22"/>
          <w:lang w:val="en-GB"/>
        </w:rPr>
        <w:t xml:space="preserve"> effective communication strategies with employers. Externalisation appears when this tacit experience is transformed into shareable resources, such as process guides or email templates uploaded to internal platforms. The combination involves the integration of various knowledge systems, like merging induction schedules with data from multiple systems to generate compliance reports. Finally, internalisation is </w:t>
      </w:r>
      <w:r w:rsidRPr="4E8BE5FC" w:rsidR="103649B3">
        <w:rPr>
          <w:rFonts w:ascii="Calibri" w:hAnsi="Calibri" w:eastAsia="Calibri" w:cs="Calibri"/>
          <w:noProof w:val="0"/>
          <w:color w:val="0E101A"/>
          <w:sz w:val="22"/>
          <w:szCs w:val="22"/>
          <w:lang w:val="en-GB"/>
        </w:rPr>
        <w:t>demonstrated</w:t>
      </w:r>
      <w:r w:rsidRPr="4E8BE5FC" w:rsidR="103649B3">
        <w:rPr>
          <w:rFonts w:ascii="Calibri" w:hAnsi="Calibri" w:eastAsia="Calibri" w:cs="Calibri"/>
          <w:noProof w:val="0"/>
          <w:color w:val="0E101A"/>
          <w:sz w:val="22"/>
          <w:szCs w:val="22"/>
          <w:lang w:val="en-GB"/>
        </w:rPr>
        <w:t xml:space="preserve"> when officers use formal data to develop professional judgment, such as </w:t>
      </w:r>
      <w:r w:rsidRPr="4E8BE5FC" w:rsidR="103649B3">
        <w:rPr>
          <w:rFonts w:ascii="Calibri" w:hAnsi="Calibri" w:eastAsia="Calibri" w:cs="Calibri"/>
          <w:noProof w:val="0"/>
          <w:color w:val="0E101A"/>
          <w:sz w:val="22"/>
          <w:szCs w:val="22"/>
          <w:lang w:val="en-GB"/>
        </w:rPr>
        <w:t>identifying</w:t>
      </w:r>
      <w:r w:rsidRPr="4E8BE5FC" w:rsidR="103649B3">
        <w:rPr>
          <w:rFonts w:ascii="Calibri" w:hAnsi="Calibri" w:eastAsia="Calibri" w:cs="Calibri"/>
          <w:noProof w:val="0"/>
          <w:color w:val="0E101A"/>
          <w:sz w:val="22"/>
          <w:szCs w:val="22"/>
          <w:lang w:val="en-GB"/>
        </w:rPr>
        <w:t xml:space="preserve"> and prioritising learners based on historical completion trends and engagement. </w:t>
      </w:r>
    </w:p>
    <w:p w:rsidR="103649B3" w:rsidP="4E8BE5FC" w:rsidRDefault="103649B3" w14:paraId="640FE582" w14:textId="75B2B8C8">
      <w:pPr>
        <w:pStyle w:val="Normal"/>
        <w:keepNext w:val="0"/>
        <w:keepLines w:val="0"/>
        <w:spacing w:before="0" w:beforeAutospacing="off" w:after="0" w:afterAutospacing="off" w:line="360" w:lineRule="auto"/>
        <w:ind w:firstLine="720"/>
        <w:jc w:val="both"/>
      </w:pPr>
      <w:r w:rsidRPr="4E8BE5FC" w:rsidR="103649B3">
        <w:rPr>
          <w:rFonts w:ascii="Calibri" w:hAnsi="Calibri" w:eastAsia="Calibri" w:cs="Calibri"/>
          <w:noProof w:val="0"/>
          <w:color w:val="0E101A"/>
          <w:sz w:val="22"/>
          <w:szCs w:val="22"/>
          <w:lang w:val="en-GB"/>
        </w:rPr>
        <w:t xml:space="preserve">The Wiig Knowledge Management Cycle offers an alternative for understanding Cambrian’s practices. Knowledge is built through continuous professional development (CPD) and sector-specific qualifications. It is held within centralised systems such as Learning Assistant and Cognisoft YETI. Knowledge is pooled using shared drives, fortnightly team meetings and quarterly updates. It is then applied using these insights to design </w:t>
      </w:r>
      <w:r w:rsidRPr="4E8BE5FC" w:rsidR="103649B3">
        <w:rPr>
          <w:rFonts w:ascii="Calibri" w:hAnsi="Calibri" w:eastAsia="Calibri" w:cs="Calibri"/>
          <w:noProof w:val="0"/>
          <w:color w:val="0E101A"/>
          <w:sz w:val="22"/>
          <w:szCs w:val="22"/>
          <w:lang w:val="en-GB"/>
        </w:rPr>
        <w:t>timely</w:t>
      </w:r>
      <w:r w:rsidRPr="4E8BE5FC" w:rsidR="103649B3">
        <w:rPr>
          <w:rFonts w:ascii="Calibri" w:hAnsi="Calibri" w:eastAsia="Calibri" w:cs="Calibri"/>
          <w:noProof w:val="0"/>
          <w:color w:val="0E101A"/>
          <w:sz w:val="22"/>
          <w:szCs w:val="22"/>
          <w:lang w:val="en-GB"/>
        </w:rPr>
        <w:t xml:space="preserve"> interventions for learners at risk of disengagement or non-compliance. </w:t>
      </w:r>
    </w:p>
    <w:p w:rsidR="103649B3" w:rsidP="4E8BE5FC" w:rsidRDefault="103649B3" w14:paraId="5F3930A2" w14:textId="6747EA78">
      <w:pPr>
        <w:pStyle w:val="Normal"/>
        <w:keepNext w:val="0"/>
        <w:keepLines w:val="0"/>
        <w:spacing w:before="0" w:beforeAutospacing="off" w:after="0" w:afterAutospacing="off" w:line="360" w:lineRule="auto"/>
        <w:ind w:firstLine="720"/>
        <w:jc w:val="both"/>
      </w:pPr>
      <w:r w:rsidRPr="4E8BE5FC" w:rsidR="103649B3">
        <w:rPr>
          <w:rFonts w:ascii="Calibri" w:hAnsi="Calibri" w:eastAsia="Calibri" w:cs="Calibri"/>
          <w:noProof w:val="0"/>
          <w:color w:val="0E101A"/>
          <w:sz w:val="22"/>
          <w:szCs w:val="22"/>
          <w:lang w:val="en-GB"/>
        </w:rPr>
        <w:t xml:space="preserve">An example of this flow can be seen during the learner induction process. Learners provide official identification to </w:t>
      </w:r>
      <w:r w:rsidRPr="4E8BE5FC" w:rsidR="103649B3">
        <w:rPr>
          <w:rFonts w:ascii="Calibri" w:hAnsi="Calibri" w:eastAsia="Calibri" w:cs="Calibri"/>
          <w:noProof w:val="0"/>
          <w:color w:val="0E101A"/>
          <w:sz w:val="22"/>
          <w:szCs w:val="22"/>
          <w:lang w:val="en-GB"/>
        </w:rPr>
        <w:t>establish</w:t>
      </w:r>
      <w:r w:rsidRPr="4E8BE5FC" w:rsidR="103649B3">
        <w:rPr>
          <w:rFonts w:ascii="Calibri" w:hAnsi="Calibri" w:eastAsia="Calibri" w:cs="Calibri"/>
          <w:noProof w:val="0"/>
          <w:color w:val="0E101A"/>
          <w:sz w:val="22"/>
          <w:szCs w:val="22"/>
          <w:lang w:val="en-GB"/>
        </w:rPr>
        <w:t xml:space="preserve"> eligibility, complete WEST assessments and discuss their learning preferences. This information is shared securely between the Training Officer, line manager and ALN tutor, enabling the creation of a tailored support plan. These practices </w:t>
      </w:r>
      <w:r w:rsidRPr="4E8BE5FC" w:rsidR="103649B3">
        <w:rPr>
          <w:rFonts w:ascii="Calibri" w:hAnsi="Calibri" w:eastAsia="Calibri" w:cs="Calibri"/>
          <w:noProof w:val="0"/>
          <w:color w:val="0E101A"/>
          <w:sz w:val="22"/>
          <w:szCs w:val="22"/>
          <w:lang w:val="en-GB"/>
        </w:rPr>
        <w:t>demonstrate</w:t>
      </w:r>
      <w:r w:rsidRPr="4E8BE5FC" w:rsidR="103649B3">
        <w:rPr>
          <w:rFonts w:ascii="Calibri" w:hAnsi="Calibri" w:eastAsia="Calibri" w:cs="Calibri"/>
          <w:noProof w:val="0"/>
          <w:color w:val="0E101A"/>
          <w:sz w:val="22"/>
          <w:szCs w:val="22"/>
          <w:lang w:val="en-GB"/>
        </w:rPr>
        <w:t xml:space="preserve"> how raw data is transformed into usable knowledge that informs and enhances learner support. </w:t>
      </w:r>
    </w:p>
    <w:p w:rsidR="103649B3" w:rsidP="27A17F3E" w:rsidRDefault="103649B3" w14:paraId="035402D0" w14:textId="7464772B">
      <w:pPr>
        <w:pStyle w:val="Normal"/>
        <w:keepNext w:val="0"/>
        <w:keepLines w:val="0"/>
        <w:spacing w:before="0" w:beforeAutospacing="off" w:after="0" w:afterAutospacing="off" w:line="360" w:lineRule="auto"/>
        <w:ind w:firstLine="720"/>
        <w:jc w:val="both"/>
        <w:rPr>
          <w:rFonts w:ascii="Calibri" w:hAnsi="Calibri" w:eastAsia="Calibri" w:cs="Calibri"/>
          <w:noProof w:val="0"/>
          <w:color w:val="0E101A"/>
          <w:sz w:val="22"/>
          <w:szCs w:val="22"/>
          <w:lang w:val="en-US"/>
        </w:rPr>
      </w:pPr>
      <w:r w:rsidRPr="27A17F3E" w:rsidR="103649B3">
        <w:rPr>
          <w:rFonts w:ascii="Calibri" w:hAnsi="Calibri" w:eastAsia="Calibri" w:cs="Calibri"/>
          <w:noProof w:val="0"/>
          <w:color w:val="0E101A"/>
          <w:sz w:val="22"/>
          <w:szCs w:val="22"/>
          <w:lang w:val="en-US"/>
        </w:rPr>
        <w:t>Training Officers implement these models in the day-to-day operations of the business. For example, upon induction, all learners will provide the Training Officers with a driving license and a council bill as proof to live and work in the UK. This information is shared between the Training Officer and the Data team to ensure compliance. The Learner is tasked with completing a VARK questionnaire which is known as a WEST test for Maths and English. Officers are then expected to adapt their training sessions to meet the learner's needs and to ensure they feel comfortable. This information is then shared between the Training Officer, manager and the essential skills tutor, depending on whether the learner needs to complete their essential skills framework</w:t>
      </w:r>
      <w:r w:rsidRPr="27A17F3E" w:rsidR="103649B3">
        <w:rPr>
          <w:rFonts w:ascii="Calibri" w:hAnsi="Calibri" w:eastAsia="Calibri" w:cs="Calibri"/>
          <w:noProof w:val="0"/>
          <w:color w:val="0E101A"/>
          <w:sz w:val="22"/>
          <w:szCs w:val="22"/>
          <w:lang w:val="en-US"/>
        </w:rPr>
        <w:t xml:space="preserve">.  </w:t>
      </w:r>
    </w:p>
    <w:p w:rsidR="103649B3" w:rsidP="27A17F3E" w:rsidRDefault="103649B3" w14:paraId="0E866A2A" w14:textId="493E336B">
      <w:pPr>
        <w:pStyle w:val="Normal"/>
        <w:keepNext w:val="0"/>
        <w:keepLines w:val="0"/>
        <w:spacing w:before="0" w:beforeAutospacing="off" w:after="0" w:afterAutospacing="off" w:line="360" w:lineRule="auto"/>
        <w:ind w:firstLine="720"/>
        <w:jc w:val="both"/>
        <w:rPr>
          <w:rFonts w:ascii="Calibri" w:hAnsi="Calibri" w:eastAsia="Calibri" w:cs="Calibri"/>
          <w:noProof w:val="0"/>
          <w:color w:val="0E101A"/>
          <w:sz w:val="22"/>
          <w:szCs w:val="22"/>
          <w:lang w:val="en-US"/>
        </w:rPr>
      </w:pPr>
      <w:r w:rsidRPr="27A17F3E" w:rsidR="103649B3">
        <w:rPr>
          <w:rFonts w:ascii="Calibri" w:hAnsi="Calibri" w:eastAsia="Calibri" w:cs="Calibri"/>
          <w:noProof w:val="0"/>
          <w:color w:val="0E101A"/>
          <w:sz w:val="22"/>
          <w:szCs w:val="22"/>
          <w:lang w:val="en-US"/>
        </w:rPr>
        <w:t xml:space="preserve">These knowledge flows support Cambrian’s mission to deliver consistent, </w:t>
      </w:r>
      <w:r w:rsidRPr="27A17F3E" w:rsidR="103649B3">
        <w:rPr>
          <w:rFonts w:ascii="Calibri" w:hAnsi="Calibri" w:eastAsia="Calibri" w:cs="Calibri"/>
          <w:noProof w:val="0"/>
          <w:color w:val="0E101A"/>
          <w:sz w:val="22"/>
          <w:szCs w:val="22"/>
          <w:lang w:val="en-US"/>
        </w:rPr>
        <w:t>high-quality</w:t>
      </w:r>
      <w:r w:rsidRPr="27A17F3E" w:rsidR="103649B3">
        <w:rPr>
          <w:rFonts w:ascii="Calibri" w:hAnsi="Calibri" w:eastAsia="Calibri" w:cs="Calibri"/>
          <w:noProof w:val="0"/>
          <w:color w:val="0E101A"/>
          <w:sz w:val="22"/>
          <w:szCs w:val="22"/>
          <w:lang w:val="en-US"/>
        </w:rPr>
        <w:t xml:space="preserve"> and compliant vocational training. They also reduce performance variation between officers, allowing Cambrian Training to scale training delivery while </w:t>
      </w:r>
      <w:r w:rsidRPr="27A17F3E" w:rsidR="103649B3">
        <w:rPr>
          <w:rFonts w:ascii="Calibri" w:hAnsi="Calibri" w:eastAsia="Calibri" w:cs="Calibri"/>
          <w:noProof w:val="0"/>
          <w:color w:val="0E101A"/>
          <w:sz w:val="22"/>
          <w:szCs w:val="22"/>
          <w:lang w:val="en-US"/>
        </w:rPr>
        <w:t>maintaining</w:t>
      </w:r>
      <w:r w:rsidRPr="27A17F3E" w:rsidR="103649B3">
        <w:rPr>
          <w:rFonts w:ascii="Calibri" w:hAnsi="Calibri" w:eastAsia="Calibri" w:cs="Calibri"/>
          <w:noProof w:val="0"/>
          <w:color w:val="0E101A"/>
          <w:sz w:val="22"/>
          <w:szCs w:val="22"/>
          <w:lang w:val="en-US"/>
        </w:rPr>
        <w:t xml:space="preserve"> quality. However, this process depends heavily on digital literacy and staff competency. Without shared understanding or willingness to engage with systems, knowledge may remain isolated, limiting its value</w:t>
      </w:r>
      <w:r w:rsidRPr="27A17F3E" w:rsidR="103649B3">
        <w:rPr>
          <w:rFonts w:ascii="Calibri" w:hAnsi="Calibri" w:eastAsia="Calibri" w:cs="Calibri"/>
          <w:noProof w:val="0"/>
          <w:color w:val="0E101A"/>
          <w:sz w:val="22"/>
          <w:szCs w:val="22"/>
          <w:lang w:val="en-US"/>
        </w:rPr>
        <w:t xml:space="preserve">.  </w:t>
      </w:r>
    </w:p>
    <w:p w:rsidR="0A850446" w:rsidP="4E8BE5FC" w:rsidRDefault="0A850446" w14:paraId="314FBECF" w14:textId="6F86FC0F">
      <w:pPr>
        <w:pStyle w:val="Normal"/>
        <w:keepNext w:val="0"/>
        <w:keepLines w:val="0"/>
        <w:spacing w:before="0" w:beforeAutospacing="off" w:after="0" w:afterAutospacing="off" w:line="360" w:lineRule="auto"/>
        <w:ind w:firstLine="720"/>
        <w:jc w:val="both"/>
        <w:rPr>
          <w:rFonts w:ascii="Calibri" w:hAnsi="Calibri" w:eastAsia="Calibri" w:cs="Calibri"/>
          <w:noProof w:val="0"/>
          <w:color w:val="0E101A"/>
          <w:sz w:val="22"/>
          <w:szCs w:val="22"/>
          <w:lang w:val="en-GB"/>
        </w:rPr>
      </w:pPr>
    </w:p>
    <w:p w:rsidR="4E8BE5FC" w:rsidP="4E8BE5FC" w:rsidRDefault="4E8BE5FC" w14:paraId="2539A5F0" w14:textId="58B01B36">
      <w:pPr>
        <w:pStyle w:val="Heading1"/>
        <w:keepNext w:val="0"/>
        <w:keepLines w:val="0"/>
        <w:spacing w:before="0" w:beforeAutospacing="off" w:after="0" w:line="360" w:lineRule="auto"/>
        <w:ind w:firstLine="0"/>
        <w:jc w:val="both"/>
        <w:rPr>
          <w:rFonts w:ascii="Calibri" w:hAnsi="Calibri" w:eastAsia="Calibri" w:cs="Calibri"/>
          <w:noProof w:val="0"/>
          <w:color w:val="auto"/>
          <w:sz w:val="32"/>
          <w:szCs w:val="32"/>
          <w:lang w:val="en-GB"/>
        </w:rPr>
      </w:pPr>
    </w:p>
    <w:p w:rsidR="4E8BE5FC" w:rsidP="4E8BE5FC" w:rsidRDefault="4E8BE5FC" w14:paraId="67EDD94D" w14:textId="45C09DF4">
      <w:pPr>
        <w:pStyle w:val="Heading1"/>
        <w:keepNext w:val="0"/>
        <w:keepLines w:val="0"/>
        <w:spacing w:before="0" w:beforeAutospacing="off" w:after="0" w:line="360" w:lineRule="auto"/>
        <w:ind w:firstLine="0"/>
        <w:jc w:val="both"/>
        <w:rPr>
          <w:rFonts w:ascii="Calibri" w:hAnsi="Calibri" w:eastAsia="Calibri" w:cs="Calibri"/>
          <w:noProof w:val="0"/>
          <w:color w:val="auto"/>
          <w:sz w:val="32"/>
          <w:szCs w:val="32"/>
          <w:lang w:val="en-GB"/>
        </w:rPr>
      </w:pPr>
    </w:p>
    <w:p xmlns:wp14="http://schemas.microsoft.com/office/word/2010/wordml" w:rsidP="4E8BE5FC" wp14:paraId="35620397" wp14:textId="600CC302">
      <w:pPr>
        <w:pStyle w:val="Heading1"/>
        <w:keepNext w:val="0"/>
        <w:keepLines w:val="0"/>
        <w:spacing w:before="0" w:beforeAutospacing="off" w:after="0" w:line="360" w:lineRule="auto"/>
        <w:ind w:firstLine="0"/>
        <w:jc w:val="both"/>
        <w:rPr>
          <w:rFonts w:ascii="Calibri" w:hAnsi="Calibri" w:eastAsia="Calibri" w:cs="Calibri"/>
          <w:noProof w:val="0"/>
          <w:color w:val="auto"/>
          <w:sz w:val="32"/>
          <w:szCs w:val="32"/>
          <w:lang w:val="en-GB"/>
        </w:rPr>
      </w:pPr>
      <w:bookmarkStart w:name="_Toc963882566" w:id="1448462926"/>
      <w:r w:rsidRPr="4E8BE5FC" w:rsidR="59DD83D0">
        <w:rPr>
          <w:rFonts w:ascii="Calibri" w:hAnsi="Calibri" w:eastAsia="Calibri" w:cs="Calibri"/>
          <w:noProof w:val="0"/>
          <w:color w:val="auto"/>
          <w:sz w:val="32"/>
          <w:szCs w:val="32"/>
          <w:lang w:val="en-GB"/>
        </w:rPr>
        <w:t xml:space="preserve">3. </w:t>
      </w:r>
      <w:r w:rsidRPr="4E8BE5FC" w:rsidR="1C54B6A2">
        <w:rPr>
          <w:rFonts w:ascii="Calibri" w:hAnsi="Calibri" w:eastAsia="Calibri" w:cs="Calibri"/>
          <w:noProof w:val="0"/>
          <w:color w:val="auto"/>
          <w:sz w:val="32"/>
          <w:szCs w:val="32"/>
          <w:lang w:val="en-GB"/>
        </w:rPr>
        <w:t>Strategic Knowledge Use</w:t>
      </w:r>
      <w:bookmarkEnd w:id="1448462926"/>
    </w:p>
    <w:p xmlns:wp14="http://schemas.microsoft.com/office/word/2010/wordml" w:rsidP="4E8BE5FC" wp14:paraId="718EC006" wp14:textId="3F4D362A">
      <w:pPr>
        <w:pStyle w:val="Heading2"/>
        <w:keepNext w:val="0"/>
        <w:keepLines w:val="0"/>
        <w:spacing w:before="0" w:beforeAutospacing="off" w:after="0" w:line="360" w:lineRule="auto"/>
        <w:ind w:firstLine="0"/>
        <w:jc w:val="both"/>
        <w:rPr>
          <w:rFonts w:ascii="Calibri" w:hAnsi="Calibri" w:eastAsia="Calibri" w:cs="Calibri"/>
          <w:noProof w:val="0"/>
          <w:color w:val="000000" w:themeColor="text1" w:themeTint="FF" w:themeShade="FF"/>
          <w:sz w:val="20"/>
          <w:szCs w:val="20"/>
          <w:lang w:val="en-GB"/>
        </w:rPr>
      </w:pPr>
      <w:bookmarkStart w:name="_Toc20343974" w:id="142510952"/>
      <w:r w:rsidRPr="4E8BE5FC" w:rsidR="59DD83D0">
        <w:rPr>
          <w:rFonts w:ascii="Calibri" w:hAnsi="Calibri" w:eastAsia="Calibri" w:cs="Calibri"/>
          <w:noProof w:val="0"/>
          <w:color w:val="auto"/>
          <w:sz w:val="28"/>
          <w:szCs w:val="28"/>
          <w:lang w:val="en-GB"/>
        </w:rPr>
        <w:t xml:space="preserve">3.1 </w:t>
      </w:r>
      <w:r w:rsidRPr="4E8BE5FC" w:rsidR="16457559">
        <w:rPr>
          <w:rFonts w:ascii="Calibri" w:hAnsi="Calibri" w:eastAsia="Calibri" w:cs="Calibri"/>
          <w:noProof w:val="0"/>
          <w:color w:val="auto"/>
          <w:sz w:val="28"/>
          <w:szCs w:val="28"/>
          <w:lang w:val="en-GB"/>
        </w:rPr>
        <w:t>Managing Key Performance Indicators (KPIs)</w:t>
      </w:r>
      <w:bookmarkEnd w:id="142510952"/>
      <w:r w:rsidRPr="4E8BE5FC" w:rsidR="59DD83D0">
        <w:rPr>
          <w:rFonts w:ascii="Calibri" w:hAnsi="Calibri" w:eastAsia="Calibri" w:cs="Calibri"/>
          <w:noProof w:val="0"/>
          <w:color w:val="auto"/>
          <w:sz w:val="28"/>
          <w:szCs w:val="28"/>
          <w:lang w:val="en-GB"/>
        </w:rPr>
        <w:t xml:space="preserve"> </w:t>
      </w:r>
    </w:p>
    <w:p w:rsidR="0EA17FC5" w:rsidP="27A17F3E" w:rsidRDefault="0EA17FC5" w14:paraId="24B79D83" w14:textId="5DA5A19E">
      <w:pPr>
        <w:pStyle w:val="Normal"/>
        <w:keepNext w:val="0"/>
        <w:keepLines w:val="0"/>
        <w:spacing w:before="0" w:beforeAutospacing="off" w:after="0" w:afterAutospacing="off" w:line="360" w:lineRule="auto"/>
        <w:ind w:firstLine="0"/>
        <w:jc w:val="both"/>
        <w:rPr>
          <w:rFonts w:ascii="Calibri" w:hAnsi="Calibri" w:eastAsia="Calibri" w:cs="Calibri"/>
          <w:noProof w:val="0"/>
          <w:sz w:val="22"/>
          <w:szCs w:val="22"/>
          <w:lang w:val="en-US"/>
        </w:rPr>
      </w:pPr>
      <w:r w:rsidRPr="27A17F3E" w:rsidR="0EA17FC5">
        <w:rPr>
          <w:rFonts w:ascii="Calibri" w:hAnsi="Calibri" w:eastAsia="Calibri" w:cs="Calibri"/>
          <w:noProof w:val="0"/>
          <w:sz w:val="22"/>
          <w:szCs w:val="22"/>
          <w:lang w:val="en-US"/>
        </w:rPr>
        <w:t xml:space="preserve">As Drucker (1994) famously </w:t>
      </w:r>
      <w:r w:rsidRPr="27A17F3E" w:rsidR="0EA17FC5">
        <w:rPr>
          <w:rFonts w:ascii="Calibri" w:hAnsi="Calibri" w:eastAsia="Calibri" w:cs="Calibri"/>
          <w:noProof w:val="0"/>
          <w:sz w:val="22"/>
          <w:szCs w:val="22"/>
          <w:lang w:val="en-US"/>
        </w:rPr>
        <w:t>stated</w:t>
      </w:r>
      <w:r w:rsidRPr="27A17F3E" w:rsidR="0EA17FC5">
        <w:rPr>
          <w:rFonts w:ascii="Calibri" w:hAnsi="Calibri" w:eastAsia="Calibri" w:cs="Calibri"/>
          <w:noProof w:val="0"/>
          <w:sz w:val="22"/>
          <w:szCs w:val="22"/>
          <w:lang w:val="en-US"/>
        </w:rPr>
        <w:t xml:space="preserve">, “What gets measured gets managed” (p. 79). In this sense, KPIs provide not only performance standards but also </w:t>
      </w:r>
      <w:r w:rsidRPr="27A17F3E" w:rsidR="0EA17FC5">
        <w:rPr>
          <w:rFonts w:ascii="Calibri" w:hAnsi="Calibri" w:eastAsia="Calibri" w:cs="Calibri"/>
          <w:noProof w:val="0"/>
          <w:sz w:val="22"/>
          <w:szCs w:val="22"/>
          <w:lang w:val="en-US"/>
        </w:rPr>
        <w:t>assist</w:t>
      </w:r>
      <w:r w:rsidRPr="27A17F3E" w:rsidR="0EA17FC5">
        <w:rPr>
          <w:rFonts w:ascii="Calibri" w:hAnsi="Calibri" w:eastAsia="Calibri" w:cs="Calibri"/>
          <w:noProof w:val="0"/>
          <w:sz w:val="22"/>
          <w:szCs w:val="22"/>
          <w:lang w:val="en-US"/>
        </w:rPr>
        <w:t xml:space="preserve"> with feedback during the appraisal period and team meetings. They help Training Officers evaluate the effectiveness of their delivery and if </w:t>
      </w:r>
      <w:r w:rsidRPr="27A17F3E" w:rsidR="0EA17FC5">
        <w:rPr>
          <w:rFonts w:ascii="Calibri" w:hAnsi="Calibri" w:eastAsia="Calibri" w:cs="Calibri"/>
          <w:noProof w:val="0"/>
          <w:sz w:val="22"/>
          <w:szCs w:val="22"/>
          <w:lang w:val="en-US"/>
        </w:rPr>
        <w:t>there's</w:t>
      </w:r>
      <w:r w:rsidRPr="27A17F3E" w:rsidR="0EA17FC5">
        <w:rPr>
          <w:rFonts w:ascii="Calibri" w:hAnsi="Calibri" w:eastAsia="Calibri" w:cs="Calibri"/>
          <w:noProof w:val="0"/>
          <w:sz w:val="22"/>
          <w:szCs w:val="22"/>
          <w:lang w:val="en-US"/>
        </w:rPr>
        <w:t xml:space="preserve"> any confusion, they can get support from other training officers or management</w:t>
      </w:r>
      <w:r w:rsidRPr="27A17F3E" w:rsidR="0EA17FC5">
        <w:rPr>
          <w:rFonts w:ascii="Calibri" w:hAnsi="Calibri" w:eastAsia="Calibri" w:cs="Calibri"/>
          <w:noProof w:val="0"/>
          <w:sz w:val="22"/>
          <w:szCs w:val="22"/>
          <w:lang w:val="en-US"/>
        </w:rPr>
        <w:t xml:space="preserve">.  </w:t>
      </w:r>
    </w:p>
    <w:p w:rsidR="0EA17FC5" w:rsidP="4E8BE5FC" w:rsidRDefault="0EA17FC5" w14:paraId="157AE252" w14:textId="1BBE65C1">
      <w:pPr>
        <w:pStyle w:val="Normal"/>
        <w:keepNext w:val="0"/>
        <w:keepLines w:val="0"/>
        <w:spacing w:before="0" w:beforeAutospacing="off" w:after="0" w:afterAutospacing="off" w:line="360" w:lineRule="auto"/>
        <w:ind w:firstLine="720"/>
        <w:jc w:val="both"/>
      </w:pPr>
      <w:r w:rsidRPr="4E8BE5FC" w:rsidR="0EA17FC5">
        <w:rPr>
          <w:rFonts w:ascii="Calibri" w:hAnsi="Calibri" w:eastAsia="Calibri" w:cs="Calibri"/>
          <w:noProof w:val="0"/>
          <w:sz w:val="22"/>
          <w:szCs w:val="22"/>
          <w:lang w:val="en-GB"/>
        </w:rPr>
        <w:t xml:space="preserve">Key Performance Indicators (KPIs) are the main responsibilities of a training officer during the day-to-day operations and organisational strategy. At Cambrian Training, KPIs provide accountability and service delivery within the Hospitality department. Training Officers are expected to maintain a caseload of at least 36 learners, conduct a minimum of four new learner inductions each month, ensure all learners are seen within 61 days of enrolment and support completions within 14 months for Level 2 qualifications and 18 months for Level 3.  </w:t>
      </w:r>
    </w:p>
    <w:p w:rsidR="0EA17FC5" w:rsidP="4E8BE5FC" w:rsidRDefault="0EA17FC5" w14:paraId="38AF2EB4" w14:textId="3272294D">
      <w:pPr>
        <w:pStyle w:val="Normal"/>
        <w:keepNext w:val="0"/>
        <w:keepLines w:val="0"/>
        <w:spacing w:before="0" w:beforeAutospacing="off" w:after="0" w:afterAutospacing="off" w:line="360" w:lineRule="auto"/>
        <w:ind w:firstLine="720"/>
        <w:jc w:val="both"/>
      </w:pPr>
      <w:r w:rsidRPr="4E8BE5FC" w:rsidR="0EA17FC5">
        <w:rPr>
          <w:rFonts w:ascii="Calibri" w:hAnsi="Calibri" w:eastAsia="Calibri" w:cs="Calibri"/>
          <w:noProof w:val="0"/>
          <w:sz w:val="22"/>
          <w:szCs w:val="22"/>
          <w:lang w:val="en-GB"/>
        </w:rPr>
        <w:t xml:space="preserve">These indicators are not simply administrative benchmarks or targets to hit, but they are indicators of how knowledge should be used to ensure that Cambrian Training remains compliant with the Welsh Government and EWC. To put it simply, if a training officer were to continuously not hit these targets, their career would be on the line and the reputation of the business would be scrutinised. For instance, monitoring learner compliance and progress depends on access to up-to-date records, effective scheduling, and professional judgment. Cambrian Training uses the Cognisoft YETI, Learning Assistant, iPEGs portal and Google Drive to track these KPIs, allowing Training Officers to take proactive steps based on data alerts.  </w:t>
      </w:r>
    </w:p>
    <w:p w:rsidR="0EA17FC5" w:rsidP="4E8BE5FC" w:rsidRDefault="0EA17FC5" w14:paraId="27A82646" w14:textId="61097471">
      <w:pPr>
        <w:pStyle w:val="Normal"/>
        <w:keepNext w:val="0"/>
        <w:keepLines w:val="0"/>
        <w:spacing w:before="0" w:beforeAutospacing="off" w:after="0" w:afterAutospacing="off" w:line="360" w:lineRule="auto"/>
        <w:ind w:firstLine="720"/>
        <w:jc w:val="both"/>
      </w:pPr>
      <w:r w:rsidRPr="4E8BE5FC" w:rsidR="0EA17FC5">
        <w:rPr>
          <w:rFonts w:ascii="Calibri" w:hAnsi="Calibri" w:eastAsia="Calibri" w:cs="Calibri"/>
          <w:noProof w:val="0"/>
          <w:sz w:val="22"/>
          <w:szCs w:val="22"/>
          <w:lang w:val="en-GB"/>
        </w:rPr>
        <w:t xml:space="preserve">Parmenter (2015) suggests that “KPIs bridge the gap between strategic intent and operational performance” (p. 42). At Cambrian, internal audits and monthly team reviews ensure KPIs are not static targets but dynamic tools that help improve practice through reflection and action planning. When officers share solutions during team meetings, such as 'how to improve' early learner engagement, they transform performance metrics into shared knowledge assets.  </w:t>
      </w:r>
    </w:p>
    <w:p w:rsidR="0EA17FC5" w:rsidP="4E8BE5FC" w:rsidRDefault="0EA17FC5" w14:paraId="2855CED1" w14:textId="0F7B7090">
      <w:pPr>
        <w:pStyle w:val="Normal"/>
        <w:keepNext w:val="0"/>
        <w:keepLines w:val="0"/>
        <w:spacing w:before="0" w:beforeAutospacing="off" w:after="0" w:afterAutospacing="off" w:line="360" w:lineRule="auto"/>
        <w:ind w:firstLine="720"/>
        <w:jc w:val="both"/>
      </w:pPr>
      <w:r w:rsidRPr="4E8BE5FC" w:rsidR="0EA17FC5">
        <w:rPr>
          <w:rFonts w:ascii="Calibri" w:hAnsi="Calibri" w:eastAsia="Calibri" w:cs="Calibri"/>
          <w:noProof w:val="0"/>
          <w:sz w:val="22"/>
          <w:szCs w:val="22"/>
          <w:lang w:val="en-GB"/>
        </w:rPr>
        <w:t>The strategic use of KPIs also supports organisational learning. By analysing patterns in completions or compliance breaches, Cambrian refines its induction process, adjusts staff support, and introduces digital tools where gaps are evident. Thus, KPIs represent both the application of existing knowledge and the generation of new insights.</w:t>
      </w:r>
    </w:p>
    <w:p xmlns:wp14="http://schemas.microsoft.com/office/word/2010/wordml" w:rsidP="4E8BE5FC" wp14:paraId="150125B3" wp14:textId="5BA7BF4E">
      <w:pPr>
        <w:pStyle w:val="Normal"/>
        <w:keepNext w:val="0"/>
        <w:keepLines w:val="0"/>
        <w:spacing w:before="0" w:beforeAutospacing="off" w:after="0" w:afterAutospacing="off" w:line="360" w:lineRule="auto"/>
        <w:ind w:firstLine="720"/>
        <w:jc w:val="both"/>
        <w:rPr>
          <w:rFonts w:ascii="Calibri" w:hAnsi="Calibri" w:eastAsia="Calibri" w:cs="Calibri"/>
          <w:noProof w:val="0"/>
          <w:sz w:val="22"/>
          <w:szCs w:val="22"/>
          <w:lang w:val="en-GB"/>
        </w:rPr>
      </w:pPr>
    </w:p>
    <w:p w:rsidR="4E8BE5FC" w:rsidP="4E8BE5FC" w:rsidRDefault="4E8BE5FC" w14:paraId="69F721B7" w14:textId="6D0CCF08">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p>
    <w:p w:rsidR="4E8BE5FC" w:rsidP="4E8BE5FC" w:rsidRDefault="4E8BE5FC" w14:paraId="6F3B38F5" w14:textId="207582AF">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p>
    <w:p w:rsidR="4E8BE5FC" w:rsidP="4E8BE5FC" w:rsidRDefault="4E8BE5FC" w14:paraId="3B852AD4" w14:textId="70E08BB8">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p>
    <w:p xmlns:wp14="http://schemas.microsoft.com/office/word/2010/wordml" w:rsidP="4E8BE5FC" wp14:paraId="6A5AE255" wp14:textId="06644A86">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bookmarkStart w:name="_Toc1497884225" w:id="523312367"/>
      <w:r w:rsidRPr="4E8BE5FC" w:rsidR="59DD83D0">
        <w:rPr>
          <w:rFonts w:ascii="Calibri" w:hAnsi="Calibri" w:eastAsia="Calibri" w:cs="Calibri"/>
          <w:noProof w:val="0"/>
          <w:color w:val="auto"/>
          <w:sz w:val="28"/>
          <w:szCs w:val="28"/>
          <w:lang w:val="en-GB"/>
        </w:rPr>
        <w:t xml:space="preserve">3.2 </w:t>
      </w:r>
      <w:r w:rsidRPr="4E8BE5FC" w:rsidR="19F5409B">
        <w:rPr>
          <w:rFonts w:ascii="Calibri" w:hAnsi="Calibri" w:eastAsia="Calibri" w:cs="Calibri"/>
          <w:noProof w:val="0"/>
          <w:color w:val="auto"/>
          <w:sz w:val="28"/>
          <w:szCs w:val="28"/>
          <w:lang w:val="en-GB"/>
        </w:rPr>
        <w:t>Strategic Evaluation Using VRIO</w:t>
      </w:r>
      <w:bookmarkEnd w:id="523312367"/>
    </w:p>
    <w:p w:rsidR="70733CCA" w:rsidP="4E8BE5FC" w:rsidRDefault="70733CCA" w14:paraId="14D4102C" w14:textId="019984D1">
      <w:pPr>
        <w:keepNext w:val="0"/>
        <w:keepLines w:val="0"/>
        <w:spacing w:before="0" w:beforeAutospacing="off" w:after="0" w:afterAutospacing="off" w:line="360" w:lineRule="auto"/>
        <w:ind w:firstLine="0"/>
        <w:jc w:val="both"/>
        <w:rPr>
          <w:rFonts w:ascii="Calibri" w:hAnsi="Calibri" w:eastAsia="Calibri" w:cs="Calibri"/>
          <w:noProof w:val="0"/>
          <w:color w:val="auto"/>
          <w:sz w:val="32"/>
          <w:szCs w:val="32"/>
          <w:lang w:val="en-GB"/>
        </w:rPr>
      </w:pPr>
      <w:r w:rsidRPr="4E8BE5FC" w:rsidR="70733CCA">
        <w:rPr>
          <w:rFonts w:ascii="Calibri" w:hAnsi="Calibri" w:eastAsia="Calibri" w:cs="Calibri"/>
          <w:b w:val="0"/>
          <w:bCs w:val="0"/>
          <w:noProof w:val="0"/>
          <w:color w:val="000000" w:themeColor="text1" w:themeTint="FF" w:themeShade="FF"/>
          <w:sz w:val="22"/>
          <w:szCs w:val="22"/>
          <w:lang w:val="en-GB"/>
        </w:rPr>
        <w:t xml:space="preserve">As Barney (2002) emphasised, “Resources that are valuable, rare, inimitable, and well-organised provide the foundation for sustained competitive advantage” (p. 112). At Cambrian Training, this insight applies to both staff and the digital systems that support decision-making. </w:t>
      </w:r>
    </w:p>
    <w:p w:rsidR="70733CCA" w:rsidP="4E8BE5FC" w:rsidRDefault="70733CCA" w14:paraId="58757DA1" w14:textId="31986166">
      <w:pPr>
        <w:pStyle w:val="Normal"/>
        <w:keepNext w:val="0"/>
        <w:keepLines w:val="0"/>
        <w:spacing w:before="0" w:beforeAutospacing="off" w:after="0" w:afterAutospacing="off" w:line="360" w:lineRule="auto"/>
        <w:ind w:firstLine="720"/>
        <w:jc w:val="both"/>
      </w:pPr>
      <w:r w:rsidRPr="4E8BE5FC" w:rsidR="70733CCA">
        <w:rPr>
          <w:rFonts w:ascii="Calibri" w:hAnsi="Calibri" w:eastAsia="Calibri" w:cs="Calibri"/>
          <w:b w:val="0"/>
          <w:bCs w:val="0"/>
          <w:noProof w:val="0"/>
          <w:color w:val="000000" w:themeColor="text1" w:themeTint="FF" w:themeShade="FF"/>
          <w:sz w:val="22"/>
          <w:szCs w:val="22"/>
          <w:lang w:val="en-GB"/>
        </w:rPr>
        <w:t xml:space="preserve">To assess how internal knowledge supports performance, Cambrian Training can apply the VRIO framework which is a strategic tool used to evaluate resources based on four dimensions: Value, Rarity, Imitability, and Organisation (Barney, 1991). This approach is useful in </w:t>
      </w:r>
      <w:r w:rsidRPr="4E8BE5FC" w:rsidR="70733CCA">
        <w:rPr>
          <w:rFonts w:ascii="Calibri" w:hAnsi="Calibri" w:eastAsia="Calibri" w:cs="Calibri"/>
          <w:b w:val="0"/>
          <w:bCs w:val="0"/>
          <w:noProof w:val="0"/>
          <w:color w:val="000000" w:themeColor="text1" w:themeTint="FF" w:themeShade="FF"/>
          <w:sz w:val="22"/>
          <w:szCs w:val="22"/>
          <w:lang w:val="en-GB"/>
        </w:rPr>
        <w:t>identifying</w:t>
      </w:r>
      <w:r w:rsidRPr="4E8BE5FC" w:rsidR="70733CCA">
        <w:rPr>
          <w:rFonts w:ascii="Calibri" w:hAnsi="Calibri" w:eastAsia="Calibri" w:cs="Calibri"/>
          <w:b w:val="0"/>
          <w:bCs w:val="0"/>
          <w:noProof w:val="0"/>
          <w:color w:val="000000" w:themeColor="text1" w:themeTint="FF" w:themeShade="FF"/>
          <w:sz w:val="22"/>
          <w:szCs w:val="22"/>
          <w:lang w:val="en-GB"/>
        </w:rPr>
        <w:t xml:space="preserve"> which knowledge-based assets offer sustainable advantages. </w:t>
      </w:r>
    </w:p>
    <w:p w:rsidR="70733CCA" w:rsidP="4E8BE5FC" w:rsidRDefault="70733CCA" w14:paraId="22590619" w14:textId="240939AE">
      <w:pPr>
        <w:pStyle w:val="Normal"/>
        <w:keepNext w:val="0"/>
        <w:keepLines w:val="0"/>
        <w:spacing w:before="0" w:beforeAutospacing="off" w:after="0" w:afterAutospacing="off" w:line="360" w:lineRule="auto"/>
        <w:ind w:firstLine="720"/>
        <w:jc w:val="both"/>
      </w:pPr>
      <w:r w:rsidRPr="4E8BE5FC" w:rsidR="70733CCA">
        <w:rPr>
          <w:rFonts w:ascii="Calibri" w:hAnsi="Calibri" w:eastAsia="Calibri" w:cs="Calibri"/>
          <w:b w:val="0"/>
          <w:bCs w:val="0"/>
          <w:noProof w:val="0"/>
          <w:color w:val="000000" w:themeColor="text1" w:themeTint="FF" w:themeShade="FF"/>
          <w:sz w:val="22"/>
          <w:szCs w:val="22"/>
          <w:lang w:val="en-GB"/>
        </w:rPr>
        <w:t xml:space="preserve">One such resource is the tacit knowledge Training Officers gain through years of working with diverse learners and employers in the hospitality sector. This experience is valuable because it enables Officers to tailor their approach based on learner type and employer expectations. Tacit knowledge will also be through their experience in the sector. Training Officers must have at least 3 </w:t>
      </w:r>
      <w:r w:rsidRPr="4E8BE5FC" w:rsidR="10F7BEE5">
        <w:rPr>
          <w:rFonts w:ascii="Calibri" w:hAnsi="Calibri" w:eastAsia="Calibri" w:cs="Calibri"/>
          <w:b w:val="0"/>
          <w:bCs w:val="0"/>
          <w:noProof w:val="0"/>
          <w:color w:val="000000" w:themeColor="text1" w:themeTint="FF" w:themeShade="FF"/>
          <w:sz w:val="22"/>
          <w:szCs w:val="22"/>
          <w:lang w:val="en-GB"/>
        </w:rPr>
        <w:t>years' experience</w:t>
      </w:r>
      <w:r w:rsidRPr="4E8BE5FC" w:rsidR="70733CCA">
        <w:rPr>
          <w:rFonts w:ascii="Calibri" w:hAnsi="Calibri" w:eastAsia="Calibri" w:cs="Calibri"/>
          <w:b w:val="0"/>
          <w:bCs w:val="0"/>
          <w:noProof w:val="0"/>
          <w:color w:val="000000" w:themeColor="text1" w:themeTint="FF" w:themeShade="FF"/>
          <w:sz w:val="22"/>
          <w:szCs w:val="22"/>
          <w:lang w:val="en-GB"/>
        </w:rPr>
        <w:t xml:space="preserve"> in the industry, which highlights their competency. It is also difficult to imitate because much of this knowledge is experiential and </w:t>
      </w:r>
      <w:r w:rsidRPr="4E8BE5FC" w:rsidR="0AB77A70">
        <w:rPr>
          <w:rFonts w:ascii="Calibri" w:hAnsi="Calibri" w:eastAsia="Calibri" w:cs="Calibri"/>
          <w:b w:val="0"/>
          <w:bCs w:val="0"/>
          <w:noProof w:val="0"/>
          <w:color w:val="000000" w:themeColor="text1" w:themeTint="FF" w:themeShade="FF"/>
          <w:sz w:val="22"/>
          <w:szCs w:val="22"/>
          <w:lang w:val="en-GB"/>
        </w:rPr>
        <w:t>context bound</w:t>
      </w:r>
      <w:r w:rsidRPr="4E8BE5FC" w:rsidR="70733CCA">
        <w:rPr>
          <w:rFonts w:ascii="Calibri" w:hAnsi="Calibri" w:eastAsia="Calibri" w:cs="Calibri"/>
          <w:b w:val="0"/>
          <w:bCs w:val="0"/>
          <w:noProof w:val="0"/>
          <w:color w:val="000000" w:themeColor="text1" w:themeTint="FF" w:themeShade="FF"/>
          <w:sz w:val="22"/>
          <w:szCs w:val="22"/>
          <w:lang w:val="en-GB"/>
        </w:rPr>
        <w:t xml:space="preserve">. </w:t>
      </w:r>
    </w:p>
    <w:p w:rsidR="70733CCA" w:rsidP="4E8BE5FC" w:rsidRDefault="70733CCA" w14:paraId="4D83E05A" w14:textId="42CE1A54">
      <w:pPr>
        <w:pStyle w:val="Normal"/>
        <w:keepNext w:val="0"/>
        <w:keepLines w:val="0"/>
        <w:spacing w:before="0" w:beforeAutospacing="off" w:after="0" w:afterAutospacing="off" w:line="360" w:lineRule="auto"/>
        <w:ind w:firstLine="720"/>
        <w:jc w:val="both"/>
      </w:pPr>
      <w:r w:rsidRPr="4E8BE5FC" w:rsidR="70733CCA">
        <w:rPr>
          <w:rFonts w:ascii="Calibri" w:hAnsi="Calibri" w:eastAsia="Calibri" w:cs="Calibri"/>
          <w:b w:val="0"/>
          <w:bCs w:val="0"/>
          <w:noProof w:val="0"/>
          <w:color w:val="000000" w:themeColor="text1" w:themeTint="FF" w:themeShade="FF"/>
          <w:sz w:val="22"/>
          <w:szCs w:val="22"/>
          <w:lang w:val="en-GB"/>
        </w:rPr>
        <w:t xml:space="preserve">However, digital systems, while valuable and well-organised, may not be rare or inimitable. These tools like Cognisoft YETI and Learning Assistant contribute to temporary competitive advantage, supporting efficiency but not necessarily differentiation and the fact that no other training provider in Wales uses these systems. Other companies such as Lifetime use CRM dashboards, which have been proven to be faulty and have glitches. </w:t>
      </w:r>
    </w:p>
    <w:p w:rsidR="70733CCA" w:rsidP="4E8BE5FC" w:rsidRDefault="70733CCA" w14:paraId="726FD642" w14:textId="58F7B427">
      <w:pPr>
        <w:pStyle w:val="Normal"/>
        <w:keepNext w:val="0"/>
        <w:keepLines w:val="0"/>
        <w:spacing w:before="0" w:beforeAutospacing="off" w:after="0" w:afterAutospacing="off" w:line="360" w:lineRule="auto"/>
        <w:ind w:firstLine="720"/>
        <w:jc w:val="both"/>
      </w:pPr>
      <w:r w:rsidRPr="4E8BE5FC" w:rsidR="70733CCA">
        <w:rPr>
          <w:rFonts w:ascii="Calibri" w:hAnsi="Calibri" w:eastAsia="Calibri" w:cs="Calibri"/>
          <w:b w:val="0"/>
          <w:bCs w:val="0"/>
          <w:noProof w:val="0"/>
          <w:color w:val="000000" w:themeColor="text1" w:themeTint="FF" w:themeShade="FF"/>
          <w:sz w:val="22"/>
          <w:szCs w:val="22"/>
          <w:lang w:val="en-GB"/>
        </w:rPr>
        <w:t xml:space="preserve">Grant (2019) similarly </w:t>
      </w:r>
      <w:r w:rsidRPr="4E8BE5FC" w:rsidR="70733CCA">
        <w:rPr>
          <w:rFonts w:ascii="Calibri" w:hAnsi="Calibri" w:eastAsia="Calibri" w:cs="Calibri"/>
          <w:b w:val="0"/>
          <w:bCs w:val="0"/>
          <w:noProof w:val="0"/>
          <w:color w:val="000000" w:themeColor="text1" w:themeTint="FF" w:themeShade="FF"/>
          <w:sz w:val="22"/>
          <w:szCs w:val="22"/>
          <w:lang w:val="en-GB"/>
        </w:rPr>
        <w:t>observed</w:t>
      </w:r>
      <w:r w:rsidRPr="4E8BE5FC" w:rsidR="70733CCA">
        <w:rPr>
          <w:rFonts w:ascii="Calibri" w:hAnsi="Calibri" w:eastAsia="Calibri" w:cs="Calibri"/>
          <w:b w:val="0"/>
          <w:bCs w:val="0"/>
          <w:noProof w:val="0"/>
          <w:color w:val="000000" w:themeColor="text1" w:themeTint="FF" w:themeShade="FF"/>
          <w:sz w:val="22"/>
          <w:szCs w:val="22"/>
          <w:lang w:val="en-GB"/>
        </w:rPr>
        <w:t xml:space="preserve"> that “competitive advantage stems from the interplay of unique resources and the capability to exploit them effectively” (p. 101). Cambrian Training combines its VRIO assets: structured systems, trained </w:t>
      </w:r>
      <w:r w:rsidRPr="4E8BE5FC" w:rsidR="70733CCA">
        <w:rPr>
          <w:rFonts w:ascii="Calibri" w:hAnsi="Calibri" w:eastAsia="Calibri" w:cs="Calibri"/>
          <w:b w:val="0"/>
          <w:bCs w:val="0"/>
          <w:noProof w:val="0"/>
          <w:color w:val="000000" w:themeColor="text1" w:themeTint="FF" w:themeShade="FF"/>
          <w:sz w:val="22"/>
          <w:szCs w:val="22"/>
          <w:lang w:val="en-GB"/>
        </w:rPr>
        <w:t>staff</w:t>
      </w:r>
      <w:r w:rsidRPr="4E8BE5FC" w:rsidR="70733CCA">
        <w:rPr>
          <w:rFonts w:ascii="Calibri" w:hAnsi="Calibri" w:eastAsia="Calibri" w:cs="Calibri"/>
          <w:b w:val="0"/>
          <w:bCs w:val="0"/>
          <w:noProof w:val="0"/>
          <w:color w:val="000000" w:themeColor="text1" w:themeTint="FF" w:themeShade="FF"/>
          <w:sz w:val="22"/>
          <w:szCs w:val="22"/>
          <w:lang w:val="en-GB"/>
        </w:rPr>
        <w:t xml:space="preserve"> and a knowledge-sharing culture. For example, Training Officers are encouraged to document successful engagement strategies or induction adjustments so others can adopt and refine them. This enables the organisation to scale best practices while </w:t>
      </w:r>
      <w:r w:rsidRPr="4E8BE5FC" w:rsidR="70733CCA">
        <w:rPr>
          <w:rFonts w:ascii="Calibri" w:hAnsi="Calibri" w:eastAsia="Calibri" w:cs="Calibri"/>
          <w:b w:val="0"/>
          <w:bCs w:val="0"/>
          <w:noProof w:val="0"/>
          <w:color w:val="000000" w:themeColor="text1" w:themeTint="FF" w:themeShade="FF"/>
          <w:sz w:val="22"/>
          <w:szCs w:val="22"/>
          <w:lang w:val="en-GB"/>
        </w:rPr>
        <w:t>retaining</w:t>
      </w:r>
      <w:r w:rsidRPr="4E8BE5FC" w:rsidR="70733CCA">
        <w:rPr>
          <w:rFonts w:ascii="Calibri" w:hAnsi="Calibri" w:eastAsia="Calibri" w:cs="Calibri"/>
          <w:b w:val="0"/>
          <w:bCs w:val="0"/>
          <w:noProof w:val="0"/>
          <w:color w:val="000000" w:themeColor="text1" w:themeTint="FF" w:themeShade="FF"/>
          <w:sz w:val="22"/>
          <w:szCs w:val="22"/>
          <w:lang w:val="en-GB"/>
        </w:rPr>
        <w:t xml:space="preserve"> flexibility. </w:t>
      </w:r>
    </w:p>
    <w:p w:rsidR="70733CCA" w:rsidP="4E8BE5FC" w:rsidRDefault="70733CCA" w14:paraId="0E710BA4" w14:textId="19B2BF49">
      <w:pPr>
        <w:pStyle w:val="Normal"/>
        <w:keepNext w:val="0"/>
        <w:keepLines w:val="0"/>
        <w:spacing w:before="0" w:beforeAutospacing="off" w:after="0" w:afterAutospacing="off" w:line="360" w:lineRule="auto"/>
        <w:ind w:firstLine="720"/>
        <w:jc w:val="both"/>
      </w:pPr>
      <w:r w:rsidRPr="4E8BE5FC" w:rsidR="70733CCA">
        <w:rPr>
          <w:rFonts w:ascii="Calibri" w:hAnsi="Calibri" w:eastAsia="Calibri" w:cs="Calibri"/>
          <w:b w:val="0"/>
          <w:bCs w:val="0"/>
          <w:noProof w:val="0"/>
          <w:color w:val="000000" w:themeColor="text1" w:themeTint="FF" w:themeShade="FF"/>
          <w:sz w:val="22"/>
          <w:szCs w:val="22"/>
          <w:lang w:val="en-GB"/>
        </w:rPr>
        <w:t xml:space="preserve">Ultimately, applying the VRIO model helps Cambrian </w:t>
      </w:r>
      <w:r w:rsidRPr="4E8BE5FC" w:rsidR="70733CCA">
        <w:rPr>
          <w:rFonts w:ascii="Calibri" w:hAnsi="Calibri" w:eastAsia="Calibri" w:cs="Calibri"/>
          <w:b w:val="0"/>
          <w:bCs w:val="0"/>
          <w:noProof w:val="0"/>
          <w:color w:val="000000" w:themeColor="text1" w:themeTint="FF" w:themeShade="FF"/>
          <w:sz w:val="22"/>
          <w:szCs w:val="22"/>
          <w:lang w:val="en-GB"/>
        </w:rPr>
        <w:t>identify</w:t>
      </w:r>
      <w:r w:rsidRPr="4E8BE5FC" w:rsidR="70733CCA">
        <w:rPr>
          <w:rFonts w:ascii="Calibri" w:hAnsi="Calibri" w:eastAsia="Calibri" w:cs="Calibri"/>
          <w:b w:val="0"/>
          <w:bCs w:val="0"/>
          <w:noProof w:val="0"/>
          <w:color w:val="000000" w:themeColor="text1" w:themeTint="FF" w:themeShade="FF"/>
          <w:sz w:val="22"/>
          <w:szCs w:val="22"/>
          <w:lang w:val="en-GB"/>
        </w:rPr>
        <w:t xml:space="preserve"> not just what works, but also </w:t>
      </w:r>
      <w:r w:rsidRPr="4E8BE5FC" w:rsidR="70733CCA">
        <w:rPr>
          <w:rFonts w:ascii="Calibri" w:hAnsi="Calibri" w:eastAsia="Calibri" w:cs="Calibri"/>
          <w:b w:val="0"/>
          <w:bCs w:val="0"/>
          <w:noProof w:val="0"/>
          <w:color w:val="000000" w:themeColor="text1" w:themeTint="FF" w:themeShade="FF"/>
          <w:sz w:val="22"/>
          <w:szCs w:val="22"/>
          <w:lang w:val="en-GB"/>
        </w:rPr>
        <w:t>assists</w:t>
      </w:r>
      <w:r w:rsidRPr="4E8BE5FC" w:rsidR="70733CCA">
        <w:rPr>
          <w:rFonts w:ascii="Calibri" w:hAnsi="Calibri" w:eastAsia="Calibri" w:cs="Calibri"/>
          <w:b w:val="0"/>
          <w:bCs w:val="0"/>
          <w:noProof w:val="0"/>
          <w:color w:val="000000" w:themeColor="text1" w:themeTint="FF" w:themeShade="FF"/>
          <w:sz w:val="22"/>
          <w:szCs w:val="22"/>
          <w:lang w:val="en-GB"/>
        </w:rPr>
        <w:t xml:space="preserve"> with decision-making on whether these advantages are sustainable. It supports strategic decision-making around staff development, knowledge capturing and system investment.</w:t>
      </w:r>
    </w:p>
    <w:p w:rsidR="4E8BE5FC" w:rsidP="4E8BE5FC" w:rsidRDefault="4E8BE5FC" w14:paraId="443DE300" w14:textId="600CA74A">
      <w:pPr>
        <w:keepNext w:val="0"/>
        <w:keepLines w:val="0"/>
        <w:spacing w:before="0" w:beforeAutospacing="off" w:after="0" w:afterAutospacing="off" w:line="360" w:lineRule="auto"/>
        <w:ind w:firstLine="720"/>
        <w:jc w:val="both"/>
        <w:rPr>
          <w:rFonts w:ascii="Calibri" w:hAnsi="Calibri" w:eastAsia="Calibri" w:cs="Calibri"/>
          <w:b w:val="0"/>
          <w:bCs w:val="0"/>
          <w:noProof w:val="0"/>
          <w:color w:val="000000" w:themeColor="text1" w:themeTint="FF" w:themeShade="FF"/>
          <w:sz w:val="22"/>
          <w:szCs w:val="22"/>
          <w:lang w:val="en-GB"/>
        </w:rPr>
      </w:pPr>
    </w:p>
    <w:p w:rsidR="59DD83D0" w:rsidP="4E8BE5FC" w:rsidRDefault="59DD83D0" w14:paraId="620A1330" w14:textId="0F33981F">
      <w:pPr>
        <w:pStyle w:val="Heading1"/>
        <w:keepNext w:val="0"/>
        <w:keepLines w:val="0"/>
        <w:spacing w:before="0" w:beforeAutospacing="off" w:after="0" w:afterAutospacing="off" w:line="360" w:lineRule="auto"/>
        <w:ind w:firstLine="0"/>
        <w:jc w:val="both"/>
        <w:rPr>
          <w:rFonts w:ascii="Calibri" w:hAnsi="Calibri" w:eastAsia="Calibri" w:cs="Calibri"/>
          <w:noProof w:val="0"/>
          <w:color w:val="auto"/>
          <w:sz w:val="32"/>
          <w:szCs w:val="32"/>
          <w:lang w:val="en-GB"/>
        </w:rPr>
      </w:pPr>
      <w:bookmarkStart w:name="_Toc1802140352" w:id="1358070891"/>
      <w:r w:rsidRPr="4E8BE5FC" w:rsidR="59DD83D0">
        <w:rPr>
          <w:rFonts w:ascii="Calibri" w:hAnsi="Calibri" w:eastAsia="Calibri" w:cs="Calibri"/>
          <w:noProof w:val="0"/>
          <w:color w:val="auto"/>
          <w:sz w:val="32"/>
          <w:szCs w:val="32"/>
          <w:lang w:val="en-GB"/>
        </w:rPr>
        <w:t xml:space="preserve">4. </w:t>
      </w:r>
      <w:r w:rsidRPr="4E8BE5FC" w:rsidR="359AA14B">
        <w:rPr>
          <w:rFonts w:ascii="Calibri" w:hAnsi="Calibri" w:eastAsia="Calibri" w:cs="Calibri"/>
          <w:noProof w:val="0"/>
          <w:color w:val="auto"/>
          <w:sz w:val="32"/>
          <w:szCs w:val="32"/>
          <w:lang w:val="en-GB"/>
        </w:rPr>
        <w:t>Technology and Tools- Kaas and Digital Knowledge Systems</w:t>
      </w:r>
      <w:bookmarkEnd w:id="1358070891"/>
    </w:p>
    <w:p w:rsidR="5E2FD036" w:rsidP="4E8BE5FC" w:rsidRDefault="5E2FD036" w14:paraId="174423B2" w14:textId="6363C829">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bookmarkStart w:name="_Toc90773408" w:id="1592507340"/>
      <w:r w:rsidRPr="4E8BE5FC" w:rsidR="5E2FD036">
        <w:rPr>
          <w:rFonts w:ascii="Calibri" w:hAnsi="Calibri" w:eastAsia="Calibri" w:cs="Calibri"/>
          <w:noProof w:val="0"/>
          <w:color w:val="auto"/>
          <w:sz w:val="28"/>
          <w:szCs w:val="28"/>
          <w:lang w:val="en-GB"/>
        </w:rPr>
        <w:t>4.1 Knowledge as a Service (</w:t>
      </w:r>
      <w:r w:rsidRPr="4E8BE5FC" w:rsidR="5E2FD036">
        <w:rPr>
          <w:rFonts w:ascii="Calibri" w:hAnsi="Calibri" w:eastAsia="Calibri" w:cs="Calibri"/>
          <w:noProof w:val="0"/>
          <w:color w:val="auto"/>
          <w:sz w:val="28"/>
          <w:szCs w:val="28"/>
          <w:lang w:val="en-GB"/>
        </w:rPr>
        <w:t>KaaS</w:t>
      </w:r>
      <w:r w:rsidRPr="4E8BE5FC" w:rsidR="5E2FD036">
        <w:rPr>
          <w:rFonts w:ascii="Calibri" w:hAnsi="Calibri" w:eastAsia="Calibri" w:cs="Calibri"/>
          <w:noProof w:val="0"/>
          <w:color w:val="auto"/>
          <w:sz w:val="28"/>
          <w:szCs w:val="28"/>
          <w:lang w:val="en-GB"/>
        </w:rPr>
        <w:t>) in Vocational Training</w:t>
      </w:r>
      <w:bookmarkEnd w:id="1592507340"/>
    </w:p>
    <w:p w:rsidR="4058F810" w:rsidP="4E8BE5FC" w:rsidRDefault="4058F810" w14:paraId="62713BBA" w14:textId="3320AFF8">
      <w:pPr>
        <w:keepNext w:val="0"/>
        <w:keepLines w:val="0"/>
        <w:spacing w:before="0" w:beforeAutospacing="off" w:after="0" w:afterAutospacing="off" w:line="360" w:lineRule="auto"/>
        <w:ind w:left="0" w:firstLine="0"/>
        <w:jc w:val="both"/>
        <w:rPr>
          <w:rFonts w:ascii="Calibri" w:hAnsi="Calibri" w:eastAsia="Calibri" w:cs="Calibri"/>
          <w:b w:val="0"/>
          <w:bCs w:val="0"/>
          <w:noProof w:val="0"/>
          <w:color w:val="000000" w:themeColor="text1" w:themeTint="FF" w:themeShade="FF"/>
          <w:sz w:val="22"/>
          <w:szCs w:val="22"/>
          <w:lang w:val="en-GB"/>
        </w:rPr>
      </w:pPr>
      <w:r w:rsidRPr="4E8BE5FC" w:rsidR="4058F810">
        <w:rPr>
          <w:rFonts w:ascii="Calibri" w:hAnsi="Calibri" w:eastAsia="Calibri" w:cs="Calibri"/>
          <w:b w:val="0"/>
          <w:bCs w:val="0"/>
          <w:noProof w:val="0"/>
          <w:color w:val="000000" w:themeColor="text1" w:themeTint="FF" w:themeShade="FF"/>
          <w:sz w:val="22"/>
          <w:szCs w:val="22"/>
          <w:lang w:val="en-GB"/>
        </w:rPr>
        <w:t xml:space="preserve">In a knowledge economy, where innovation and efficiency are driven by </w:t>
      </w:r>
      <w:r w:rsidRPr="4E8BE5FC" w:rsidR="4058F810">
        <w:rPr>
          <w:rFonts w:ascii="Calibri" w:hAnsi="Calibri" w:eastAsia="Calibri" w:cs="Calibri"/>
          <w:b w:val="0"/>
          <w:bCs w:val="0"/>
          <w:noProof w:val="0"/>
          <w:color w:val="000000" w:themeColor="text1" w:themeTint="FF" w:themeShade="FF"/>
          <w:sz w:val="22"/>
          <w:szCs w:val="22"/>
          <w:lang w:val="en-GB"/>
        </w:rPr>
        <w:t>expertise</w:t>
      </w:r>
      <w:r w:rsidRPr="4E8BE5FC" w:rsidR="4058F810">
        <w:rPr>
          <w:rFonts w:ascii="Calibri" w:hAnsi="Calibri" w:eastAsia="Calibri" w:cs="Calibri"/>
          <w:b w:val="0"/>
          <w:bCs w:val="0"/>
          <w:noProof w:val="0"/>
          <w:color w:val="000000" w:themeColor="text1" w:themeTint="FF" w:themeShade="FF"/>
          <w:sz w:val="22"/>
          <w:szCs w:val="22"/>
          <w:lang w:val="en-GB"/>
        </w:rPr>
        <w:t xml:space="preserve"> and information flow, Knowledge as a Service (</w:t>
      </w:r>
      <w:r w:rsidRPr="4E8BE5FC" w:rsidR="4058F810">
        <w:rPr>
          <w:rFonts w:ascii="Calibri" w:hAnsi="Calibri" w:eastAsia="Calibri" w:cs="Calibri"/>
          <w:b w:val="0"/>
          <w:bCs w:val="0"/>
          <w:noProof w:val="0"/>
          <w:color w:val="000000" w:themeColor="text1" w:themeTint="FF" w:themeShade="FF"/>
          <w:sz w:val="22"/>
          <w:szCs w:val="22"/>
          <w:lang w:val="en-GB"/>
        </w:rPr>
        <w:t>KaaS</w:t>
      </w:r>
      <w:r w:rsidRPr="4E8BE5FC" w:rsidR="4058F810">
        <w:rPr>
          <w:rFonts w:ascii="Calibri" w:hAnsi="Calibri" w:eastAsia="Calibri" w:cs="Calibri"/>
          <w:b w:val="0"/>
          <w:bCs w:val="0"/>
          <w:noProof w:val="0"/>
          <w:color w:val="000000" w:themeColor="text1" w:themeTint="FF" w:themeShade="FF"/>
          <w:sz w:val="22"/>
          <w:szCs w:val="22"/>
          <w:lang w:val="en-GB"/>
        </w:rPr>
        <w:t xml:space="preserve">) has </w:t>
      </w:r>
      <w:r w:rsidRPr="4E8BE5FC" w:rsidR="4058F810">
        <w:rPr>
          <w:rFonts w:ascii="Calibri" w:hAnsi="Calibri" w:eastAsia="Calibri" w:cs="Calibri"/>
          <w:b w:val="0"/>
          <w:bCs w:val="0"/>
          <w:noProof w:val="0"/>
          <w:color w:val="000000" w:themeColor="text1" w:themeTint="FF" w:themeShade="FF"/>
          <w:sz w:val="22"/>
          <w:szCs w:val="22"/>
          <w:lang w:val="en-GB"/>
        </w:rPr>
        <w:t>emerged</w:t>
      </w:r>
      <w:r w:rsidRPr="4E8BE5FC" w:rsidR="4058F810">
        <w:rPr>
          <w:rFonts w:ascii="Calibri" w:hAnsi="Calibri" w:eastAsia="Calibri" w:cs="Calibri"/>
          <w:b w:val="0"/>
          <w:bCs w:val="0"/>
          <w:noProof w:val="0"/>
          <w:color w:val="000000" w:themeColor="text1" w:themeTint="FF" w:themeShade="FF"/>
          <w:sz w:val="22"/>
          <w:szCs w:val="22"/>
          <w:lang w:val="en-GB"/>
        </w:rPr>
        <w:t xml:space="preserve"> as a strategic enabler. It decentralises access to learning resources, making knowledge mobile, </w:t>
      </w:r>
      <w:r w:rsidRPr="4E8BE5FC" w:rsidR="4058F810">
        <w:rPr>
          <w:rFonts w:ascii="Calibri" w:hAnsi="Calibri" w:eastAsia="Calibri" w:cs="Calibri"/>
          <w:b w:val="0"/>
          <w:bCs w:val="0"/>
          <w:noProof w:val="0"/>
          <w:color w:val="000000" w:themeColor="text1" w:themeTint="FF" w:themeShade="FF"/>
          <w:sz w:val="22"/>
          <w:szCs w:val="22"/>
          <w:lang w:val="en-GB"/>
        </w:rPr>
        <w:t>searchable</w:t>
      </w:r>
      <w:r w:rsidRPr="4E8BE5FC" w:rsidR="4058F810">
        <w:rPr>
          <w:rFonts w:ascii="Calibri" w:hAnsi="Calibri" w:eastAsia="Calibri" w:cs="Calibri"/>
          <w:b w:val="0"/>
          <w:bCs w:val="0"/>
          <w:noProof w:val="0"/>
          <w:color w:val="000000" w:themeColor="text1" w:themeTint="FF" w:themeShade="FF"/>
          <w:sz w:val="22"/>
          <w:szCs w:val="22"/>
          <w:lang w:val="en-GB"/>
        </w:rPr>
        <w:t xml:space="preserve"> and scalable. At Cambrian Training, this model allows Training Officers to instantly retrieve learner materials, </w:t>
      </w:r>
      <w:r w:rsidRPr="4E8BE5FC" w:rsidR="4058F810">
        <w:rPr>
          <w:rFonts w:ascii="Calibri" w:hAnsi="Calibri" w:eastAsia="Calibri" w:cs="Calibri"/>
          <w:b w:val="0"/>
          <w:bCs w:val="0"/>
          <w:noProof w:val="0"/>
          <w:color w:val="000000" w:themeColor="text1" w:themeTint="FF" w:themeShade="FF"/>
          <w:sz w:val="22"/>
          <w:szCs w:val="22"/>
          <w:lang w:val="en-GB"/>
        </w:rPr>
        <w:t>policies</w:t>
      </w:r>
      <w:r w:rsidRPr="4E8BE5FC" w:rsidR="4058F810">
        <w:rPr>
          <w:rFonts w:ascii="Calibri" w:hAnsi="Calibri" w:eastAsia="Calibri" w:cs="Calibri"/>
          <w:b w:val="0"/>
          <w:bCs w:val="0"/>
          <w:noProof w:val="0"/>
          <w:color w:val="000000" w:themeColor="text1" w:themeTint="FF" w:themeShade="FF"/>
          <w:sz w:val="22"/>
          <w:szCs w:val="22"/>
          <w:lang w:val="en-GB"/>
        </w:rPr>
        <w:t xml:space="preserve"> and frameworks through cloud-based systems like Google Drive, Cognisoft YETI, Breath </w:t>
      </w:r>
      <w:r w:rsidRPr="4E8BE5FC" w:rsidR="4058F810">
        <w:rPr>
          <w:rFonts w:ascii="Calibri" w:hAnsi="Calibri" w:eastAsia="Calibri" w:cs="Calibri"/>
          <w:b w:val="0"/>
          <w:bCs w:val="0"/>
          <w:noProof w:val="0"/>
          <w:color w:val="000000" w:themeColor="text1" w:themeTint="FF" w:themeShade="FF"/>
          <w:sz w:val="22"/>
          <w:szCs w:val="22"/>
          <w:lang w:val="en-GB"/>
        </w:rPr>
        <w:t>HR</w:t>
      </w:r>
      <w:r w:rsidRPr="4E8BE5FC" w:rsidR="4058F810">
        <w:rPr>
          <w:rFonts w:ascii="Calibri" w:hAnsi="Calibri" w:eastAsia="Calibri" w:cs="Calibri"/>
          <w:b w:val="0"/>
          <w:bCs w:val="0"/>
          <w:noProof w:val="0"/>
          <w:color w:val="000000" w:themeColor="text1" w:themeTint="FF" w:themeShade="FF"/>
          <w:sz w:val="22"/>
          <w:szCs w:val="22"/>
          <w:lang w:val="en-GB"/>
        </w:rPr>
        <w:t xml:space="preserve"> and Learning Assistant. </w:t>
      </w:r>
    </w:p>
    <w:p w:rsidR="4058F810" w:rsidP="4E8BE5FC" w:rsidRDefault="4058F810" w14:paraId="51396EAD" w14:textId="7EB137C0">
      <w:pPr>
        <w:pStyle w:val="Normal"/>
        <w:keepNext w:val="0"/>
        <w:keepLines w:val="0"/>
        <w:spacing w:before="0" w:beforeAutospacing="off" w:after="0" w:afterAutospacing="off" w:line="360" w:lineRule="auto"/>
        <w:ind w:left="0" w:firstLine="720"/>
        <w:jc w:val="both"/>
      </w:pPr>
      <w:r w:rsidRPr="4E8BE5FC" w:rsidR="4058F810">
        <w:rPr>
          <w:rFonts w:ascii="Calibri" w:hAnsi="Calibri" w:eastAsia="Calibri" w:cs="Calibri"/>
          <w:b w:val="0"/>
          <w:bCs w:val="0"/>
          <w:noProof w:val="0"/>
          <w:color w:val="000000" w:themeColor="text1" w:themeTint="FF" w:themeShade="FF"/>
          <w:sz w:val="22"/>
          <w:szCs w:val="22"/>
          <w:lang w:val="en-GB"/>
        </w:rPr>
        <w:t xml:space="preserve">As </w:t>
      </w:r>
      <w:r w:rsidRPr="4E8BE5FC" w:rsidR="4058F810">
        <w:rPr>
          <w:rFonts w:ascii="Calibri" w:hAnsi="Calibri" w:eastAsia="Calibri" w:cs="Calibri"/>
          <w:b w:val="0"/>
          <w:bCs w:val="0"/>
          <w:noProof w:val="0"/>
          <w:color w:val="000000" w:themeColor="text1" w:themeTint="FF" w:themeShade="FF"/>
          <w:sz w:val="22"/>
          <w:szCs w:val="22"/>
          <w:lang w:val="en-GB"/>
        </w:rPr>
        <w:t>Dobrican</w:t>
      </w:r>
      <w:r w:rsidRPr="4E8BE5FC" w:rsidR="4058F810">
        <w:rPr>
          <w:rFonts w:ascii="Calibri" w:hAnsi="Calibri" w:eastAsia="Calibri" w:cs="Calibri"/>
          <w:b w:val="0"/>
          <w:bCs w:val="0"/>
          <w:noProof w:val="0"/>
          <w:color w:val="000000" w:themeColor="text1" w:themeTint="FF" w:themeShade="FF"/>
          <w:sz w:val="22"/>
          <w:szCs w:val="22"/>
          <w:lang w:val="en-GB"/>
        </w:rPr>
        <w:t xml:space="preserve"> (2020) describes, </w:t>
      </w:r>
      <w:r w:rsidRPr="4E8BE5FC" w:rsidR="4058F810">
        <w:rPr>
          <w:rFonts w:ascii="Calibri" w:hAnsi="Calibri" w:eastAsia="Calibri" w:cs="Calibri"/>
          <w:b w:val="0"/>
          <w:bCs w:val="0"/>
          <w:noProof w:val="0"/>
          <w:color w:val="000000" w:themeColor="text1" w:themeTint="FF" w:themeShade="FF"/>
          <w:sz w:val="22"/>
          <w:szCs w:val="22"/>
          <w:lang w:val="en-GB"/>
        </w:rPr>
        <w:t>KaaS</w:t>
      </w:r>
      <w:r w:rsidRPr="4E8BE5FC" w:rsidR="4058F810">
        <w:rPr>
          <w:rFonts w:ascii="Calibri" w:hAnsi="Calibri" w:eastAsia="Calibri" w:cs="Calibri"/>
          <w:b w:val="0"/>
          <w:bCs w:val="0"/>
          <w:noProof w:val="0"/>
          <w:color w:val="000000" w:themeColor="text1" w:themeTint="FF" w:themeShade="FF"/>
          <w:sz w:val="22"/>
          <w:szCs w:val="22"/>
          <w:lang w:val="en-GB"/>
        </w:rPr>
        <w:t xml:space="preserve"> supports “a decentralised, scalable platform for knowledge access.” This aligns well with Cambrian’s operational needs, particularly when Training Officers deliver sessions across diverse hospitality venues. It ensures up-to-date resources are always available, </w:t>
      </w:r>
      <w:r w:rsidRPr="4E8BE5FC" w:rsidR="4058F810">
        <w:rPr>
          <w:rFonts w:ascii="Calibri" w:hAnsi="Calibri" w:eastAsia="Calibri" w:cs="Calibri"/>
          <w:b w:val="0"/>
          <w:bCs w:val="0"/>
          <w:noProof w:val="0"/>
          <w:color w:val="000000" w:themeColor="text1" w:themeTint="FF" w:themeShade="FF"/>
          <w:sz w:val="22"/>
          <w:szCs w:val="22"/>
          <w:lang w:val="en-GB"/>
        </w:rPr>
        <w:t>eliminating</w:t>
      </w:r>
      <w:r w:rsidRPr="4E8BE5FC" w:rsidR="4058F810">
        <w:rPr>
          <w:rFonts w:ascii="Calibri" w:hAnsi="Calibri" w:eastAsia="Calibri" w:cs="Calibri"/>
          <w:b w:val="0"/>
          <w:bCs w:val="0"/>
          <w:noProof w:val="0"/>
          <w:color w:val="000000" w:themeColor="text1" w:themeTint="FF" w:themeShade="FF"/>
          <w:sz w:val="22"/>
          <w:szCs w:val="22"/>
          <w:lang w:val="en-GB"/>
        </w:rPr>
        <w:t xml:space="preserve"> geographic and logistical barriers. </w:t>
      </w:r>
    </w:p>
    <w:p w:rsidR="4058F810" w:rsidP="4E8BE5FC" w:rsidRDefault="4058F810" w14:paraId="3DC14853" w14:textId="319EDAFB">
      <w:pPr>
        <w:pStyle w:val="Normal"/>
        <w:keepNext w:val="0"/>
        <w:keepLines w:val="0"/>
        <w:spacing w:before="0" w:beforeAutospacing="off" w:after="0" w:afterAutospacing="off" w:line="360" w:lineRule="auto"/>
        <w:ind w:left="0" w:firstLine="720"/>
        <w:jc w:val="both"/>
      </w:pPr>
      <w:r w:rsidRPr="4E8BE5FC" w:rsidR="4058F810">
        <w:rPr>
          <w:rFonts w:ascii="Calibri" w:hAnsi="Calibri" w:eastAsia="Calibri" w:cs="Calibri"/>
          <w:b w:val="0"/>
          <w:bCs w:val="0"/>
          <w:noProof w:val="0"/>
          <w:color w:val="000000" w:themeColor="text1" w:themeTint="FF" w:themeShade="FF"/>
          <w:sz w:val="22"/>
          <w:szCs w:val="22"/>
          <w:lang w:val="en-GB"/>
        </w:rPr>
        <w:t xml:space="preserve">Furthermore, </w:t>
      </w:r>
      <w:r w:rsidRPr="4E8BE5FC" w:rsidR="4058F810">
        <w:rPr>
          <w:rFonts w:ascii="Calibri" w:hAnsi="Calibri" w:eastAsia="Calibri" w:cs="Calibri"/>
          <w:b w:val="0"/>
          <w:bCs w:val="0"/>
          <w:noProof w:val="0"/>
          <w:color w:val="000000" w:themeColor="text1" w:themeTint="FF" w:themeShade="FF"/>
          <w:sz w:val="22"/>
          <w:szCs w:val="22"/>
          <w:lang w:val="en-GB"/>
        </w:rPr>
        <w:t>KaaS</w:t>
      </w:r>
      <w:r w:rsidRPr="4E8BE5FC" w:rsidR="4058F810">
        <w:rPr>
          <w:rFonts w:ascii="Calibri" w:hAnsi="Calibri" w:eastAsia="Calibri" w:cs="Calibri"/>
          <w:b w:val="0"/>
          <w:bCs w:val="0"/>
          <w:noProof w:val="0"/>
          <w:color w:val="000000" w:themeColor="text1" w:themeTint="FF" w:themeShade="FF"/>
          <w:sz w:val="22"/>
          <w:szCs w:val="22"/>
          <w:lang w:val="en-GB"/>
        </w:rPr>
        <w:t xml:space="preserve"> reinforces a knowledge-sharing culture. Cambrian encourages Training Officers to contribute resources, </w:t>
      </w:r>
      <w:r w:rsidRPr="4E8BE5FC" w:rsidR="4058F810">
        <w:rPr>
          <w:rFonts w:ascii="Calibri" w:hAnsi="Calibri" w:eastAsia="Calibri" w:cs="Calibri"/>
          <w:b w:val="0"/>
          <w:bCs w:val="0"/>
          <w:noProof w:val="0"/>
          <w:color w:val="000000" w:themeColor="text1" w:themeTint="FF" w:themeShade="FF"/>
          <w:sz w:val="22"/>
          <w:szCs w:val="22"/>
          <w:lang w:val="en-GB"/>
        </w:rPr>
        <w:t>updates</w:t>
      </w:r>
      <w:r w:rsidRPr="4E8BE5FC" w:rsidR="4058F810">
        <w:rPr>
          <w:rFonts w:ascii="Calibri" w:hAnsi="Calibri" w:eastAsia="Calibri" w:cs="Calibri"/>
          <w:b w:val="0"/>
          <w:bCs w:val="0"/>
          <w:noProof w:val="0"/>
          <w:color w:val="000000" w:themeColor="text1" w:themeTint="FF" w:themeShade="FF"/>
          <w:sz w:val="22"/>
          <w:szCs w:val="22"/>
          <w:lang w:val="en-GB"/>
        </w:rPr>
        <w:t xml:space="preserve"> and strategies to shared repositories. This enhances collaboration and supports professional learning while reducing reliance on </w:t>
      </w:r>
      <w:r w:rsidRPr="4E8BE5FC" w:rsidR="4058F810">
        <w:rPr>
          <w:rFonts w:ascii="Calibri" w:hAnsi="Calibri" w:eastAsia="Calibri" w:cs="Calibri"/>
          <w:b w:val="0"/>
          <w:bCs w:val="0"/>
          <w:noProof w:val="0"/>
          <w:color w:val="000000" w:themeColor="text1" w:themeTint="FF" w:themeShade="FF"/>
          <w:sz w:val="22"/>
          <w:szCs w:val="22"/>
          <w:lang w:val="en-GB"/>
        </w:rPr>
        <w:t>expertise</w:t>
      </w:r>
      <w:r w:rsidRPr="4E8BE5FC" w:rsidR="4058F810">
        <w:rPr>
          <w:rFonts w:ascii="Calibri" w:hAnsi="Calibri" w:eastAsia="Calibri" w:cs="Calibri"/>
          <w:b w:val="0"/>
          <w:bCs w:val="0"/>
          <w:noProof w:val="0"/>
          <w:color w:val="000000" w:themeColor="text1" w:themeTint="FF" w:themeShade="FF"/>
          <w:sz w:val="22"/>
          <w:szCs w:val="22"/>
          <w:lang w:val="en-GB"/>
        </w:rPr>
        <w:t xml:space="preserve"> alone. As Abdullah et al. (2011) note, “Without user engagement and consistent training, </w:t>
      </w:r>
      <w:r w:rsidRPr="4E8BE5FC" w:rsidR="4058F810">
        <w:rPr>
          <w:rFonts w:ascii="Calibri" w:hAnsi="Calibri" w:eastAsia="Calibri" w:cs="Calibri"/>
          <w:b w:val="0"/>
          <w:bCs w:val="0"/>
          <w:noProof w:val="0"/>
          <w:color w:val="000000" w:themeColor="text1" w:themeTint="FF" w:themeShade="FF"/>
          <w:sz w:val="22"/>
          <w:szCs w:val="22"/>
          <w:lang w:val="en-GB"/>
        </w:rPr>
        <w:t>KaaS</w:t>
      </w:r>
      <w:r w:rsidRPr="4E8BE5FC" w:rsidR="4058F810">
        <w:rPr>
          <w:rFonts w:ascii="Calibri" w:hAnsi="Calibri" w:eastAsia="Calibri" w:cs="Calibri"/>
          <w:b w:val="0"/>
          <w:bCs w:val="0"/>
          <w:noProof w:val="0"/>
          <w:color w:val="000000" w:themeColor="text1" w:themeTint="FF" w:themeShade="FF"/>
          <w:sz w:val="22"/>
          <w:szCs w:val="22"/>
          <w:lang w:val="en-GB"/>
        </w:rPr>
        <w:t xml:space="preserve"> risks becoming a static repository rather than a dynamic support tool”. </w:t>
      </w:r>
    </w:p>
    <w:p w:rsidR="4058F810" w:rsidP="4E8BE5FC" w:rsidRDefault="4058F810" w14:paraId="5042078E" w14:textId="07C1F9E9">
      <w:pPr>
        <w:pStyle w:val="Normal"/>
        <w:keepNext w:val="0"/>
        <w:keepLines w:val="0"/>
        <w:spacing w:before="0" w:beforeAutospacing="off" w:after="0" w:afterAutospacing="off" w:line="360" w:lineRule="auto"/>
        <w:ind w:left="0" w:firstLine="720"/>
        <w:jc w:val="both"/>
      </w:pPr>
      <w:r w:rsidRPr="4E8BE5FC" w:rsidR="4058F810">
        <w:rPr>
          <w:rFonts w:ascii="Calibri" w:hAnsi="Calibri" w:eastAsia="Calibri" w:cs="Calibri"/>
          <w:b w:val="0"/>
          <w:bCs w:val="0"/>
          <w:noProof w:val="0"/>
          <w:color w:val="000000" w:themeColor="text1" w:themeTint="FF" w:themeShade="FF"/>
          <w:sz w:val="22"/>
          <w:szCs w:val="22"/>
          <w:lang w:val="en-GB"/>
        </w:rPr>
        <w:t xml:space="preserve">However, </w:t>
      </w:r>
      <w:r w:rsidRPr="4E8BE5FC" w:rsidR="4058F810">
        <w:rPr>
          <w:rFonts w:ascii="Calibri" w:hAnsi="Calibri" w:eastAsia="Calibri" w:cs="Calibri"/>
          <w:b w:val="0"/>
          <w:bCs w:val="0"/>
          <w:noProof w:val="0"/>
          <w:color w:val="000000" w:themeColor="text1" w:themeTint="FF" w:themeShade="FF"/>
          <w:sz w:val="22"/>
          <w:szCs w:val="22"/>
          <w:lang w:val="en-GB"/>
        </w:rPr>
        <w:t>KaaS</w:t>
      </w:r>
      <w:r w:rsidRPr="4E8BE5FC" w:rsidR="4058F810">
        <w:rPr>
          <w:rFonts w:ascii="Calibri" w:hAnsi="Calibri" w:eastAsia="Calibri" w:cs="Calibri"/>
          <w:b w:val="0"/>
          <w:bCs w:val="0"/>
          <w:noProof w:val="0"/>
          <w:color w:val="000000" w:themeColor="text1" w:themeTint="FF" w:themeShade="FF"/>
          <w:sz w:val="22"/>
          <w:szCs w:val="22"/>
          <w:lang w:val="en-GB"/>
        </w:rPr>
        <w:t xml:space="preserve"> introduces technical and human challenges. Its success depends not only on IT infrastructure but also on the digital competence and participation of staff. Cambrian mitigates this by offering quarterly digital training and designing platforms that are user-friendly and jargon-free. </w:t>
      </w:r>
    </w:p>
    <w:p w:rsidR="4058F810" w:rsidP="4E8BE5FC" w:rsidRDefault="4058F810" w14:paraId="0A764B9E" w14:textId="2714ECE6">
      <w:pPr>
        <w:pStyle w:val="Normal"/>
        <w:keepNext w:val="0"/>
        <w:keepLines w:val="0"/>
        <w:spacing w:before="0" w:beforeAutospacing="off" w:after="0" w:afterAutospacing="off" w:line="360" w:lineRule="auto"/>
        <w:ind w:left="0" w:firstLine="720"/>
        <w:jc w:val="both"/>
      </w:pPr>
      <w:r w:rsidRPr="4E8BE5FC" w:rsidR="4058F810">
        <w:rPr>
          <w:rFonts w:ascii="Calibri" w:hAnsi="Calibri" w:eastAsia="Calibri" w:cs="Calibri"/>
          <w:b w:val="0"/>
          <w:bCs w:val="0"/>
          <w:noProof w:val="0"/>
          <w:color w:val="000000" w:themeColor="text1" w:themeTint="FF" w:themeShade="FF"/>
          <w:sz w:val="22"/>
          <w:szCs w:val="22"/>
          <w:lang w:val="en-GB"/>
        </w:rPr>
        <w:t xml:space="preserve">In this sense, </w:t>
      </w:r>
      <w:r w:rsidRPr="4E8BE5FC" w:rsidR="4058F810">
        <w:rPr>
          <w:rFonts w:ascii="Calibri" w:hAnsi="Calibri" w:eastAsia="Calibri" w:cs="Calibri"/>
          <w:b w:val="0"/>
          <w:bCs w:val="0"/>
          <w:noProof w:val="0"/>
          <w:color w:val="000000" w:themeColor="text1" w:themeTint="FF" w:themeShade="FF"/>
          <w:sz w:val="22"/>
          <w:szCs w:val="22"/>
          <w:lang w:val="en-GB"/>
        </w:rPr>
        <w:t>KaaS</w:t>
      </w:r>
      <w:r w:rsidRPr="4E8BE5FC" w:rsidR="4058F810">
        <w:rPr>
          <w:rFonts w:ascii="Calibri" w:hAnsi="Calibri" w:eastAsia="Calibri" w:cs="Calibri"/>
          <w:b w:val="0"/>
          <w:bCs w:val="0"/>
          <w:noProof w:val="0"/>
          <w:color w:val="000000" w:themeColor="text1" w:themeTint="FF" w:themeShade="FF"/>
          <w:sz w:val="22"/>
          <w:szCs w:val="22"/>
          <w:lang w:val="en-GB"/>
        </w:rPr>
        <w:t xml:space="preserve"> reflects the interplay between knowledge culture and the knowledge economy, Cambrian </w:t>
      </w:r>
      <w:r w:rsidRPr="4E8BE5FC" w:rsidR="4058F810">
        <w:rPr>
          <w:rFonts w:ascii="Calibri" w:hAnsi="Calibri" w:eastAsia="Calibri" w:cs="Calibri"/>
          <w:b w:val="0"/>
          <w:bCs w:val="0"/>
          <w:noProof w:val="0"/>
          <w:color w:val="000000" w:themeColor="text1" w:themeTint="FF" w:themeShade="FF"/>
          <w:sz w:val="22"/>
          <w:szCs w:val="22"/>
          <w:lang w:val="en-GB"/>
        </w:rPr>
        <w:t>leverages</w:t>
      </w:r>
      <w:r w:rsidRPr="4E8BE5FC" w:rsidR="4058F810">
        <w:rPr>
          <w:rFonts w:ascii="Calibri" w:hAnsi="Calibri" w:eastAsia="Calibri" w:cs="Calibri"/>
          <w:b w:val="0"/>
          <w:bCs w:val="0"/>
          <w:noProof w:val="0"/>
          <w:color w:val="000000" w:themeColor="text1" w:themeTint="FF" w:themeShade="FF"/>
          <w:sz w:val="22"/>
          <w:szCs w:val="22"/>
          <w:lang w:val="en-GB"/>
        </w:rPr>
        <w:t xml:space="preserve"> its digital infrastructure not just to distribute knowledge, but to embed it into workflows, support adaptability and drive long-term value.</w:t>
      </w:r>
    </w:p>
    <w:p xmlns:wp14="http://schemas.microsoft.com/office/word/2010/wordml" w:rsidP="4E8BE5FC" wp14:paraId="363ECFBD" wp14:textId="32F31736">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4"/>
          <w:szCs w:val="24"/>
          <w:lang w:val="en-GB"/>
        </w:rPr>
      </w:pPr>
      <w:bookmarkStart w:name="_Toc651758113" w:id="1328017605"/>
      <w:r w:rsidRPr="4E8BE5FC" w:rsidR="5E2FD036">
        <w:rPr>
          <w:rFonts w:ascii="Calibri" w:hAnsi="Calibri" w:eastAsia="Calibri" w:cs="Calibri"/>
          <w:noProof w:val="0"/>
          <w:color w:val="auto"/>
          <w:sz w:val="28"/>
          <w:szCs w:val="28"/>
          <w:lang w:val="en-GB"/>
        </w:rPr>
        <w:t>4.2 Digital Tools for Knowledge Sharing</w:t>
      </w:r>
      <w:bookmarkEnd w:id="1328017605"/>
    </w:p>
    <w:p xmlns:wp14="http://schemas.microsoft.com/office/word/2010/wordml" w:rsidP="4E8BE5FC" wp14:paraId="74660036" wp14:textId="28A80210">
      <w:pPr>
        <w:keepNext w:val="0"/>
        <w:keepLines w:val="0"/>
        <w:spacing w:before="0" w:beforeAutospacing="off" w:after="0" w:afterAutospacing="off" w:line="360" w:lineRule="auto"/>
        <w:ind w:firstLine="0"/>
        <w:jc w:val="both"/>
        <w:rPr>
          <w:rFonts w:ascii="Calibri" w:hAnsi="Calibri" w:eastAsia="Calibri" w:cs="Calibri"/>
          <w:b w:val="0"/>
          <w:bCs w:val="0"/>
          <w:noProof w:val="0"/>
          <w:color w:val="000000" w:themeColor="text1" w:themeTint="FF" w:themeShade="FF"/>
          <w:sz w:val="22"/>
          <w:szCs w:val="22"/>
          <w:lang w:val="en-GB"/>
        </w:rPr>
      </w:pPr>
      <w:r w:rsidRPr="4E8BE5FC" w:rsidR="08389173">
        <w:rPr>
          <w:rFonts w:ascii="Calibri" w:hAnsi="Calibri" w:eastAsia="Calibri" w:cs="Calibri"/>
          <w:b w:val="0"/>
          <w:bCs w:val="0"/>
          <w:noProof w:val="0"/>
          <w:color w:val="000000" w:themeColor="text1" w:themeTint="FF" w:themeShade="FF"/>
          <w:sz w:val="22"/>
          <w:szCs w:val="22"/>
          <w:lang w:val="en-GB"/>
        </w:rPr>
        <w:t xml:space="preserve">Beyond </w:t>
      </w:r>
      <w:r w:rsidRPr="4E8BE5FC" w:rsidR="08389173">
        <w:rPr>
          <w:rFonts w:ascii="Calibri" w:hAnsi="Calibri" w:eastAsia="Calibri" w:cs="Calibri"/>
          <w:b w:val="0"/>
          <w:bCs w:val="0"/>
          <w:noProof w:val="0"/>
          <w:color w:val="000000" w:themeColor="text1" w:themeTint="FF" w:themeShade="FF"/>
          <w:sz w:val="22"/>
          <w:szCs w:val="22"/>
          <w:lang w:val="en-GB"/>
        </w:rPr>
        <w:t>KaaS</w:t>
      </w:r>
      <w:r w:rsidRPr="4E8BE5FC" w:rsidR="08389173">
        <w:rPr>
          <w:rFonts w:ascii="Calibri" w:hAnsi="Calibri" w:eastAsia="Calibri" w:cs="Calibri"/>
          <w:b w:val="0"/>
          <w:bCs w:val="0"/>
          <w:noProof w:val="0"/>
          <w:color w:val="000000" w:themeColor="text1" w:themeTint="FF" w:themeShade="FF"/>
          <w:sz w:val="22"/>
          <w:szCs w:val="22"/>
          <w:lang w:val="en-GB"/>
        </w:rPr>
        <w:t xml:space="preserve">, Cambrian Training employs Cognisoft YETI as a central knowledge-sharing and learner-management platform. YETI tracks key metrics such as learner engagement, overdue interventions, and WEST completion. It </w:t>
      </w:r>
      <w:r w:rsidRPr="4E8BE5FC" w:rsidR="08389173">
        <w:rPr>
          <w:rFonts w:ascii="Calibri" w:hAnsi="Calibri" w:eastAsia="Calibri" w:cs="Calibri"/>
          <w:b w:val="0"/>
          <w:bCs w:val="0"/>
          <w:noProof w:val="0"/>
          <w:color w:val="000000" w:themeColor="text1" w:themeTint="FF" w:themeShade="FF"/>
          <w:sz w:val="22"/>
          <w:szCs w:val="22"/>
          <w:lang w:val="en-GB"/>
        </w:rPr>
        <w:t>provides</w:t>
      </w:r>
      <w:r w:rsidRPr="4E8BE5FC" w:rsidR="08389173">
        <w:rPr>
          <w:rFonts w:ascii="Calibri" w:hAnsi="Calibri" w:eastAsia="Calibri" w:cs="Calibri"/>
          <w:b w:val="0"/>
          <w:bCs w:val="0"/>
          <w:noProof w:val="0"/>
          <w:color w:val="000000" w:themeColor="text1" w:themeTint="FF" w:themeShade="FF"/>
          <w:sz w:val="22"/>
          <w:szCs w:val="22"/>
          <w:lang w:val="en-GB"/>
        </w:rPr>
        <w:t xml:space="preserve"> real-time insights via colour-coded alerts, enabling proactive decisions to safeguard learner progress and KPI performance. </w:t>
      </w:r>
    </w:p>
    <w:p xmlns:wp14="http://schemas.microsoft.com/office/word/2010/wordml" w:rsidP="4E8BE5FC" wp14:paraId="5B49847E" wp14:textId="3B6A37E6">
      <w:pPr>
        <w:pStyle w:val="Normal"/>
        <w:keepNext w:val="0"/>
        <w:keepLines w:val="0"/>
        <w:spacing w:before="0" w:beforeAutospacing="off" w:after="0" w:afterAutospacing="off" w:line="360" w:lineRule="auto"/>
        <w:ind w:firstLine="720"/>
        <w:jc w:val="both"/>
      </w:pPr>
      <w:r w:rsidRPr="4E8BE5FC" w:rsidR="08389173">
        <w:rPr>
          <w:rFonts w:ascii="Calibri" w:hAnsi="Calibri" w:eastAsia="Calibri" w:cs="Calibri"/>
          <w:b w:val="0"/>
          <w:bCs w:val="0"/>
          <w:noProof w:val="0"/>
          <w:color w:val="000000" w:themeColor="text1" w:themeTint="FF" w:themeShade="FF"/>
          <w:sz w:val="22"/>
          <w:szCs w:val="22"/>
          <w:lang w:val="en-GB"/>
        </w:rPr>
        <w:t xml:space="preserve">According to Turban et al. (2018), “digital platforms transform organisations into knowledge enablers.” Cambrian exemplifies this through integrated systems that bridge performance tracking with strategic reflection. </w:t>
      </w:r>
    </w:p>
    <w:p xmlns:wp14="http://schemas.microsoft.com/office/word/2010/wordml" w:rsidP="4E8BE5FC" wp14:paraId="59D16DA8" wp14:textId="2EB172E9">
      <w:pPr>
        <w:pStyle w:val="Normal"/>
        <w:keepNext w:val="0"/>
        <w:keepLines w:val="0"/>
        <w:spacing w:before="0" w:beforeAutospacing="off" w:after="0" w:afterAutospacing="off" w:line="360" w:lineRule="auto"/>
        <w:ind w:firstLine="720"/>
        <w:jc w:val="both"/>
      </w:pPr>
      <w:r w:rsidRPr="4E8BE5FC" w:rsidR="08389173">
        <w:rPr>
          <w:rFonts w:ascii="Calibri" w:hAnsi="Calibri" w:eastAsia="Calibri" w:cs="Calibri"/>
          <w:b w:val="0"/>
          <w:bCs w:val="0"/>
          <w:noProof w:val="0"/>
          <w:color w:val="000000" w:themeColor="text1" w:themeTint="FF" w:themeShade="FF"/>
          <w:sz w:val="22"/>
          <w:szCs w:val="22"/>
          <w:lang w:val="en-GB"/>
        </w:rPr>
        <w:t xml:space="preserve">Additionally, Google Drive supports shared access to forms, planning resources, sector updates, and </w:t>
      </w:r>
      <w:r w:rsidRPr="4E8BE5FC" w:rsidR="08389173">
        <w:rPr>
          <w:rFonts w:ascii="Calibri" w:hAnsi="Calibri" w:eastAsia="Calibri" w:cs="Calibri"/>
          <w:b w:val="0"/>
          <w:bCs w:val="0"/>
          <w:noProof w:val="0"/>
          <w:color w:val="000000" w:themeColor="text1" w:themeTint="FF" w:themeShade="FF"/>
          <w:sz w:val="22"/>
          <w:szCs w:val="22"/>
          <w:lang w:val="en-GB"/>
        </w:rPr>
        <w:t>frequently</w:t>
      </w:r>
      <w:r w:rsidRPr="4E8BE5FC" w:rsidR="08389173">
        <w:rPr>
          <w:rFonts w:ascii="Calibri" w:hAnsi="Calibri" w:eastAsia="Calibri" w:cs="Calibri"/>
          <w:b w:val="0"/>
          <w:bCs w:val="0"/>
          <w:noProof w:val="0"/>
          <w:color w:val="000000" w:themeColor="text1" w:themeTint="FF" w:themeShade="FF"/>
          <w:sz w:val="22"/>
          <w:szCs w:val="22"/>
          <w:lang w:val="en-GB"/>
        </w:rPr>
        <w:t xml:space="preserve"> asked questions. This promotes transparency and turns tacit knowledge into reusable, explicit content. Training Officers regularly contribute strategies to support continuous professional development and reinforce collective knowledge assets. </w:t>
      </w:r>
    </w:p>
    <w:p xmlns:wp14="http://schemas.microsoft.com/office/word/2010/wordml" w:rsidP="4E8BE5FC" wp14:paraId="19617810" wp14:textId="1E5EE33A">
      <w:pPr>
        <w:pStyle w:val="Normal"/>
        <w:keepNext w:val="0"/>
        <w:keepLines w:val="0"/>
        <w:spacing w:before="0" w:beforeAutospacing="off" w:after="0" w:afterAutospacing="off" w:line="360" w:lineRule="auto"/>
        <w:ind w:firstLine="720"/>
        <w:jc w:val="both"/>
      </w:pPr>
      <w:r w:rsidRPr="4E8BE5FC" w:rsidR="08389173">
        <w:rPr>
          <w:rFonts w:ascii="Calibri" w:hAnsi="Calibri" w:eastAsia="Calibri" w:cs="Calibri"/>
          <w:b w:val="0"/>
          <w:bCs w:val="0"/>
          <w:noProof w:val="0"/>
          <w:color w:val="000000" w:themeColor="text1" w:themeTint="FF" w:themeShade="FF"/>
          <w:sz w:val="22"/>
          <w:szCs w:val="22"/>
          <w:lang w:val="en-GB"/>
        </w:rPr>
        <w:t xml:space="preserve">Nevertheless, risks persist. Low engagement or inconsistent data entry </w:t>
      </w:r>
      <w:r w:rsidRPr="4E8BE5FC" w:rsidR="08389173">
        <w:rPr>
          <w:rFonts w:ascii="Calibri" w:hAnsi="Calibri" w:eastAsia="Calibri" w:cs="Calibri"/>
          <w:b w:val="0"/>
          <w:bCs w:val="0"/>
          <w:noProof w:val="0"/>
          <w:color w:val="000000" w:themeColor="text1" w:themeTint="FF" w:themeShade="FF"/>
          <w:sz w:val="22"/>
          <w:szCs w:val="22"/>
          <w:lang w:val="en-GB"/>
        </w:rPr>
        <w:t>compromises</w:t>
      </w:r>
      <w:r w:rsidRPr="4E8BE5FC" w:rsidR="08389173">
        <w:rPr>
          <w:rFonts w:ascii="Calibri" w:hAnsi="Calibri" w:eastAsia="Calibri" w:cs="Calibri"/>
          <w:b w:val="0"/>
          <w:bCs w:val="0"/>
          <w:noProof w:val="0"/>
          <w:color w:val="000000" w:themeColor="text1" w:themeTint="FF" w:themeShade="FF"/>
          <w:sz w:val="22"/>
          <w:szCs w:val="22"/>
          <w:lang w:val="en-GB"/>
        </w:rPr>
        <w:t xml:space="preserve"> reliability. Alavi and Leidner (2001) caution that “technology is only effective when aligned with organisational processes and user capabilities.” Cambrian counters this through regular audits, interface improvements, and performance-linked usage reviews. </w:t>
      </w:r>
    </w:p>
    <w:p xmlns:wp14="http://schemas.microsoft.com/office/word/2010/wordml" w:rsidP="4E8BE5FC" wp14:paraId="362F4A47" wp14:textId="46874C37">
      <w:pPr>
        <w:pStyle w:val="Normal"/>
        <w:keepNext w:val="0"/>
        <w:keepLines w:val="0"/>
        <w:spacing w:before="0" w:beforeAutospacing="off" w:after="0" w:afterAutospacing="off" w:line="360" w:lineRule="auto"/>
        <w:ind w:firstLine="720"/>
        <w:jc w:val="both"/>
      </w:pPr>
      <w:r w:rsidRPr="4E8BE5FC" w:rsidR="08389173">
        <w:rPr>
          <w:rFonts w:ascii="Calibri" w:hAnsi="Calibri" w:eastAsia="Calibri" w:cs="Calibri"/>
          <w:b w:val="0"/>
          <w:bCs w:val="0"/>
          <w:noProof w:val="0"/>
          <w:color w:val="000000" w:themeColor="text1" w:themeTint="FF" w:themeShade="FF"/>
          <w:sz w:val="22"/>
          <w:szCs w:val="22"/>
          <w:lang w:val="en-GB"/>
        </w:rPr>
        <w:t xml:space="preserve">Together, </w:t>
      </w:r>
      <w:r w:rsidRPr="4E8BE5FC" w:rsidR="08389173">
        <w:rPr>
          <w:rFonts w:ascii="Calibri" w:hAnsi="Calibri" w:eastAsia="Calibri" w:cs="Calibri"/>
          <w:b w:val="0"/>
          <w:bCs w:val="0"/>
          <w:noProof w:val="0"/>
          <w:color w:val="000000" w:themeColor="text1" w:themeTint="FF" w:themeShade="FF"/>
          <w:sz w:val="22"/>
          <w:szCs w:val="22"/>
          <w:lang w:val="en-GB"/>
        </w:rPr>
        <w:t>KaaS</w:t>
      </w:r>
      <w:r w:rsidRPr="4E8BE5FC" w:rsidR="08389173">
        <w:rPr>
          <w:rFonts w:ascii="Calibri" w:hAnsi="Calibri" w:eastAsia="Calibri" w:cs="Calibri"/>
          <w:b w:val="0"/>
          <w:bCs w:val="0"/>
          <w:noProof w:val="0"/>
          <w:color w:val="000000" w:themeColor="text1" w:themeTint="FF" w:themeShade="FF"/>
          <w:sz w:val="22"/>
          <w:szCs w:val="22"/>
          <w:lang w:val="en-GB"/>
        </w:rPr>
        <w:t xml:space="preserve"> and Cambrian’s digital platforms exemplify how technology supports knowledge mobilisation—transforming data into insights, supporting retention and compliance, and creating the foundation of a responsive, digitally literate learning organisation.</w:t>
      </w:r>
    </w:p>
    <w:p xmlns:wp14="http://schemas.microsoft.com/office/word/2010/wordml" w:rsidP="4E8BE5FC" wp14:paraId="79A753AD" wp14:textId="6B137C36">
      <w:pPr>
        <w:pStyle w:val="Heading1"/>
        <w:keepNext w:val="0"/>
        <w:keepLines w:val="0"/>
        <w:spacing w:before="0" w:beforeAutospacing="off" w:after="0" w:afterAutospacing="off" w:line="360" w:lineRule="auto"/>
        <w:ind w:firstLine="0"/>
        <w:jc w:val="both"/>
        <w:rPr>
          <w:rFonts w:ascii="Calibri" w:hAnsi="Calibri" w:eastAsia="Calibri" w:cs="Calibri"/>
          <w:noProof w:val="0"/>
          <w:color w:val="auto"/>
          <w:sz w:val="32"/>
          <w:szCs w:val="32"/>
          <w:lang w:val="en-GB"/>
        </w:rPr>
      </w:pPr>
      <w:bookmarkStart w:name="_Toc1955388227" w:id="939290432"/>
      <w:r w:rsidRPr="4E8BE5FC" w:rsidR="656A805A">
        <w:rPr>
          <w:rFonts w:ascii="Calibri" w:hAnsi="Calibri" w:eastAsia="Calibri" w:cs="Calibri"/>
          <w:noProof w:val="0"/>
          <w:color w:val="auto"/>
          <w:sz w:val="32"/>
          <w:szCs w:val="32"/>
          <w:lang w:val="en-GB"/>
        </w:rPr>
        <w:t>5. Governance, GDPR and Ethical Knowledge Handling</w:t>
      </w:r>
      <w:bookmarkEnd w:id="939290432"/>
    </w:p>
    <w:p xmlns:wp14="http://schemas.microsoft.com/office/word/2010/wordml" w:rsidP="4E8BE5FC" wp14:paraId="2DCB86CA" wp14:textId="4EB7BBEF">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bookmarkStart w:name="_Toc1438321456" w:id="2095592880"/>
      <w:r w:rsidRPr="4E8BE5FC" w:rsidR="6FFC8C36">
        <w:rPr>
          <w:rFonts w:ascii="Calibri" w:hAnsi="Calibri" w:eastAsia="Calibri" w:cs="Calibri"/>
          <w:noProof w:val="0"/>
          <w:color w:val="auto"/>
          <w:sz w:val="28"/>
          <w:szCs w:val="28"/>
          <w:lang w:val="en-GB"/>
        </w:rPr>
        <w:t xml:space="preserve">5.1 </w:t>
      </w:r>
      <w:r w:rsidRPr="4E8BE5FC" w:rsidR="6FFC8C36">
        <w:rPr>
          <w:rFonts w:ascii="Calibri" w:hAnsi="Calibri" w:eastAsia="Calibri" w:cs="Calibri"/>
          <w:noProof w:val="0"/>
          <w:color w:val="auto"/>
          <w:sz w:val="28"/>
          <w:szCs w:val="28"/>
          <w:lang w:val="en-GB"/>
        </w:rPr>
        <w:t>Knowledge</w:t>
      </w:r>
      <w:r w:rsidRPr="4E8BE5FC" w:rsidR="6FFC8C36">
        <w:rPr>
          <w:rFonts w:ascii="Calibri" w:hAnsi="Calibri" w:eastAsia="Calibri" w:cs="Calibri"/>
          <w:noProof w:val="0"/>
          <w:color w:val="auto"/>
          <w:sz w:val="28"/>
          <w:szCs w:val="28"/>
          <w:lang w:val="en-GB"/>
        </w:rPr>
        <w:t xml:space="preserve"> Governance and Access Control</w:t>
      </w:r>
      <w:bookmarkEnd w:id="2095592880"/>
    </w:p>
    <w:p w:rsidR="75652D61" w:rsidP="4E8BE5FC" w:rsidRDefault="75652D61" w14:paraId="1B04528D" w14:textId="0510B614">
      <w:pPr>
        <w:keepNext w:val="0"/>
        <w:keepLines w:val="0"/>
        <w:spacing w:before="0" w:beforeAutospacing="off" w:after="0" w:afterAutospacing="off" w:line="360" w:lineRule="auto"/>
        <w:ind w:firstLine="0"/>
        <w:jc w:val="both"/>
        <w:rPr>
          <w:rFonts w:ascii="Calibri" w:hAnsi="Calibri" w:eastAsia="Calibri" w:cs="Calibri"/>
          <w:noProof w:val="0"/>
          <w:color w:val="000000" w:themeColor="text1" w:themeTint="FF" w:themeShade="FF"/>
          <w:sz w:val="22"/>
          <w:szCs w:val="22"/>
          <w:lang w:val="en-GB"/>
        </w:rPr>
      </w:pPr>
      <w:r w:rsidRPr="4E8BE5FC" w:rsidR="75652D61">
        <w:rPr>
          <w:rFonts w:ascii="Calibri" w:hAnsi="Calibri" w:eastAsia="Calibri" w:cs="Calibri"/>
          <w:noProof w:val="0"/>
          <w:color w:val="000000" w:themeColor="text1" w:themeTint="FF" w:themeShade="FF"/>
          <w:sz w:val="22"/>
          <w:szCs w:val="22"/>
          <w:lang w:val="en-GB"/>
        </w:rPr>
        <w:t xml:space="preserve">Effective knowledge governance ensures that organisational knowledge is used responsibly, securely and in line with institutional </w:t>
      </w:r>
      <w:r w:rsidRPr="4E8BE5FC" w:rsidR="75652D61">
        <w:rPr>
          <w:rFonts w:ascii="Calibri" w:hAnsi="Calibri" w:eastAsia="Calibri" w:cs="Calibri"/>
          <w:noProof w:val="0"/>
          <w:color w:val="000000" w:themeColor="text1" w:themeTint="FF" w:themeShade="FF"/>
          <w:sz w:val="22"/>
          <w:szCs w:val="22"/>
          <w:lang w:val="en-GB"/>
        </w:rPr>
        <w:t>objectives</w:t>
      </w:r>
      <w:r w:rsidRPr="4E8BE5FC" w:rsidR="75652D61">
        <w:rPr>
          <w:rFonts w:ascii="Calibri" w:hAnsi="Calibri" w:eastAsia="Calibri" w:cs="Calibri"/>
          <w:noProof w:val="0"/>
          <w:color w:val="000000" w:themeColor="text1" w:themeTint="FF" w:themeShade="FF"/>
          <w:sz w:val="22"/>
          <w:szCs w:val="22"/>
          <w:lang w:val="en-GB"/>
        </w:rPr>
        <w:t>. At Cambrian Training, this principle is implemented through clear access controls: only the Training Officer, the learner, the employer, designated data team members, and occasionally the manager (under specific circumstances) can view or handle learner data.</w:t>
      </w:r>
    </w:p>
    <w:p w:rsidR="75652D61" w:rsidP="4E8BE5FC" w:rsidRDefault="75652D61" w14:paraId="2ABC1BB9" w14:textId="44CBB52F">
      <w:pPr>
        <w:pStyle w:val="Normal"/>
        <w:keepNext w:val="0"/>
        <w:keepLines w:val="0"/>
        <w:spacing w:before="0" w:beforeAutospacing="off" w:after="0" w:afterAutospacing="off" w:line="360" w:lineRule="auto"/>
        <w:ind w:firstLine="720"/>
        <w:jc w:val="both"/>
      </w:pPr>
      <w:r w:rsidRPr="4E8BE5FC" w:rsidR="75652D61">
        <w:rPr>
          <w:rFonts w:ascii="Calibri" w:hAnsi="Calibri" w:eastAsia="Calibri" w:cs="Calibri"/>
          <w:noProof w:val="0"/>
          <w:color w:val="000000" w:themeColor="text1" w:themeTint="FF" w:themeShade="FF"/>
          <w:sz w:val="22"/>
          <w:szCs w:val="22"/>
          <w:lang w:val="en-GB"/>
        </w:rPr>
        <w:t xml:space="preserve">Access is tiered and traceable. Google Drive is shared within the company and certain departments have access to certain Drives, except the IT department, which runs the cloud and has access to all information. It tracks who accesses files and when creating accountability. Training Officers use encrypted laptops and password-protected documents to ensure that knowledge is not exposed or misused. </w:t>
      </w:r>
    </w:p>
    <w:p w:rsidR="75652D61" w:rsidP="4E8BE5FC" w:rsidRDefault="75652D61" w14:paraId="0DC7880D" w14:textId="7E053AFE">
      <w:pPr>
        <w:pStyle w:val="Normal"/>
        <w:keepNext w:val="0"/>
        <w:keepLines w:val="0"/>
        <w:spacing w:before="0" w:beforeAutospacing="off" w:after="0" w:afterAutospacing="off" w:line="360" w:lineRule="auto"/>
        <w:ind w:firstLine="720"/>
        <w:jc w:val="both"/>
      </w:pPr>
      <w:r w:rsidRPr="4E8BE5FC" w:rsidR="75652D61">
        <w:rPr>
          <w:rFonts w:ascii="Calibri" w:hAnsi="Calibri" w:eastAsia="Calibri" w:cs="Calibri"/>
          <w:noProof w:val="0"/>
          <w:color w:val="000000" w:themeColor="text1" w:themeTint="FF" w:themeShade="FF"/>
          <w:sz w:val="22"/>
          <w:szCs w:val="22"/>
          <w:lang w:val="en-GB"/>
        </w:rPr>
        <w:t xml:space="preserve">The European Committee for Standardisation (2016) states that “ethical governance ensures that knowledge use aligns not only with legal standards but with institutional values” (p. 10). From the first </w:t>
      </w:r>
      <w:r w:rsidRPr="4E8BE5FC" w:rsidR="75652D61">
        <w:rPr>
          <w:rFonts w:ascii="Calibri" w:hAnsi="Calibri" w:eastAsia="Calibri" w:cs="Calibri"/>
          <w:noProof w:val="0"/>
          <w:color w:val="000000" w:themeColor="text1" w:themeTint="FF" w:themeShade="FF"/>
          <w:sz w:val="22"/>
          <w:szCs w:val="22"/>
          <w:lang w:val="en-GB"/>
        </w:rPr>
        <w:t>initial</w:t>
      </w:r>
      <w:r w:rsidRPr="4E8BE5FC" w:rsidR="75652D61">
        <w:rPr>
          <w:rFonts w:ascii="Calibri" w:hAnsi="Calibri" w:eastAsia="Calibri" w:cs="Calibri"/>
          <w:noProof w:val="0"/>
          <w:color w:val="000000" w:themeColor="text1" w:themeTint="FF" w:themeShade="FF"/>
          <w:sz w:val="22"/>
          <w:szCs w:val="22"/>
          <w:lang w:val="en-GB"/>
        </w:rPr>
        <w:t xml:space="preserve"> visit to the completion of their qualification, learners are assured their data will not be shared without cause and Officers are given the tools to manage it responsibly. </w:t>
      </w:r>
    </w:p>
    <w:p w:rsidR="75652D61" w:rsidP="4E8BE5FC" w:rsidRDefault="75652D61" w14:paraId="27EC488A" w14:textId="2798DD80">
      <w:pPr>
        <w:pStyle w:val="Normal"/>
        <w:keepNext w:val="0"/>
        <w:keepLines w:val="0"/>
        <w:spacing w:before="0" w:beforeAutospacing="off" w:after="0" w:afterAutospacing="off" w:line="360" w:lineRule="auto"/>
        <w:ind w:firstLine="720"/>
        <w:jc w:val="both"/>
      </w:pPr>
      <w:r w:rsidRPr="4E8BE5FC" w:rsidR="75652D61">
        <w:rPr>
          <w:rFonts w:ascii="Calibri" w:hAnsi="Calibri" w:eastAsia="Calibri" w:cs="Calibri"/>
          <w:noProof w:val="0"/>
          <w:color w:val="000000" w:themeColor="text1" w:themeTint="FF" w:themeShade="FF"/>
          <w:sz w:val="22"/>
          <w:szCs w:val="22"/>
          <w:lang w:val="en-GB"/>
        </w:rPr>
        <w:t xml:space="preserve">In practice, governance also includes training. Cambrian staff complete annual refreshers on data handling and policy changes, as well as ISMS training courses to keep up to date with the current ways in which data can be breached.  </w:t>
      </w:r>
    </w:p>
    <w:p xmlns:wp14="http://schemas.microsoft.com/office/word/2010/wordml" w:rsidP="4E8BE5FC" wp14:paraId="69463A44" wp14:textId="4BAECE4B">
      <w:pPr>
        <w:pStyle w:val="Normal"/>
        <w:keepNext w:val="0"/>
        <w:keepLines w:val="0"/>
        <w:spacing w:before="0" w:beforeAutospacing="off" w:after="0" w:afterAutospacing="off" w:line="360" w:lineRule="auto"/>
        <w:ind w:firstLine="720"/>
        <w:jc w:val="both"/>
        <w:rPr>
          <w:noProof w:val="0"/>
          <w:lang w:val="en-GB"/>
        </w:rPr>
      </w:pPr>
    </w:p>
    <w:p xmlns:wp14="http://schemas.microsoft.com/office/word/2010/wordml" w:rsidP="4E8BE5FC" wp14:paraId="4CBA6D84" wp14:textId="4AA32EF3">
      <w:pPr>
        <w:pStyle w:val="Heading2"/>
        <w:keepNext w:val="0"/>
        <w:keepLines w:val="0"/>
        <w:spacing w:before="0" w:beforeAutospacing="off" w:after="0" w:afterAutospacing="off" w:line="360" w:lineRule="auto"/>
        <w:ind w:firstLine="0"/>
        <w:jc w:val="both"/>
        <w:rPr>
          <w:rFonts w:ascii="Calibri" w:hAnsi="Calibri" w:eastAsia="Calibri" w:cs="Calibri"/>
          <w:noProof w:val="0"/>
          <w:color w:val="auto"/>
          <w:sz w:val="28"/>
          <w:szCs w:val="28"/>
          <w:lang w:val="en-GB"/>
        </w:rPr>
      </w:pPr>
      <w:bookmarkStart w:name="_Toc1072141559" w:id="774564526"/>
      <w:r w:rsidRPr="4E8BE5FC" w:rsidR="6FFC8C36">
        <w:rPr>
          <w:rFonts w:ascii="Calibri" w:hAnsi="Calibri" w:eastAsia="Calibri" w:cs="Calibri"/>
          <w:noProof w:val="0"/>
          <w:color w:val="auto"/>
          <w:sz w:val="28"/>
          <w:szCs w:val="28"/>
          <w:lang w:val="en-GB"/>
        </w:rPr>
        <w:t>5.2 Ethical and Legan Compliance (GDPR)</w:t>
      </w:r>
      <w:bookmarkEnd w:id="774564526"/>
    </w:p>
    <w:p w:rsidR="0EE9D3E4" w:rsidP="4E8BE5FC" w:rsidRDefault="0EE9D3E4" w14:paraId="4AB96501" w14:textId="40F71C45">
      <w:pPr>
        <w:keepNext w:val="0"/>
        <w:keepLines w:val="0"/>
        <w:spacing w:before="0" w:beforeAutospacing="off" w:after="0" w:afterAutospacing="off" w:line="360" w:lineRule="auto"/>
        <w:ind w:firstLine="0"/>
        <w:jc w:val="both"/>
        <w:rPr>
          <w:rFonts w:ascii="Calibri" w:hAnsi="Calibri" w:eastAsia="Calibri" w:cs="Calibri"/>
          <w:noProof w:val="0"/>
          <w:color w:val="000000" w:themeColor="text1" w:themeTint="FF" w:themeShade="FF"/>
          <w:sz w:val="22"/>
          <w:szCs w:val="22"/>
          <w:lang w:val="en-GB"/>
        </w:rPr>
      </w:pPr>
      <w:r w:rsidRPr="4E8BE5FC" w:rsidR="0EE9D3E4">
        <w:rPr>
          <w:rFonts w:ascii="Calibri" w:hAnsi="Calibri" w:eastAsia="Calibri" w:cs="Calibri"/>
          <w:noProof w:val="0"/>
          <w:color w:val="000000" w:themeColor="text1" w:themeTint="FF" w:themeShade="FF"/>
          <w:sz w:val="22"/>
          <w:szCs w:val="22"/>
          <w:lang w:val="en-GB"/>
        </w:rPr>
        <w:t xml:space="preserve">Alongside internal policies, Cambrian must </w:t>
      </w:r>
      <w:r w:rsidRPr="4E8BE5FC" w:rsidR="0EE9D3E4">
        <w:rPr>
          <w:rFonts w:ascii="Calibri" w:hAnsi="Calibri" w:eastAsia="Calibri" w:cs="Calibri"/>
          <w:noProof w:val="0"/>
          <w:color w:val="000000" w:themeColor="text1" w:themeTint="FF" w:themeShade="FF"/>
          <w:sz w:val="22"/>
          <w:szCs w:val="22"/>
          <w:lang w:val="en-GB"/>
        </w:rPr>
        <w:t>comply with</w:t>
      </w:r>
      <w:r w:rsidRPr="4E8BE5FC" w:rsidR="0EE9D3E4">
        <w:rPr>
          <w:rFonts w:ascii="Calibri" w:hAnsi="Calibri" w:eastAsia="Calibri" w:cs="Calibri"/>
          <w:noProof w:val="0"/>
          <w:color w:val="000000" w:themeColor="text1" w:themeTint="FF" w:themeShade="FF"/>
          <w:sz w:val="22"/>
          <w:szCs w:val="22"/>
          <w:lang w:val="en-GB"/>
        </w:rPr>
        <w:t xml:space="preserve"> the General Data Protection Regulation (GDPR), which governs how personal data is collected, processed, and stored. Core GDPR principles—data minimisation, purpose limitation, and lawful processing—are embedded in the Training Officer’s practice. </w:t>
      </w:r>
    </w:p>
    <w:p w:rsidR="0EE9D3E4" w:rsidP="4E8BE5FC" w:rsidRDefault="0EE9D3E4" w14:paraId="33A6F05E" w14:textId="7FF4FD23">
      <w:pPr>
        <w:pStyle w:val="Normal"/>
        <w:keepNext w:val="0"/>
        <w:keepLines w:val="0"/>
        <w:spacing w:before="0" w:beforeAutospacing="off" w:after="0" w:afterAutospacing="off" w:line="360" w:lineRule="auto"/>
        <w:ind w:firstLine="720"/>
        <w:jc w:val="both"/>
      </w:pPr>
      <w:r w:rsidRPr="4E8BE5FC" w:rsidR="0EE9D3E4">
        <w:rPr>
          <w:rFonts w:ascii="Calibri" w:hAnsi="Calibri" w:eastAsia="Calibri" w:cs="Calibri"/>
          <w:noProof w:val="0"/>
          <w:color w:val="000000" w:themeColor="text1" w:themeTint="FF" w:themeShade="FF"/>
          <w:sz w:val="22"/>
          <w:szCs w:val="22"/>
          <w:lang w:val="en-GB"/>
        </w:rPr>
        <w:t xml:space="preserve">For example, only essential learner data (e.g. NI number, contact information, qualification level) is collected during induction. It is shared only with those directly involved in delivery and assessment, as well as the data compliance team. Consent is obtained and learners are informed about their data rights under GDPR. </w:t>
      </w:r>
    </w:p>
    <w:p w:rsidR="0EE9D3E4" w:rsidP="4E8BE5FC" w:rsidRDefault="0EE9D3E4" w14:paraId="68E0BCB5" w14:textId="436DD8D2">
      <w:pPr>
        <w:pStyle w:val="Normal"/>
        <w:keepNext w:val="0"/>
        <w:keepLines w:val="0"/>
        <w:spacing w:before="0" w:beforeAutospacing="off" w:after="0" w:afterAutospacing="off" w:line="360" w:lineRule="auto"/>
        <w:ind w:firstLine="720"/>
        <w:jc w:val="both"/>
      </w:pPr>
      <w:r w:rsidRPr="4E8BE5FC" w:rsidR="0EE9D3E4">
        <w:rPr>
          <w:rFonts w:ascii="Calibri" w:hAnsi="Calibri" w:eastAsia="Calibri" w:cs="Calibri"/>
          <w:noProof w:val="0"/>
          <w:color w:val="000000" w:themeColor="text1" w:themeTint="FF" w:themeShade="FF"/>
          <w:sz w:val="22"/>
          <w:szCs w:val="22"/>
          <w:lang w:val="en-GB"/>
        </w:rPr>
        <w:t xml:space="preserve">The UK’s Information Commissioner’s Office (ICO) (2018) stresses that “data protection by design and by default is not just a legal requirement under GDPR—it is a moral obligation” (p. 5). Cambrian Training reflects this by implementing default encryption, file retention policies, and data breach protocols. </w:t>
      </w:r>
      <w:r w:rsidRPr="4E8BE5FC" w:rsidR="0EE9D3E4">
        <w:rPr>
          <w:rFonts w:ascii="Calibri" w:hAnsi="Calibri" w:eastAsia="Calibri" w:cs="Calibri"/>
          <w:noProof w:val="0"/>
          <w:color w:val="000000" w:themeColor="text1" w:themeTint="FF" w:themeShade="FF"/>
          <w:sz w:val="22"/>
          <w:szCs w:val="22"/>
          <w:lang w:val="en-GB"/>
        </w:rPr>
        <w:t>Training Officers are supported with clear protocols, who to report breaches to, how to anonymise learner data in reporting and how to securely dispose of records once learners complete. These practices ensure both legal compliance and ethical responsibility.</w:t>
      </w:r>
    </w:p>
    <w:p w:rsidR="4E8BE5FC" w:rsidP="4E8BE5FC" w:rsidRDefault="4E8BE5FC" w14:paraId="4F3D4620" w14:textId="3AAE6433">
      <w:pPr>
        <w:keepNext w:val="0"/>
        <w:keepLines w:val="0"/>
        <w:spacing w:before="0" w:beforeAutospacing="off" w:after="0" w:afterAutospacing="off" w:line="360" w:lineRule="auto"/>
        <w:ind w:firstLine="720"/>
        <w:jc w:val="both"/>
        <w:rPr>
          <w:rFonts w:ascii="Calibri" w:hAnsi="Calibri" w:eastAsia="Calibri" w:cs="Calibri"/>
          <w:noProof w:val="0"/>
          <w:color w:val="000000" w:themeColor="text1" w:themeTint="FF" w:themeShade="FF"/>
          <w:sz w:val="22"/>
          <w:szCs w:val="22"/>
          <w:lang w:val="en-GB"/>
        </w:rPr>
      </w:pPr>
    </w:p>
    <w:p xmlns:wp14="http://schemas.microsoft.com/office/word/2010/wordml" w:rsidP="4E8BE5FC" wp14:paraId="6E337871" wp14:textId="559CE506">
      <w:pPr>
        <w:pStyle w:val="Heading1"/>
        <w:keepNext w:val="0"/>
        <w:keepLines w:val="0"/>
        <w:spacing w:before="0" w:beforeAutospacing="off" w:after="0" w:afterAutospacing="off" w:line="360" w:lineRule="auto"/>
        <w:ind w:firstLine="0"/>
        <w:jc w:val="both"/>
        <w:rPr>
          <w:rFonts w:ascii="Calibri" w:hAnsi="Calibri" w:eastAsia="Calibri" w:cs="Calibri"/>
          <w:noProof w:val="0"/>
          <w:color w:val="auto"/>
          <w:sz w:val="32"/>
          <w:szCs w:val="32"/>
          <w:lang w:val="en-GB"/>
        </w:rPr>
      </w:pPr>
      <w:bookmarkStart w:name="_Toc1901417712" w:id="2012536505"/>
      <w:r w:rsidRPr="4E8BE5FC" w:rsidR="77474734">
        <w:rPr>
          <w:rFonts w:ascii="Calibri" w:hAnsi="Calibri" w:eastAsia="Calibri" w:cs="Calibri"/>
          <w:noProof w:val="0"/>
          <w:color w:val="auto"/>
          <w:sz w:val="32"/>
          <w:szCs w:val="32"/>
          <w:lang w:val="en-GB"/>
        </w:rPr>
        <w:t>6. Conclusion</w:t>
      </w:r>
      <w:bookmarkEnd w:id="2012536505"/>
    </w:p>
    <w:p w:rsidR="76F9021E" w:rsidP="4E8BE5FC" w:rsidRDefault="76F9021E" w14:paraId="789B0893" w14:textId="753D10F5">
      <w:pPr>
        <w:pStyle w:val="Normal"/>
        <w:keepNext w:val="0"/>
        <w:keepLines w:val="0"/>
        <w:spacing w:before="0" w:beforeAutospacing="off" w:after="0" w:afterAutospacing="off" w:line="360" w:lineRule="auto"/>
        <w:ind w:firstLine="0"/>
        <w:jc w:val="both"/>
        <w:rPr>
          <w:rFonts w:ascii="Calibri" w:hAnsi="Calibri" w:eastAsia="Calibri" w:cs="Calibri"/>
          <w:noProof w:val="0"/>
          <w:sz w:val="22"/>
          <w:szCs w:val="22"/>
          <w:lang w:val="en-GB"/>
        </w:rPr>
      </w:pPr>
      <w:r w:rsidRPr="4E8BE5FC" w:rsidR="76F9021E">
        <w:rPr>
          <w:rFonts w:ascii="Calibri" w:hAnsi="Calibri" w:eastAsia="Calibri" w:cs="Calibri"/>
          <w:noProof w:val="0"/>
          <w:sz w:val="22"/>
          <w:szCs w:val="22"/>
          <w:lang w:val="en-GB"/>
        </w:rPr>
        <w:t xml:space="preserve">To support strategic knowledge application in Cambrian Training’s Hospitality Department, a set of clearly defined Key Performance Indicators (KPIs) is recommended. These indicators are designed to measure critical aspects of performance, including learner engagement, </w:t>
      </w:r>
      <w:r w:rsidRPr="4E8BE5FC" w:rsidR="76F9021E">
        <w:rPr>
          <w:rFonts w:ascii="Calibri" w:hAnsi="Calibri" w:eastAsia="Calibri" w:cs="Calibri"/>
          <w:noProof w:val="0"/>
          <w:sz w:val="22"/>
          <w:szCs w:val="22"/>
          <w:lang w:val="en-GB"/>
        </w:rPr>
        <w:t>timely</w:t>
      </w:r>
      <w:r w:rsidRPr="4E8BE5FC" w:rsidR="76F9021E">
        <w:rPr>
          <w:rFonts w:ascii="Calibri" w:hAnsi="Calibri" w:eastAsia="Calibri" w:cs="Calibri"/>
          <w:noProof w:val="0"/>
          <w:sz w:val="22"/>
          <w:szCs w:val="22"/>
          <w:lang w:val="en-GB"/>
        </w:rPr>
        <w:t xml:space="preserve"> induction, and completion efficiency. Currently, it stands at 36 learners per Training Officer, four inductions per month, learners seen within 61 days and </w:t>
      </w:r>
      <w:r w:rsidRPr="4E8BE5FC" w:rsidR="76F9021E">
        <w:rPr>
          <w:rFonts w:ascii="Calibri" w:hAnsi="Calibri" w:eastAsia="Calibri" w:cs="Calibri"/>
          <w:noProof w:val="0"/>
          <w:sz w:val="22"/>
          <w:szCs w:val="22"/>
          <w:lang w:val="en-GB"/>
        </w:rPr>
        <w:t>timely</w:t>
      </w:r>
      <w:r w:rsidRPr="4E8BE5FC" w:rsidR="76F9021E">
        <w:rPr>
          <w:rFonts w:ascii="Calibri" w:hAnsi="Calibri" w:eastAsia="Calibri" w:cs="Calibri"/>
          <w:noProof w:val="0"/>
          <w:sz w:val="22"/>
          <w:szCs w:val="22"/>
          <w:lang w:val="en-GB"/>
        </w:rPr>
        <w:t xml:space="preserve"> completions of learners. These new set of KPIs will be a contingency for if a member of staff resigns from their role. Grounded in Kaplan and Norton’s Balanced Scorecard (1996) and guided by Drucker’s (1994) the proposed KPIs offer a structured framework for aligning operational actions with broader organisational goals in extreme circumstances. </w:t>
      </w:r>
    </w:p>
    <w:p w:rsidR="76F9021E" w:rsidP="4E8BE5FC" w:rsidRDefault="76F9021E" w14:paraId="0989A989" w14:textId="4620BFF3">
      <w:pPr>
        <w:pStyle w:val="Normal"/>
        <w:keepNext w:val="0"/>
        <w:keepLines w:val="0"/>
        <w:spacing w:before="0" w:beforeAutospacing="off" w:after="0" w:afterAutospacing="off" w:line="360" w:lineRule="auto"/>
        <w:ind w:firstLine="0"/>
        <w:jc w:val="both"/>
      </w:pPr>
      <w:r w:rsidRPr="4E8BE5FC" w:rsidR="76F9021E">
        <w:rPr>
          <w:rFonts w:ascii="Calibri" w:hAnsi="Calibri" w:eastAsia="Calibri" w:cs="Calibri"/>
          <w:noProof w:val="0"/>
          <w:sz w:val="22"/>
          <w:szCs w:val="22"/>
          <w:lang w:val="en-GB"/>
        </w:rPr>
        <w:t xml:space="preserve">Suggested KPIs include: </w:t>
      </w:r>
    </w:p>
    <w:p w:rsidR="76F9021E" w:rsidP="4E8BE5FC" w:rsidRDefault="76F9021E" w14:paraId="3727D911" w14:textId="1FD50EE9">
      <w:pPr>
        <w:pStyle w:val="ListParagraph"/>
        <w:keepNext w:val="0"/>
        <w:keepLines w:val="0"/>
        <w:numPr>
          <w:ilvl w:val="0"/>
          <w:numId w:val="10"/>
        </w:numPr>
        <w:spacing w:before="0" w:beforeAutospacing="off" w:after="0" w:afterAutospacing="off" w:line="360" w:lineRule="auto"/>
        <w:ind w:left="-1008" w:firstLine="720"/>
        <w:jc w:val="both"/>
        <w:rPr>
          <w:rFonts w:ascii="Calibri" w:hAnsi="Calibri" w:eastAsia="Calibri" w:cs="Calibri"/>
          <w:noProof w:val="0"/>
          <w:sz w:val="24"/>
          <w:szCs w:val="24"/>
          <w:lang w:val="en-GB"/>
        </w:rPr>
      </w:pPr>
      <w:r w:rsidRPr="4E8BE5FC" w:rsidR="76F9021E">
        <w:rPr>
          <w:rFonts w:ascii="Calibri" w:hAnsi="Calibri" w:eastAsia="Calibri" w:cs="Calibri"/>
          <w:noProof w:val="0"/>
          <w:sz w:val="22"/>
          <w:szCs w:val="22"/>
          <w:lang w:val="en-GB"/>
        </w:rPr>
        <w:t>Maintaining</w:t>
      </w:r>
      <w:r w:rsidRPr="4E8BE5FC" w:rsidR="76F9021E">
        <w:rPr>
          <w:rFonts w:ascii="Calibri" w:hAnsi="Calibri" w:eastAsia="Calibri" w:cs="Calibri"/>
          <w:noProof w:val="0"/>
          <w:sz w:val="22"/>
          <w:szCs w:val="22"/>
          <w:lang w:val="en-GB"/>
        </w:rPr>
        <w:t xml:space="preserve"> a minimum caseload of 42 learners per Training Officer </w:t>
      </w:r>
    </w:p>
    <w:p w:rsidR="76F9021E" w:rsidP="4E8BE5FC" w:rsidRDefault="76F9021E" w14:paraId="3D991C94" w14:textId="3D1FC0DF">
      <w:pPr>
        <w:pStyle w:val="ListParagraph"/>
        <w:keepNext w:val="0"/>
        <w:keepLines w:val="0"/>
        <w:numPr>
          <w:ilvl w:val="0"/>
          <w:numId w:val="10"/>
        </w:numPr>
        <w:spacing w:before="0" w:beforeAutospacing="off" w:after="0" w:afterAutospacing="off" w:line="360" w:lineRule="auto"/>
        <w:ind w:left="-1008" w:firstLine="720"/>
        <w:jc w:val="both"/>
        <w:rPr>
          <w:rFonts w:ascii="Calibri" w:hAnsi="Calibri" w:eastAsia="Calibri" w:cs="Calibri"/>
          <w:noProof w:val="0"/>
          <w:sz w:val="24"/>
          <w:szCs w:val="24"/>
          <w:lang w:val="en-GB"/>
        </w:rPr>
      </w:pPr>
      <w:r w:rsidRPr="4E8BE5FC" w:rsidR="76F9021E">
        <w:rPr>
          <w:rFonts w:ascii="Calibri" w:hAnsi="Calibri" w:eastAsia="Calibri" w:cs="Calibri"/>
          <w:noProof w:val="0"/>
          <w:sz w:val="22"/>
          <w:szCs w:val="22"/>
          <w:lang w:val="en-GB"/>
        </w:rPr>
        <w:t xml:space="preserve">Completing at least four learner inductions per month, per Training Officer </w:t>
      </w:r>
    </w:p>
    <w:p w:rsidR="76F9021E" w:rsidP="4E8BE5FC" w:rsidRDefault="76F9021E" w14:paraId="15433EF7" w14:textId="277EA371">
      <w:pPr>
        <w:pStyle w:val="ListParagraph"/>
        <w:keepNext w:val="0"/>
        <w:keepLines w:val="0"/>
        <w:numPr>
          <w:ilvl w:val="0"/>
          <w:numId w:val="10"/>
        </w:numPr>
        <w:spacing w:before="0" w:beforeAutospacing="off" w:after="0" w:afterAutospacing="off" w:line="360" w:lineRule="auto"/>
        <w:ind w:left="-1008" w:firstLine="720"/>
        <w:jc w:val="both"/>
        <w:rPr>
          <w:rFonts w:ascii="Calibri" w:hAnsi="Calibri" w:eastAsia="Calibri" w:cs="Calibri"/>
          <w:noProof w:val="0"/>
          <w:sz w:val="24"/>
          <w:szCs w:val="24"/>
          <w:lang w:val="en-GB"/>
        </w:rPr>
      </w:pPr>
      <w:r w:rsidRPr="4E8BE5FC" w:rsidR="76F9021E">
        <w:rPr>
          <w:rFonts w:ascii="Calibri" w:hAnsi="Calibri" w:eastAsia="Calibri" w:cs="Calibri"/>
          <w:noProof w:val="0"/>
          <w:sz w:val="22"/>
          <w:szCs w:val="22"/>
          <w:lang w:val="en-GB"/>
        </w:rPr>
        <w:t xml:space="preserve">Ensuring all learners are contacted and seen within 64 days of enrolment </w:t>
      </w:r>
    </w:p>
    <w:p w:rsidR="76F9021E" w:rsidP="4E8BE5FC" w:rsidRDefault="76F9021E" w14:paraId="03D127EA" w14:textId="39DE294B">
      <w:pPr>
        <w:pStyle w:val="ListParagraph"/>
        <w:keepNext w:val="0"/>
        <w:keepLines w:val="0"/>
        <w:numPr>
          <w:ilvl w:val="0"/>
          <w:numId w:val="10"/>
        </w:numPr>
        <w:spacing w:before="0" w:beforeAutospacing="off" w:after="0" w:afterAutospacing="off" w:line="360" w:lineRule="auto"/>
        <w:ind w:left="-1008" w:firstLine="720"/>
        <w:jc w:val="both"/>
        <w:rPr>
          <w:rFonts w:ascii="Calibri" w:hAnsi="Calibri" w:eastAsia="Calibri" w:cs="Calibri"/>
          <w:noProof w:val="0"/>
          <w:sz w:val="24"/>
          <w:szCs w:val="24"/>
          <w:lang w:val="en-GB"/>
        </w:rPr>
      </w:pPr>
      <w:r w:rsidRPr="4E8BE5FC" w:rsidR="76F9021E">
        <w:rPr>
          <w:rFonts w:ascii="Calibri" w:hAnsi="Calibri" w:eastAsia="Calibri" w:cs="Calibri"/>
          <w:noProof w:val="0"/>
          <w:sz w:val="22"/>
          <w:szCs w:val="22"/>
          <w:lang w:val="en-GB"/>
        </w:rPr>
        <w:t xml:space="preserve">If learners exceed the expected end date, during contingency, mitigations will be put in place but with targets set by both the Training Officer and manager. </w:t>
      </w:r>
    </w:p>
    <w:p w:rsidR="76F9021E" w:rsidP="4E8BE5FC" w:rsidRDefault="76F9021E" w14:paraId="5F89C7A0" w14:textId="6982FB1B">
      <w:pPr>
        <w:pStyle w:val="Normal"/>
        <w:keepNext w:val="0"/>
        <w:keepLines w:val="0"/>
        <w:spacing w:before="0" w:beforeAutospacing="off" w:after="0" w:afterAutospacing="off" w:line="360" w:lineRule="auto"/>
        <w:ind w:firstLine="720"/>
        <w:jc w:val="both"/>
      </w:pPr>
      <w:r w:rsidRPr="4E8BE5FC" w:rsidR="76F9021E">
        <w:rPr>
          <w:rFonts w:ascii="Calibri" w:hAnsi="Calibri" w:eastAsia="Calibri" w:cs="Calibri"/>
          <w:noProof w:val="0"/>
          <w:sz w:val="22"/>
          <w:szCs w:val="22"/>
          <w:lang w:val="en-GB"/>
        </w:rPr>
        <w:t xml:space="preserve">These metrics act not only as performance benchmarks but also as knowledge signals, prompting action when targets are missed and enabling staff to apply judgment and collaboration to address emerging issues. By implementing these KPIs, Cambrian Training can enhance accountability, reinforce </w:t>
      </w:r>
      <w:r w:rsidRPr="4E8BE5FC" w:rsidR="76F9021E">
        <w:rPr>
          <w:rFonts w:ascii="Calibri" w:hAnsi="Calibri" w:eastAsia="Calibri" w:cs="Calibri"/>
          <w:noProof w:val="0"/>
          <w:sz w:val="22"/>
          <w:szCs w:val="22"/>
          <w:lang w:val="en-GB"/>
        </w:rPr>
        <w:t>compliance</w:t>
      </w:r>
      <w:r w:rsidRPr="4E8BE5FC" w:rsidR="76F9021E">
        <w:rPr>
          <w:rFonts w:ascii="Calibri" w:hAnsi="Calibri" w:eastAsia="Calibri" w:cs="Calibri"/>
          <w:noProof w:val="0"/>
          <w:sz w:val="22"/>
          <w:szCs w:val="22"/>
          <w:lang w:val="en-GB"/>
        </w:rPr>
        <w:t xml:space="preserve"> and foster a knowledge-driven culture rooted in continuous improvement and decision-making.</w:t>
      </w:r>
    </w:p>
    <w:p w:rsidR="4E8BE5FC" w:rsidP="4E8BE5FC" w:rsidRDefault="4E8BE5FC" w14:paraId="47434AB3" w14:textId="5AF0330D">
      <w:pPr>
        <w:pStyle w:val="Normal"/>
        <w:keepNext w:val="0"/>
        <w:keepLines w:val="0"/>
        <w:spacing w:before="0" w:beforeAutospacing="off" w:after="0" w:afterAutospacing="off" w:line="360" w:lineRule="auto"/>
        <w:ind w:firstLine="720"/>
        <w:jc w:val="both"/>
        <w:rPr>
          <w:rFonts w:ascii="Calibri" w:hAnsi="Calibri" w:eastAsia="Calibri" w:cs="Calibri"/>
          <w:noProof w:val="0"/>
          <w:sz w:val="22"/>
          <w:szCs w:val="22"/>
          <w:lang w:val="en-GB"/>
        </w:rPr>
      </w:pPr>
    </w:p>
    <w:p xmlns:wp14="http://schemas.microsoft.com/office/word/2010/wordml" w:rsidP="4E8BE5FC" wp14:paraId="039769C7" wp14:textId="2157BF57">
      <w:pPr>
        <w:pStyle w:val="Heading1"/>
        <w:keepNext w:val="1"/>
        <w:keepLines w:val="1"/>
        <w:spacing w:before="0" w:beforeAutospacing="off" w:after="0"/>
        <w:rPr>
          <w:rFonts w:ascii="Calibri" w:hAnsi="Calibri" w:eastAsia="Calibri" w:cs="Calibri"/>
          <w:noProof w:val="0"/>
          <w:color w:val="auto"/>
          <w:sz w:val="32"/>
          <w:szCs w:val="32"/>
          <w:lang w:val="en-GB"/>
        </w:rPr>
      </w:pPr>
      <w:bookmarkStart w:name="_Toc243503177" w:id="2049786553"/>
      <w:r w:rsidRPr="4E8BE5FC" w:rsidR="77474734">
        <w:rPr>
          <w:rFonts w:ascii="Calibri" w:hAnsi="Calibri" w:eastAsia="Calibri" w:cs="Calibri"/>
          <w:noProof w:val="0"/>
          <w:color w:val="auto"/>
          <w:sz w:val="32"/>
          <w:szCs w:val="32"/>
          <w:lang w:val="en-GB"/>
        </w:rPr>
        <w:t>7</w:t>
      </w:r>
      <w:r w:rsidRPr="4E8BE5FC" w:rsidR="59DD83D0">
        <w:rPr>
          <w:rFonts w:ascii="Calibri" w:hAnsi="Calibri" w:eastAsia="Calibri" w:cs="Calibri"/>
          <w:noProof w:val="0"/>
          <w:color w:val="auto"/>
          <w:sz w:val="32"/>
          <w:szCs w:val="32"/>
          <w:lang w:val="en-GB"/>
        </w:rPr>
        <w:t xml:space="preserve">. </w:t>
      </w:r>
      <w:r w:rsidRPr="4E8BE5FC" w:rsidR="796C2DF1">
        <w:rPr>
          <w:rFonts w:ascii="Calibri" w:hAnsi="Calibri" w:eastAsia="Calibri" w:cs="Calibri"/>
          <w:noProof w:val="0"/>
          <w:color w:val="auto"/>
          <w:sz w:val="32"/>
          <w:szCs w:val="32"/>
          <w:lang w:val="en-GB"/>
        </w:rPr>
        <w:t>refences</w:t>
      </w:r>
      <w:bookmarkEnd w:id="2049786553"/>
    </w:p>
    <w:p xmlns:wp14="http://schemas.microsoft.com/office/word/2010/wordml" w:rsidP="4E8BE5FC" wp14:paraId="5DD8F8D7" wp14:textId="398700B1">
      <w:pPr>
        <w:pStyle w:val="ListParagraph"/>
        <w:numPr>
          <w:ilvl w:val="0"/>
          <w:numId w:val="8"/>
        </w:numPr>
        <w:spacing w:before="0" w:beforeAutospacing="off" w:after="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Abdullah, N. L., Eri, Z., &amp; Talib, N. A. (2011). A conceptual model of knowledge as a service (</w:t>
      </w:r>
      <w:r w:rsidRPr="4E8BE5FC" w:rsidR="3D0D56D6">
        <w:rPr>
          <w:rFonts w:ascii="Calibri" w:hAnsi="Calibri" w:eastAsia="Calibri" w:cs="Calibri"/>
          <w:noProof w:val="0"/>
          <w:color w:val="000000" w:themeColor="text1" w:themeTint="FF" w:themeShade="FF"/>
          <w:sz w:val="22"/>
          <w:szCs w:val="22"/>
          <w:lang w:val="en-US"/>
        </w:rPr>
        <w:t>KaaS</w:t>
      </w:r>
      <w:r w:rsidRPr="4E8BE5FC" w:rsidR="3D0D56D6">
        <w:rPr>
          <w:rFonts w:ascii="Calibri" w:hAnsi="Calibri" w:eastAsia="Calibri" w:cs="Calibri"/>
          <w:noProof w:val="0"/>
          <w:color w:val="000000" w:themeColor="text1" w:themeTint="FF" w:themeShade="FF"/>
          <w:sz w:val="22"/>
          <w:szCs w:val="22"/>
          <w:lang w:val="en-US"/>
        </w:rPr>
        <w:t xml:space="preserve">). </w:t>
      </w:r>
      <w:r w:rsidRPr="4E8BE5FC" w:rsidR="3D0D56D6">
        <w:rPr>
          <w:rFonts w:ascii="Calibri" w:hAnsi="Calibri" w:eastAsia="Calibri" w:cs="Calibri"/>
          <w:i w:val="1"/>
          <w:iCs w:val="1"/>
          <w:noProof w:val="0"/>
          <w:color w:val="000000" w:themeColor="text1" w:themeTint="FF" w:themeShade="FF"/>
          <w:sz w:val="22"/>
          <w:szCs w:val="22"/>
          <w:lang w:val="en-US"/>
        </w:rPr>
        <w:t>International Journal of Computer Science and Telecommunications, 2</w:t>
      </w:r>
      <w:r w:rsidRPr="4E8BE5FC" w:rsidR="3D0D56D6">
        <w:rPr>
          <w:rFonts w:ascii="Calibri" w:hAnsi="Calibri" w:eastAsia="Calibri" w:cs="Calibri"/>
          <w:noProof w:val="0"/>
          <w:color w:val="000000" w:themeColor="text1" w:themeTint="FF" w:themeShade="FF"/>
          <w:sz w:val="22"/>
          <w:szCs w:val="22"/>
          <w:lang w:val="en-US"/>
        </w:rPr>
        <w:t>(4), 88–93.</w:t>
      </w:r>
    </w:p>
    <w:p xmlns:wp14="http://schemas.microsoft.com/office/word/2010/wordml" w:rsidP="4E8BE5FC" wp14:paraId="5EFFA193" wp14:textId="5B1A43FA">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Alavi, M., &amp; Leidner, D. E. (2001). Review: Knowledge management and knowledge management systems: Conceptual foundations and research issues. </w:t>
      </w:r>
      <w:r w:rsidRPr="4E8BE5FC" w:rsidR="3D0D56D6">
        <w:rPr>
          <w:rFonts w:ascii="Calibri" w:hAnsi="Calibri" w:eastAsia="Calibri" w:cs="Calibri"/>
          <w:i w:val="1"/>
          <w:iCs w:val="1"/>
          <w:noProof w:val="0"/>
          <w:color w:val="000000" w:themeColor="text1" w:themeTint="FF" w:themeShade="FF"/>
          <w:sz w:val="22"/>
          <w:szCs w:val="22"/>
          <w:lang w:val="en-US"/>
        </w:rPr>
        <w:t>MIS Quarterly, 25</w:t>
      </w:r>
      <w:r w:rsidRPr="4E8BE5FC" w:rsidR="3D0D56D6">
        <w:rPr>
          <w:rFonts w:ascii="Calibri" w:hAnsi="Calibri" w:eastAsia="Calibri" w:cs="Calibri"/>
          <w:noProof w:val="0"/>
          <w:color w:val="000000" w:themeColor="text1" w:themeTint="FF" w:themeShade="FF"/>
          <w:sz w:val="22"/>
          <w:szCs w:val="22"/>
          <w:lang w:val="en-US"/>
        </w:rPr>
        <w:t xml:space="preserve">(1), 107–136. </w:t>
      </w:r>
      <w:hyperlink r:id="R92bccd598ca94a17">
        <w:r w:rsidRPr="4E8BE5FC" w:rsidR="3D0D56D6">
          <w:rPr>
            <w:rStyle w:val="Hyperlink"/>
            <w:rFonts w:ascii="Calibri" w:hAnsi="Calibri" w:eastAsia="Calibri" w:cs="Calibri"/>
            <w:noProof w:val="0"/>
            <w:sz w:val="22"/>
            <w:szCs w:val="22"/>
            <w:lang w:val="en-US"/>
          </w:rPr>
          <w:t>https://doi.org/10.2307/3250961</w:t>
        </w:r>
      </w:hyperlink>
    </w:p>
    <w:p xmlns:wp14="http://schemas.microsoft.com/office/word/2010/wordml" w:rsidP="4E8BE5FC" wp14:paraId="1C8782D2" wp14:textId="24C17579">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Barney, J. B. (1991). Firm resources and sustained competitive advantage. </w:t>
      </w:r>
      <w:r w:rsidRPr="4E8BE5FC" w:rsidR="3D0D56D6">
        <w:rPr>
          <w:rFonts w:ascii="Calibri" w:hAnsi="Calibri" w:eastAsia="Calibri" w:cs="Calibri"/>
          <w:i w:val="1"/>
          <w:iCs w:val="1"/>
          <w:noProof w:val="0"/>
          <w:color w:val="000000" w:themeColor="text1" w:themeTint="FF" w:themeShade="FF"/>
          <w:sz w:val="22"/>
          <w:szCs w:val="22"/>
          <w:lang w:val="en-US"/>
        </w:rPr>
        <w:t>Journal of Management, 17</w:t>
      </w:r>
      <w:r w:rsidRPr="4E8BE5FC" w:rsidR="3D0D56D6">
        <w:rPr>
          <w:rFonts w:ascii="Calibri" w:hAnsi="Calibri" w:eastAsia="Calibri" w:cs="Calibri"/>
          <w:noProof w:val="0"/>
          <w:color w:val="000000" w:themeColor="text1" w:themeTint="FF" w:themeShade="FF"/>
          <w:sz w:val="22"/>
          <w:szCs w:val="22"/>
          <w:lang w:val="en-US"/>
        </w:rPr>
        <w:t xml:space="preserve">(1), 99–120. </w:t>
      </w:r>
      <w:hyperlink r:id="R7a17d6db71e0479c">
        <w:r w:rsidRPr="4E8BE5FC" w:rsidR="3D0D56D6">
          <w:rPr>
            <w:rStyle w:val="Hyperlink"/>
            <w:rFonts w:ascii="Calibri" w:hAnsi="Calibri" w:eastAsia="Calibri" w:cs="Calibri"/>
            <w:noProof w:val="0"/>
            <w:sz w:val="22"/>
            <w:szCs w:val="22"/>
            <w:lang w:val="en-US"/>
          </w:rPr>
          <w:t>https://doi.org/10.1177/014920639101700108</w:t>
        </w:r>
      </w:hyperlink>
    </w:p>
    <w:p xmlns:wp14="http://schemas.microsoft.com/office/word/2010/wordml" w:rsidP="4E8BE5FC" wp14:paraId="76CCDE51" wp14:textId="7D133FC8">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Dobrican</w:t>
      </w:r>
      <w:r w:rsidRPr="4E8BE5FC" w:rsidR="3D0D56D6">
        <w:rPr>
          <w:rFonts w:ascii="Calibri" w:hAnsi="Calibri" w:eastAsia="Calibri" w:cs="Calibri"/>
          <w:noProof w:val="0"/>
          <w:color w:val="000000" w:themeColor="text1" w:themeTint="FF" w:themeShade="FF"/>
          <w:sz w:val="22"/>
          <w:szCs w:val="22"/>
          <w:lang w:val="en-US"/>
        </w:rPr>
        <w:t xml:space="preserve">, O. (2020). Knowledge as a service: A new perspective for knowledge management. </w:t>
      </w:r>
      <w:r w:rsidRPr="4E8BE5FC" w:rsidR="3D0D56D6">
        <w:rPr>
          <w:rFonts w:ascii="Calibri" w:hAnsi="Calibri" w:eastAsia="Calibri" w:cs="Calibri"/>
          <w:i w:val="1"/>
          <w:iCs w:val="1"/>
          <w:noProof w:val="0"/>
          <w:color w:val="000000" w:themeColor="text1" w:themeTint="FF" w:themeShade="FF"/>
          <w:sz w:val="22"/>
          <w:szCs w:val="22"/>
          <w:lang w:val="en-US"/>
        </w:rPr>
        <w:t>Journal of Knowledge Economy, 11</w:t>
      </w:r>
      <w:r w:rsidRPr="4E8BE5FC" w:rsidR="3D0D56D6">
        <w:rPr>
          <w:rFonts w:ascii="Calibri" w:hAnsi="Calibri" w:eastAsia="Calibri" w:cs="Calibri"/>
          <w:noProof w:val="0"/>
          <w:color w:val="000000" w:themeColor="text1" w:themeTint="FF" w:themeShade="FF"/>
          <w:sz w:val="22"/>
          <w:szCs w:val="22"/>
          <w:lang w:val="en-US"/>
        </w:rPr>
        <w:t xml:space="preserve">, 1309–1332. </w:t>
      </w:r>
      <w:hyperlink r:id="R6f99379c92cc4711">
        <w:r w:rsidRPr="4E8BE5FC" w:rsidR="3D0D56D6">
          <w:rPr>
            <w:rStyle w:val="Hyperlink"/>
            <w:rFonts w:ascii="Calibri" w:hAnsi="Calibri" w:eastAsia="Calibri" w:cs="Calibri"/>
            <w:noProof w:val="0"/>
            <w:sz w:val="22"/>
            <w:szCs w:val="22"/>
            <w:lang w:val="en-US"/>
          </w:rPr>
          <w:t>https://doi.org/10.1007/s13132-019-00588-2</w:t>
        </w:r>
      </w:hyperlink>
    </w:p>
    <w:p xmlns:wp14="http://schemas.microsoft.com/office/word/2010/wordml" w:rsidP="4E8BE5FC" wp14:paraId="124082B3" wp14:textId="6A7B94CE">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Drucker, P. F. (1994). </w:t>
      </w:r>
      <w:r w:rsidRPr="4E8BE5FC" w:rsidR="3D0D56D6">
        <w:rPr>
          <w:rFonts w:ascii="Calibri" w:hAnsi="Calibri" w:eastAsia="Calibri" w:cs="Calibri"/>
          <w:i w:val="1"/>
          <w:iCs w:val="1"/>
          <w:noProof w:val="0"/>
          <w:color w:val="000000" w:themeColor="text1" w:themeTint="FF" w:themeShade="FF"/>
          <w:sz w:val="22"/>
          <w:szCs w:val="22"/>
          <w:lang w:val="en-US"/>
        </w:rPr>
        <w:t>Management: Tasks, responsibilities, practices</w:t>
      </w:r>
      <w:r w:rsidRPr="4E8BE5FC" w:rsidR="3D0D56D6">
        <w:rPr>
          <w:rFonts w:ascii="Calibri" w:hAnsi="Calibri" w:eastAsia="Calibri" w:cs="Calibri"/>
          <w:noProof w:val="0"/>
          <w:color w:val="000000" w:themeColor="text1" w:themeTint="FF" w:themeShade="FF"/>
          <w:sz w:val="22"/>
          <w:szCs w:val="22"/>
          <w:lang w:val="en-US"/>
        </w:rPr>
        <w:t>. HarperBusiness.</w:t>
      </w:r>
    </w:p>
    <w:p xmlns:wp14="http://schemas.microsoft.com/office/word/2010/wordml" w:rsidP="4E8BE5FC" wp14:paraId="2B3E7229" wp14:textId="1743FDBA">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European Committee for Standardization. (2016). </w:t>
      </w:r>
      <w:r w:rsidRPr="4E8BE5FC" w:rsidR="3D0D56D6">
        <w:rPr>
          <w:rFonts w:ascii="Calibri" w:hAnsi="Calibri" w:eastAsia="Calibri" w:cs="Calibri"/>
          <w:i w:val="1"/>
          <w:iCs w:val="1"/>
          <w:noProof w:val="0"/>
          <w:color w:val="000000" w:themeColor="text1" w:themeTint="FF" w:themeShade="FF"/>
          <w:sz w:val="22"/>
          <w:szCs w:val="22"/>
          <w:lang w:val="en-US"/>
        </w:rPr>
        <w:t>Ethical governance of knowledge systems</w:t>
      </w:r>
      <w:r w:rsidRPr="4E8BE5FC" w:rsidR="3D0D56D6">
        <w:rPr>
          <w:rFonts w:ascii="Calibri" w:hAnsi="Calibri" w:eastAsia="Calibri" w:cs="Calibri"/>
          <w:noProof w:val="0"/>
          <w:color w:val="000000" w:themeColor="text1" w:themeTint="FF" w:themeShade="FF"/>
          <w:sz w:val="22"/>
          <w:szCs w:val="22"/>
          <w:lang w:val="en-US"/>
        </w:rPr>
        <w:t xml:space="preserve"> (CEN Workshop Agreement CWA 16464:2016).</w:t>
      </w:r>
    </w:p>
    <w:p xmlns:wp14="http://schemas.microsoft.com/office/word/2010/wordml" w:rsidP="4E8BE5FC" wp14:paraId="7104BA4D" wp14:textId="6FCC223D">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Information Commissioner's Office. (2018). </w:t>
      </w:r>
      <w:r w:rsidRPr="4E8BE5FC" w:rsidR="3D0D56D6">
        <w:rPr>
          <w:rFonts w:ascii="Calibri" w:hAnsi="Calibri" w:eastAsia="Calibri" w:cs="Calibri"/>
          <w:i w:val="1"/>
          <w:iCs w:val="1"/>
          <w:noProof w:val="0"/>
          <w:color w:val="000000" w:themeColor="text1" w:themeTint="FF" w:themeShade="FF"/>
          <w:sz w:val="22"/>
          <w:szCs w:val="22"/>
          <w:lang w:val="en-US"/>
        </w:rPr>
        <w:t>Guide to the General Data Protection Regulation (GDPR)</w:t>
      </w:r>
      <w:r w:rsidRPr="4E8BE5FC" w:rsidR="3D0D56D6">
        <w:rPr>
          <w:rFonts w:ascii="Calibri" w:hAnsi="Calibri" w:eastAsia="Calibri" w:cs="Calibri"/>
          <w:noProof w:val="0"/>
          <w:color w:val="000000" w:themeColor="text1" w:themeTint="FF" w:themeShade="FF"/>
          <w:sz w:val="22"/>
          <w:szCs w:val="22"/>
          <w:lang w:val="en-US"/>
        </w:rPr>
        <w:t xml:space="preserve">. </w:t>
      </w:r>
      <w:hyperlink r:id="R73970b3651694d73">
        <w:r w:rsidRPr="4E8BE5FC" w:rsidR="3D0D56D6">
          <w:rPr>
            <w:rStyle w:val="Hyperlink"/>
            <w:rFonts w:ascii="Calibri" w:hAnsi="Calibri" w:eastAsia="Calibri" w:cs="Calibri"/>
            <w:noProof w:val="0"/>
            <w:sz w:val="22"/>
            <w:szCs w:val="22"/>
            <w:lang w:val="en-US"/>
          </w:rPr>
          <w:t>https://ico.org.uk/for-organisations/guide-to-data-protection/guide-to-the-general-data-protection-regulation-gdpr/</w:t>
        </w:r>
      </w:hyperlink>
    </w:p>
    <w:p xmlns:wp14="http://schemas.microsoft.com/office/word/2010/wordml" w:rsidP="4E8BE5FC" wp14:paraId="23E8C9CA" wp14:textId="67873DC1">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Kaplan, R. S., &amp; Norton, D. P. (1996). </w:t>
      </w:r>
      <w:r w:rsidRPr="4E8BE5FC" w:rsidR="3D0D56D6">
        <w:rPr>
          <w:rFonts w:ascii="Calibri" w:hAnsi="Calibri" w:eastAsia="Calibri" w:cs="Calibri"/>
          <w:i w:val="1"/>
          <w:iCs w:val="1"/>
          <w:noProof w:val="0"/>
          <w:color w:val="000000" w:themeColor="text1" w:themeTint="FF" w:themeShade="FF"/>
          <w:sz w:val="22"/>
          <w:szCs w:val="22"/>
          <w:lang w:val="en-US"/>
        </w:rPr>
        <w:t>The balanced scorecard: Translating strategy into action</w:t>
      </w:r>
      <w:r w:rsidRPr="4E8BE5FC" w:rsidR="3D0D56D6">
        <w:rPr>
          <w:rFonts w:ascii="Calibri" w:hAnsi="Calibri" w:eastAsia="Calibri" w:cs="Calibri"/>
          <w:noProof w:val="0"/>
          <w:color w:val="000000" w:themeColor="text1" w:themeTint="FF" w:themeShade="FF"/>
          <w:sz w:val="22"/>
          <w:szCs w:val="22"/>
          <w:lang w:val="en-US"/>
        </w:rPr>
        <w:t>. Harvard Business Press.</w:t>
      </w:r>
    </w:p>
    <w:p xmlns:wp14="http://schemas.microsoft.com/office/word/2010/wordml" w:rsidP="4E8BE5FC" wp14:paraId="7AD3E23A" wp14:textId="244B5280">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Nonaka, I., &amp; Takeuchi, H. (1995). </w:t>
      </w:r>
      <w:r w:rsidRPr="4E8BE5FC" w:rsidR="3D0D56D6">
        <w:rPr>
          <w:rFonts w:ascii="Calibri" w:hAnsi="Calibri" w:eastAsia="Calibri" w:cs="Calibri"/>
          <w:i w:val="1"/>
          <w:iCs w:val="1"/>
          <w:noProof w:val="0"/>
          <w:color w:val="000000" w:themeColor="text1" w:themeTint="FF" w:themeShade="FF"/>
          <w:sz w:val="22"/>
          <w:szCs w:val="22"/>
          <w:lang w:val="en-US"/>
        </w:rPr>
        <w:t>The knowledge-creating company: How Japanese companies create the dynamics of innovation</w:t>
      </w:r>
      <w:r w:rsidRPr="4E8BE5FC" w:rsidR="3D0D56D6">
        <w:rPr>
          <w:rFonts w:ascii="Calibri" w:hAnsi="Calibri" w:eastAsia="Calibri" w:cs="Calibri"/>
          <w:noProof w:val="0"/>
          <w:color w:val="000000" w:themeColor="text1" w:themeTint="FF" w:themeShade="FF"/>
          <w:sz w:val="22"/>
          <w:szCs w:val="22"/>
          <w:lang w:val="en-US"/>
        </w:rPr>
        <w:t>. Oxford University Press.</w:t>
      </w:r>
    </w:p>
    <w:p xmlns:wp14="http://schemas.microsoft.com/office/word/2010/wordml" w:rsidP="4E8BE5FC" wp14:paraId="668A2D65" wp14:textId="319D3275">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Parmenter, D. (2015). </w:t>
      </w:r>
      <w:r w:rsidRPr="4E8BE5FC" w:rsidR="3D0D56D6">
        <w:rPr>
          <w:rFonts w:ascii="Calibri" w:hAnsi="Calibri" w:eastAsia="Calibri" w:cs="Calibri"/>
          <w:i w:val="1"/>
          <w:iCs w:val="1"/>
          <w:noProof w:val="0"/>
          <w:color w:val="000000" w:themeColor="text1" w:themeTint="FF" w:themeShade="FF"/>
          <w:sz w:val="22"/>
          <w:szCs w:val="22"/>
          <w:lang w:val="en-US"/>
        </w:rPr>
        <w:t>Key performance indicators: Developing, implementing, and using winning KPIs</w:t>
      </w:r>
      <w:r w:rsidRPr="4E8BE5FC" w:rsidR="3D0D56D6">
        <w:rPr>
          <w:rFonts w:ascii="Calibri" w:hAnsi="Calibri" w:eastAsia="Calibri" w:cs="Calibri"/>
          <w:noProof w:val="0"/>
          <w:color w:val="000000" w:themeColor="text1" w:themeTint="FF" w:themeShade="FF"/>
          <w:sz w:val="22"/>
          <w:szCs w:val="22"/>
          <w:lang w:val="en-US"/>
        </w:rPr>
        <w:t xml:space="preserve"> (3rd ed.). Wiley.</w:t>
      </w:r>
    </w:p>
    <w:p xmlns:wp14="http://schemas.microsoft.com/office/word/2010/wordml" w:rsidP="4E8BE5FC" wp14:paraId="42F07810" wp14:textId="3731685E">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Rowley, J. (2007). The wisdom hierarchy: Representations of the DIKW hierarchy. </w:t>
      </w:r>
      <w:r w:rsidRPr="4E8BE5FC" w:rsidR="3D0D56D6">
        <w:rPr>
          <w:rFonts w:ascii="Calibri" w:hAnsi="Calibri" w:eastAsia="Calibri" w:cs="Calibri"/>
          <w:i w:val="1"/>
          <w:iCs w:val="1"/>
          <w:noProof w:val="0"/>
          <w:color w:val="000000" w:themeColor="text1" w:themeTint="FF" w:themeShade="FF"/>
          <w:sz w:val="22"/>
          <w:szCs w:val="22"/>
          <w:lang w:val="en-US"/>
        </w:rPr>
        <w:t>Journal of Information Science, 33</w:t>
      </w:r>
      <w:r w:rsidRPr="4E8BE5FC" w:rsidR="3D0D56D6">
        <w:rPr>
          <w:rFonts w:ascii="Calibri" w:hAnsi="Calibri" w:eastAsia="Calibri" w:cs="Calibri"/>
          <w:noProof w:val="0"/>
          <w:color w:val="000000" w:themeColor="text1" w:themeTint="FF" w:themeShade="FF"/>
          <w:sz w:val="22"/>
          <w:szCs w:val="22"/>
          <w:lang w:val="en-US"/>
        </w:rPr>
        <w:t xml:space="preserve">(2), 163–180. </w:t>
      </w:r>
      <w:hyperlink r:id="R0d6b6454338144ca">
        <w:r w:rsidRPr="4E8BE5FC" w:rsidR="3D0D56D6">
          <w:rPr>
            <w:rStyle w:val="Hyperlink"/>
            <w:rFonts w:ascii="Calibri" w:hAnsi="Calibri" w:eastAsia="Calibri" w:cs="Calibri"/>
            <w:noProof w:val="0"/>
            <w:sz w:val="22"/>
            <w:szCs w:val="22"/>
            <w:lang w:val="en-US"/>
          </w:rPr>
          <w:t>https://doi.org/10.1177/0165551506070706</w:t>
        </w:r>
      </w:hyperlink>
    </w:p>
    <w:p xmlns:wp14="http://schemas.microsoft.com/office/word/2010/wordml" w:rsidP="4E8BE5FC" wp14:paraId="2C078E63" wp14:textId="37D97633">
      <w:pPr>
        <w:pStyle w:val="ListParagraph"/>
        <w:numPr>
          <w:ilvl w:val="0"/>
          <w:numId w:val="8"/>
        </w:numPr>
        <w:spacing w:before="240" w:beforeAutospacing="off" w:after="240" w:afterAutospacing="off" w:line="360" w:lineRule="auto"/>
        <w:jc w:val="both"/>
        <w:rPr>
          <w:rFonts w:ascii="Calibri" w:hAnsi="Calibri" w:eastAsia="Calibri" w:cs="Calibri"/>
          <w:noProof w:val="0"/>
          <w:color w:val="000000" w:themeColor="text1" w:themeTint="FF" w:themeShade="FF"/>
          <w:sz w:val="22"/>
          <w:szCs w:val="22"/>
          <w:lang w:val="en-US"/>
        </w:rPr>
      </w:pPr>
      <w:r w:rsidRPr="4E8BE5FC" w:rsidR="3D0D56D6">
        <w:rPr>
          <w:rFonts w:ascii="Calibri" w:hAnsi="Calibri" w:eastAsia="Calibri" w:cs="Calibri"/>
          <w:noProof w:val="0"/>
          <w:color w:val="000000" w:themeColor="text1" w:themeTint="FF" w:themeShade="FF"/>
          <w:sz w:val="22"/>
          <w:szCs w:val="22"/>
          <w:lang w:val="en-US"/>
        </w:rPr>
        <w:t xml:space="preserve">Turban, E., </w:t>
      </w:r>
      <w:r w:rsidRPr="4E8BE5FC" w:rsidR="3D0D56D6">
        <w:rPr>
          <w:rFonts w:ascii="Calibri" w:hAnsi="Calibri" w:eastAsia="Calibri" w:cs="Calibri"/>
          <w:noProof w:val="0"/>
          <w:color w:val="000000" w:themeColor="text1" w:themeTint="FF" w:themeShade="FF"/>
          <w:sz w:val="22"/>
          <w:szCs w:val="22"/>
          <w:lang w:val="en-US"/>
        </w:rPr>
        <w:t>Volonino</w:t>
      </w:r>
      <w:r w:rsidRPr="4E8BE5FC" w:rsidR="3D0D56D6">
        <w:rPr>
          <w:rFonts w:ascii="Calibri" w:hAnsi="Calibri" w:eastAsia="Calibri" w:cs="Calibri"/>
          <w:noProof w:val="0"/>
          <w:color w:val="000000" w:themeColor="text1" w:themeTint="FF" w:themeShade="FF"/>
          <w:sz w:val="22"/>
          <w:szCs w:val="22"/>
          <w:lang w:val="en-US"/>
        </w:rPr>
        <w:t xml:space="preserve">, L., &amp; Wood, G. (2018). </w:t>
      </w:r>
      <w:r w:rsidRPr="4E8BE5FC" w:rsidR="3D0D56D6">
        <w:rPr>
          <w:rFonts w:ascii="Calibri" w:hAnsi="Calibri" w:eastAsia="Calibri" w:cs="Calibri"/>
          <w:i w:val="1"/>
          <w:iCs w:val="1"/>
          <w:noProof w:val="0"/>
          <w:color w:val="000000" w:themeColor="text1" w:themeTint="FF" w:themeShade="FF"/>
          <w:sz w:val="22"/>
          <w:szCs w:val="22"/>
          <w:lang w:val="en-US"/>
        </w:rPr>
        <w:t xml:space="preserve">Information technology for management: On-demand strategies for performance, </w:t>
      </w:r>
      <w:r w:rsidRPr="4E8BE5FC" w:rsidR="3D0D56D6">
        <w:rPr>
          <w:rFonts w:ascii="Calibri" w:hAnsi="Calibri" w:eastAsia="Calibri" w:cs="Calibri"/>
          <w:i w:val="1"/>
          <w:iCs w:val="1"/>
          <w:noProof w:val="0"/>
          <w:color w:val="000000" w:themeColor="text1" w:themeTint="FF" w:themeShade="FF"/>
          <w:sz w:val="22"/>
          <w:szCs w:val="22"/>
          <w:lang w:val="en-US"/>
        </w:rPr>
        <w:t>growth</w:t>
      </w:r>
      <w:r w:rsidRPr="4E8BE5FC" w:rsidR="3D0D56D6">
        <w:rPr>
          <w:rFonts w:ascii="Calibri" w:hAnsi="Calibri" w:eastAsia="Calibri" w:cs="Calibri"/>
          <w:i w:val="1"/>
          <w:iCs w:val="1"/>
          <w:noProof w:val="0"/>
          <w:color w:val="000000" w:themeColor="text1" w:themeTint="FF" w:themeShade="FF"/>
          <w:sz w:val="22"/>
          <w:szCs w:val="22"/>
          <w:lang w:val="en-US"/>
        </w:rPr>
        <w:t xml:space="preserve"> and sustainability</w:t>
      </w:r>
      <w:r w:rsidRPr="4E8BE5FC" w:rsidR="3D0D56D6">
        <w:rPr>
          <w:rFonts w:ascii="Calibri" w:hAnsi="Calibri" w:eastAsia="Calibri" w:cs="Calibri"/>
          <w:noProof w:val="0"/>
          <w:color w:val="000000" w:themeColor="text1" w:themeTint="FF" w:themeShade="FF"/>
          <w:sz w:val="22"/>
          <w:szCs w:val="22"/>
          <w:lang w:val="en-US"/>
        </w:rPr>
        <w:t xml:space="preserve"> (11th ed.). Wiley.</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bffNo00wmn77j" int2:id="b0K6nLxQ">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ad1647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nsid w:val="61eb49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99c5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6bf7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bb9a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25b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820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0a2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41a6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26e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C516E1"/>
    <w:rsid w:val="002896D8"/>
    <w:rsid w:val="00410273"/>
    <w:rsid w:val="00450AFB"/>
    <w:rsid w:val="0047D649"/>
    <w:rsid w:val="010116B4"/>
    <w:rsid w:val="0144C028"/>
    <w:rsid w:val="0261046C"/>
    <w:rsid w:val="02A5EA7A"/>
    <w:rsid w:val="02D37D1A"/>
    <w:rsid w:val="02EA7A83"/>
    <w:rsid w:val="0324E547"/>
    <w:rsid w:val="0329DAFA"/>
    <w:rsid w:val="0335075F"/>
    <w:rsid w:val="033C93C7"/>
    <w:rsid w:val="035D954B"/>
    <w:rsid w:val="03802CAA"/>
    <w:rsid w:val="038E139E"/>
    <w:rsid w:val="04460070"/>
    <w:rsid w:val="0468C90C"/>
    <w:rsid w:val="04CEF0BF"/>
    <w:rsid w:val="050C50F7"/>
    <w:rsid w:val="05E1054F"/>
    <w:rsid w:val="063EC884"/>
    <w:rsid w:val="0656294A"/>
    <w:rsid w:val="06591686"/>
    <w:rsid w:val="07009065"/>
    <w:rsid w:val="0718DD99"/>
    <w:rsid w:val="072A0334"/>
    <w:rsid w:val="072DC0D1"/>
    <w:rsid w:val="074D232C"/>
    <w:rsid w:val="07C74BCC"/>
    <w:rsid w:val="08389173"/>
    <w:rsid w:val="089F4417"/>
    <w:rsid w:val="0961D117"/>
    <w:rsid w:val="097B6189"/>
    <w:rsid w:val="0995EDDC"/>
    <w:rsid w:val="09C8D9FF"/>
    <w:rsid w:val="0A5F4E29"/>
    <w:rsid w:val="0A850446"/>
    <w:rsid w:val="0AB77A70"/>
    <w:rsid w:val="0AED4792"/>
    <w:rsid w:val="0B028913"/>
    <w:rsid w:val="0B114A6B"/>
    <w:rsid w:val="0B86E398"/>
    <w:rsid w:val="0C4878C1"/>
    <w:rsid w:val="0CA2F458"/>
    <w:rsid w:val="0CEEADA4"/>
    <w:rsid w:val="0E25EC44"/>
    <w:rsid w:val="0E3F40F5"/>
    <w:rsid w:val="0E5F0E0F"/>
    <w:rsid w:val="0E9F9A10"/>
    <w:rsid w:val="0EA17FC5"/>
    <w:rsid w:val="0EE9D3E4"/>
    <w:rsid w:val="0FB0615E"/>
    <w:rsid w:val="0FB76FB8"/>
    <w:rsid w:val="100C56E0"/>
    <w:rsid w:val="10271006"/>
    <w:rsid w:val="103649B3"/>
    <w:rsid w:val="107DCAB4"/>
    <w:rsid w:val="10F3B57B"/>
    <w:rsid w:val="10F7BEE5"/>
    <w:rsid w:val="110FA48B"/>
    <w:rsid w:val="1169E4D9"/>
    <w:rsid w:val="11D26A8F"/>
    <w:rsid w:val="1228C02C"/>
    <w:rsid w:val="12713C22"/>
    <w:rsid w:val="131664D8"/>
    <w:rsid w:val="13E1B3F7"/>
    <w:rsid w:val="141C4B9D"/>
    <w:rsid w:val="146DE84F"/>
    <w:rsid w:val="14787E8E"/>
    <w:rsid w:val="149581DA"/>
    <w:rsid w:val="150049AF"/>
    <w:rsid w:val="16457559"/>
    <w:rsid w:val="1698CFE9"/>
    <w:rsid w:val="16B08EBF"/>
    <w:rsid w:val="16EEDF36"/>
    <w:rsid w:val="170DBD0B"/>
    <w:rsid w:val="172F5718"/>
    <w:rsid w:val="1744A526"/>
    <w:rsid w:val="17BA1F50"/>
    <w:rsid w:val="18608FE3"/>
    <w:rsid w:val="186FA0EA"/>
    <w:rsid w:val="18E72C6F"/>
    <w:rsid w:val="18F2B468"/>
    <w:rsid w:val="191D0BBF"/>
    <w:rsid w:val="19267FAD"/>
    <w:rsid w:val="199BAD1F"/>
    <w:rsid w:val="19F5409B"/>
    <w:rsid w:val="1A105BE2"/>
    <w:rsid w:val="1B04C731"/>
    <w:rsid w:val="1B3297FA"/>
    <w:rsid w:val="1B740053"/>
    <w:rsid w:val="1B81C477"/>
    <w:rsid w:val="1C54B6A2"/>
    <w:rsid w:val="1C892C3D"/>
    <w:rsid w:val="1CE88C01"/>
    <w:rsid w:val="1CF0CB23"/>
    <w:rsid w:val="1CF7A84B"/>
    <w:rsid w:val="1D52B5F4"/>
    <w:rsid w:val="1DC58303"/>
    <w:rsid w:val="1E0A8274"/>
    <w:rsid w:val="1E1542AD"/>
    <w:rsid w:val="1E35A601"/>
    <w:rsid w:val="1E5D7C25"/>
    <w:rsid w:val="1EE45846"/>
    <w:rsid w:val="1F47212C"/>
    <w:rsid w:val="1F4C6657"/>
    <w:rsid w:val="1F71EF78"/>
    <w:rsid w:val="20397010"/>
    <w:rsid w:val="20533E9F"/>
    <w:rsid w:val="20850D6C"/>
    <w:rsid w:val="20850D6C"/>
    <w:rsid w:val="2101B313"/>
    <w:rsid w:val="214BE692"/>
    <w:rsid w:val="21A06681"/>
    <w:rsid w:val="21A999C6"/>
    <w:rsid w:val="2210694C"/>
    <w:rsid w:val="234785CD"/>
    <w:rsid w:val="2354C0E0"/>
    <w:rsid w:val="237DCF7E"/>
    <w:rsid w:val="2395B1A0"/>
    <w:rsid w:val="23C97F5E"/>
    <w:rsid w:val="23CC2737"/>
    <w:rsid w:val="26308B31"/>
    <w:rsid w:val="267A2A10"/>
    <w:rsid w:val="27535901"/>
    <w:rsid w:val="2793C308"/>
    <w:rsid w:val="27A17F3E"/>
    <w:rsid w:val="27C6F44A"/>
    <w:rsid w:val="280000B2"/>
    <w:rsid w:val="289C231C"/>
    <w:rsid w:val="296D9929"/>
    <w:rsid w:val="29C45BC6"/>
    <w:rsid w:val="2A30FE08"/>
    <w:rsid w:val="2A6FB90C"/>
    <w:rsid w:val="2A831E78"/>
    <w:rsid w:val="2ABA0A85"/>
    <w:rsid w:val="2AEA3D01"/>
    <w:rsid w:val="2B1274B8"/>
    <w:rsid w:val="2BB2C886"/>
    <w:rsid w:val="2BC0CA9E"/>
    <w:rsid w:val="2C283D94"/>
    <w:rsid w:val="2C488E64"/>
    <w:rsid w:val="2CD935D3"/>
    <w:rsid w:val="2CD935D3"/>
    <w:rsid w:val="2D1F19FC"/>
    <w:rsid w:val="2D835C85"/>
    <w:rsid w:val="2E480D2B"/>
    <w:rsid w:val="2E627A96"/>
    <w:rsid w:val="2E746F81"/>
    <w:rsid w:val="2E97AA1F"/>
    <w:rsid w:val="2EAF6A3D"/>
    <w:rsid w:val="2EB85A8D"/>
    <w:rsid w:val="2F21CF27"/>
    <w:rsid w:val="2FFF6E80"/>
    <w:rsid w:val="3049DC35"/>
    <w:rsid w:val="30D6DE0E"/>
    <w:rsid w:val="30F0548B"/>
    <w:rsid w:val="3189A07A"/>
    <w:rsid w:val="31CF9673"/>
    <w:rsid w:val="32256EC8"/>
    <w:rsid w:val="32A7B064"/>
    <w:rsid w:val="3396588A"/>
    <w:rsid w:val="33B7571F"/>
    <w:rsid w:val="33ED39FA"/>
    <w:rsid w:val="344FBB68"/>
    <w:rsid w:val="34821F8D"/>
    <w:rsid w:val="352F2885"/>
    <w:rsid w:val="3551C13C"/>
    <w:rsid w:val="355A145C"/>
    <w:rsid w:val="35819A7E"/>
    <w:rsid w:val="359AA14B"/>
    <w:rsid w:val="35BFB9DA"/>
    <w:rsid w:val="35C97BF7"/>
    <w:rsid w:val="36212610"/>
    <w:rsid w:val="3621F898"/>
    <w:rsid w:val="36876CEF"/>
    <w:rsid w:val="368B4551"/>
    <w:rsid w:val="36D988BE"/>
    <w:rsid w:val="36ED5661"/>
    <w:rsid w:val="371F74D4"/>
    <w:rsid w:val="379A8291"/>
    <w:rsid w:val="37ABC201"/>
    <w:rsid w:val="380D4D4D"/>
    <w:rsid w:val="3868B520"/>
    <w:rsid w:val="38C516E1"/>
    <w:rsid w:val="3974E948"/>
    <w:rsid w:val="39E62272"/>
    <w:rsid w:val="3A6F2B90"/>
    <w:rsid w:val="3A841B4F"/>
    <w:rsid w:val="3AFC9100"/>
    <w:rsid w:val="3B0C75FD"/>
    <w:rsid w:val="3B2B7FD8"/>
    <w:rsid w:val="3B6AE8FD"/>
    <w:rsid w:val="3B6AE8FD"/>
    <w:rsid w:val="3B91C61F"/>
    <w:rsid w:val="3C0DF1C6"/>
    <w:rsid w:val="3C3F7CF8"/>
    <w:rsid w:val="3D01941A"/>
    <w:rsid w:val="3D04A06C"/>
    <w:rsid w:val="3D0D56D6"/>
    <w:rsid w:val="3D441EB1"/>
    <w:rsid w:val="3D84EA32"/>
    <w:rsid w:val="3DAC6642"/>
    <w:rsid w:val="3E3BD9AE"/>
    <w:rsid w:val="3E51A74E"/>
    <w:rsid w:val="3ED845E4"/>
    <w:rsid w:val="3ED97DDB"/>
    <w:rsid w:val="3ED9FCC8"/>
    <w:rsid w:val="3EDE6DBC"/>
    <w:rsid w:val="3F6807B3"/>
    <w:rsid w:val="3F68A0FD"/>
    <w:rsid w:val="3FA326E6"/>
    <w:rsid w:val="3FE0D153"/>
    <w:rsid w:val="400A5AF9"/>
    <w:rsid w:val="4058F810"/>
    <w:rsid w:val="408E00EA"/>
    <w:rsid w:val="40A62DBF"/>
    <w:rsid w:val="40EA3E30"/>
    <w:rsid w:val="4226739B"/>
    <w:rsid w:val="422C5750"/>
    <w:rsid w:val="424117C3"/>
    <w:rsid w:val="424630CF"/>
    <w:rsid w:val="4254403F"/>
    <w:rsid w:val="429469DA"/>
    <w:rsid w:val="42952A3E"/>
    <w:rsid w:val="431BB6CE"/>
    <w:rsid w:val="435F4F50"/>
    <w:rsid w:val="43BEEE6B"/>
    <w:rsid w:val="43CD140B"/>
    <w:rsid w:val="44139318"/>
    <w:rsid w:val="44AB62A4"/>
    <w:rsid w:val="46872423"/>
    <w:rsid w:val="469FE8D2"/>
    <w:rsid w:val="46A83FD0"/>
    <w:rsid w:val="47025A84"/>
    <w:rsid w:val="47A92282"/>
    <w:rsid w:val="48003534"/>
    <w:rsid w:val="480458C4"/>
    <w:rsid w:val="481A521D"/>
    <w:rsid w:val="481C943C"/>
    <w:rsid w:val="4847C548"/>
    <w:rsid w:val="486B6AB1"/>
    <w:rsid w:val="48B04EE6"/>
    <w:rsid w:val="49242357"/>
    <w:rsid w:val="49888995"/>
    <w:rsid w:val="49A163C0"/>
    <w:rsid w:val="49E6AD3E"/>
    <w:rsid w:val="4A222390"/>
    <w:rsid w:val="4A415AD3"/>
    <w:rsid w:val="4A4A9738"/>
    <w:rsid w:val="4A94CDAE"/>
    <w:rsid w:val="4AF0EFE3"/>
    <w:rsid w:val="4BC6C802"/>
    <w:rsid w:val="4BCFC26D"/>
    <w:rsid w:val="4C5408A6"/>
    <w:rsid w:val="4C71BDB7"/>
    <w:rsid w:val="4CBD56C8"/>
    <w:rsid w:val="4CD24489"/>
    <w:rsid w:val="4D5C539F"/>
    <w:rsid w:val="4DA6351A"/>
    <w:rsid w:val="4DB91046"/>
    <w:rsid w:val="4DBA4ECA"/>
    <w:rsid w:val="4DBDF553"/>
    <w:rsid w:val="4E6E55BA"/>
    <w:rsid w:val="4E8BE5FC"/>
    <w:rsid w:val="4E919996"/>
    <w:rsid w:val="4F3DA4F2"/>
    <w:rsid w:val="4F673ABF"/>
    <w:rsid w:val="4FD89832"/>
    <w:rsid w:val="4FED8473"/>
    <w:rsid w:val="50A88023"/>
    <w:rsid w:val="50AC9511"/>
    <w:rsid w:val="50AD90B3"/>
    <w:rsid w:val="51290DC4"/>
    <w:rsid w:val="51641FAF"/>
    <w:rsid w:val="51DAE855"/>
    <w:rsid w:val="5213496B"/>
    <w:rsid w:val="529CC7A5"/>
    <w:rsid w:val="52B41787"/>
    <w:rsid w:val="52B41787"/>
    <w:rsid w:val="531050AD"/>
    <w:rsid w:val="5343C036"/>
    <w:rsid w:val="53AE42B0"/>
    <w:rsid w:val="53B551EA"/>
    <w:rsid w:val="53DF32E7"/>
    <w:rsid w:val="5403253D"/>
    <w:rsid w:val="54060629"/>
    <w:rsid w:val="54315217"/>
    <w:rsid w:val="543CA108"/>
    <w:rsid w:val="54A3E6B0"/>
    <w:rsid w:val="54AC2E9C"/>
    <w:rsid w:val="54B61AD0"/>
    <w:rsid w:val="55BD1110"/>
    <w:rsid w:val="55DA05D6"/>
    <w:rsid w:val="562CF88B"/>
    <w:rsid w:val="562EBEC9"/>
    <w:rsid w:val="563758CE"/>
    <w:rsid w:val="563758CE"/>
    <w:rsid w:val="56D88743"/>
    <w:rsid w:val="56E44A8C"/>
    <w:rsid w:val="571C9C75"/>
    <w:rsid w:val="57395743"/>
    <w:rsid w:val="5755773F"/>
    <w:rsid w:val="578B4DF1"/>
    <w:rsid w:val="57D2271C"/>
    <w:rsid w:val="580707A3"/>
    <w:rsid w:val="5820E2F2"/>
    <w:rsid w:val="5861AD55"/>
    <w:rsid w:val="588DE0E7"/>
    <w:rsid w:val="59292F03"/>
    <w:rsid w:val="59D8616C"/>
    <w:rsid w:val="59DD83D0"/>
    <w:rsid w:val="5A05CDCC"/>
    <w:rsid w:val="5A1D12B5"/>
    <w:rsid w:val="5A5C0AE3"/>
    <w:rsid w:val="5A6AC727"/>
    <w:rsid w:val="5A6AC727"/>
    <w:rsid w:val="5A70EA4D"/>
    <w:rsid w:val="5ACD20FD"/>
    <w:rsid w:val="5AE0A726"/>
    <w:rsid w:val="5AFA7E69"/>
    <w:rsid w:val="5B4E3029"/>
    <w:rsid w:val="5B7065AE"/>
    <w:rsid w:val="5BD7BCCF"/>
    <w:rsid w:val="5C2FE5D4"/>
    <w:rsid w:val="5D00EF30"/>
    <w:rsid w:val="5D3D98AF"/>
    <w:rsid w:val="5D651C30"/>
    <w:rsid w:val="5E0FF025"/>
    <w:rsid w:val="5E2FD036"/>
    <w:rsid w:val="5E350D0B"/>
    <w:rsid w:val="5E5DC30A"/>
    <w:rsid w:val="5EC39FE0"/>
    <w:rsid w:val="5EC8312F"/>
    <w:rsid w:val="5FDE4CE7"/>
    <w:rsid w:val="5FF7010C"/>
    <w:rsid w:val="6040B88B"/>
    <w:rsid w:val="60DFB315"/>
    <w:rsid w:val="60E48BF7"/>
    <w:rsid w:val="619B1699"/>
    <w:rsid w:val="61D2A5EE"/>
    <w:rsid w:val="62B18AE3"/>
    <w:rsid w:val="62C5FE59"/>
    <w:rsid w:val="6304BB12"/>
    <w:rsid w:val="6305F69F"/>
    <w:rsid w:val="633C698B"/>
    <w:rsid w:val="6448DBCB"/>
    <w:rsid w:val="64756487"/>
    <w:rsid w:val="64ABE726"/>
    <w:rsid w:val="64B50A9E"/>
    <w:rsid w:val="64F069C0"/>
    <w:rsid w:val="652D4218"/>
    <w:rsid w:val="656A805A"/>
    <w:rsid w:val="65910891"/>
    <w:rsid w:val="65E8E7DA"/>
    <w:rsid w:val="665A30D1"/>
    <w:rsid w:val="679A8661"/>
    <w:rsid w:val="67D552BC"/>
    <w:rsid w:val="67D552BC"/>
    <w:rsid w:val="6899FC07"/>
    <w:rsid w:val="69173BC3"/>
    <w:rsid w:val="698273B7"/>
    <w:rsid w:val="69EA4D99"/>
    <w:rsid w:val="69FE98AE"/>
    <w:rsid w:val="6A19C045"/>
    <w:rsid w:val="6A313218"/>
    <w:rsid w:val="6ACDBBDA"/>
    <w:rsid w:val="6AE812D7"/>
    <w:rsid w:val="6AE87A12"/>
    <w:rsid w:val="6B751C56"/>
    <w:rsid w:val="6BDE8E49"/>
    <w:rsid w:val="6C4ACA7F"/>
    <w:rsid w:val="6D9D3B12"/>
    <w:rsid w:val="6DBD1C0C"/>
    <w:rsid w:val="6E0409B5"/>
    <w:rsid w:val="6E488695"/>
    <w:rsid w:val="6E663A0A"/>
    <w:rsid w:val="6EBC128F"/>
    <w:rsid w:val="6ED2FFA4"/>
    <w:rsid w:val="6ED3087D"/>
    <w:rsid w:val="6EEECA7F"/>
    <w:rsid w:val="6F1F927B"/>
    <w:rsid w:val="6F24AA0C"/>
    <w:rsid w:val="6F2F0BE9"/>
    <w:rsid w:val="6F3D4D22"/>
    <w:rsid w:val="6F8255B9"/>
    <w:rsid w:val="6F8D26A1"/>
    <w:rsid w:val="6FDF8F48"/>
    <w:rsid w:val="6FFC8C36"/>
    <w:rsid w:val="7038C335"/>
    <w:rsid w:val="706AC002"/>
    <w:rsid w:val="7071674F"/>
    <w:rsid w:val="70733CCA"/>
    <w:rsid w:val="70D280F0"/>
    <w:rsid w:val="7138EF91"/>
    <w:rsid w:val="718CD529"/>
    <w:rsid w:val="718CD529"/>
    <w:rsid w:val="71F0DEAE"/>
    <w:rsid w:val="7238E984"/>
    <w:rsid w:val="7294525E"/>
    <w:rsid w:val="729748A3"/>
    <w:rsid w:val="72E7DD49"/>
    <w:rsid w:val="7377DDB7"/>
    <w:rsid w:val="7377DDB7"/>
    <w:rsid w:val="7396085D"/>
    <w:rsid w:val="739DF68B"/>
    <w:rsid w:val="73A0A079"/>
    <w:rsid w:val="73AEDC0F"/>
    <w:rsid w:val="7445DABF"/>
    <w:rsid w:val="75652D61"/>
    <w:rsid w:val="7595CF48"/>
    <w:rsid w:val="7699040C"/>
    <w:rsid w:val="76F9021E"/>
    <w:rsid w:val="7733D068"/>
    <w:rsid w:val="77402B2F"/>
    <w:rsid w:val="77474734"/>
    <w:rsid w:val="77AC3B0C"/>
    <w:rsid w:val="77C282AD"/>
    <w:rsid w:val="785DB312"/>
    <w:rsid w:val="796C2DF1"/>
    <w:rsid w:val="79D4F94A"/>
    <w:rsid w:val="7A0B3BF3"/>
    <w:rsid w:val="7BCA339B"/>
    <w:rsid w:val="7BDF3560"/>
    <w:rsid w:val="7BED049C"/>
    <w:rsid w:val="7C601B91"/>
    <w:rsid w:val="7D72371D"/>
    <w:rsid w:val="7D78B8CC"/>
    <w:rsid w:val="7D7F2DDD"/>
    <w:rsid w:val="7DCDBD43"/>
    <w:rsid w:val="7E426A2E"/>
    <w:rsid w:val="7E4E9D2E"/>
    <w:rsid w:val="7E5891F9"/>
    <w:rsid w:val="7F0E6C0A"/>
    <w:rsid w:val="7FA5AD41"/>
    <w:rsid w:val="7FF7F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516E1"/>
  <w15:chartTrackingRefBased/>
  <w15:docId w15:val="{CA54593A-93BA-4651-B366-EFBECE68AC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169E4D9"/>
    <w:rPr>
      <w:color w:val="467886"/>
      <w:u w:val="single"/>
    </w:rPr>
  </w:style>
  <w:style w:type="paragraph" w:styleId="ListParagraph">
    <w:uiPriority w:val="34"/>
    <w:name w:val="List Paragraph"/>
    <w:basedOn w:val="Normal"/>
    <w:qFormat/>
    <w:rsid w:val="1169E4D9"/>
    <w:pPr>
      <w:spacing/>
      <w:ind w:left="720"/>
      <w:contextualSpacing/>
    </w:pPr>
  </w:style>
  <w:style w:type="paragraph" w:styleId="NoSpacing">
    <w:uiPriority w:val="1"/>
    <w:name w:val="No Spacing"/>
    <w:qFormat/>
    <w:rsid w:val="1169E4D9"/>
    <w:pPr>
      <w:spacing w:after="0"/>
    </w:pPr>
  </w:style>
  <w:style w:type="paragraph" w:styleId="TOC1">
    <w:uiPriority w:val="39"/>
    <w:name w:val="toc 1"/>
    <w:basedOn w:val="Normal"/>
    <w:next w:val="Normal"/>
    <w:unhideWhenUsed/>
    <w:rsid w:val="1169E4D9"/>
    <w:pPr>
      <w:spacing w:after="100"/>
    </w:pPr>
  </w:style>
  <w:style w:type="paragraph" w:styleId="TOC2">
    <w:uiPriority w:val="39"/>
    <w:name w:val="toc 2"/>
    <w:basedOn w:val="Normal"/>
    <w:next w:val="Normal"/>
    <w:unhideWhenUsed/>
    <w:rsid w:val="1169E4D9"/>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87197578" /><Relationship Type="http://schemas.microsoft.com/office/2020/10/relationships/intelligence" Target="intelligence2.xml" Id="Rad36b80f0aaa4c6c" /><Relationship Type="http://schemas.openxmlformats.org/officeDocument/2006/relationships/numbering" Target="numbering.xml" Id="R6a1e5889d4b94f7b" /><Relationship Type="http://schemas.openxmlformats.org/officeDocument/2006/relationships/hyperlink" Target="https://chatgpt.com/g/g-kZ0eYXlJe-scholar-gpt/c/681fcec3-c9a4-8003-b995-6486f6710135" TargetMode="External" Id="R56a14ac2ebd64299" /><Relationship Type="http://schemas.openxmlformats.org/officeDocument/2006/relationships/hyperlink" Target="https://app.grammarly.com/ddocs/2821679710" TargetMode="External" Id="Rc8407f4ea890423f" /><Relationship Type="http://schemas.openxmlformats.org/officeDocument/2006/relationships/hyperlink" Target="https://doi.org/10.2307/3250961" TargetMode="External" Id="R92bccd598ca94a17" /><Relationship Type="http://schemas.openxmlformats.org/officeDocument/2006/relationships/hyperlink" Target="https://doi.org/10.1177/014920639101700108" TargetMode="External" Id="R7a17d6db71e0479c" /><Relationship Type="http://schemas.openxmlformats.org/officeDocument/2006/relationships/hyperlink" Target="https://doi.org/10.1007/s13132-019-00588-2" TargetMode="External" Id="R6f99379c92cc4711" /><Relationship Type="http://schemas.openxmlformats.org/officeDocument/2006/relationships/hyperlink" Target="https://ico.org.uk/for-organisations/guide-to-data-protection/guide-to-the-general-data-protection-regulation-gdpr/" TargetMode="External" Id="R73970b3651694d73" /><Relationship Type="http://schemas.openxmlformats.org/officeDocument/2006/relationships/hyperlink" Target="https://doi.org/10.1177/0165551506070706" TargetMode="External" Id="R0d6b6454338144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2025-05-07T21:40:46.3676148Z</dcterms:created>
  <dcterms:modified xsi:type="dcterms:W3CDTF">2025-05-10T22:40:08.7051554Z</dcterms:modified>
  <dc:creator>Scott Morgan (2319551)</dc:creator>
  <lastModifiedBy>Scott Morgan (2319551)</lastModifiedBy>
</coreProperties>
</file>