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34DFE" w:rsidRPr="0047027F" w:rsidRDefault="00434DFE" w:rsidP="005D48FA">
      <w:pPr>
        <w:spacing w:before="240" w:after="240" w:line="360" w:lineRule="auto"/>
        <w:jc w:val="center"/>
        <w:rPr>
          <w:rFonts w:ascii="Arial" w:eastAsia="Calibri" w:hAnsi="Arial" w:cs="Arial"/>
          <w:b/>
          <w:bCs/>
          <w:sz w:val="22"/>
          <w:szCs w:val="22"/>
        </w:rPr>
      </w:pPr>
    </w:p>
    <w:p w14:paraId="00000002" w14:textId="77777777" w:rsidR="00434DFE" w:rsidRPr="0047027F" w:rsidRDefault="00000000" w:rsidP="005D48FA">
      <w:pPr>
        <w:spacing w:before="240" w:after="240" w:line="360" w:lineRule="auto"/>
        <w:jc w:val="center"/>
        <w:rPr>
          <w:rFonts w:ascii="Arial" w:eastAsia="Calibri" w:hAnsi="Arial" w:cs="Arial"/>
          <w:b/>
          <w:bCs/>
          <w:sz w:val="22"/>
          <w:szCs w:val="22"/>
        </w:rPr>
      </w:pPr>
      <w:r w:rsidRPr="0047027F">
        <w:rPr>
          <w:rFonts w:ascii="Arial" w:eastAsia="Calibri" w:hAnsi="Arial" w:cs="Arial"/>
          <w:b/>
          <w:bCs/>
          <w:sz w:val="22"/>
          <w:szCs w:val="22"/>
        </w:rPr>
        <w:t>Programme:  BSc (Hons) Health and Social Care</w:t>
      </w:r>
    </w:p>
    <w:p w14:paraId="00000003" w14:textId="77777777" w:rsidR="00434DFE" w:rsidRPr="0047027F" w:rsidRDefault="00000000" w:rsidP="005D48FA">
      <w:pPr>
        <w:spacing w:before="240" w:after="240" w:line="360" w:lineRule="auto"/>
        <w:jc w:val="center"/>
        <w:rPr>
          <w:rFonts w:ascii="Arial" w:eastAsia="Calibri" w:hAnsi="Arial" w:cs="Arial"/>
          <w:b/>
          <w:bCs/>
          <w:sz w:val="22"/>
          <w:szCs w:val="22"/>
        </w:rPr>
      </w:pPr>
      <w:r w:rsidRPr="0047027F">
        <w:rPr>
          <w:rFonts w:ascii="Arial" w:eastAsia="Calibri" w:hAnsi="Arial" w:cs="Arial"/>
          <w:b/>
          <w:bCs/>
          <w:sz w:val="22"/>
          <w:szCs w:val="22"/>
        </w:rPr>
        <w:t>Module: Digital Transformation in the Health and Care Professions</w:t>
      </w:r>
    </w:p>
    <w:p w14:paraId="00000004" w14:textId="77777777" w:rsidR="00434DFE" w:rsidRPr="0047027F" w:rsidRDefault="00000000" w:rsidP="005D48FA">
      <w:pPr>
        <w:spacing w:before="240" w:after="240" w:line="360" w:lineRule="auto"/>
        <w:jc w:val="center"/>
        <w:rPr>
          <w:rFonts w:ascii="Arial" w:eastAsia="Calibri" w:hAnsi="Arial" w:cs="Arial"/>
          <w:b/>
          <w:bCs/>
          <w:sz w:val="22"/>
          <w:szCs w:val="22"/>
        </w:rPr>
      </w:pPr>
      <w:r w:rsidRPr="0047027F">
        <w:rPr>
          <w:rFonts w:ascii="Arial" w:eastAsia="Calibri" w:hAnsi="Arial" w:cs="Arial"/>
          <w:b/>
          <w:bCs/>
          <w:sz w:val="22"/>
          <w:szCs w:val="22"/>
        </w:rPr>
        <w:t>Module Code: BMHP6026, Component 1</w:t>
      </w:r>
    </w:p>
    <w:p w14:paraId="00000005" w14:textId="77777777" w:rsidR="00434DFE" w:rsidRPr="0047027F" w:rsidRDefault="00434DFE" w:rsidP="005D48FA">
      <w:pPr>
        <w:spacing w:before="240" w:after="240" w:line="360" w:lineRule="auto"/>
        <w:jc w:val="center"/>
        <w:rPr>
          <w:rFonts w:ascii="Arial" w:eastAsia="Calibri" w:hAnsi="Arial" w:cs="Arial"/>
          <w:b/>
          <w:bCs/>
          <w:sz w:val="22"/>
          <w:szCs w:val="22"/>
        </w:rPr>
      </w:pPr>
    </w:p>
    <w:p w14:paraId="00000006" w14:textId="77777777" w:rsidR="00434DFE" w:rsidRPr="0047027F" w:rsidRDefault="00000000" w:rsidP="005D48FA">
      <w:pPr>
        <w:spacing w:before="240" w:after="240" w:line="360" w:lineRule="auto"/>
        <w:jc w:val="center"/>
        <w:rPr>
          <w:rFonts w:ascii="Arial" w:eastAsia="Calibri" w:hAnsi="Arial" w:cs="Arial"/>
          <w:b/>
          <w:bCs/>
          <w:sz w:val="22"/>
          <w:szCs w:val="22"/>
        </w:rPr>
      </w:pPr>
      <w:r w:rsidRPr="0047027F">
        <w:rPr>
          <w:rFonts w:ascii="Arial" w:eastAsia="Calibri" w:hAnsi="Arial" w:cs="Arial"/>
          <w:b/>
          <w:bCs/>
          <w:sz w:val="22"/>
          <w:szCs w:val="22"/>
        </w:rPr>
        <w:t>Assignment title: Digital Innovation in Healthcare UK.</w:t>
      </w:r>
    </w:p>
    <w:p w14:paraId="00000007" w14:textId="77777777" w:rsidR="00434DFE" w:rsidRPr="0047027F" w:rsidRDefault="00434DFE" w:rsidP="005D48FA">
      <w:pPr>
        <w:spacing w:before="240" w:after="240" w:line="360" w:lineRule="auto"/>
        <w:rPr>
          <w:rFonts w:ascii="Arial" w:eastAsia="Calibri" w:hAnsi="Arial" w:cs="Arial"/>
          <w:b/>
          <w:bCs/>
          <w:sz w:val="22"/>
          <w:szCs w:val="22"/>
        </w:rPr>
      </w:pPr>
    </w:p>
    <w:p w14:paraId="00000008" w14:textId="77777777" w:rsidR="00434DFE" w:rsidRPr="0047027F" w:rsidRDefault="00434DFE" w:rsidP="005D48FA">
      <w:pPr>
        <w:spacing w:before="240" w:after="240" w:line="360" w:lineRule="auto"/>
        <w:jc w:val="center"/>
        <w:rPr>
          <w:rFonts w:ascii="Arial" w:eastAsia="Calibri" w:hAnsi="Arial" w:cs="Arial"/>
          <w:b/>
          <w:bCs/>
          <w:sz w:val="22"/>
          <w:szCs w:val="22"/>
        </w:rPr>
      </w:pPr>
    </w:p>
    <w:p w14:paraId="00000009" w14:textId="77777777" w:rsidR="00434DFE" w:rsidRPr="0047027F" w:rsidRDefault="00000000" w:rsidP="005D48FA">
      <w:pPr>
        <w:spacing w:before="240" w:after="240" w:line="360" w:lineRule="auto"/>
        <w:jc w:val="center"/>
        <w:rPr>
          <w:rFonts w:ascii="Arial" w:eastAsia="Calibri" w:hAnsi="Arial" w:cs="Arial"/>
          <w:b/>
          <w:bCs/>
          <w:sz w:val="22"/>
          <w:szCs w:val="22"/>
        </w:rPr>
      </w:pPr>
      <w:r w:rsidRPr="0047027F">
        <w:rPr>
          <w:rFonts w:ascii="Arial" w:eastAsia="Calibri" w:hAnsi="Arial" w:cs="Arial"/>
          <w:b/>
          <w:bCs/>
          <w:sz w:val="22"/>
          <w:szCs w:val="22"/>
        </w:rPr>
        <w:t>Lecturer’s name: Zakiyyah Ahmed</w:t>
      </w:r>
    </w:p>
    <w:p w14:paraId="0000000A" w14:textId="77777777" w:rsidR="00434DFE" w:rsidRPr="0047027F" w:rsidRDefault="00000000" w:rsidP="005D48FA">
      <w:pPr>
        <w:spacing w:before="240" w:after="240" w:line="360" w:lineRule="auto"/>
        <w:jc w:val="center"/>
        <w:rPr>
          <w:rFonts w:ascii="Arial" w:eastAsia="Calibri" w:hAnsi="Arial" w:cs="Arial"/>
          <w:b/>
          <w:bCs/>
          <w:sz w:val="22"/>
          <w:szCs w:val="22"/>
        </w:rPr>
      </w:pPr>
      <w:r w:rsidRPr="0047027F">
        <w:rPr>
          <w:rFonts w:ascii="Arial" w:eastAsia="Calibri" w:hAnsi="Arial" w:cs="Arial"/>
          <w:b/>
          <w:bCs/>
          <w:sz w:val="22"/>
          <w:szCs w:val="22"/>
        </w:rPr>
        <w:t>Student name: Alina-Elena Adavidoaie</w:t>
      </w:r>
    </w:p>
    <w:p w14:paraId="18C88E94" w14:textId="2F6539BC" w:rsidR="0078019A" w:rsidRDefault="00000000" w:rsidP="0078019A">
      <w:pPr>
        <w:spacing w:before="240" w:after="240" w:line="360" w:lineRule="auto"/>
        <w:jc w:val="center"/>
        <w:rPr>
          <w:rFonts w:ascii="Arial" w:hAnsi="Arial" w:cs="Arial"/>
          <w:sz w:val="22"/>
          <w:szCs w:val="22"/>
        </w:rPr>
      </w:pPr>
      <w:r w:rsidRPr="0047027F">
        <w:rPr>
          <w:rFonts w:ascii="Arial" w:eastAsia="Calibri" w:hAnsi="Arial" w:cs="Arial"/>
          <w:b/>
          <w:bCs/>
          <w:sz w:val="22"/>
          <w:szCs w:val="22"/>
        </w:rPr>
        <w:t>Student Id: 2324349</w:t>
      </w:r>
    </w:p>
    <w:p w14:paraId="5964A089" w14:textId="77777777" w:rsidR="0078019A" w:rsidRDefault="0078019A">
      <w:pPr>
        <w:rPr>
          <w:rFonts w:ascii="Arial" w:hAnsi="Arial" w:cs="Arial"/>
          <w:sz w:val="22"/>
          <w:szCs w:val="22"/>
        </w:rPr>
      </w:pPr>
      <w:r>
        <w:rPr>
          <w:rFonts w:ascii="Arial" w:hAnsi="Arial" w:cs="Arial"/>
          <w:sz w:val="22"/>
          <w:szCs w:val="22"/>
        </w:rPr>
        <w:br w:type="page"/>
      </w:r>
    </w:p>
    <w:p w14:paraId="046F9BB0" w14:textId="77777777" w:rsidR="0078019A" w:rsidRDefault="0078019A" w:rsidP="0078019A">
      <w:pPr>
        <w:spacing w:line="360" w:lineRule="auto"/>
        <w:rPr>
          <w:rFonts w:ascii="Arial" w:eastAsia="Play" w:hAnsi="Arial" w:cs="Play"/>
          <w:b/>
          <w:color w:val="000000" w:themeColor="text1"/>
          <w:sz w:val="22"/>
          <w:szCs w:val="40"/>
        </w:rPr>
      </w:pPr>
    </w:p>
    <w:sdt>
      <w:sdtPr>
        <w:id w:val="-1341396791"/>
        <w:docPartObj>
          <w:docPartGallery w:val="Table of Contents"/>
          <w:docPartUnique/>
        </w:docPartObj>
      </w:sdtPr>
      <w:sdtEndPr>
        <w:rPr>
          <w:rFonts w:ascii="Aptos" w:eastAsia="Aptos" w:hAnsi="Aptos" w:cs="Aptos"/>
          <w:b/>
          <w:bCs/>
          <w:noProof/>
          <w:color w:val="auto"/>
          <w:sz w:val="24"/>
          <w:szCs w:val="24"/>
          <w:lang w:val="en-GB" w:eastAsia="en-IN"/>
        </w:rPr>
      </w:sdtEndPr>
      <w:sdtContent>
        <w:p w14:paraId="48B46257" w14:textId="77777777" w:rsidR="0078019A" w:rsidRPr="005D48FA" w:rsidRDefault="0078019A" w:rsidP="0078019A">
          <w:pPr>
            <w:pStyle w:val="TOCHeading"/>
            <w:spacing w:line="360" w:lineRule="auto"/>
            <w:rPr>
              <w:rFonts w:ascii="Arial" w:hAnsi="Arial" w:cs="Arial"/>
              <w:b/>
              <w:bCs/>
              <w:color w:val="000000" w:themeColor="text1"/>
              <w:sz w:val="22"/>
              <w:szCs w:val="22"/>
            </w:rPr>
          </w:pPr>
          <w:r w:rsidRPr="005D48FA">
            <w:rPr>
              <w:rFonts w:ascii="Arial" w:hAnsi="Arial" w:cs="Arial"/>
              <w:b/>
              <w:bCs/>
              <w:color w:val="000000" w:themeColor="text1"/>
              <w:sz w:val="22"/>
              <w:szCs w:val="22"/>
            </w:rPr>
            <w:t>Table of Contents</w:t>
          </w:r>
        </w:p>
        <w:p w14:paraId="4B2D6E4F" w14:textId="77777777" w:rsidR="0078019A" w:rsidRPr="005D48FA" w:rsidRDefault="0078019A" w:rsidP="0078019A">
          <w:pPr>
            <w:pStyle w:val="TOC1"/>
            <w:tabs>
              <w:tab w:val="right" w:leader="dot" w:pos="9016"/>
            </w:tabs>
            <w:spacing w:line="360" w:lineRule="auto"/>
            <w:rPr>
              <w:rFonts w:ascii="Arial" w:hAnsi="Arial" w:cs="Arial"/>
              <w:noProof/>
              <w:sz w:val="22"/>
              <w:szCs w:val="22"/>
            </w:rPr>
          </w:pPr>
          <w:r w:rsidRPr="005D48FA">
            <w:rPr>
              <w:rFonts w:ascii="Arial" w:hAnsi="Arial" w:cs="Arial"/>
              <w:sz w:val="22"/>
              <w:szCs w:val="22"/>
            </w:rPr>
            <w:fldChar w:fldCharType="begin"/>
          </w:r>
          <w:r w:rsidRPr="005D48FA">
            <w:rPr>
              <w:rFonts w:ascii="Arial" w:hAnsi="Arial" w:cs="Arial"/>
              <w:sz w:val="22"/>
              <w:szCs w:val="22"/>
            </w:rPr>
            <w:instrText xml:space="preserve"> TOC \o "1-3" \h \z \u </w:instrText>
          </w:r>
          <w:r w:rsidRPr="005D48FA">
            <w:rPr>
              <w:rFonts w:ascii="Arial" w:hAnsi="Arial" w:cs="Arial"/>
              <w:sz w:val="22"/>
              <w:szCs w:val="22"/>
            </w:rPr>
            <w:fldChar w:fldCharType="separate"/>
          </w:r>
          <w:hyperlink w:anchor="_Toc233937129" w:history="1">
            <w:r w:rsidRPr="005D48FA">
              <w:rPr>
                <w:rStyle w:val="Hyperlink"/>
                <w:rFonts w:ascii="Arial" w:hAnsi="Arial" w:cs="Arial"/>
                <w:noProof/>
                <w:sz w:val="22"/>
                <w:szCs w:val="22"/>
              </w:rPr>
              <w:t>Introduction</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_Toc233937129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3</w:t>
            </w:r>
            <w:r w:rsidRPr="005D48FA">
              <w:rPr>
                <w:rFonts w:ascii="Arial" w:hAnsi="Arial" w:cs="Arial"/>
                <w:noProof/>
                <w:webHidden/>
                <w:sz w:val="22"/>
                <w:szCs w:val="22"/>
              </w:rPr>
              <w:fldChar w:fldCharType="end"/>
            </w:r>
          </w:hyperlink>
        </w:p>
        <w:p w14:paraId="28EDAA36" w14:textId="77777777" w:rsidR="0078019A" w:rsidRPr="005D48FA" w:rsidRDefault="0078019A" w:rsidP="0078019A">
          <w:pPr>
            <w:pStyle w:val="TOC1"/>
            <w:tabs>
              <w:tab w:val="right" w:leader="dot" w:pos="9016"/>
            </w:tabs>
            <w:spacing w:line="360" w:lineRule="auto"/>
            <w:rPr>
              <w:rFonts w:ascii="Arial" w:hAnsi="Arial" w:cs="Arial"/>
              <w:noProof/>
              <w:sz w:val="22"/>
              <w:szCs w:val="22"/>
            </w:rPr>
          </w:pPr>
          <w:hyperlink w:anchor="_Toc233937130" w:history="1">
            <w:r w:rsidRPr="005D48FA">
              <w:rPr>
                <w:rStyle w:val="Hyperlink"/>
                <w:rFonts w:ascii="Arial" w:hAnsi="Arial" w:cs="Arial"/>
                <w:noProof/>
                <w:sz w:val="22"/>
                <w:szCs w:val="22"/>
              </w:rPr>
              <w:t>Overview of the NHS App</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_Toc233937130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3</w:t>
            </w:r>
            <w:r w:rsidRPr="005D48FA">
              <w:rPr>
                <w:rFonts w:ascii="Arial" w:hAnsi="Arial" w:cs="Arial"/>
                <w:noProof/>
                <w:webHidden/>
                <w:sz w:val="22"/>
                <w:szCs w:val="22"/>
              </w:rPr>
              <w:fldChar w:fldCharType="end"/>
            </w:r>
          </w:hyperlink>
        </w:p>
        <w:p w14:paraId="40A7A778" w14:textId="77777777" w:rsidR="0078019A" w:rsidRPr="005D48FA" w:rsidRDefault="0078019A" w:rsidP="0078019A">
          <w:pPr>
            <w:pStyle w:val="TOC1"/>
            <w:tabs>
              <w:tab w:val="right" w:leader="dot" w:pos="9016"/>
            </w:tabs>
            <w:spacing w:line="360" w:lineRule="auto"/>
            <w:rPr>
              <w:rFonts w:ascii="Arial" w:hAnsi="Arial" w:cs="Arial"/>
              <w:noProof/>
              <w:sz w:val="22"/>
              <w:szCs w:val="22"/>
            </w:rPr>
          </w:pPr>
          <w:hyperlink w:anchor="_Toc233937131" w:history="1">
            <w:r w:rsidRPr="005D48FA">
              <w:rPr>
                <w:rStyle w:val="Hyperlink"/>
                <w:rFonts w:ascii="Arial" w:hAnsi="Arial" w:cs="Arial"/>
                <w:noProof/>
                <w:sz w:val="22"/>
                <w:szCs w:val="22"/>
              </w:rPr>
              <w:t>Impact on Workforce</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_Toc233937131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3</w:t>
            </w:r>
            <w:r w:rsidRPr="005D48FA">
              <w:rPr>
                <w:rFonts w:ascii="Arial" w:hAnsi="Arial" w:cs="Arial"/>
                <w:noProof/>
                <w:webHidden/>
                <w:sz w:val="22"/>
                <w:szCs w:val="22"/>
              </w:rPr>
              <w:fldChar w:fldCharType="end"/>
            </w:r>
          </w:hyperlink>
        </w:p>
        <w:p w14:paraId="7AD075DD" w14:textId="77777777" w:rsidR="0078019A" w:rsidRPr="005D48FA" w:rsidRDefault="0078019A" w:rsidP="0078019A">
          <w:pPr>
            <w:pStyle w:val="TOC1"/>
            <w:tabs>
              <w:tab w:val="right" w:leader="dot" w:pos="9016"/>
            </w:tabs>
            <w:spacing w:line="360" w:lineRule="auto"/>
            <w:rPr>
              <w:rFonts w:ascii="Arial" w:hAnsi="Arial" w:cs="Arial"/>
              <w:noProof/>
              <w:sz w:val="22"/>
              <w:szCs w:val="22"/>
            </w:rPr>
          </w:pPr>
          <w:hyperlink w:anchor="_Toc233937132" w:history="1">
            <w:r w:rsidRPr="005D48FA">
              <w:rPr>
                <w:rStyle w:val="Hyperlink"/>
                <w:rFonts w:ascii="Arial" w:hAnsi="Arial" w:cs="Arial"/>
                <w:noProof/>
                <w:sz w:val="22"/>
                <w:szCs w:val="22"/>
              </w:rPr>
              <w:t>Impact on Service Delivery</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_Toc233937132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4</w:t>
            </w:r>
            <w:r w:rsidRPr="005D48FA">
              <w:rPr>
                <w:rFonts w:ascii="Arial" w:hAnsi="Arial" w:cs="Arial"/>
                <w:noProof/>
                <w:webHidden/>
                <w:sz w:val="22"/>
                <w:szCs w:val="22"/>
              </w:rPr>
              <w:fldChar w:fldCharType="end"/>
            </w:r>
          </w:hyperlink>
        </w:p>
        <w:p w14:paraId="2A46A63C" w14:textId="77777777" w:rsidR="0078019A" w:rsidRPr="005D48FA" w:rsidRDefault="0078019A" w:rsidP="0078019A">
          <w:pPr>
            <w:pStyle w:val="TOC1"/>
            <w:tabs>
              <w:tab w:val="right" w:leader="dot" w:pos="9016"/>
            </w:tabs>
            <w:spacing w:line="360" w:lineRule="auto"/>
            <w:rPr>
              <w:rFonts w:ascii="Arial" w:hAnsi="Arial" w:cs="Arial"/>
              <w:noProof/>
              <w:sz w:val="22"/>
              <w:szCs w:val="22"/>
            </w:rPr>
          </w:pPr>
          <w:hyperlink w:anchor="_Toc233937133" w:history="1">
            <w:r w:rsidRPr="005D48FA">
              <w:rPr>
                <w:rStyle w:val="Hyperlink"/>
                <w:rFonts w:ascii="Arial" w:hAnsi="Arial" w:cs="Arial"/>
                <w:noProof/>
                <w:sz w:val="22"/>
                <w:szCs w:val="22"/>
              </w:rPr>
              <w:t>Impact on Patients</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_Toc233937133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5</w:t>
            </w:r>
            <w:r w:rsidRPr="005D48FA">
              <w:rPr>
                <w:rFonts w:ascii="Arial" w:hAnsi="Arial" w:cs="Arial"/>
                <w:noProof/>
                <w:webHidden/>
                <w:sz w:val="22"/>
                <w:szCs w:val="22"/>
              </w:rPr>
              <w:fldChar w:fldCharType="end"/>
            </w:r>
          </w:hyperlink>
        </w:p>
        <w:p w14:paraId="73640484" w14:textId="77777777" w:rsidR="0078019A" w:rsidRPr="005D48FA" w:rsidRDefault="0078019A" w:rsidP="0078019A">
          <w:pPr>
            <w:pStyle w:val="TOC1"/>
            <w:tabs>
              <w:tab w:val="right" w:leader="dot" w:pos="9016"/>
            </w:tabs>
            <w:spacing w:line="360" w:lineRule="auto"/>
            <w:rPr>
              <w:rFonts w:ascii="Arial" w:hAnsi="Arial" w:cs="Arial"/>
              <w:noProof/>
              <w:sz w:val="22"/>
              <w:szCs w:val="22"/>
            </w:rPr>
          </w:pPr>
          <w:hyperlink w:anchor="_Toc233937134" w:history="1">
            <w:r w:rsidRPr="005D48FA">
              <w:rPr>
                <w:rStyle w:val="Hyperlink"/>
                <w:rFonts w:ascii="Arial" w:hAnsi="Arial" w:cs="Arial"/>
                <w:noProof/>
                <w:sz w:val="22"/>
                <w:szCs w:val="22"/>
              </w:rPr>
              <w:t>Impact on Community and Public Health</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_Toc233937134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6</w:t>
            </w:r>
            <w:r w:rsidRPr="005D48FA">
              <w:rPr>
                <w:rFonts w:ascii="Arial" w:hAnsi="Arial" w:cs="Arial"/>
                <w:noProof/>
                <w:webHidden/>
                <w:sz w:val="22"/>
                <w:szCs w:val="22"/>
              </w:rPr>
              <w:fldChar w:fldCharType="end"/>
            </w:r>
          </w:hyperlink>
        </w:p>
        <w:p w14:paraId="5F0E290C" w14:textId="77777777" w:rsidR="0078019A" w:rsidRPr="005D48FA" w:rsidRDefault="0078019A" w:rsidP="0078019A">
          <w:pPr>
            <w:pStyle w:val="TOC1"/>
            <w:tabs>
              <w:tab w:val="right" w:leader="dot" w:pos="9016"/>
            </w:tabs>
            <w:spacing w:line="360" w:lineRule="auto"/>
            <w:rPr>
              <w:rFonts w:ascii="Arial" w:hAnsi="Arial" w:cs="Arial"/>
              <w:noProof/>
              <w:sz w:val="22"/>
              <w:szCs w:val="22"/>
            </w:rPr>
          </w:pPr>
          <w:hyperlink w:anchor="_Toc233937135" w:history="1">
            <w:r w:rsidRPr="005D48FA">
              <w:rPr>
                <w:rStyle w:val="Hyperlink"/>
                <w:rFonts w:ascii="Arial" w:hAnsi="Arial" w:cs="Arial"/>
                <w:noProof/>
                <w:sz w:val="22"/>
                <w:szCs w:val="22"/>
              </w:rPr>
              <w:t>Policy, Legal and Ethical Issues</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_Toc233937135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6</w:t>
            </w:r>
            <w:r w:rsidRPr="005D48FA">
              <w:rPr>
                <w:rFonts w:ascii="Arial" w:hAnsi="Arial" w:cs="Arial"/>
                <w:noProof/>
                <w:webHidden/>
                <w:sz w:val="22"/>
                <w:szCs w:val="22"/>
              </w:rPr>
              <w:fldChar w:fldCharType="end"/>
            </w:r>
          </w:hyperlink>
        </w:p>
        <w:p w14:paraId="3D499D2F" w14:textId="77777777" w:rsidR="0078019A" w:rsidRPr="005D48FA" w:rsidRDefault="0078019A" w:rsidP="0078019A">
          <w:pPr>
            <w:pStyle w:val="TOC1"/>
            <w:tabs>
              <w:tab w:val="right" w:leader="dot" w:pos="9016"/>
            </w:tabs>
            <w:spacing w:line="360" w:lineRule="auto"/>
            <w:rPr>
              <w:rFonts w:ascii="Arial" w:hAnsi="Arial" w:cs="Arial"/>
              <w:noProof/>
              <w:sz w:val="22"/>
              <w:szCs w:val="22"/>
            </w:rPr>
          </w:pPr>
          <w:hyperlink w:anchor="_Toc233937136" w:history="1">
            <w:r w:rsidRPr="005D48FA">
              <w:rPr>
                <w:rStyle w:val="Hyperlink"/>
                <w:rFonts w:ascii="Arial" w:hAnsi="Arial" w:cs="Arial"/>
                <w:noProof/>
                <w:sz w:val="22"/>
                <w:szCs w:val="22"/>
              </w:rPr>
              <w:t>Critical Evaluation</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_Toc233937136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7</w:t>
            </w:r>
            <w:r w:rsidRPr="005D48FA">
              <w:rPr>
                <w:rFonts w:ascii="Arial" w:hAnsi="Arial" w:cs="Arial"/>
                <w:noProof/>
                <w:webHidden/>
                <w:sz w:val="22"/>
                <w:szCs w:val="22"/>
              </w:rPr>
              <w:fldChar w:fldCharType="end"/>
            </w:r>
          </w:hyperlink>
        </w:p>
        <w:p w14:paraId="4C1FD629" w14:textId="77777777" w:rsidR="0078019A" w:rsidRPr="005D48FA" w:rsidRDefault="0078019A" w:rsidP="0078019A">
          <w:pPr>
            <w:pStyle w:val="TOC1"/>
            <w:tabs>
              <w:tab w:val="right" w:leader="dot" w:pos="9016"/>
            </w:tabs>
            <w:spacing w:line="360" w:lineRule="auto"/>
            <w:rPr>
              <w:rFonts w:ascii="Arial" w:hAnsi="Arial" w:cs="Arial"/>
              <w:noProof/>
              <w:sz w:val="22"/>
              <w:szCs w:val="22"/>
            </w:rPr>
          </w:pPr>
          <w:hyperlink w:anchor="_Toc233937137" w:history="1">
            <w:r w:rsidRPr="005D48FA">
              <w:rPr>
                <w:rStyle w:val="Hyperlink"/>
                <w:rFonts w:ascii="Arial" w:hAnsi="Arial" w:cs="Arial"/>
                <w:noProof/>
                <w:sz w:val="22"/>
                <w:szCs w:val="22"/>
              </w:rPr>
              <w:t>Conclusion</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_Toc233937137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7</w:t>
            </w:r>
            <w:r w:rsidRPr="005D48FA">
              <w:rPr>
                <w:rFonts w:ascii="Arial" w:hAnsi="Arial" w:cs="Arial"/>
                <w:noProof/>
                <w:webHidden/>
                <w:sz w:val="22"/>
                <w:szCs w:val="22"/>
              </w:rPr>
              <w:fldChar w:fldCharType="end"/>
            </w:r>
          </w:hyperlink>
        </w:p>
        <w:p w14:paraId="7C67C4AC" w14:textId="77777777" w:rsidR="0078019A" w:rsidRPr="005D48FA" w:rsidRDefault="0078019A" w:rsidP="0078019A">
          <w:pPr>
            <w:pStyle w:val="TOC1"/>
            <w:tabs>
              <w:tab w:val="right" w:leader="dot" w:pos="9016"/>
            </w:tabs>
            <w:spacing w:line="360" w:lineRule="auto"/>
            <w:rPr>
              <w:rFonts w:ascii="Arial" w:hAnsi="Arial" w:cs="Arial"/>
              <w:noProof/>
              <w:sz w:val="22"/>
              <w:szCs w:val="22"/>
            </w:rPr>
          </w:pPr>
          <w:hyperlink w:anchor="_Toc233937138" w:history="1">
            <w:r w:rsidRPr="005D48FA">
              <w:rPr>
                <w:rStyle w:val="Hyperlink"/>
                <w:rFonts w:ascii="Arial" w:hAnsi="Arial" w:cs="Arial"/>
                <w:noProof/>
                <w:sz w:val="22"/>
                <w:szCs w:val="22"/>
              </w:rPr>
              <w:t>References</w:t>
            </w:r>
            <w:r w:rsidRPr="005D48FA">
              <w:rPr>
                <w:rFonts w:ascii="Arial" w:hAnsi="Arial" w:cs="Arial"/>
                <w:noProof/>
                <w:webHidden/>
                <w:sz w:val="22"/>
                <w:szCs w:val="22"/>
              </w:rPr>
              <w:tab/>
            </w:r>
            <w:r w:rsidRPr="005D48FA">
              <w:rPr>
                <w:rFonts w:ascii="Arial" w:hAnsi="Arial" w:cs="Arial"/>
                <w:noProof/>
                <w:webHidden/>
                <w:sz w:val="22"/>
                <w:szCs w:val="22"/>
              </w:rPr>
              <w:fldChar w:fldCharType="begin"/>
            </w:r>
            <w:r w:rsidRPr="005D48FA">
              <w:rPr>
                <w:rFonts w:ascii="Arial" w:hAnsi="Arial" w:cs="Arial"/>
                <w:noProof/>
                <w:webHidden/>
                <w:sz w:val="22"/>
                <w:szCs w:val="22"/>
              </w:rPr>
              <w:instrText xml:space="preserve"> PAGEREF _Toc233937138 \h </w:instrText>
            </w:r>
            <w:r w:rsidRPr="005D48FA">
              <w:rPr>
                <w:rFonts w:ascii="Arial" w:hAnsi="Arial" w:cs="Arial"/>
                <w:noProof/>
                <w:webHidden/>
                <w:sz w:val="22"/>
                <w:szCs w:val="22"/>
              </w:rPr>
            </w:r>
            <w:r w:rsidRPr="005D48FA">
              <w:rPr>
                <w:rFonts w:ascii="Arial" w:hAnsi="Arial" w:cs="Arial"/>
                <w:noProof/>
                <w:webHidden/>
                <w:sz w:val="22"/>
                <w:szCs w:val="22"/>
              </w:rPr>
              <w:fldChar w:fldCharType="separate"/>
            </w:r>
            <w:r w:rsidRPr="005D48FA">
              <w:rPr>
                <w:rFonts w:ascii="Arial" w:hAnsi="Arial" w:cs="Arial"/>
                <w:noProof/>
                <w:webHidden/>
                <w:sz w:val="22"/>
                <w:szCs w:val="22"/>
              </w:rPr>
              <w:t>8</w:t>
            </w:r>
            <w:r w:rsidRPr="005D48FA">
              <w:rPr>
                <w:rFonts w:ascii="Arial" w:hAnsi="Arial" w:cs="Arial"/>
                <w:noProof/>
                <w:webHidden/>
                <w:sz w:val="22"/>
                <w:szCs w:val="22"/>
              </w:rPr>
              <w:fldChar w:fldCharType="end"/>
            </w:r>
          </w:hyperlink>
        </w:p>
        <w:p w14:paraId="0053F185" w14:textId="33F0FC43" w:rsidR="005D48FA" w:rsidRPr="0078019A" w:rsidRDefault="0078019A" w:rsidP="0078019A">
          <w:pPr>
            <w:spacing w:before="240" w:after="240" w:line="360" w:lineRule="auto"/>
            <w:jc w:val="center"/>
            <w:rPr>
              <w:rFonts w:ascii="Arial" w:eastAsia="Calibri" w:hAnsi="Arial" w:cs="Arial"/>
              <w:b/>
              <w:bCs/>
              <w:sz w:val="22"/>
              <w:szCs w:val="22"/>
            </w:rPr>
          </w:pPr>
          <w:r w:rsidRPr="005D48FA">
            <w:rPr>
              <w:rFonts w:ascii="Arial" w:hAnsi="Arial" w:cs="Arial"/>
              <w:b/>
              <w:bCs/>
              <w:noProof/>
              <w:sz w:val="22"/>
              <w:szCs w:val="22"/>
            </w:rPr>
            <w:fldChar w:fldCharType="end"/>
          </w:r>
        </w:p>
      </w:sdtContent>
    </w:sdt>
    <w:p w14:paraId="223C3B4A" w14:textId="77777777" w:rsidR="005D48FA" w:rsidRDefault="005D48FA" w:rsidP="005D48FA">
      <w:pPr>
        <w:spacing w:line="360" w:lineRule="auto"/>
        <w:rPr>
          <w:rFonts w:ascii="Arial" w:eastAsia="Play" w:hAnsi="Arial" w:cs="Play"/>
          <w:b/>
          <w:color w:val="000000" w:themeColor="text1"/>
          <w:sz w:val="22"/>
          <w:szCs w:val="40"/>
        </w:rPr>
      </w:pPr>
      <w:bookmarkStart w:id="0" w:name="_Toc233937129"/>
      <w:r>
        <w:br w:type="page"/>
      </w:r>
    </w:p>
    <w:p w14:paraId="0000000C" w14:textId="6C0F4E50" w:rsidR="00434DFE" w:rsidRPr="0047027F" w:rsidRDefault="00000000" w:rsidP="005D48FA">
      <w:pPr>
        <w:pStyle w:val="Heading1"/>
        <w:rPr>
          <w:b w:val="0"/>
        </w:rPr>
      </w:pPr>
      <w:r w:rsidRPr="0047027F">
        <w:lastRenderedPageBreak/>
        <w:t>Introduction</w:t>
      </w:r>
      <w:bookmarkEnd w:id="0"/>
    </w:p>
    <w:p w14:paraId="0000000D" w14:textId="77777777" w:rsidR="00434DFE" w:rsidRPr="0047027F" w:rsidRDefault="00000000" w:rsidP="005D48FA">
      <w:pPr>
        <w:spacing w:line="360" w:lineRule="auto"/>
        <w:jc w:val="both"/>
        <w:rPr>
          <w:rFonts w:ascii="Arial" w:eastAsia="Calibri" w:hAnsi="Arial" w:cs="Arial"/>
          <w:sz w:val="22"/>
          <w:szCs w:val="22"/>
        </w:rPr>
      </w:pPr>
      <w:r w:rsidRPr="0047027F">
        <w:rPr>
          <w:rFonts w:ascii="Arial" w:eastAsia="Calibri" w:hAnsi="Arial" w:cs="Arial"/>
          <w:color w:val="222222"/>
          <w:sz w:val="22"/>
          <w:szCs w:val="22"/>
        </w:rPr>
        <w:t xml:space="preserve">Digital transformation is the process of using digital technologies to enhance the quality, efficiency and access of healthcare using innovative digital solutions (NHS England, 2023). The NHS App was chosen in this report as it is also one of the most important and actively used digital innovations in healthcare in the UK. It allows patients to use a broad access to NHS services, such as appointment management, repeat prescriptions and health records, via a secure online platform (NHSApp, 2021). This report critically analyses the effect of the NHS App on the healthcare workforce, service delivery, patients and communities whilst taking into account its strengths and weaknesses. </w:t>
      </w:r>
    </w:p>
    <w:p w14:paraId="0000000E" w14:textId="77777777" w:rsidR="00434DFE" w:rsidRPr="0047027F" w:rsidRDefault="00000000" w:rsidP="005D48FA">
      <w:pPr>
        <w:pStyle w:val="Heading1"/>
      </w:pPr>
      <w:bookmarkStart w:id="1" w:name="_Toc233937130"/>
      <w:r w:rsidRPr="0047027F">
        <w:t>Overview of the NHS App</w:t>
      </w:r>
      <w:bookmarkEnd w:id="1"/>
    </w:p>
    <w:p w14:paraId="0000000F" w14:textId="77777777"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 xml:space="preserve">NHS App is the official digital healthcare application created by NHS England to enhance patients' access to healthcare services in addition to aiding the overall digital transformation of the NHS (Reidy et al., 2025). Since the application was launched in 2019, it has developed to offer not only simple online GP services but also become a digital platform where users can book and manage appointments, request repeat prescriptions, see test results, access GP health records, and receive NHS messages and control organ donation preferences (Reidy et al., 2025). The latest advances have increased the visibility of appointments, the tracking of prescriptions and the incorporation of digital services and the application is at the heart of the long-term digital strategy of the NHS. About two-thirds of hospital visits can now be made using the NHS App and many patients can now make, cancel or reschedule appointments online. </w:t>
      </w:r>
    </w:p>
    <w:p w14:paraId="00000010" w14:textId="77777777" w:rsidR="00434DFE" w:rsidRPr="0047027F" w:rsidRDefault="00000000" w:rsidP="005D48FA">
      <w:pPr>
        <w:spacing w:line="360" w:lineRule="auto"/>
        <w:jc w:val="both"/>
        <w:rPr>
          <w:rFonts w:ascii="Arial" w:eastAsia="Calibri" w:hAnsi="Arial" w:cs="Arial"/>
          <w:sz w:val="22"/>
          <w:szCs w:val="22"/>
        </w:rPr>
      </w:pPr>
      <w:r w:rsidRPr="0047027F">
        <w:rPr>
          <w:rFonts w:ascii="Arial" w:eastAsia="Calibri" w:hAnsi="Arial" w:cs="Arial"/>
          <w:color w:val="222222"/>
          <w:sz w:val="22"/>
          <w:szCs w:val="22"/>
        </w:rPr>
        <w:t xml:space="preserve">The NHS App, unlike the now-terminated NHS COVID-19 contact tracing application, which was only created to deal with a pandemic and was scrapped in 2023, is a permanent digital healthcare platform to support normal healthcare services (Faulkner-Gurstein and Wyatt, 2023). Its ongoing evolution shows that the NHS is dedicated to delivering patient-centred, digitally enabled, healthcare services to enhance access, efficacy and patient involvement. </w:t>
      </w:r>
    </w:p>
    <w:p w14:paraId="00000011" w14:textId="77777777" w:rsidR="00434DFE" w:rsidRPr="0047027F" w:rsidRDefault="00000000" w:rsidP="005D48FA">
      <w:pPr>
        <w:pStyle w:val="Heading1"/>
      </w:pPr>
      <w:bookmarkStart w:id="2" w:name="_Toc233937131"/>
      <w:r w:rsidRPr="0047027F">
        <w:t>Impact on Workforce</w:t>
      </w:r>
      <w:bookmarkEnd w:id="2"/>
      <w:r w:rsidRPr="0047027F">
        <w:t xml:space="preserve"> </w:t>
      </w:r>
    </w:p>
    <w:p w14:paraId="00000012" w14:textId="77777777"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 xml:space="preserve">The NHS App implementation has changed the healthcare workforce greatly as it enhanced the efficiency of the administration and facilitated a more efficient delivery of services. Conventionally, NHS employees used to use a lot of telephone calls, paper work and in-person administrative procedures to handle appointments, prescriptions and communication with patients. These numerous routine operations have been automated by the NHS App, which enables patients to book their own appointments, request repeat prescriptions and get test results (Reidy et al., 2025). As a result, administrative personnel will have less time to attend </w:t>
      </w:r>
      <w:r w:rsidRPr="0047027F">
        <w:rPr>
          <w:rFonts w:ascii="Arial" w:eastAsia="Calibri" w:hAnsi="Arial" w:cs="Arial"/>
          <w:color w:val="222222"/>
          <w:sz w:val="22"/>
          <w:szCs w:val="22"/>
        </w:rPr>
        <w:lastRenderedPageBreak/>
        <w:t xml:space="preserve">to standard requests and more time can be dedicated to complicated clinical and patient-care procedures. Government estimates show that the growth of NHS App services has already saved around 5.7 million workers time, which proves that the workforce can save a lot of efficiency (Gov.UK, 2025). </w:t>
      </w:r>
    </w:p>
    <w:p w14:paraId="00000013" w14:textId="77777777"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 xml:space="preserve">There is also enhanced cooperation between healthcare practitioners through digital communication (Mwogisi and Mambile,2025). Digital records, shared patient records and electronic messaging services enable faster information transfer and decrease delays and enhance continuity of care. The developments are part of the broader digital transformation plan of NHS England, intended to modernise the delivery of healthcare, and decrease the unnecessary administrative load. </w:t>
      </w:r>
    </w:p>
    <w:p w14:paraId="00000014" w14:textId="54328814"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 xml:space="preserve">Nevertheless, the digital transformation has created </w:t>
      </w:r>
      <w:r w:rsidR="0047027F" w:rsidRPr="0047027F">
        <w:rPr>
          <w:rFonts w:ascii="Arial" w:eastAsia="Calibri" w:hAnsi="Arial" w:cs="Arial"/>
          <w:color w:val="222222"/>
          <w:sz w:val="22"/>
          <w:szCs w:val="22"/>
        </w:rPr>
        <w:t>unfamiliar problems</w:t>
      </w:r>
      <w:r w:rsidRPr="0047027F">
        <w:rPr>
          <w:rFonts w:ascii="Arial" w:eastAsia="Calibri" w:hAnsi="Arial" w:cs="Arial"/>
          <w:color w:val="222222"/>
          <w:sz w:val="22"/>
          <w:szCs w:val="22"/>
        </w:rPr>
        <w:t xml:space="preserve"> for the workforce, as well. To implement it successfully, healthcare professionals need to acquire digital skills and be able to respond to the swiftly changing technologies. Numerous employees are in need of further education to be assured to utilise digital systems and the greater dependence on electronic records increases cybersecurity and information governance duties. Moreover, not all healthcare workers are ready to use digital technologies due to fears of workload, reliability of the systems and lack of personal communication with the patient. Digital literacy is also significantly different across the workforce, which leads to discrepancies in the adoption of technologies. </w:t>
      </w:r>
    </w:p>
    <w:p w14:paraId="00000015" w14:textId="77777777" w:rsidR="00434DFE" w:rsidRPr="0047027F" w:rsidRDefault="00000000" w:rsidP="005D48FA">
      <w:pPr>
        <w:spacing w:line="360" w:lineRule="auto"/>
        <w:jc w:val="both"/>
        <w:rPr>
          <w:rFonts w:ascii="Arial" w:eastAsia="Calibri" w:hAnsi="Arial" w:cs="Arial"/>
          <w:sz w:val="22"/>
          <w:szCs w:val="22"/>
        </w:rPr>
      </w:pPr>
      <w:r w:rsidRPr="0047027F">
        <w:rPr>
          <w:rFonts w:ascii="Arial" w:eastAsia="Calibri" w:hAnsi="Arial" w:cs="Arial"/>
          <w:color w:val="222222"/>
          <w:sz w:val="22"/>
          <w:szCs w:val="22"/>
        </w:rPr>
        <w:t xml:space="preserve">Even though the NHS App will cut down routine administration, there has been evidence that digital systems are not necessarily going to cut down on workload. Rather, the work of the administration tends to be repositioned towards technical support, digital troubleshooting and patient education (Sollof, 2026). Thus, employee compensation is heavily relying on sufficient staff education, organisational assistance and ongoing investment into digital infrastructure. In the absence of these factors, digital innovation can just redistribute and not alleviate workload. </w:t>
      </w:r>
    </w:p>
    <w:p w14:paraId="00000016" w14:textId="77777777" w:rsidR="00434DFE" w:rsidRPr="0047027F" w:rsidRDefault="00000000" w:rsidP="005D48FA">
      <w:pPr>
        <w:pStyle w:val="Heading1"/>
      </w:pPr>
      <w:bookmarkStart w:id="3" w:name="_Toc233937132"/>
      <w:r w:rsidRPr="0047027F">
        <w:t>Impact on Service Delivery</w:t>
      </w:r>
      <w:bookmarkEnd w:id="3"/>
      <w:r w:rsidRPr="0047027F">
        <w:t xml:space="preserve"> </w:t>
      </w:r>
    </w:p>
    <w:p w14:paraId="00000017" w14:textId="77777777"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 xml:space="preserve">The NHS App has enhanced service by boosting efficiency and decreasing administrative strains in the NHS (Ferris, 2024). Patients have the ability to book, cancel and reschedule appointments, order repeat prescriptions and access electronic health records, without making contact with GP surgeries, decreasing telephone demand and administrative workload. The transparency and shared decision-making between medical professionals and patients are also encouraged by access to test results and medical records. Moreover, the app supports remote healthcare including secure messages and digital notifications, eliminating unnecessary face-to-face visits and integrated care across both primary and secondary </w:t>
      </w:r>
      <w:r w:rsidRPr="0047027F">
        <w:rPr>
          <w:rFonts w:ascii="Arial" w:eastAsia="Calibri" w:hAnsi="Arial" w:cs="Arial"/>
          <w:color w:val="222222"/>
          <w:sz w:val="22"/>
          <w:szCs w:val="22"/>
        </w:rPr>
        <w:lastRenderedPageBreak/>
        <w:t>healthcare services. These advances are in line with the NHS Long Term Plan (2019) that intends to enhance the accessibility of healthcare by digital innovation (Nationalarchives, 2025).</w:t>
      </w:r>
    </w:p>
    <w:p w14:paraId="00000018" w14:textId="77777777" w:rsidR="00434DFE" w:rsidRPr="0047027F" w:rsidRDefault="00000000" w:rsidP="005D48FA">
      <w:pPr>
        <w:spacing w:line="360" w:lineRule="auto"/>
        <w:jc w:val="both"/>
        <w:rPr>
          <w:rFonts w:ascii="Arial" w:eastAsia="Calibri" w:hAnsi="Arial" w:cs="Arial"/>
          <w:sz w:val="22"/>
          <w:szCs w:val="22"/>
        </w:rPr>
      </w:pPr>
      <w:r w:rsidRPr="0047027F">
        <w:rPr>
          <w:rFonts w:ascii="Arial" w:eastAsia="Calibri" w:hAnsi="Arial" w:cs="Arial"/>
          <w:color w:val="222222"/>
          <w:sz w:val="22"/>
          <w:szCs w:val="22"/>
        </w:rPr>
        <w:t>Nonetheless, the delivery of services is still pegged on efficient digital infrastructure. The technical failures, system outages, and lack of interoperability between the NHS organisations can interfere with healthcare services and cause delays in accessing patient information. More so, the patients who lack access to digital services might find it difficult to utilise these services. Even though the NHS App has enhanced efficiency and accessibility to patients, there is evidence that digital innovation will not be enough to address workforce shortages or growing healthcare demand (Peckham, 2023). The long-term effectiveness of technology must be maximised by further investment in technology, training of staff and integrated digital systems.</w:t>
      </w:r>
    </w:p>
    <w:p w14:paraId="00000019" w14:textId="77777777" w:rsidR="00434DFE" w:rsidRPr="0047027F" w:rsidRDefault="00000000" w:rsidP="005D48FA">
      <w:pPr>
        <w:pStyle w:val="Heading1"/>
      </w:pPr>
      <w:bookmarkStart w:id="4" w:name="_Toc233937133"/>
      <w:r w:rsidRPr="0047027F">
        <w:t>Impact on Patients</w:t>
      </w:r>
      <w:bookmarkEnd w:id="4"/>
    </w:p>
    <w:p w14:paraId="0000001A" w14:textId="39CEF8CD"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 xml:space="preserve">By enhancing patient empowerment and motivating patients to become more </w:t>
      </w:r>
      <w:r w:rsidR="0047027F" w:rsidRPr="0047027F">
        <w:rPr>
          <w:rFonts w:ascii="Arial" w:eastAsia="Calibri" w:hAnsi="Arial" w:cs="Arial"/>
          <w:color w:val="222222"/>
          <w:sz w:val="22"/>
          <w:szCs w:val="22"/>
        </w:rPr>
        <w:t>initiative-taking</w:t>
      </w:r>
      <w:r w:rsidRPr="0047027F">
        <w:rPr>
          <w:rFonts w:ascii="Arial" w:eastAsia="Calibri" w:hAnsi="Arial" w:cs="Arial"/>
          <w:color w:val="222222"/>
          <w:sz w:val="22"/>
          <w:szCs w:val="22"/>
        </w:rPr>
        <w:t xml:space="preserve"> in their health management, the NHS App has revolutionised the patient-service dynamic (Health, 2025). The application allows patients to access their medical records, see test results, order repeat prescriptions, manage appointments and personalise health notifications. All these features enhance convenience, minimise waiting time and facilitate self-management, especially to people with chronic health conditions. Increased access to individual health data also promotes joint decision-making between patients and healthcare providers, which adds to more patient-centred care.</w:t>
      </w:r>
    </w:p>
    <w:p w14:paraId="0000001B" w14:textId="45404706"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The NHS App</w:t>
      </w:r>
      <w:r w:rsidR="00A72713">
        <w:rPr>
          <w:rFonts w:ascii="Arial" w:eastAsia="Calibri" w:hAnsi="Arial" w:cs="Arial"/>
          <w:color w:val="222222"/>
          <w:sz w:val="22"/>
          <w:szCs w:val="22"/>
        </w:rPr>
        <w:t>,</w:t>
      </w:r>
      <w:r w:rsidRPr="0047027F">
        <w:rPr>
          <w:rFonts w:ascii="Arial" w:eastAsia="Calibri" w:hAnsi="Arial" w:cs="Arial"/>
          <w:color w:val="222222"/>
          <w:sz w:val="22"/>
          <w:szCs w:val="22"/>
        </w:rPr>
        <w:t xml:space="preserve"> however, does not have equal benefits across the population. The elderly and those who lack digital literacy and access to smart phones or quality internet connectivity might find it difficult to engage in digital healthcare services (Nicodemo, 2026). Digital exclusion is a challenge of considerable attention, especially within socially disadvantaged groups, putting the burden on the possibility of expanding the existing health disparities (Davies et al., 2021). The usability of people with </w:t>
      </w:r>
      <w:r w:rsidR="0047027F" w:rsidRPr="0047027F">
        <w:rPr>
          <w:rFonts w:ascii="Arial" w:eastAsia="Calibri" w:hAnsi="Arial" w:cs="Arial"/>
          <w:color w:val="222222"/>
          <w:sz w:val="22"/>
          <w:szCs w:val="22"/>
        </w:rPr>
        <w:t>diverse cultural</w:t>
      </w:r>
      <w:r w:rsidRPr="0047027F">
        <w:rPr>
          <w:rFonts w:ascii="Arial" w:eastAsia="Calibri" w:hAnsi="Arial" w:cs="Arial"/>
          <w:color w:val="222222"/>
          <w:sz w:val="22"/>
          <w:szCs w:val="22"/>
        </w:rPr>
        <w:t xml:space="preserve"> backgrounds or living with visual, hearing or cognitive impairments can be decreased by language barriers and limited accessibility features (Yuan et al., 2024). Access has been enhanced but more work needs to be done to provide all service users with equitable access.</w:t>
      </w:r>
    </w:p>
    <w:p w14:paraId="0000001C" w14:textId="77777777" w:rsidR="00434DFE" w:rsidRPr="0047027F" w:rsidRDefault="00000000" w:rsidP="005D48FA">
      <w:pPr>
        <w:spacing w:line="360" w:lineRule="auto"/>
        <w:jc w:val="both"/>
        <w:rPr>
          <w:rFonts w:ascii="Arial" w:eastAsia="Calibri" w:hAnsi="Arial" w:cs="Arial"/>
          <w:sz w:val="22"/>
          <w:szCs w:val="22"/>
        </w:rPr>
      </w:pPr>
      <w:r w:rsidRPr="0047027F">
        <w:rPr>
          <w:rFonts w:ascii="Arial" w:eastAsia="Calibri" w:hAnsi="Arial" w:cs="Arial"/>
          <w:color w:val="222222"/>
          <w:sz w:val="22"/>
          <w:szCs w:val="22"/>
        </w:rPr>
        <w:t xml:space="preserve">Patient privacy and data security are other issues that affect patient confidence (Alhammad et al., 2024). The NHS App falls under the UK GDPR and NHS cybersecurity requirements, but not all users feel safe about using electronic means to share sensitive health data. Public trust is essential for successful digital transformation. </w:t>
      </w:r>
    </w:p>
    <w:p w14:paraId="0000001D" w14:textId="77777777" w:rsidR="00434DFE" w:rsidRPr="0047027F" w:rsidRDefault="00000000" w:rsidP="005D48FA">
      <w:pPr>
        <w:pStyle w:val="Heading1"/>
      </w:pPr>
      <w:bookmarkStart w:id="5" w:name="_Toc233937134"/>
      <w:r w:rsidRPr="0047027F">
        <w:lastRenderedPageBreak/>
        <w:t>Impact on Community and Public Health</w:t>
      </w:r>
      <w:bookmarkEnd w:id="5"/>
    </w:p>
    <w:p w14:paraId="0000001E" w14:textId="77777777"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The NHS App has also made a positive impact on community and population health, by enhancing access to healthcare information and promoting preventive care. By reminding people to have vaccinations, undergo screening programmes and health checks, the app encourages early intervention and higher participation in NHS services among the public. It also aids the family carers in that it enables them to manage appointments and repeat prescriptions more easily and enables people with long-term conditions to continue receiving care. Moreover, digital services enhance access to healthcare among rural residents because it minimises unnecessary travel. The benefits, however, are not equally experienced. Lack of digital inclusivity, low levels of internet penetration and poor digital literacy, especially among less privileged communities, can widen health disparities (</w:t>
      </w:r>
      <w:r w:rsidRPr="0047027F">
        <w:rPr>
          <w:rFonts w:ascii="Arial" w:eastAsia="Calibri" w:hAnsi="Arial" w:cs="Arial"/>
          <w:color w:val="222222"/>
          <w:sz w:val="22"/>
          <w:szCs w:val="22"/>
          <w:highlight w:val="white"/>
        </w:rPr>
        <w:t>Shaw, 2023)</w:t>
      </w:r>
      <w:r w:rsidRPr="0047027F">
        <w:rPr>
          <w:rFonts w:ascii="Arial" w:eastAsia="Calibri" w:hAnsi="Arial" w:cs="Arial"/>
          <w:color w:val="222222"/>
          <w:sz w:val="22"/>
          <w:szCs w:val="22"/>
        </w:rPr>
        <w:t xml:space="preserve">. Investment into digital inclusion, education and accessible technology is thus necessary so that all members of society can have equal healthcare. </w:t>
      </w:r>
    </w:p>
    <w:p w14:paraId="0000001F" w14:textId="77777777"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Additionally, the NHS App can help the population to be healthy by allowing care providers to disseminate vital information on the population’s health effectively, as well as promote increased involvement in preventative healthcare programs. The utilisation of digital services can also decrease the burden on GP practices and emergency departments by steering patients in the right care pathways. However, these advantages can only be attained through enduring public trust, dependable digital infrastructure and specific assistance to vulnerable groups. The NHS App can only increase, not lessen, health disparities unless it deals with barriers to digital access (UKParliament, 2022). Thus, community-based digital inclusion programmes are still necessary to make sure that digital transformation will be equally beneficial to all layers of society.</w:t>
      </w:r>
    </w:p>
    <w:p w14:paraId="00000020" w14:textId="77777777" w:rsidR="00434DFE" w:rsidRPr="0047027F" w:rsidRDefault="00000000" w:rsidP="005D48FA">
      <w:pPr>
        <w:pStyle w:val="Heading1"/>
      </w:pPr>
      <w:bookmarkStart w:id="6" w:name="_Toc233937135"/>
      <w:r w:rsidRPr="0047027F">
        <w:t>Policy, Legal and Ethical Issues</w:t>
      </w:r>
      <w:bookmarkEnd w:id="6"/>
      <w:r w:rsidRPr="0047027F">
        <w:t xml:space="preserve"> </w:t>
      </w:r>
    </w:p>
    <w:p w14:paraId="00000021" w14:textId="6271228D" w:rsidR="00434DFE" w:rsidRPr="0047027F" w:rsidRDefault="00000000" w:rsidP="005D48FA">
      <w:pPr>
        <w:spacing w:line="360" w:lineRule="auto"/>
        <w:jc w:val="both"/>
        <w:rPr>
          <w:rFonts w:ascii="Arial" w:eastAsia="Calibri" w:hAnsi="Arial" w:cs="Arial"/>
          <w:sz w:val="22"/>
          <w:szCs w:val="22"/>
        </w:rPr>
      </w:pPr>
      <w:r w:rsidRPr="0047027F">
        <w:rPr>
          <w:rFonts w:ascii="Arial" w:eastAsia="Calibri" w:hAnsi="Arial" w:cs="Arial"/>
          <w:color w:val="222222"/>
          <w:sz w:val="22"/>
          <w:szCs w:val="22"/>
        </w:rPr>
        <w:t xml:space="preserve">The successful implementation of the NHS App is supported by several UK policies and legal frameworks that ensure safe, secure and ethical digital healthcare. The NHS Long Term Plan (2019) is encouraging digital transformation through increased access to online healthcare services by patients and enhanced integrated care within the NHS. The legal basis of protecting the personal health information of patients is the UK GDPR and the Data Protection Act 2018 that ensure that the data is legally processed, safely and transparently (UKGovernment, 2018). Moreover, NHS Information Governance policies set up standards to confidentiality, data sharing and accountability in healthcare organisations. The Health and Care Act 2022 also promotes the connection of digital services in the context of both health and social care (Toh and Haynes, 2022). Nonetheless, growing dependence on digital technology brings up the issue of cybersecurity, informed consent, confidentiality and fair </w:t>
      </w:r>
      <w:r w:rsidRPr="0047027F">
        <w:rPr>
          <w:rFonts w:ascii="Arial" w:eastAsia="Calibri" w:hAnsi="Arial" w:cs="Arial"/>
          <w:color w:val="222222"/>
          <w:sz w:val="22"/>
          <w:szCs w:val="22"/>
        </w:rPr>
        <w:lastRenderedPageBreak/>
        <w:t xml:space="preserve">access. With a growing number of artificial intelligence applications within NHS services, the ethical concerns of algorithmic bias, transparency and accountability will need to be </w:t>
      </w:r>
      <w:r w:rsidR="0047027F" w:rsidRPr="0047027F">
        <w:rPr>
          <w:rFonts w:ascii="Arial" w:eastAsia="Calibri" w:hAnsi="Arial" w:cs="Arial"/>
          <w:color w:val="222222"/>
          <w:sz w:val="22"/>
          <w:szCs w:val="22"/>
        </w:rPr>
        <w:t>regulated</w:t>
      </w:r>
      <w:r w:rsidRPr="0047027F">
        <w:rPr>
          <w:rFonts w:ascii="Arial" w:eastAsia="Calibri" w:hAnsi="Arial" w:cs="Arial"/>
          <w:color w:val="222222"/>
          <w:sz w:val="22"/>
          <w:szCs w:val="22"/>
        </w:rPr>
        <w:t>. Education and available technologies are crucial in addressing digital exclusion in order to provide equitable healthcare to everyone.</w:t>
      </w:r>
    </w:p>
    <w:p w14:paraId="00000022" w14:textId="77777777" w:rsidR="00434DFE" w:rsidRPr="0047027F" w:rsidRDefault="00000000" w:rsidP="005D48FA">
      <w:pPr>
        <w:pStyle w:val="Heading1"/>
      </w:pPr>
      <w:bookmarkStart w:id="7" w:name="_Toc233937136"/>
      <w:r w:rsidRPr="0047027F">
        <w:t>Critical Evaluation</w:t>
      </w:r>
      <w:bookmarkEnd w:id="7"/>
    </w:p>
    <w:p w14:paraId="00000023" w14:textId="77777777"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 xml:space="preserve">The NHS App has proved to enhance access to healthcare services, lessen the administrative workload and encourage patient engagement. The adoption rates are rising as reported by NHS England and studies show that there is a better experience of convenience and patient satisfaction. But the researchers also state that the benefits are not shared equally, and older adults, digitally excluded groups and people with lower levels of digital literacy have less access. Despite the efficiency the app brings about, it is not a solution to bigger NHS problems like workforce shortages and rising demands of services. The NHS App is a successful digital transformation, however, its long-term success will be determined by the enhancement of digital inclusion, interoperability, cybersecurity and further investment in patient-centred digital healthcare. </w:t>
      </w:r>
    </w:p>
    <w:p w14:paraId="00000024" w14:textId="77777777" w:rsidR="00434DFE" w:rsidRPr="0047027F" w:rsidRDefault="00000000" w:rsidP="005D48FA">
      <w:pPr>
        <w:spacing w:line="360" w:lineRule="auto"/>
        <w:jc w:val="both"/>
        <w:rPr>
          <w:rFonts w:ascii="Arial" w:eastAsia="Calibri" w:hAnsi="Arial" w:cs="Arial"/>
          <w:color w:val="222222"/>
          <w:sz w:val="22"/>
          <w:szCs w:val="22"/>
        </w:rPr>
      </w:pPr>
      <w:r w:rsidRPr="0047027F">
        <w:rPr>
          <w:rFonts w:ascii="Arial" w:eastAsia="Calibri" w:hAnsi="Arial" w:cs="Arial"/>
          <w:color w:val="222222"/>
          <w:sz w:val="22"/>
          <w:szCs w:val="22"/>
        </w:rPr>
        <w:t>The findings reflect varied views on the general effect of digital health technologies. The NHS England highlights that the app will help to enhance efficiency, patient access and lessen management load, but organisations like The King’s Fund and The Health Foundation insist that digital innovation is not enough to tackle deep-rooted structural problems, such as staff shortages, funding limitations and disparities in healthcare access. Thus, the NHS App is to be regarded as an enabler and not a solution. The key to success in the future is the continued investment in the digital infrastructure, workforce development and policies that guarantee equal access to all populations without sacrificing patient trust and the safety of the data.</w:t>
      </w:r>
    </w:p>
    <w:p w14:paraId="00000025" w14:textId="77777777" w:rsidR="00434DFE" w:rsidRPr="0047027F" w:rsidRDefault="00000000" w:rsidP="005D48FA">
      <w:pPr>
        <w:pStyle w:val="Heading1"/>
      </w:pPr>
      <w:bookmarkStart w:id="8" w:name="_Toc233937137"/>
      <w:r w:rsidRPr="0047027F">
        <w:t>Conclusion</w:t>
      </w:r>
      <w:bookmarkEnd w:id="8"/>
      <w:r w:rsidRPr="0047027F">
        <w:t xml:space="preserve"> </w:t>
      </w:r>
    </w:p>
    <w:p w14:paraId="00000026" w14:textId="4905AB6C" w:rsidR="00434DFE" w:rsidRPr="0047027F" w:rsidRDefault="00000000" w:rsidP="005D48FA">
      <w:pPr>
        <w:spacing w:line="360" w:lineRule="auto"/>
        <w:jc w:val="both"/>
        <w:rPr>
          <w:rFonts w:ascii="Arial" w:eastAsia="Calibri" w:hAnsi="Arial" w:cs="Arial"/>
          <w:sz w:val="22"/>
          <w:szCs w:val="22"/>
        </w:rPr>
      </w:pPr>
      <w:r w:rsidRPr="0047027F">
        <w:rPr>
          <w:rFonts w:ascii="Arial" w:eastAsia="Calibri" w:hAnsi="Arial" w:cs="Arial"/>
          <w:color w:val="222222"/>
          <w:sz w:val="22"/>
          <w:szCs w:val="22"/>
        </w:rPr>
        <w:t xml:space="preserve">It can be concluded that the NHS App has revolutionised healthcare by </w:t>
      </w:r>
      <w:r w:rsidR="00A46625" w:rsidRPr="0047027F">
        <w:rPr>
          <w:rFonts w:ascii="Arial" w:eastAsia="Calibri" w:hAnsi="Arial" w:cs="Arial"/>
          <w:color w:val="222222"/>
          <w:sz w:val="22"/>
          <w:szCs w:val="22"/>
        </w:rPr>
        <w:t>enhancing patient access, aiding healthcare professionals,</w:t>
      </w:r>
      <w:r w:rsidRPr="0047027F">
        <w:rPr>
          <w:rFonts w:ascii="Arial" w:eastAsia="Calibri" w:hAnsi="Arial" w:cs="Arial"/>
          <w:color w:val="222222"/>
          <w:sz w:val="22"/>
          <w:szCs w:val="22"/>
        </w:rPr>
        <w:t xml:space="preserve"> and improving the delivery of healthcare services throughout the NHS. Despite the issues associated with digital exclusion, privacy, and system integration, its net effect shows how digital innovation can benefit the contemporary healthcare system. The future will be determined by enhancing the digital infrastructure to become stronger, more accessible and publicly trusted by means of strong governance and cybersecurity. Further growth of artificial intelligence, built-in digital records and customised healthcare technologies will facilitate an even more efficient, fairer and patient-centred NHS.</w:t>
      </w:r>
    </w:p>
    <w:p w14:paraId="00000027" w14:textId="77777777" w:rsidR="00434DFE" w:rsidRPr="0047027F" w:rsidRDefault="00434DFE" w:rsidP="005D48FA">
      <w:pPr>
        <w:spacing w:before="240" w:after="240" w:line="360" w:lineRule="auto"/>
        <w:jc w:val="both"/>
        <w:rPr>
          <w:rFonts w:ascii="Arial" w:eastAsia="Calibri" w:hAnsi="Arial" w:cs="Arial"/>
          <w:color w:val="000000"/>
          <w:sz w:val="22"/>
          <w:szCs w:val="22"/>
        </w:rPr>
      </w:pPr>
    </w:p>
    <w:p w14:paraId="00000029" w14:textId="3F0D81E0" w:rsidR="00434DFE" w:rsidRPr="0047027F" w:rsidRDefault="00000000" w:rsidP="005D48FA">
      <w:pPr>
        <w:pStyle w:val="Heading1"/>
      </w:pPr>
      <w:r w:rsidRPr="0047027F">
        <w:br w:type="page"/>
      </w:r>
      <w:bookmarkStart w:id="9" w:name="_Toc233937138"/>
      <w:r w:rsidRPr="0047027F">
        <w:lastRenderedPageBreak/>
        <w:t>References</w:t>
      </w:r>
      <w:bookmarkEnd w:id="9"/>
      <w:r w:rsidRPr="0047027F">
        <w:t xml:space="preserve"> </w:t>
      </w:r>
    </w:p>
    <w:p w14:paraId="77C63BD0"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 xml:space="preserve">Alhammad, N., Alajlani, M., Abd-Alrazaq, A., Epiphaniou, G. and Arvanitis, T., (2024). Patients’ perspectives on the data confidentiality, privacy, and security of mHealth apps: systematic review. </w:t>
      </w:r>
      <w:r w:rsidRPr="0047027F">
        <w:rPr>
          <w:rFonts w:ascii="Arial" w:eastAsia="Calibri" w:hAnsi="Arial" w:cs="Arial"/>
          <w:i/>
          <w:iCs/>
          <w:color w:val="222222"/>
          <w:sz w:val="22"/>
          <w:szCs w:val="22"/>
          <w:highlight w:val="white"/>
        </w:rPr>
        <w:t>Journal of medical internet research</w:t>
      </w:r>
      <w:r w:rsidRPr="0047027F">
        <w:rPr>
          <w:rFonts w:ascii="Arial" w:eastAsia="Calibri" w:hAnsi="Arial" w:cs="Arial"/>
          <w:color w:val="222222"/>
          <w:sz w:val="22"/>
          <w:szCs w:val="22"/>
          <w:highlight w:val="white"/>
        </w:rPr>
        <w:t xml:space="preserve">, </w:t>
      </w:r>
      <w:r w:rsidRPr="0047027F">
        <w:rPr>
          <w:rFonts w:ascii="Arial" w:eastAsia="Calibri" w:hAnsi="Arial" w:cs="Arial"/>
          <w:i/>
          <w:iCs/>
          <w:color w:val="222222"/>
          <w:sz w:val="22"/>
          <w:szCs w:val="22"/>
          <w:highlight w:val="white"/>
        </w:rPr>
        <w:t>26</w:t>
      </w:r>
      <w:r w:rsidRPr="0047027F">
        <w:rPr>
          <w:rFonts w:ascii="Arial" w:eastAsia="Calibri" w:hAnsi="Arial" w:cs="Arial"/>
          <w:color w:val="222222"/>
          <w:sz w:val="22"/>
          <w:szCs w:val="22"/>
          <w:highlight w:val="white"/>
        </w:rPr>
        <w:t>, p.e50715.</w:t>
      </w:r>
      <w:r w:rsidRPr="0047027F">
        <w:rPr>
          <w:rFonts w:ascii="Arial" w:eastAsia="Calibri" w:hAnsi="Arial" w:cs="Arial"/>
          <w:sz w:val="22"/>
          <w:szCs w:val="22"/>
        </w:rPr>
        <w:t xml:space="preserve"> </w:t>
      </w:r>
      <w:hyperlink r:id="rId8">
        <w:r w:rsidRPr="0047027F">
          <w:rPr>
            <w:rFonts w:ascii="Arial" w:eastAsia="Calibri" w:hAnsi="Arial" w:cs="Arial"/>
            <w:color w:val="1155CC"/>
            <w:sz w:val="22"/>
            <w:szCs w:val="22"/>
          </w:rPr>
          <w:t>https://www.jmir.org/2024/1/e50715/</w:t>
        </w:r>
      </w:hyperlink>
      <w:r w:rsidRPr="0047027F">
        <w:rPr>
          <w:rFonts w:ascii="Arial" w:eastAsia="Calibri" w:hAnsi="Arial" w:cs="Arial"/>
          <w:sz w:val="22"/>
          <w:szCs w:val="22"/>
        </w:rPr>
        <w:t xml:space="preserve"> </w:t>
      </w:r>
    </w:p>
    <w:p w14:paraId="0AF17F92"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 xml:space="preserve">Davies, A.R., Honeyman, M. and Gann, B., (2021). Addressing the digital inverse care law in the time of COVID-19: potential for digital technology to exacerbate or mitigate health inequalities. </w:t>
      </w:r>
      <w:r w:rsidRPr="0047027F">
        <w:rPr>
          <w:rFonts w:ascii="Arial" w:eastAsia="Calibri" w:hAnsi="Arial" w:cs="Arial"/>
          <w:i/>
          <w:iCs/>
          <w:color w:val="222222"/>
          <w:sz w:val="22"/>
          <w:szCs w:val="22"/>
          <w:highlight w:val="white"/>
        </w:rPr>
        <w:t>Journal of Medical Internet Research</w:t>
      </w:r>
      <w:r w:rsidRPr="0047027F">
        <w:rPr>
          <w:rFonts w:ascii="Arial" w:eastAsia="Calibri" w:hAnsi="Arial" w:cs="Arial"/>
          <w:color w:val="222222"/>
          <w:sz w:val="22"/>
          <w:szCs w:val="22"/>
          <w:highlight w:val="white"/>
        </w:rPr>
        <w:t xml:space="preserve">, </w:t>
      </w:r>
      <w:r w:rsidRPr="0047027F">
        <w:rPr>
          <w:rFonts w:ascii="Arial" w:eastAsia="Calibri" w:hAnsi="Arial" w:cs="Arial"/>
          <w:i/>
          <w:iCs/>
          <w:color w:val="222222"/>
          <w:sz w:val="22"/>
          <w:szCs w:val="22"/>
          <w:highlight w:val="white"/>
        </w:rPr>
        <w:t>23</w:t>
      </w:r>
      <w:r w:rsidRPr="0047027F">
        <w:rPr>
          <w:rFonts w:ascii="Arial" w:eastAsia="Calibri" w:hAnsi="Arial" w:cs="Arial"/>
          <w:color w:val="222222"/>
          <w:sz w:val="22"/>
          <w:szCs w:val="22"/>
          <w:highlight w:val="white"/>
        </w:rPr>
        <w:t>(4), p.e21726.</w:t>
      </w:r>
      <w:r w:rsidRPr="0047027F">
        <w:rPr>
          <w:rFonts w:ascii="Arial" w:eastAsia="Calibri" w:hAnsi="Arial" w:cs="Arial"/>
          <w:sz w:val="22"/>
          <w:szCs w:val="22"/>
        </w:rPr>
        <w:t xml:space="preserve"> </w:t>
      </w:r>
      <w:hyperlink r:id="rId9">
        <w:r w:rsidRPr="0047027F">
          <w:rPr>
            <w:rFonts w:ascii="Arial" w:eastAsia="Calibri" w:hAnsi="Arial" w:cs="Arial"/>
            <w:color w:val="1155CC"/>
            <w:sz w:val="22"/>
            <w:szCs w:val="22"/>
          </w:rPr>
          <w:t>https://www.jmir.org/2021/4/e21726/</w:t>
        </w:r>
      </w:hyperlink>
      <w:r w:rsidRPr="0047027F">
        <w:rPr>
          <w:rFonts w:ascii="Arial" w:eastAsia="Calibri" w:hAnsi="Arial" w:cs="Arial"/>
          <w:sz w:val="22"/>
          <w:szCs w:val="22"/>
        </w:rPr>
        <w:t xml:space="preserve"> </w:t>
      </w:r>
    </w:p>
    <w:p w14:paraId="6DB7B1D1"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 xml:space="preserve">Faulkner-Gurstein, R. and Wyatt, D., (2023). Platform NHS: reconfiguring a public service in the age of digital capitalism. </w:t>
      </w:r>
      <w:r w:rsidRPr="0047027F">
        <w:rPr>
          <w:rFonts w:ascii="Arial" w:eastAsia="Calibri" w:hAnsi="Arial" w:cs="Arial"/>
          <w:i/>
          <w:iCs/>
          <w:color w:val="222222"/>
          <w:sz w:val="22"/>
          <w:szCs w:val="22"/>
          <w:highlight w:val="white"/>
        </w:rPr>
        <w:t>Science, Technology, &amp; Human Values</w:t>
      </w:r>
      <w:r w:rsidRPr="0047027F">
        <w:rPr>
          <w:rFonts w:ascii="Arial" w:eastAsia="Calibri" w:hAnsi="Arial" w:cs="Arial"/>
          <w:color w:val="222222"/>
          <w:sz w:val="22"/>
          <w:szCs w:val="22"/>
          <w:highlight w:val="white"/>
        </w:rPr>
        <w:t xml:space="preserve">, </w:t>
      </w:r>
      <w:r w:rsidRPr="0047027F">
        <w:rPr>
          <w:rFonts w:ascii="Arial" w:eastAsia="Calibri" w:hAnsi="Arial" w:cs="Arial"/>
          <w:i/>
          <w:iCs/>
          <w:color w:val="222222"/>
          <w:sz w:val="22"/>
          <w:szCs w:val="22"/>
          <w:highlight w:val="white"/>
        </w:rPr>
        <w:t>48</w:t>
      </w:r>
      <w:r w:rsidRPr="0047027F">
        <w:rPr>
          <w:rFonts w:ascii="Arial" w:eastAsia="Calibri" w:hAnsi="Arial" w:cs="Arial"/>
          <w:color w:val="222222"/>
          <w:sz w:val="22"/>
          <w:szCs w:val="22"/>
          <w:highlight w:val="white"/>
        </w:rPr>
        <w:t>(4), pp.888-908.</w:t>
      </w:r>
      <w:r w:rsidRPr="0047027F">
        <w:rPr>
          <w:rFonts w:ascii="Arial" w:eastAsia="Calibri" w:hAnsi="Arial" w:cs="Arial"/>
          <w:sz w:val="22"/>
          <w:szCs w:val="22"/>
        </w:rPr>
        <w:t xml:space="preserve"> </w:t>
      </w:r>
      <w:hyperlink r:id="rId10">
        <w:r w:rsidRPr="0047027F">
          <w:rPr>
            <w:rFonts w:ascii="Arial" w:eastAsia="Calibri" w:hAnsi="Arial" w:cs="Arial"/>
            <w:color w:val="1155CC"/>
            <w:sz w:val="22"/>
            <w:szCs w:val="22"/>
          </w:rPr>
          <w:t>https://journals.sagepub.com/doi/pdf/10.1177/01622439211055697</w:t>
        </w:r>
      </w:hyperlink>
      <w:r w:rsidRPr="0047027F">
        <w:rPr>
          <w:rFonts w:ascii="Arial" w:eastAsia="Calibri" w:hAnsi="Arial" w:cs="Arial"/>
          <w:sz w:val="22"/>
          <w:szCs w:val="22"/>
        </w:rPr>
        <w:t xml:space="preserve"> </w:t>
      </w:r>
    </w:p>
    <w:p w14:paraId="3B2D9E74" w14:textId="77777777" w:rsidR="0047027F" w:rsidRPr="0047027F" w:rsidRDefault="0047027F" w:rsidP="005D48FA">
      <w:pPr>
        <w:spacing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 xml:space="preserve">Ferris, T.G., (2024). Unit cost and hope: increased NHS resilience through tech-enabled transformation. </w:t>
      </w:r>
      <w:r w:rsidRPr="0047027F">
        <w:rPr>
          <w:rFonts w:ascii="Arial" w:eastAsia="Calibri" w:hAnsi="Arial" w:cs="Arial"/>
          <w:i/>
          <w:iCs/>
          <w:color w:val="222222"/>
          <w:sz w:val="22"/>
          <w:szCs w:val="22"/>
          <w:highlight w:val="white"/>
        </w:rPr>
        <w:t>Future Healthcare Journal</w:t>
      </w:r>
      <w:r w:rsidRPr="0047027F">
        <w:rPr>
          <w:rFonts w:ascii="Arial" w:eastAsia="Calibri" w:hAnsi="Arial" w:cs="Arial"/>
          <w:color w:val="222222"/>
          <w:sz w:val="22"/>
          <w:szCs w:val="22"/>
          <w:highlight w:val="white"/>
        </w:rPr>
        <w:t xml:space="preserve">, </w:t>
      </w:r>
      <w:r w:rsidRPr="0047027F">
        <w:rPr>
          <w:rFonts w:ascii="Arial" w:eastAsia="Calibri" w:hAnsi="Arial" w:cs="Arial"/>
          <w:i/>
          <w:iCs/>
          <w:color w:val="222222"/>
          <w:sz w:val="22"/>
          <w:szCs w:val="22"/>
          <w:highlight w:val="white"/>
        </w:rPr>
        <w:t>11</w:t>
      </w:r>
      <w:r w:rsidRPr="0047027F">
        <w:rPr>
          <w:rFonts w:ascii="Arial" w:eastAsia="Calibri" w:hAnsi="Arial" w:cs="Arial"/>
          <w:color w:val="222222"/>
          <w:sz w:val="22"/>
          <w:szCs w:val="22"/>
          <w:highlight w:val="white"/>
        </w:rPr>
        <w:t>(1), p.100021.</w:t>
      </w:r>
      <w:r w:rsidRPr="0047027F">
        <w:rPr>
          <w:rFonts w:ascii="Arial" w:eastAsia="Calibri" w:hAnsi="Arial" w:cs="Arial"/>
          <w:sz w:val="22"/>
          <w:szCs w:val="22"/>
        </w:rPr>
        <w:t xml:space="preserve"> </w:t>
      </w:r>
      <w:hyperlink r:id="rId11">
        <w:r w:rsidRPr="0047027F">
          <w:rPr>
            <w:rFonts w:ascii="Arial" w:eastAsia="Calibri" w:hAnsi="Arial" w:cs="Arial"/>
            <w:color w:val="1155CC"/>
            <w:sz w:val="22"/>
            <w:szCs w:val="22"/>
          </w:rPr>
          <w:t>https://www.sciencedirect.com/science/article/pii/S2514664524000201</w:t>
        </w:r>
      </w:hyperlink>
      <w:r w:rsidRPr="0047027F">
        <w:rPr>
          <w:rFonts w:ascii="Arial" w:eastAsia="Calibri" w:hAnsi="Arial" w:cs="Arial"/>
          <w:sz w:val="22"/>
          <w:szCs w:val="22"/>
        </w:rPr>
        <w:t xml:space="preserve"> </w:t>
      </w:r>
    </w:p>
    <w:p w14:paraId="6024A7F9"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sz w:val="22"/>
          <w:szCs w:val="22"/>
        </w:rPr>
        <w:t xml:space="preserve">Gov.UK (2025) </w:t>
      </w:r>
      <w:r w:rsidRPr="0047027F">
        <w:rPr>
          <w:rFonts w:ascii="Arial" w:eastAsia="Calibri" w:hAnsi="Arial" w:cs="Arial"/>
          <w:i/>
          <w:iCs/>
          <w:sz w:val="22"/>
          <w:szCs w:val="22"/>
        </w:rPr>
        <w:t>Major NHS App expansion cuts waiting times</w:t>
      </w:r>
      <w:r w:rsidRPr="0047027F">
        <w:rPr>
          <w:rFonts w:ascii="Arial" w:eastAsia="Calibri" w:hAnsi="Arial" w:cs="Arial"/>
          <w:sz w:val="22"/>
          <w:szCs w:val="22"/>
        </w:rPr>
        <w:t xml:space="preserve">, </w:t>
      </w:r>
      <w:r w:rsidRPr="0047027F">
        <w:rPr>
          <w:rFonts w:ascii="Arial" w:eastAsia="Calibri" w:hAnsi="Arial" w:cs="Arial"/>
          <w:i/>
          <w:iCs/>
          <w:sz w:val="22"/>
          <w:szCs w:val="22"/>
        </w:rPr>
        <w:t>GOV.UK</w:t>
      </w:r>
      <w:r w:rsidRPr="0047027F">
        <w:rPr>
          <w:rFonts w:ascii="Arial" w:eastAsia="Calibri" w:hAnsi="Arial" w:cs="Arial"/>
          <w:sz w:val="22"/>
          <w:szCs w:val="22"/>
        </w:rPr>
        <w:t>. Available at: https://www.gov.uk/government/news/major-nhs-app-expansion-cuts-waiting-times (Accessed: 3 July 2026).</w:t>
      </w:r>
    </w:p>
    <w:p w14:paraId="794CE182" w14:textId="77777777" w:rsidR="0047027F" w:rsidRPr="0047027F" w:rsidRDefault="0047027F" w:rsidP="005D48FA">
      <w:pPr>
        <w:spacing w:after="240" w:line="360" w:lineRule="auto"/>
        <w:jc w:val="both"/>
        <w:rPr>
          <w:rFonts w:ascii="Arial" w:eastAsia="Calibri" w:hAnsi="Arial" w:cs="Arial"/>
          <w:sz w:val="22"/>
          <w:szCs w:val="22"/>
        </w:rPr>
      </w:pPr>
      <w:r w:rsidRPr="0047027F">
        <w:rPr>
          <w:rFonts w:ascii="Arial" w:eastAsia="Calibri" w:hAnsi="Arial" w:cs="Arial"/>
          <w:sz w:val="22"/>
          <w:szCs w:val="22"/>
        </w:rPr>
        <w:t xml:space="preserve">Health (2025) </w:t>
      </w:r>
      <w:r w:rsidRPr="0047027F">
        <w:rPr>
          <w:rFonts w:ascii="Arial" w:eastAsia="Calibri" w:hAnsi="Arial" w:cs="Arial"/>
          <w:i/>
          <w:iCs/>
          <w:sz w:val="22"/>
          <w:szCs w:val="22"/>
        </w:rPr>
        <w:t>NHS App overhaul will break down barriers to healthcare and reduce inequalities</w:t>
      </w:r>
      <w:r w:rsidRPr="0047027F">
        <w:rPr>
          <w:rFonts w:ascii="Arial" w:eastAsia="Calibri" w:hAnsi="Arial" w:cs="Arial"/>
          <w:sz w:val="22"/>
          <w:szCs w:val="22"/>
        </w:rPr>
        <w:t xml:space="preserve">, </w:t>
      </w:r>
      <w:r w:rsidRPr="0047027F">
        <w:rPr>
          <w:rFonts w:ascii="Arial" w:eastAsia="Calibri" w:hAnsi="Arial" w:cs="Arial"/>
          <w:i/>
          <w:iCs/>
          <w:sz w:val="22"/>
          <w:szCs w:val="22"/>
        </w:rPr>
        <w:t>GOV.UK</w:t>
      </w:r>
      <w:r w:rsidRPr="0047027F">
        <w:rPr>
          <w:rFonts w:ascii="Arial" w:eastAsia="Calibri" w:hAnsi="Arial" w:cs="Arial"/>
          <w:sz w:val="22"/>
          <w:szCs w:val="22"/>
        </w:rPr>
        <w:t>. Available at: https://www.gov.uk/government/news/nhs-app-overhaul-will-break-down-barriers-to-healthcare-and-reduce-inequalities (Accessed: 3 July 2026).</w:t>
      </w:r>
    </w:p>
    <w:p w14:paraId="15742134"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 xml:space="preserve">Mwogosi, A. and Mambile, C., (2025). Digital ecosystems for healthcare communication and collaboration: A scoping review. </w:t>
      </w:r>
      <w:r w:rsidRPr="0047027F">
        <w:rPr>
          <w:rFonts w:ascii="Arial" w:eastAsia="Calibri" w:hAnsi="Arial" w:cs="Arial"/>
          <w:i/>
          <w:iCs/>
          <w:color w:val="222222"/>
          <w:sz w:val="22"/>
          <w:szCs w:val="22"/>
          <w:highlight w:val="white"/>
        </w:rPr>
        <w:t>Digital Health</w:t>
      </w:r>
      <w:r w:rsidRPr="0047027F">
        <w:rPr>
          <w:rFonts w:ascii="Arial" w:eastAsia="Calibri" w:hAnsi="Arial" w:cs="Arial"/>
          <w:color w:val="222222"/>
          <w:sz w:val="22"/>
          <w:szCs w:val="22"/>
          <w:highlight w:val="white"/>
        </w:rPr>
        <w:t xml:space="preserve">, </w:t>
      </w:r>
      <w:r w:rsidRPr="0047027F">
        <w:rPr>
          <w:rFonts w:ascii="Arial" w:eastAsia="Calibri" w:hAnsi="Arial" w:cs="Arial"/>
          <w:i/>
          <w:iCs/>
          <w:color w:val="222222"/>
          <w:sz w:val="22"/>
          <w:szCs w:val="22"/>
          <w:highlight w:val="white"/>
        </w:rPr>
        <w:t>11</w:t>
      </w:r>
      <w:r w:rsidRPr="0047027F">
        <w:rPr>
          <w:rFonts w:ascii="Arial" w:eastAsia="Calibri" w:hAnsi="Arial" w:cs="Arial"/>
          <w:color w:val="222222"/>
          <w:sz w:val="22"/>
          <w:szCs w:val="22"/>
          <w:highlight w:val="white"/>
        </w:rPr>
        <w:t>, p.20552076251377933.</w:t>
      </w:r>
      <w:r w:rsidRPr="0047027F">
        <w:rPr>
          <w:rFonts w:ascii="Arial" w:eastAsia="Calibri" w:hAnsi="Arial" w:cs="Arial"/>
          <w:sz w:val="22"/>
          <w:szCs w:val="22"/>
        </w:rPr>
        <w:t xml:space="preserve"> </w:t>
      </w:r>
      <w:hyperlink r:id="rId12">
        <w:r w:rsidRPr="0047027F">
          <w:rPr>
            <w:rFonts w:ascii="Arial" w:eastAsia="Calibri" w:hAnsi="Arial" w:cs="Arial"/>
            <w:color w:val="1155CC"/>
            <w:sz w:val="22"/>
            <w:szCs w:val="22"/>
          </w:rPr>
          <w:t>https://journals.sagepub.com/doi/pdf/10.1177/20552076251377933</w:t>
        </w:r>
      </w:hyperlink>
      <w:r w:rsidRPr="0047027F">
        <w:rPr>
          <w:rFonts w:ascii="Arial" w:eastAsia="Calibri" w:hAnsi="Arial" w:cs="Arial"/>
          <w:sz w:val="22"/>
          <w:szCs w:val="22"/>
        </w:rPr>
        <w:t xml:space="preserve"> </w:t>
      </w:r>
    </w:p>
    <w:p w14:paraId="232A8DCD" w14:textId="77777777" w:rsidR="0047027F" w:rsidRPr="0047027F" w:rsidRDefault="0047027F" w:rsidP="005D48FA">
      <w:pPr>
        <w:spacing w:after="240" w:line="360" w:lineRule="auto"/>
        <w:jc w:val="both"/>
        <w:rPr>
          <w:rFonts w:ascii="Arial" w:eastAsia="Calibri" w:hAnsi="Arial" w:cs="Arial"/>
          <w:sz w:val="22"/>
          <w:szCs w:val="22"/>
        </w:rPr>
      </w:pPr>
      <w:r w:rsidRPr="0047027F">
        <w:rPr>
          <w:rFonts w:ascii="Arial" w:eastAsia="Calibri" w:hAnsi="Arial" w:cs="Arial"/>
          <w:sz w:val="22"/>
          <w:szCs w:val="22"/>
        </w:rPr>
        <w:t xml:space="preserve">Nationalarchives (2025) </w:t>
      </w:r>
      <w:r w:rsidRPr="0047027F">
        <w:rPr>
          <w:rFonts w:ascii="Arial" w:eastAsia="Calibri" w:hAnsi="Arial" w:cs="Arial"/>
          <w:i/>
          <w:iCs/>
          <w:sz w:val="22"/>
          <w:szCs w:val="22"/>
        </w:rPr>
        <w:t>UK Government Web Archive</w:t>
      </w:r>
      <w:r w:rsidRPr="0047027F">
        <w:rPr>
          <w:rFonts w:ascii="Arial" w:eastAsia="Calibri" w:hAnsi="Arial" w:cs="Arial"/>
          <w:sz w:val="22"/>
          <w:szCs w:val="22"/>
        </w:rPr>
        <w:t xml:space="preserve">, </w:t>
      </w:r>
      <w:r w:rsidRPr="0047027F">
        <w:rPr>
          <w:rFonts w:ascii="Arial" w:eastAsia="Calibri" w:hAnsi="Arial" w:cs="Arial"/>
          <w:i/>
          <w:iCs/>
          <w:sz w:val="22"/>
          <w:szCs w:val="22"/>
        </w:rPr>
        <w:t>Nationalarchives.gov.uk</w:t>
      </w:r>
      <w:r w:rsidRPr="0047027F">
        <w:rPr>
          <w:rFonts w:ascii="Arial" w:eastAsia="Calibri" w:hAnsi="Arial" w:cs="Arial"/>
          <w:sz w:val="22"/>
          <w:szCs w:val="22"/>
        </w:rPr>
        <w:t>. Available at: https://webarchive.nationalarchives.gov.uk/ukgwa/20250511091243/https://www.longtermplan.nhs.uk/wp-content/uploads/2019/08/nhs-long-term-plan-version-1.2.pdf (Accessed: 3 July 2026).</w:t>
      </w:r>
    </w:p>
    <w:p w14:paraId="328EB702"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sz w:val="22"/>
          <w:szCs w:val="22"/>
        </w:rPr>
        <w:t xml:space="preserve">NHS England (2023) </w:t>
      </w:r>
      <w:r w:rsidRPr="0047027F">
        <w:rPr>
          <w:rFonts w:ascii="Arial" w:eastAsia="Calibri" w:hAnsi="Arial" w:cs="Arial"/>
          <w:i/>
          <w:iCs/>
          <w:sz w:val="22"/>
          <w:szCs w:val="22"/>
        </w:rPr>
        <w:t>Digital transformation</w:t>
      </w:r>
      <w:r w:rsidRPr="0047027F">
        <w:rPr>
          <w:rFonts w:ascii="Arial" w:eastAsia="Calibri" w:hAnsi="Arial" w:cs="Arial"/>
          <w:sz w:val="22"/>
          <w:szCs w:val="22"/>
        </w:rPr>
        <w:t xml:space="preserve">, </w:t>
      </w:r>
      <w:r w:rsidRPr="0047027F">
        <w:rPr>
          <w:rFonts w:ascii="Arial" w:eastAsia="Calibri" w:hAnsi="Arial" w:cs="Arial"/>
          <w:i/>
          <w:iCs/>
          <w:sz w:val="22"/>
          <w:szCs w:val="22"/>
        </w:rPr>
        <w:t>England.nhs.uk</w:t>
      </w:r>
      <w:r w:rsidRPr="0047027F">
        <w:rPr>
          <w:rFonts w:ascii="Arial" w:eastAsia="Calibri" w:hAnsi="Arial" w:cs="Arial"/>
          <w:sz w:val="22"/>
          <w:szCs w:val="22"/>
        </w:rPr>
        <w:t>. Available at: https://www.england.nhs.uk/digitaltechnology/ (Accessed: 3 July 2026).</w:t>
      </w:r>
    </w:p>
    <w:p w14:paraId="280F90C9"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sz w:val="22"/>
          <w:szCs w:val="22"/>
        </w:rPr>
        <w:lastRenderedPageBreak/>
        <w:t xml:space="preserve">NHSApp (2021) </w:t>
      </w:r>
      <w:r w:rsidRPr="0047027F">
        <w:rPr>
          <w:rFonts w:ascii="Arial" w:eastAsia="Calibri" w:hAnsi="Arial" w:cs="Arial"/>
          <w:i/>
          <w:iCs/>
          <w:sz w:val="22"/>
          <w:szCs w:val="22"/>
        </w:rPr>
        <w:t>Service.nhs.uk</w:t>
      </w:r>
      <w:r w:rsidRPr="0047027F">
        <w:rPr>
          <w:rFonts w:ascii="Arial" w:eastAsia="Calibri" w:hAnsi="Arial" w:cs="Arial"/>
          <w:sz w:val="22"/>
          <w:szCs w:val="22"/>
        </w:rPr>
        <w:t>. Available at: https://www.nhsapp.service.nhs.uk/login (Accessed: 3 July 2026).</w:t>
      </w:r>
    </w:p>
    <w:p w14:paraId="78322650" w14:textId="77777777" w:rsidR="0047027F" w:rsidRPr="0047027F" w:rsidRDefault="0047027F" w:rsidP="005D48FA">
      <w:pPr>
        <w:spacing w:after="240" w:line="360" w:lineRule="auto"/>
        <w:jc w:val="both"/>
        <w:rPr>
          <w:rFonts w:ascii="Arial" w:eastAsia="Calibri" w:hAnsi="Arial" w:cs="Arial"/>
          <w:sz w:val="22"/>
          <w:szCs w:val="22"/>
        </w:rPr>
      </w:pPr>
      <w:r w:rsidRPr="0047027F">
        <w:rPr>
          <w:rFonts w:ascii="Arial" w:eastAsia="Calibri" w:hAnsi="Arial" w:cs="Arial"/>
          <w:sz w:val="22"/>
          <w:szCs w:val="22"/>
        </w:rPr>
        <w:t xml:space="preserve">Nicodemo, C. (2026) </w:t>
      </w:r>
      <w:r w:rsidRPr="0047027F">
        <w:rPr>
          <w:rFonts w:ascii="Arial" w:eastAsia="Calibri" w:hAnsi="Arial" w:cs="Arial"/>
          <w:i/>
          <w:iCs/>
          <w:sz w:val="22"/>
          <w:szCs w:val="22"/>
        </w:rPr>
        <w:t>Bridging the Digital Gap: The NHS 10-Year Plan and the Shift Towards Digital Health</w:t>
      </w:r>
      <w:r w:rsidRPr="0047027F">
        <w:rPr>
          <w:rFonts w:ascii="Arial" w:eastAsia="Calibri" w:hAnsi="Arial" w:cs="Arial"/>
          <w:sz w:val="22"/>
          <w:szCs w:val="22"/>
        </w:rPr>
        <w:t xml:space="preserve">, </w:t>
      </w:r>
      <w:r w:rsidRPr="0047027F">
        <w:rPr>
          <w:rFonts w:ascii="Arial" w:eastAsia="Calibri" w:hAnsi="Arial" w:cs="Arial"/>
          <w:i/>
          <w:iCs/>
          <w:sz w:val="22"/>
          <w:szCs w:val="22"/>
        </w:rPr>
        <w:t>Antevorta</w:t>
      </w:r>
      <w:r w:rsidRPr="0047027F">
        <w:rPr>
          <w:rFonts w:ascii="Arial" w:eastAsia="Calibri" w:hAnsi="Arial" w:cs="Arial"/>
          <w:sz w:val="22"/>
          <w:szCs w:val="22"/>
        </w:rPr>
        <w:t>. Available at: https://www.antevortafoundation.com/post/bridging-the-digital-gap-the-nhs-10-year-plan-and-the-shift-towards-digital-health (Accessed: 3 July 2026).</w:t>
      </w:r>
    </w:p>
    <w:p w14:paraId="36F4CD37"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Peckham, S., (2023). Evaluation of Government Commitments made on the digitisation of the NHS.</w:t>
      </w:r>
      <w:r w:rsidRPr="0047027F">
        <w:rPr>
          <w:rFonts w:ascii="Arial" w:eastAsia="Calibri" w:hAnsi="Arial" w:cs="Arial"/>
          <w:sz w:val="22"/>
          <w:szCs w:val="22"/>
        </w:rPr>
        <w:t xml:space="preserve"> </w:t>
      </w:r>
      <w:hyperlink r:id="rId13">
        <w:r w:rsidRPr="0047027F">
          <w:rPr>
            <w:rFonts w:ascii="Arial" w:eastAsia="Calibri" w:hAnsi="Arial" w:cs="Arial"/>
            <w:color w:val="1155CC"/>
            <w:sz w:val="22"/>
            <w:szCs w:val="22"/>
          </w:rPr>
          <w:t>https://kar.kent.ac.uk/100265/1/Evaluation%20of%20Government%20commitments%20made%20on%20the%20digestion%20of%20the%20NHS.pdf</w:t>
        </w:r>
      </w:hyperlink>
      <w:r w:rsidRPr="0047027F">
        <w:rPr>
          <w:rFonts w:ascii="Arial" w:eastAsia="Calibri" w:hAnsi="Arial" w:cs="Arial"/>
          <w:sz w:val="22"/>
          <w:szCs w:val="22"/>
        </w:rPr>
        <w:t xml:space="preserve"> </w:t>
      </w:r>
    </w:p>
    <w:p w14:paraId="68717E16"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 xml:space="preserve">Reidy, C., Papoutsi, C., Kc, S., Gudgin, B., Laverty, A.A., Greaves, F. and Powell, J., (2025). Qualitative evaluation of the implementation and national roll-out of the NHS App in England. </w:t>
      </w:r>
      <w:r w:rsidRPr="0047027F">
        <w:rPr>
          <w:rFonts w:ascii="Arial" w:eastAsia="Calibri" w:hAnsi="Arial" w:cs="Arial"/>
          <w:i/>
          <w:iCs/>
          <w:color w:val="222222"/>
          <w:sz w:val="22"/>
          <w:szCs w:val="22"/>
          <w:highlight w:val="white"/>
        </w:rPr>
        <w:t>BMC medicine</w:t>
      </w:r>
      <w:r w:rsidRPr="0047027F">
        <w:rPr>
          <w:rFonts w:ascii="Arial" w:eastAsia="Calibri" w:hAnsi="Arial" w:cs="Arial"/>
          <w:color w:val="222222"/>
          <w:sz w:val="22"/>
          <w:szCs w:val="22"/>
          <w:highlight w:val="white"/>
        </w:rPr>
        <w:t xml:space="preserve">, </w:t>
      </w:r>
      <w:r w:rsidRPr="0047027F">
        <w:rPr>
          <w:rFonts w:ascii="Arial" w:eastAsia="Calibri" w:hAnsi="Arial" w:cs="Arial"/>
          <w:i/>
          <w:iCs/>
          <w:color w:val="222222"/>
          <w:sz w:val="22"/>
          <w:szCs w:val="22"/>
          <w:highlight w:val="white"/>
        </w:rPr>
        <w:t>23</w:t>
      </w:r>
      <w:r w:rsidRPr="0047027F">
        <w:rPr>
          <w:rFonts w:ascii="Arial" w:eastAsia="Calibri" w:hAnsi="Arial" w:cs="Arial"/>
          <w:color w:val="222222"/>
          <w:sz w:val="22"/>
          <w:szCs w:val="22"/>
          <w:highlight w:val="white"/>
        </w:rPr>
        <w:t>(1), p.20.</w:t>
      </w:r>
      <w:r w:rsidRPr="0047027F">
        <w:rPr>
          <w:rFonts w:ascii="Arial" w:eastAsia="Calibri" w:hAnsi="Arial" w:cs="Arial"/>
          <w:sz w:val="22"/>
          <w:szCs w:val="22"/>
        </w:rPr>
        <w:t xml:space="preserve"> </w:t>
      </w:r>
      <w:hyperlink r:id="rId14">
        <w:r w:rsidRPr="0047027F">
          <w:rPr>
            <w:rFonts w:ascii="Arial" w:eastAsia="Calibri" w:hAnsi="Arial" w:cs="Arial"/>
            <w:color w:val="1155CC"/>
            <w:sz w:val="22"/>
            <w:szCs w:val="22"/>
          </w:rPr>
          <w:t>https://link.springer.com/content/pdf/10.1186/s12916-024-03842-w.pdf</w:t>
        </w:r>
      </w:hyperlink>
      <w:r w:rsidRPr="0047027F">
        <w:rPr>
          <w:rFonts w:ascii="Arial" w:eastAsia="Calibri" w:hAnsi="Arial" w:cs="Arial"/>
          <w:sz w:val="22"/>
          <w:szCs w:val="22"/>
        </w:rPr>
        <w:t xml:space="preserve"> </w:t>
      </w:r>
    </w:p>
    <w:p w14:paraId="64FEFA4A"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 xml:space="preserve">Reidy, C., Papoutsi, C., Kc, S., Gudgin, B., Laverty, A.A., Greaves, F. and Powell, J., (2025). Qualitative evaluation of the implementation and national roll-out of the NHS App in England. </w:t>
      </w:r>
      <w:r w:rsidRPr="0047027F">
        <w:rPr>
          <w:rFonts w:ascii="Arial" w:eastAsia="Calibri" w:hAnsi="Arial" w:cs="Arial"/>
          <w:i/>
          <w:iCs/>
          <w:color w:val="222222"/>
          <w:sz w:val="22"/>
          <w:szCs w:val="22"/>
          <w:highlight w:val="white"/>
        </w:rPr>
        <w:t>BMC medicine</w:t>
      </w:r>
      <w:r w:rsidRPr="0047027F">
        <w:rPr>
          <w:rFonts w:ascii="Arial" w:eastAsia="Calibri" w:hAnsi="Arial" w:cs="Arial"/>
          <w:color w:val="222222"/>
          <w:sz w:val="22"/>
          <w:szCs w:val="22"/>
          <w:highlight w:val="white"/>
        </w:rPr>
        <w:t xml:space="preserve">, </w:t>
      </w:r>
      <w:r w:rsidRPr="0047027F">
        <w:rPr>
          <w:rFonts w:ascii="Arial" w:eastAsia="Calibri" w:hAnsi="Arial" w:cs="Arial"/>
          <w:i/>
          <w:iCs/>
          <w:color w:val="222222"/>
          <w:sz w:val="22"/>
          <w:szCs w:val="22"/>
          <w:highlight w:val="white"/>
        </w:rPr>
        <w:t>23</w:t>
      </w:r>
      <w:r w:rsidRPr="0047027F">
        <w:rPr>
          <w:rFonts w:ascii="Arial" w:eastAsia="Calibri" w:hAnsi="Arial" w:cs="Arial"/>
          <w:color w:val="222222"/>
          <w:sz w:val="22"/>
          <w:szCs w:val="22"/>
          <w:highlight w:val="white"/>
        </w:rPr>
        <w:t>(1), p.20.</w:t>
      </w:r>
      <w:r w:rsidRPr="0047027F">
        <w:rPr>
          <w:rFonts w:ascii="Arial" w:eastAsia="Calibri" w:hAnsi="Arial" w:cs="Arial"/>
          <w:sz w:val="22"/>
          <w:szCs w:val="22"/>
        </w:rPr>
        <w:t xml:space="preserve"> </w:t>
      </w:r>
      <w:hyperlink r:id="rId15">
        <w:r w:rsidRPr="0047027F">
          <w:rPr>
            <w:rFonts w:ascii="Arial" w:eastAsia="Calibri" w:hAnsi="Arial" w:cs="Arial"/>
            <w:color w:val="1155CC"/>
            <w:sz w:val="22"/>
            <w:szCs w:val="22"/>
          </w:rPr>
          <w:t>https://link.springer.com/content/pdf/10.1186/s12916-024-03842-w.pdf</w:t>
        </w:r>
      </w:hyperlink>
      <w:r w:rsidRPr="0047027F">
        <w:rPr>
          <w:rFonts w:ascii="Arial" w:eastAsia="Calibri" w:hAnsi="Arial" w:cs="Arial"/>
          <w:sz w:val="22"/>
          <w:szCs w:val="22"/>
        </w:rPr>
        <w:t xml:space="preserve"> </w:t>
      </w:r>
    </w:p>
    <w:p w14:paraId="24D4E318" w14:textId="77777777" w:rsidR="0047027F" w:rsidRPr="0047027F" w:rsidRDefault="0047027F" w:rsidP="005D48FA">
      <w:pPr>
        <w:spacing w:line="360" w:lineRule="auto"/>
        <w:rPr>
          <w:rFonts w:ascii="Arial" w:eastAsia="Calibri" w:hAnsi="Arial" w:cs="Arial"/>
          <w:sz w:val="22"/>
          <w:szCs w:val="22"/>
        </w:rPr>
      </w:pPr>
      <w:r w:rsidRPr="0047027F">
        <w:rPr>
          <w:rFonts w:ascii="Arial" w:eastAsia="Calibri" w:hAnsi="Arial" w:cs="Arial"/>
          <w:color w:val="222222"/>
          <w:sz w:val="22"/>
          <w:szCs w:val="22"/>
          <w:highlight w:val="white"/>
        </w:rPr>
        <w:t xml:space="preserve">Shaw, R.J., (2023). Access to technology and digital literacy as determinants of health and health care. </w:t>
      </w:r>
      <w:r w:rsidRPr="0047027F">
        <w:rPr>
          <w:rFonts w:ascii="Arial" w:eastAsia="Calibri" w:hAnsi="Arial" w:cs="Arial"/>
          <w:i/>
          <w:iCs/>
          <w:color w:val="222222"/>
          <w:sz w:val="22"/>
          <w:szCs w:val="22"/>
          <w:highlight w:val="white"/>
        </w:rPr>
        <w:t>Creative nursing</w:t>
      </w:r>
      <w:r w:rsidRPr="0047027F">
        <w:rPr>
          <w:rFonts w:ascii="Arial" w:eastAsia="Calibri" w:hAnsi="Arial" w:cs="Arial"/>
          <w:color w:val="222222"/>
          <w:sz w:val="22"/>
          <w:szCs w:val="22"/>
          <w:highlight w:val="white"/>
        </w:rPr>
        <w:t xml:space="preserve">, </w:t>
      </w:r>
      <w:r w:rsidRPr="0047027F">
        <w:rPr>
          <w:rFonts w:ascii="Arial" w:eastAsia="Calibri" w:hAnsi="Arial" w:cs="Arial"/>
          <w:i/>
          <w:iCs/>
          <w:color w:val="222222"/>
          <w:sz w:val="22"/>
          <w:szCs w:val="22"/>
          <w:highlight w:val="white"/>
        </w:rPr>
        <w:t>29</w:t>
      </w:r>
      <w:r w:rsidRPr="0047027F">
        <w:rPr>
          <w:rFonts w:ascii="Arial" w:eastAsia="Calibri" w:hAnsi="Arial" w:cs="Arial"/>
          <w:color w:val="222222"/>
          <w:sz w:val="22"/>
          <w:szCs w:val="22"/>
          <w:highlight w:val="white"/>
        </w:rPr>
        <w:t>(3), pp.258-263.</w:t>
      </w:r>
      <w:r w:rsidRPr="0047027F">
        <w:rPr>
          <w:rFonts w:ascii="Arial" w:eastAsia="Calibri" w:hAnsi="Arial" w:cs="Arial"/>
          <w:color w:val="222222"/>
          <w:sz w:val="22"/>
          <w:szCs w:val="22"/>
        </w:rPr>
        <w:t xml:space="preserve"> </w:t>
      </w:r>
      <w:hyperlink r:id="rId16">
        <w:r w:rsidRPr="0047027F">
          <w:rPr>
            <w:rFonts w:ascii="Arial" w:eastAsia="Calibri" w:hAnsi="Arial" w:cs="Arial"/>
            <w:color w:val="1155CC"/>
            <w:sz w:val="22"/>
            <w:szCs w:val="22"/>
          </w:rPr>
          <w:t>https://journals.sagepub.com/doi/abs/10.1177/10784535231211682</w:t>
        </w:r>
      </w:hyperlink>
      <w:r w:rsidRPr="0047027F">
        <w:rPr>
          <w:rFonts w:ascii="Arial" w:eastAsia="Calibri" w:hAnsi="Arial" w:cs="Arial"/>
          <w:color w:val="222222"/>
          <w:sz w:val="22"/>
          <w:szCs w:val="22"/>
        </w:rPr>
        <w:t xml:space="preserve"> </w:t>
      </w:r>
    </w:p>
    <w:p w14:paraId="1618CD03"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sz w:val="22"/>
          <w:szCs w:val="22"/>
        </w:rPr>
        <w:t xml:space="preserve">Sollof, J. (2026) </w:t>
      </w:r>
      <w:r w:rsidRPr="0047027F">
        <w:rPr>
          <w:rFonts w:ascii="Arial" w:eastAsia="Calibri" w:hAnsi="Arial" w:cs="Arial"/>
          <w:i/>
          <w:iCs/>
          <w:sz w:val="22"/>
          <w:szCs w:val="22"/>
        </w:rPr>
        <w:t>NHS App ‘not improving patients’ views on NHS admin’</w:t>
      </w:r>
      <w:r w:rsidRPr="0047027F">
        <w:rPr>
          <w:rFonts w:ascii="Arial" w:eastAsia="Calibri" w:hAnsi="Arial" w:cs="Arial"/>
          <w:sz w:val="22"/>
          <w:szCs w:val="22"/>
        </w:rPr>
        <w:t xml:space="preserve">, </w:t>
      </w:r>
      <w:r w:rsidRPr="0047027F">
        <w:rPr>
          <w:rFonts w:ascii="Arial" w:eastAsia="Calibri" w:hAnsi="Arial" w:cs="Arial"/>
          <w:i/>
          <w:iCs/>
          <w:sz w:val="22"/>
          <w:szCs w:val="22"/>
        </w:rPr>
        <w:t>Digital Health</w:t>
      </w:r>
      <w:r w:rsidRPr="0047027F">
        <w:rPr>
          <w:rFonts w:ascii="Arial" w:eastAsia="Calibri" w:hAnsi="Arial" w:cs="Arial"/>
          <w:sz w:val="22"/>
          <w:szCs w:val="22"/>
        </w:rPr>
        <w:t>. Available at: https://www.digitalhealth.net/2026/04/nhs-app-not-improving-patients-views-on-nhs-admin/ (Accessed: 3 July 2026).</w:t>
      </w:r>
    </w:p>
    <w:p w14:paraId="507DB5E5" w14:textId="77777777" w:rsidR="0047027F" w:rsidRPr="0047027F" w:rsidRDefault="0047027F" w:rsidP="005D48FA">
      <w:pPr>
        <w:spacing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 xml:space="preserve">Toh, C.H. and Haynes, R., (2022). The Health and Care Act 2022: challenges and priorities for embedding research in the NHS. </w:t>
      </w:r>
      <w:r w:rsidRPr="0047027F">
        <w:rPr>
          <w:rFonts w:ascii="Arial" w:eastAsia="Calibri" w:hAnsi="Arial" w:cs="Arial"/>
          <w:i/>
          <w:iCs/>
          <w:color w:val="222222"/>
          <w:sz w:val="22"/>
          <w:szCs w:val="22"/>
          <w:highlight w:val="white"/>
        </w:rPr>
        <w:t>The Lancet</w:t>
      </w:r>
      <w:r w:rsidRPr="0047027F">
        <w:rPr>
          <w:rFonts w:ascii="Arial" w:eastAsia="Calibri" w:hAnsi="Arial" w:cs="Arial"/>
          <w:color w:val="222222"/>
          <w:sz w:val="22"/>
          <w:szCs w:val="22"/>
          <w:highlight w:val="white"/>
        </w:rPr>
        <w:t xml:space="preserve">, </w:t>
      </w:r>
      <w:r w:rsidRPr="0047027F">
        <w:rPr>
          <w:rFonts w:ascii="Arial" w:eastAsia="Calibri" w:hAnsi="Arial" w:cs="Arial"/>
          <w:i/>
          <w:iCs/>
          <w:color w:val="222222"/>
          <w:sz w:val="22"/>
          <w:szCs w:val="22"/>
          <w:highlight w:val="white"/>
        </w:rPr>
        <w:t>400</w:t>
      </w:r>
      <w:r w:rsidRPr="0047027F">
        <w:rPr>
          <w:rFonts w:ascii="Arial" w:eastAsia="Calibri" w:hAnsi="Arial" w:cs="Arial"/>
          <w:color w:val="222222"/>
          <w:sz w:val="22"/>
          <w:szCs w:val="22"/>
          <w:highlight w:val="white"/>
        </w:rPr>
        <w:t>(10349), pp.343-345.</w:t>
      </w:r>
      <w:r w:rsidRPr="0047027F">
        <w:rPr>
          <w:rFonts w:ascii="Arial" w:eastAsia="Calibri" w:hAnsi="Arial" w:cs="Arial"/>
          <w:sz w:val="22"/>
          <w:szCs w:val="22"/>
        </w:rPr>
        <w:t xml:space="preserve"> </w:t>
      </w:r>
      <w:hyperlink r:id="rId17">
        <w:r w:rsidRPr="0047027F">
          <w:rPr>
            <w:rFonts w:ascii="Arial" w:eastAsia="Calibri" w:hAnsi="Arial" w:cs="Arial"/>
            <w:color w:val="1155CC"/>
            <w:sz w:val="22"/>
            <w:szCs w:val="22"/>
          </w:rPr>
          <w:t>https://pmc.ncbi.nlm.nih.gov/articles/PMC9398193/pdf/main.pdf</w:t>
        </w:r>
      </w:hyperlink>
      <w:r w:rsidRPr="0047027F">
        <w:rPr>
          <w:rFonts w:ascii="Arial" w:eastAsia="Calibri" w:hAnsi="Arial" w:cs="Arial"/>
          <w:sz w:val="22"/>
          <w:szCs w:val="22"/>
        </w:rPr>
        <w:t xml:space="preserve"> </w:t>
      </w:r>
    </w:p>
    <w:p w14:paraId="01B7E8D0" w14:textId="77777777" w:rsidR="0047027F" w:rsidRPr="0047027F" w:rsidRDefault="0047027F" w:rsidP="005D48FA">
      <w:pPr>
        <w:spacing w:after="240" w:line="360" w:lineRule="auto"/>
        <w:jc w:val="both"/>
        <w:rPr>
          <w:rFonts w:ascii="Arial" w:eastAsia="Calibri" w:hAnsi="Arial" w:cs="Arial"/>
          <w:sz w:val="22"/>
          <w:szCs w:val="22"/>
        </w:rPr>
      </w:pPr>
      <w:r w:rsidRPr="0047027F">
        <w:rPr>
          <w:rFonts w:ascii="Arial" w:eastAsia="Calibri" w:hAnsi="Arial" w:cs="Arial"/>
          <w:sz w:val="22"/>
          <w:szCs w:val="22"/>
        </w:rPr>
        <w:t xml:space="preserve">UKGovernment (2018) </w:t>
      </w:r>
      <w:r w:rsidRPr="0047027F">
        <w:rPr>
          <w:rFonts w:ascii="Arial" w:eastAsia="Calibri" w:hAnsi="Arial" w:cs="Arial"/>
          <w:i/>
          <w:iCs/>
          <w:sz w:val="22"/>
          <w:szCs w:val="22"/>
        </w:rPr>
        <w:t>Data Protection Act 2018</w:t>
      </w:r>
      <w:r w:rsidRPr="0047027F">
        <w:rPr>
          <w:rFonts w:ascii="Arial" w:eastAsia="Calibri" w:hAnsi="Arial" w:cs="Arial"/>
          <w:sz w:val="22"/>
          <w:szCs w:val="22"/>
        </w:rPr>
        <w:t>. Available at: https://www.legislation.gov.uk/ukpga/2018/12/pdfs/ukpga_20180012_en.pdf (Accessed: 3 July 2026).</w:t>
      </w:r>
    </w:p>
    <w:p w14:paraId="076B2625" w14:textId="77777777" w:rsidR="0047027F" w:rsidRPr="0047027F" w:rsidRDefault="0047027F" w:rsidP="005D48FA">
      <w:pPr>
        <w:spacing w:after="240" w:line="360" w:lineRule="auto"/>
        <w:jc w:val="both"/>
        <w:rPr>
          <w:rFonts w:ascii="Arial" w:eastAsia="Calibri" w:hAnsi="Arial" w:cs="Arial"/>
          <w:sz w:val="22"/>
          <w:szCs w:val="22"/>
        </w:rPr>
      </w:pPr>
      <w:r w:rsidRPr="0047027F">
        <w:rPr>
          <w:rFonts w:ascii="Arial" w:eastAsia="Calibri" w:hAnsi="Arial" w:cs="Arial"/>
          <w:color w:val="222222"/>
          <w:sz w:val="22"/>
          <w:szCs w:val="22"/>
        </w:rPr>
        <w:lastRenderedPageBreak/>
        <w:t xml:space="preserve">UKParliament (2022) </w:t>
      </w:r>
      <w:r w:rsidRPr="0047027F">
        <w:rPr>
          <w:rFonts w:ascii="Arial" w:eastAsia="Calibri" w:hAnsi="Arial" w:cs="Arial"/>
          <w:i/>
          <w:iCs/>
          <w:color w:val="222222"/>
          <w:sz w:val="22"/>
          <w:szCs w:val="22"/>
        </w:rPr>
        <w:t>Digital transformation in the NHS - Health and Social Care Committee</w:t>
      </w:r>
      <w:r w:rsidRPr="0047027F">
        <w:rPr>
          <w:rFonts w:ascii="Arial" w:eastAsia="Calibri" w:hAnsi="Arial" w:cs="Arial"/>
          <w:color w:val="222222"/>
          <w:sz w:val="22"/>
          <w:szCs w:val="22"/>
        </w:rPr>
        <w:t xml:space="preserve">, </w:t>
      </w:r>
      <w:r w:rsidRPr="0047027F">
        <w:rPr>
          <w:rFonts w:ascii="Arial" w:eastAsia="Calibri" w:hAnsi="Arial" w:cs="Arial"/>
          <w:i/>
          <w:iCs/>
          <w:color w:val="222222"/>
          <w:sz w:val="22"/>
          <w:szCs w:val="22"/>
        </w:rPr>
        <w:t>Parliament.uk</w:t>
      </w:r>
      <w:r w:rsidRPr="0047027F">
        <w:rPr>
          <w:rFonts w:ascii="Arial" w:eastAsia="Calibri" w:hAnsi="Arial" w:cs="Arial"/>
          <w:color w:val="222222"/>
          <w:sz w:val="22"/>
          <w:szCs w:val="22"/>
        </w:rPr>
        <w:t>. Available at: https://publications.parliament.uk/pa/cm5803/cmselect/cmhealth/223/report.html (Accessed: 3 July 2026).</w:t>
      </w:r>
    </w:p>
    <w:p w14:paraId="34A2FDDC" w14:textId="77777777" w:rsidR="0047027F" w:rsidRPr="0047027F" w:rsidRDefault="0047027F" w:rsidP="005D48FA">
      <w:pPr>
        <w:spacing w:before="240" w:after="240" w:line="360" w:lineRule="auto"/>
        <w:jc w:val="both"/>
        <w:rPr>
          <w:rFonts w:ascii="Arial" w:eastAsia="Calibri" w:hAnsi="Arial" w:cs="Arial"/>
          <w:sz w:val="22"/>
          <w:szCs w:val="22"/>
        </w:rPr>
      </w:pPr>
      <w:r w:rsidRPr="0047027F">
        <w:rPr>
          <w:rFonts w:ascii="Arial" w:eastAsia="Calibri" w:hAnsi="Arial" w:cs="Arial"/>
          <w:color w:val="222222"/>
          <w:sz w:val="22"/>
          <w:szCs w:val="22"/>
          <w:highlight w:val="white"/>
        </w:rPr>
        <w:t xml:space="preserve">Yuan, S., Coghlan, S., Lederman, R. and Waycott, J., (2024, November). Language Barriers in Long-term Aged Care Homes: Design Considerations for Translation Technology. In </w:t>
      </w:r>
      <w:r w:rsidRPr="0047027F">
        <w:rPr>
          <w:rFonts w:ascii="Arial" w:eastAsia="Calibri" w:hAnsi="Arial" w:cs="Arial"/>
          <w:i/>
          <w:iCs/>
          <w:color w:val="222222"/>
          <w:sz w:val="22"/>
          <w:szCs w:val="22"/>
          <w:highlight w:val="white"/>
        </w:rPr>
        <w:t>Proceedings of the 36th Australasian Conference on Human-Computer Interaction</w:t>
      </w:r>
      <w:r w:rsidRPr="0047027F">
        <w:rPr>
          <w:rFonts w:ascii="Arial" w:eastAsia="Calibri" w:hAnsi="Arial" w:cs="Arial"/>
          <w:color w:val="222222"/>
          <w:sz w:val="22"/>
          <w:szCs w:val="22"/>
          <w:highlight w:val="white"/>
        </w:rPr>
        <w:t xml:space="preserve"> (pp. 134-146).</w:t>
      </w:r>
      <w:r w:rsidRPr="0047027F">
        <w:rPr>
          <w:rFonts w:ascii="Arial" w:eastAsia="Calibri" w:hAnsi="Arial" w:cs="Arial"/>
          <w:sz w:val="22"/>
          <w:szCs w:val="22"/>
        </w:rPr>
        <w:t xml:space="preserve"> </w:t>
      </w:r>
      <w:hyperlink r:id="rId18">
        <w:r w:rsidRPr="0047027F">
          <w:rPr>
            <w:rFonts w:ascii="Arial" w:eastAsia="Calibri" w:hAnsi="Arial" w:cs="Arial"/>
            <w:color w:val="1155CC"/>
            <w:sz w:val="22"/>
            <w:szCs w:val="22"/>
          </w:rPr>
          <w:t>https://dl.acm.org/doi/pdf/10.1145/3726986.3727901</w:t>
        </w:r>
      </w:hyperlink>
      <w:r w:rsidRPr="0047027F">
        <w:rPr>
          <w:rFonts w:ascii="Arial" w:eastAsia="Calibri" w:hAnsi="Arial" w:cs="Arial"/>
          <w:sz w:val="22"/>
          <w:szCs w:val="22"/>
        </w:rPr>
        <w:t xml:space="preserve"> </w:t>
      </w:r>
    </w:p>
    <w:sectPr w:rsidR="0047027F" w:rsidRPr="0047027F" w:rsidSect="0047027F">
      <w:footerReference w:type="default" r:id="rId19"/>
      <w:pgSz w:w="11906" w:h="16838"/>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830E5" w14:textId="77777777" w:rsidR="00A82D63" w:rsidRPr="0047027F" w:rsidRDefault="00A82D63" w:rsidP="0047027F">
      <w:r w:rsidRPr="0047027F">
        <w:separator/>
      </w:r>
    </w:p>
  </w:endnote>
  <w:endnote w:type="continuationSeparator" w:id="0">
    <w:p w14:paraId="6A7632AD" w14:textId="77777777" w:rsidR="00A82D63" w:rsidRPr="0047027F" w:rsidRDefault="00A82D63" w:rsidP="0047027F">
      <w:r w:rsidRPr="0047027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7F26A8CF-D4A4-40D3-ACE0-AD017EC3ABFB}"/>
    <w:embedBold r:id="rId2" w:fontKey="{D11DB643-5530-4B20-BC91-7CB22A2BC9E6}"/>
    <w:embedItalic r:id="rId3" w:fontKey="{3A3983B0-7B36-4AA4-9566-A2DFEB251433}"/>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4" w:fontKey="{B9EE2F71-2C2C-4765-9A1E-F56CF3B41D40}"/>
    <w:embedBold r:id="rId5" w:fontKey="{403ABDBD-E49D-4B8E-B9CF-862CE88142E6}"/>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A41A1DF1-ABE2-4E6B-8639-0F5F6378C5DA}"/>
    <w:embedBold r:id="rId7" w:fontKey="{818D9B60-41B4-46E0-BF4A-23E29C1FEE5E}"/>
    <w:embedItalic r:id="rId8" w:fontKey="{AC4154F2-9769-4668-9778-8DC27933F386}"/>
  </w:font>
  <w:font w:name="Cambria">
    <w:panose1 w:val="02040503050406030204"/>
    <w:charset w:val="00"/>
    <w:family w:val="roman"/>
    <w:pitch w:val="variable"/>
    <w:sig w:usb0="E00006FF" w:usb1="420024FF" w:usb2="02000000" w:usb3="00000000" w:csb0="0000019F" w:csb1="00000000"/>
    <w:embedRegular r:id="rId9" w:fontKey="{25B4FFA9-DC71-4DDD-9E87-6F859274621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722872"/>
      <w:docPartObj>
        <w:docPartGallery w:val="Page Numbers (Bottom of Page)"/>
        <w:docPartUnique/>
      </w:docPartObj>
    </w:sdtPr>
    <w:sdtContent>
      <w:p w14:paraId="709731B0" w14:textId="628BB1F7" w:rsidR="0047027F" w:rsidRPr="0047027F" w:rsidRDefault="0047027F">
        <w:pPr>
          <w:pStyle w:val="Footer"/>
          <w:jc w:val="right"/>
        </w:pPr>
        <w:r w:rsidRPr="0047027F">
          <w:fldChar w:fldCharType="begin"/>
        </w:r>
        <w:r w:rsidRPr="0047027F">
          <w:instrText xml:space="preserve"> PAGE   \* MERGEFORMAT </w:instrText>
        </w:r>
        <w:r w:rsidRPr="0047027F">
          <w:fldChar w:fldCharType="separate"/>
        </w:r>
        <w:r w:rsidRPr="0047027F">
          <w:t>2</w:t>
        </w:r>
        <w:r w:rsidRPr="0047027F">
          <w:fldChar w:fldCharType="end"/>
        </w:r>
      </w:p>
    </w:sdtContent>
  </w:sdt>
  <w:p w14:paraId="4935D9D0" w14:textId="77777777" w:rsidR="0047027F" w:rsidRPr="0047027F" w:rsidRDefault="00470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292AB" w14:textId="77777777" w:rsidR="00A82D63" w:rsidRPr="0047027F" w:rsidRDefault="00A82D63" w:rsidP="0047027F">
      <w:r w:rsidRPr="0047027F">
        <w:separator/>
      </w:r>
    </w:p>
  </w:footnote>
  <w:footnote w:type="continuationSeparator" w:id="0">
    <w:p w14:paraId="1260BC45" w14:textId="77777777" w:rsidR="00A82D63" w:rsidRPr="0047027F" w:rsidRDefault="00A82D63" w:rsidP="0047027F">
      <w:r w:rsidRPr="0047027F">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DFE"/>
    <w:rsid w:val="0007369A"/>
    <w:rsid w:val="00133E19"/>
    <w:rsid w:val="001E3C25"/>
    <w:rsid w:val="002C64B5"/>
    <w:rsid w:val="003105AC"/>
    <w:rsid w:val="0039220A"/>
    <w:rsid w:val="003F7B4D"/>
    <w:rsid w:val="00434DFE"/>
    <w:rsid w:val="0047027F"/>
    <w:rsid w:val="004A1EDC"/>
    <w:rsid w:val="005C7990"/>
    <w:rsid w:val="005D48FA"/>
    <w:rsid w:val="00690D30"/>
    <w:rsid w:val="00691E98"/>
    <w:rsid w:val="006D551E"/>
    <w:rsid w:val="006F5187"/>
    <w:rsid w:val="0078019A"/>
    <w:rsid w:val="00832B76"/>
    <w:rsid w:val="00856B02"/>
    <w:rsid w:val="009B32E5"/>
    <w:rsid w:val="009F10EA"/>
    <w:rsid w:val="00A46625"/>
    <w:rsid w:val="00A72713"/>
    <w:rsid w:val="00A82D63"/>
    <w:rsid w:val="00AE38CA"/>
    <w:rsid w:val="00B23084"/>
    <w:rsid w:val="00B275EB"/>
    <w:rsid w:val="00C8294F"/>
    <w:rsid w:val="00CD3131"/>
    <w:rsid w:val="00FA6A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A8F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A1EDC"/>
    <w:pPr>
      <w:keepNext/>
      <w:keepLines/>
      <w:spacing w:before="360" w:after="80" w:line="360" w:lineRule="auto"/>
      <w:jc w:val="both"/>
      <w:outlineLvl w:val="0"/>
    </w:pPr>
    <w:rPr>
      <w:rFonts w:ascii="Arial" w:eastAsia="Play" w:hAnsi="Arial" w:cs="Play"/>
      <w:b/>
      <w:color w:val="000000" w:themeColor="text1"/>
      <w:sz w:val="22"/>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paragraph" w:styleId="Header">
    <w:name w:val="header"/>
    <w:basedOn w:val="Normal"/>
    <w:link w:val="HeaderChar"/>
    <w:uiPriority w:val="99"/>
    <w:unhideWhenUsed/>
    <w:rsid w:val="0047027F"/>
    <w:pPr>
      <w:tabs>
        <w:tab w:val="center" w:pos="4513"/>
        <w:tab w:val="right" w:pos="9026"/>
      </w:tabs>
    </w:pPr>
  </w:style>
  <w:style w:type="character" w:customStyle="1" w:styleId="HeaderChar">
    <w:name w:val="Header Char"/>
    <w:basedOn w:val="DefaultParagraphFont"/>
    <w:link w:val="Header"/>
    <w:uiPriority w:val="99"/>
    <w:rsid w:val="0047027F"/>
  </w:style>
  <w:style w:type="paragraph" w:styleId="Footer">
    <w:name w:val="footer"/>
    <w:basedOn w:val="Normal"/>
    <w:link w:val="FooterChar"/>
    <w:uiPriority w:val="99"/>
    <w:unhideWhenUsed/>
    <w:rsid w:val="0047027F"/>
    <w:pPr>
      <w:tabs>
        <w:tab w:val="center" w:pos="4513"/>
        <w:tab w:val="right" w:pos="9026"/>
      </w:tabs>
    </w:pPr>
  </w:style>
  <w:style w:type="character" w:customStyle="1" w:styleId="FooterChar">
    <w:name w:val="Footer Char"/>
    <w:basedOn w:val="DefaultParagraphFont"/>
    <w:link w:val="Footer"/>
    <w:uiPriority w:val="99"/>
    <w:rsid w:val="0047027F"/>
  </w:style>
  <w:style w:type="paragraph" w:styleId="TOCHeading">
    <w:name w:val="TOC Heading"/>
    <w:basedOn w:val="Heading1"/>
    <w:next w:val="Normal"/>
    <w:uiPriority w:val="39"/>
    <w:unhideWhenUsed/>
    <w:qFormat/>
    <w:rsid w:val="005D48F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D48FA"/>
    <w:pPr>
      <w:spacing w:after="100"/>
    </w:pPr>
  </w:style>
  <w:style w:type="character" w:styleId="Hyperlink">
    <w:name w:val="Hyperlink"/>
    <w:basedOn w:val="DefaultParagraphFont"/>
    <w:uiPriority w:val="99"/>
    <w:unhideWhenUsed/>
    <w:rsid w:val="005D48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jmir.org/2024/1/e50715/" TargetMode="External"/><Relationship Id="rId13" Type="http://schemas.openxmlformats.org/officeDocument/2006/relationships/hyperlink" Target="https://kar.kent.ac.uk/100265/1/Evaluation%20of%20Government%20commitments%20made%20on%20the%20digestion%20of%20the%20NHS.pdf" TargetMode="External"/><Relationship Id="rId18" Type="http://schemas.openxmlformats.org/officeDocument/2006/relationships/hyperlink" Target="https://dl.acm.org/doi/pdf/10.1145/3726986.372790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journals.sagepub.com/doi/pdf/10.1177/20552076251377933" TargetMode="External"/><Relationship Id="rId17" Type="http://schemas.openxmlformats.org/officeDocument/2006/relationships/hyperlink" Target="https://pmc.ncbi.nlm.nih.gov/articles/PMC9398193/pdf/main.pdf" TargetMode="External"/><Relationship Id="rId2" Type="http://schemas.openxmlformats.org/officeDocument/2006/relationships/customXml" Target="../customXml/item2.xml"/><Relationship Id="rId16" Type="http://schemas.openxmlformats.org/officeDocument/2006/relationships/hyperlink" Target="https://journals.sagepub.com/doi/abs/10.1177/1078453523121168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514664524000201" TargetMode="External"/><Relationship Id="rId5" Type="http://schemas.openxmlformats.org/officeDocument/2006/relationships/webSettings" Target="webSettings.xml"/><Relationship Id="rId15" Type="http://schemas.openxmlformats.org/officeDocument/2006/relationships/hyperlink" Target="https://link.springer.com/content/pdf/10.1186/s12916-024-03842-w.pdf" TargetMode="External"/><Relationship Id="rId10" Type="http://schemas.openxmlformats.org/officeDocument/2006/relationships/hyperlink" Target="https://journals.sagepub.com/doi/pdf/10.1177/01622439211055697"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mir.org/2021/4/e21726/" TargetMode="External"/><Relationship Id="rId14" Type="http://schemas.openxmlformats.org/officeDocument/2006/relationships/hyperlink" Target="https://link.springer.com/content/pdf/10.1186/s12916-024-03842-w.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Uwdq9m6Lh00utZf74sq2klmQpw==">CgMxLjA4AHIhMU9EV191akR6NEFjZFZFQmFCb0h4SHZYeWJkTzQwWjdf</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C4FE7B6-8DAE-417A-A727-610299F7C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3100</Words>
  <Characters>17673</Characters>
  <Application>Microsoft Office Word</Application>
  <DocSecurity>0</DocSecurity>
  <Lines>147</Lines>
  <Paragraphs>41</Paragraphs>
  <ScaleCrop>false</ScaleCrop>
  <Company/>
  <LinksUpToDate>false</LinksUpToDate>
  <CharactersWithSpaces>20732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2026-07-02T20:43:00Z</dcterms:created>
  <dcterms:modified xsi:type="dcterms:W3CDTF">2026-07-02T20:43:00Z</dcterms:modified>
</cp:coreProperties>
</file>