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2"/>
          <w:szCs w:val="42"/>
        </w:rPr>
      </w:pPr>
      <w:r w:rsidDel="00000000" w:rsidR="00000000" w:rsidRPr="00000000">
        <w:rPr>
          <w:rtl w:val="0"/>
        </w:rPr>
      </w:r>
    </w:p>
    <w:p w:rsidR="00000000" w:rsidDel="00000000" w:rsidP="00000000" w:rsidRDefault="00000000" w:rsidRPr="00000000" w14:paraId="00000002">
      <w:pPr>
        <w:jc w:val="center"/>
        <w:rPr>
          <w:b w:val="1"/>
          <w:sz w:val="42"/>
          <w:szCs w:val="42"/>
        </w:rPr>
      </w:pPr>
      <w:r w:rsidDel="00000000" w:rsidR="00000000" w:rsidRPr="00000000">
        <w:rPr>
          <w:rtl w:val="0"/>
        </w:rPr>
      </w:r>
    </w:p>
    <w:p w:rsidR="00000000" w:rsidDel="00000000" w:rsidP="00000000" w:rsidRDefault="00000000" w:rsidRPr="00000000" w14:paraId="00000003">
      <w:pPr>
        <w:jc w:val="center"/>
        <w:rPr>
          <w:b w:val="1"/>
          <w:sz w:val="42"/>
          <w:szCs w:val="42"/>
        </w:rPr>
      </w:pPr>
      <w:r w:rsidDel="00000000" w:rsidR="00000000" w:rsidRPr="00000000">
        <w:rPr>
          <w:rtl w:val="0"/>
        </w:rPr>
      </w:r>
    </w:p>
    <w:p w:rsidR="00000000" w:rsidDel="00000000" w:rsidP="00000000" w:rsidRDefault="00000000" w:rsidRPr="00000000" w14:paraId="00000004">
      <w:pPr>
        <w:jc w:val="center"/>
        <w:rPr>
          <w:b w:val="1"/>
          <w:sz w:val="36"/>
          <w:szCs w:val="36"/>
        </w:rPr>
      </w:pPr>
      <w:r w:rsidDel="00000000" w:rsidR="00000000" w:rsidRPr="00000000">
        <w:rPr>
          <w:b w:val="1"/>
          <w:sz w:val="42"/>
          <w:szCs w:val="42"/>
          <w:rtl w:val="0"/>
        </w:rPr>
        <w:t xml:space="preserve">Understanding Crime Justice and Punishment</w:t>
      </w:r>
      <w:r w:rsidDel="00000000" w:rsidR="00000000" w:rsidRPr="00000000">
        <w:rPr>
          <w:b w:val="1"/>
          <w:sz w:val="36"/>
          <w:szCs w:val="36"/>
          <w:rtl w:val="0"/>
        </w:rPr>
        <w:t xml:space="preserve"> </w:t>
      </w:r>
    </w:p>
    <w:p w:rsidR="00000000" w:rsidDel="00000000" w:rsidP="00000000" w:rsidRDefault="00000000" w:rsidRPr="00000000" w14:paraId="00000005">
      <w:pPr>
        <w:jc w:val="center"/>
        <w:rPr>
          <w:b w:val="1"/>
          <w:sz w:val="36"/>
          <w:szCs w:val="36"/>
        </w:rPr>
      </w:pPr>
      <w:r w:rsidDel="00000000" w:rsidR="00000000" w:rsidRPr="00000000">
        <w:rPr>
          <w:b w:val="1"/>
          <w:sz w:val="36"/>
          <w:szCs w:val="36"/>
          <w:rtl w:val="0"/>
        </w:rPr>
        <w:t xml:space="preserve">‘Criminals are born, not made.’ - Supporting Paper </w:t>
      </w:r>
    </w:p>
    <w:p w:rsidR="00000000" w:rsidDel="00000000" w:rsidP="00000000" w:rsidRDefault="00000000" w:rsidRPr="00000000" w14:paraId="00000006">
      <w:pPr>
        <w:jc w:val="center"/>
        <w:rPr>
          <w:b w:val="1"/>
          <w:sz w:val="36"/>
          <w:szCs w:val="36"/>
        </w:rPr>
      </w:pPr>
      <w:r w:rsidDel="00000000" w:rsidR="00000000" w:rsidRPr="00000000">
        <w:rPr>
          <w:b w:val="1"/>
          <w:sz w:val="36"/>
          <w:szCs w:val="36"/>
          <w:rtl w:val="0"/>
        </w:rPr>
        <w:t xml:space="preserve">Maddie Jones - 2006541</w:t>
      </w:r>
    </w:p>
    <w:p w:rsidR="00000000" w:rsidDel="00000000" w:rsidP="00000000" w:rsidRDefault="00000000" w:rsidRPr="00000000" w14:paraId="00000007">
      <w:pPr>
        <w:jc w:val="center"/>
        <w:rPr>
          <w:b w:val="1"/>
          <w:sz w:val="36"/>
          <w:szCs w:val="36"/>
        </w:rPr>
      </w:pPr>
      <w:r w:rsidDel="00000000" w:rsidR="00000000" w:rsidRPr="00000000">
        <w:rPr>
          <w:rtl w:val="0"/>
        </w:rPr>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rtl w:val="0"/>
        </w:rPr>
      </w:r>
    </w:p>
    <w:p w:rsidR="00000000" w:rsidDel="00000000" w:rsidP="00000000" w:rsidRDefault="00000000" w:rsidRPr="00000000" w14:paraId="0000000B">
      <w:pPr>
        <w:jc w:val="center"/>
        <w:rPr>
          <w:b w:val="1"/>
          <w:sz w:val="36"/>
          <w:szCs w:val="36"/>
        </w:rPr>
      </w:pPr>
      <w:r w:rsidDel="00000000" w:rsidR="00000000" w:rsidRPr="00000000">
        <w:rPr>
          <w:rtl w:val="0"/>
        </w:rPr>
      </w:r>
    </w:p>
    <w:p w:rsidR="00000000" w:rsidDel="00000000" w:rsidP="00000000" w:rsidRDefault="00000000" w:rsidRPr="00000000" w14:paraId="0000000C">
      <w:pPr>
        <w:jc w:val="center"/>
        <w:rPr>
          <w:b w:val="1"/>
          <w:sz w:val="36"/>
          <w:szCs w:val="36"/>
        </w:rPr>
      </w:pPr>
      <w:r w:rsidDel="00000000" w:rsidR="00000000" w:rsidRPr="00000000">
        <w:rPr>
          <w:rtl w:val="0"/>
        </w:rPr>
      </w:r>
    </w:p>
    <w:p w:rsidR="00000000" w:rsidDel="00000000" w:rsidP="00000000" w:rsidRDefault="00000000" w:rsidRPr="00000000" w14:paraId="0000000D">
      <w:pPr>
        <w:jc w:val="center"/>
        <w:rPr>
          <w:b w:val="1"/>
          <w:sz w:val="36"/>
          <w:szCs w:val="36"/>
        </w:rPr>
      </w:pPr>
      <w:r w:rsidDel="00000000" w:rsidR="00000000" w:rsidRPr="00000000">
        <w:rPr>
          <w:rtl w:val="0"/>
        </w:rPr>
      </w:r>
    </w:p>
    <w:p w:rsidR="00000000" w:rsidDel="00000000" w:rsidP="00000000" w:rsidRDefault="00000000" w:rsidRPr="00000000" w14:paraId="0000000E">
      <w:pPr>
        <w:jc w:val="center"/>
        <w:rPr>
          <w:b w:val="1"/>
          <w:sz w:val="36"/>
          <w:szCs w:val="36"/>
        </w:rPr>
      </w:pPr>
      <w:r w:rsidDel="00000000" w:rsidR="00000000" w:rsidRPr="00000000">
        <w:rPr>
          <w:rtl w:val="0"/>
        </w:rPr>
      </w:r>
    </w:p>
    <w:p w:rsidR="00000000" w:rsidDel="00000000" w:rsidP="00000000" w:rsidRDefault="00000000" w:rsidRPr="00000000" w14:paraId="0000000F">
      <w:pPr>
        <w:jc w:val="center"/>
        <w:rPr>
          <w:b w:val="1"/>
          <w:sz w:val="36"/>
          <w:szCs w:val="36"/>
        </w:rPr>
      </w:pPr>
      <w:r w:rsidDel="00000000" w:rsidR="00000000" w:rsidRPr="00000000">
        <w:rPr>
          <w:rtl w:val="0"/>
        </w:rPr>
      </w:r>
    </w:p>
    <w:p w:rsidR="00000000" w:rsidDel="00000000" w:rsidP="00000000" w:rsidRDefault="00000000" w:rsidRPr="00000000" w14:paraId="00000010">
      <w:pPr>
        <w:jc w:val="center"/>
        <w:rPr>
          <w:b w:val="1"/>
          <w:sz w:val="36"/>
          <w:szCs w:val="36"/>
        </w:rPr>
      </w:pPr>
      <w:r w:rsidDel="00000000" w:rsidR="00000000" w:rsidRPr="00000000">
        <w:rPr>
          <w:rtl w:val="0"/>
        </w:rPr>
      </w:r>
    </w:p>
    <w:p w:rsidR="00000000" w:rsidDel="00000000" w:rsidP="00000000" w:rsidRDefault="00000000" w:rsidRPr="00000000" w14:paraId="00000011">
      <w:pPr>
        <w:jc w:val="center"/>
        <w:rPr>
          <w:b w:val="1"/>
          <w:sz w:val="36"/>
          <w:szCs w:val="36"/>
        </w:rPr>
      </w:pPr>
      <w:r w:rsidDel="00000000" w:rsidR="00000000" w:rsidRPr="00000000">
        <w:rPr>
          <w:rtl w:val="0"/>
        </w:rPr>
      </w:r>
    </w:p>
    <w:p w:rsidR="00000000" w:rsidDel="00000000" w:rsidP="00000000" w:rsidRDefault="00000000" w:rsidRPr="00000000" w14:paraId="00000012">
      <w:pPr>
        <w:jc w:val="center"/>
        <w:rPr>
          <w:b w:val="1"/>
          <w:sz w:val="36"/>
          <w:szCs w:val="36"/>
        </w:rPr>
      </w:pPr>
      <w:r w:rsidDel="00000000" w:rsidR="00000000" w:rsidRPr="00000000">
        <w:rPr>
          <w:rtl w:val="0"/>
        </w:rPr>
      </w:r>
    </w:p>
    <w:p w:rsidR="00000000" w:rsidDel="00000000" w:rsidP="00000000" w:rsidRDefault="00000000" w:rsidRPr="00000000" w14:paraId="00000013">
      <w:pPr>
        <w:jc w:val="center"/>
        <w:rPr>
          <w:b w:val="1"/>
          <w:sz w:val="36"/>
          <w:szCs w:val="36"/>
        </w:rPr>
      </w:pPr>
      <w:r w:rsidDel="00000000" w:rsidR="00000000" w:rsidRPr="00000000">
        <w:rPr>
          <w:rtl w:val="0"/>
        </w:rPr>
      </w:r>
    </w:p>
    <w:p w:rsidR="00000000" w:rsidDel="00000000" w:rsidP="00000000" w:rsidRDefault="00000000" w:rsidRPr="00000000" w14:paraId="00000014">
      <w:pPr>
        <w:jc w:val="center"/>
        <w:rPr>
          <w:b w:val="1"/>
          <w:sz w:val="36"/>
          <w:szCs w:val="36"/>
        </w:rPr>
      </w:pPr>
      <w:r w:rsidDel="00000000" w:rsidR="00000000" w:rsidRPr="00000000">
        <w:rPr>
          <w:rtl w:val="0"/>
        </w:rPr>
      </w:r>
    </w:p>
    <w:p w:rsidR="00000000" w:rsidDel="00000000" w:rsidP="00000000" w:rsidRDefault="00000000" w:rsidRPr="00000000" w14:paraId="00000015">
      <w:pPr>
        <w:jc w:val="center"/>
        <w:rPr>
          <w:b w:val="1"/>
          <w:sz w:val="36"/>
          <w:szCs w:val="36"/>
        </w:rPr>
      </w:pPr>
      <w:r w:rsidDel="00000000" w:rsidR="00000000" w:rsidRPr="00000000">
        <w:rPr>
          <w:rtl w:val="0"/>
        </w:rPr>
      </w:r>
    </w:p>
    <w:p w:rsidR="00000000" w:rsidDel="00000000" w:rsidP="00000000" w:rsidRDefault="00000000" w:rsidRPr="00000000" w14:paraId="00000016">
      <w:pPr>
        <w:jc w:val="left"/>
        <w:rPr>
          <w:b w:val="1"/>
          <w:sz w:val="36"/>
          <w:szCs w:val="36"/>
        </w:rPr>
      </w:pPr>
      <w:r w:rsidDel="00000000" w:rsidR="00000000" w:rsidRPr="00000000">
        <w:rPr>
          <w:rtl w:val="0"/>
        </w:rPr>
      </w:r>
    </w:p>
    <w:p w:rsidR="00000000" w:rsidDel="00000000" w:rsidP="00000000" w:rsidRDefault="00000000" w:rsidRPr="00000000" w14:paraId="00000017">
      <w:pPr>
        <w:jc w:val="left"/>
        <w:rPr>
          <w:b w:val="1"/>
          <w:sz w:val="36"/>
          <w:szCs w:val="36"/>
        </w:rPr>
      </w:pPr>
      <w:r w:rsidDel="00000000" w:rsidR="00000000" w:rsidRPr="00000000">
        <w:rPr>
          <w:rtl w:val="0"/>
        </w:rPr>
      </w:r>
    </w:p>
    <w:p w:rsidR="00000000" w:rsidDel="00000000" w:rsidP="00000000" w:rsidRDefault="00000000" w:rsidRPr="00000000" w14:paraId="00000018">
      <w:pPr>
        <w:rPr>
          <w:b w:val="1"/>
          <w:sz w:val="36"/>
          <w:szCs w:val="36"/>
        </w:rPr>
      </w:pP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rtl w:val="0"/>
        </w:rPr>
      </w:r>
    </w:p>
    <w:p w:rsidR="00000000" w:rsidDel="00000000" w:rsidP="00000000" w:rsidRDefault="00000000" w:rsidRPr="00000000" w14:paraId="0000001A">
      <w:pPr>
        <w:spacing w:line="480" w:lineRule="auto"/>
        <w:jc w:val="both"/>
        <w:rPr>
          <w:sz w:val="24"/>
          <w:szCs w:val="24"/>
        </w:rPr>
      </w:pPr>
      <w:r w:rsidDel="00000000" w:rsidR="00000000" w:rsidRPr="00000000">
        <w:rPr>
          <w:sz w:val="24"/>
          <w:szCs w:val="24"/>
          <w:rtl w:val="0"/>
        </w:rPr>
        <w:t xml:space="preserve">This supporting paper will look at different theorists' views on ‘Criminals are born, not made’ and whether they support this claim or have a contrasting opinion. It will start by talking about different theorists who support biological and psychological positivism which states criminals are born and will move on to sociological positivism which looks at criminals as made. </w:t>
      </w:r>
    </w:p>
    <w:p w:rsidR="00000000" w:rsidDel="00000000" w:rsidP="00000000" w:rsidRDefault="00000000" w:rsidRPr="00000000" w14:paraId="0000001B">
      <w:pPr>
        <w:spacing w:line="480" w:lineRule="auto"/>
        <w:jc w:val="both"/>
        <w:rPr>
          <w:sz w:val="24"/>
          <w:szCs w:val="24"/>
        </w:rPr>
      </w:pPr>
      <w:r w:rsidDel="00000000" w:rsidR="00000000" w:rsidRPr="00000000">
        <w:rPr>
          <w:rtl w:val="0"/>
        </w:rPr>
      </w:r>
    </w:p>
    <w:p w:rsidR="00000000" w:rsidDel="00000000" w:rsidP="00000000" w:rsidRDefault="00000000" w:rsidRPr="00000000" w14:paraId="0000001C">
      <w:pPr>
        <w:spacing w:line="480" w:lineRule="auto"/>
        <w:jc w:val="both"/>
        <w:rPr>
          <w:sz w:val="24"/>
          <w:szCs w:val="24"/>
        </w:rPr>
      </w:pPr>
      <w:r w:rsidDel="00000000" w:rsidR="00000000" w:rsidRPr="00000000">
        <w:rPr>
          <w:sz w:val="24"/>
          <w:szCs w:val="24"/>
          <w:rtl w:val="0"/>
        </w:rPr>
        <w:t xml:space="preserve">The first theorist that will be spoken about is William Sheldon who thinks it's within a biological explanation to why people turn to crime. In this research theory he looks at the three body types. The first being endomorphs who are more of a round shape and soft and it’s Sheldon's idea that these people are more relaxed, enjoy having the option to laze about and love to talk. The next body type is ‘mesomorph’. This body type is known to be strong, muscular, tough in all senses and resistant to injuries. As this is the case they are more into sports and games which involve power and are more predisposed to violence. The last body type, Ectomorph is a frail and fragile body who, in Sheldon's belief, are introverted and intellectual (Kenneth et al, 2013). </w:t>
      </w:r>
    </w:p>
    <w:p w:rsidR="00000000" w:rsidDel="00000000" w:rsidP="00000000" w:rsidRDefault="00000000" w:rsidRPr="00000000" w14:paraId="0000001D">
      <w:pPr>
        <w:spacing w:line="480" w:lineRule="auto"/>
        <w:jc w:val="both"/>
        <w:rPr>
          <w:sz w:val="24"/>
          <w:szCs w:val="24"/>
        </w:rPr>
      </w:pPr>
      <w:r w:rsidDel="00000000" w:rsidR="00000000" w:rsidRPr="00000000">
        <w:rPr>
          <w:rtl w:val="0"/>
        </w:rPr>
      </w:r>
    </w:p>
    <w:p w:rsidR="00000000" w:rsidDel="00000000" w:rsidP="00000000" w:rsidRDefault="00000000" w:rsidRPr="00000000" w14:paraId="0000001E">
      <w:pPr>
        <w:spacing w:line="480" w:lineRule="auto"/>
        <w:jc w:val="both"/>
        <w:rPr>
          <w:sz w:val="24"/>
          <w:szCs w:val="24"/>
        </w:rPr>
      </w:pPr>
      <w:r w:rsidDel="00000000" w:rsidR="00000000" w:rsidRPr="00000000">
        <w:rPr>
          <w:sz w:val="24"/>
          <w:szCs w:val="24"/>
          <w:rtl w:val="0"/>
        </w:rPr>
        <w:t xml:space="preserve">In a contrasting argument against this, there are multiple statements to disprove Sheldon's theories. These are that a person's body shape can differ through their life through environmental factors and biological factors including thyroid problems (Genovese, J 2008).</w:t>
      </w:r>
    </w:p>
    <w:p w:rsidR="00000000" w:rsidDel="00000000" w:rsidP="00000000" w:rsidRDefault="00000000" w:rsidRPr="00000000" w14:paraId="0000001F">
      <w:pPr>
        <w:spacing w:line="480" w:lineRule="auto"/>
        <w:jc w:val="both"/>
        <w:rPr>
          <w:sz w:val="24"/>
          <w:szCs w:val="24"/>
        </w:rPr>
      </w:pPr>
      <w:r w:rsidDel="00000000" w:rsidR="00000000" w:rsidRPr="00000000">
        <w:rPr>
          <w:rtl w:val="0"/>
        </w:rPr>
      </w:r>
    </w:p>
    <w:p w:rsidR="00000000" w:rsidDel="00000000" w:rsidP="00000000" w:rsidRDefault="00000000" w:rsidRPr="00000000" w14:paraId="00000020">
      <w:pPr>
        <w:spacing w:line="480" w:lineRule="auto"/>
        <w:jc w:val="both"/>
        <w:rPr>
          <w:sz w:val="24"/>
          <w:szCs w:val="24"/>
        </w:rPr>
      </w:pPr>
      <w:r w:rsidDel="00000000" w:rsidR="00000000" w:rsidRPr="00000000">
        <w:rPr>
          <w:sz w:val="24"/>
          <w:szCs w:val="24"/>
          <w:rtl w:val="0"/>
        </w:rPr>
        <w:t xml:space="preserve">Moving on to a theorist who looked at genetic influences, Jacobs et al (1965), had a hypothesis to state how a genetic condition may be the cause of a person's behaviour. Within his research he focused on his study to try and reveal a ‘criminal chromosome’ XYY. This chromosome, also referred to as Klinefelter Syndrome is where a male is not only born with the XY chromosome they are meant to, but XYY and affects 1 in 660 males (NHS, 2019). </w:t>
      </w:r>
    </w:p>
    <w:p w:rsidR="00000000" w:rsidDel="00000000" w:rsidP="00000000" w:rsidRDefault="00000000" w:rsidRPr="00000000" w14:paraId="00000021">
      <w:pPr>
        <w:spacing w:line="480" w:lineRule="auto"/>
        <w:jc w:val="both"/>
        <w:rPr>
          <w:sz w:val="24"/>
          <w:szCs w:val="24"/>
        </w:rPr>
      </w:pPr>
      <w:r w:rsidDel="00000000" w:rsidR="00000000" w:rsidRPr="00000000">
        <w:rPr>
          <w:rtl w:val="0"/>
        </w:rPr>
      </w:r>
    </w:p>
    <w:p w:rsidR="00000000" w:rsidDel="00000000" w:rsidP="00000000" w:rsidRDefault="00000000" w:rsidRPr="00000000" w14:paraId="00000022">
      <w:pPr>
        <w:spacing w:line="480" w:lineRule="auto"/>
        <w:jc w:val="both"/>
        <w:rPr>
          <w:sz w:val="24"/>
          <w:szCs w:val="24"/>
        </w:rPr>
      </w:pPr>
      <w:r w:rsidDel="00000000" w:rsidR="00000000" w:rsidRPr="00000000">
        <w:rPr>
          <w:sz w:val="24"/>
          <w:szCs w:val="24"/>
          <w:rtl w:val="0"/>
        </w:rPr>
        <w:t xml:space="preserve">Stockholm, K (2012) shows how men with this ‘criminal chromosome’ have been more frequently convicted for arson, burglary, sexual abuse and other criminal activities. Some areas that can contradict this is that this increase of criminal behaviour within these men cannot be proven to be fully down to the XYY chromosome and poor socioeconomic conditions but may be a part. </w:t>
      </w:r>
    </w:p>
    <w:p w:rsidR="00000000" w:rsidDel="00000000" w:rsidP="00000000" w:rsidRDefault="00000000" w:rsidRPr="00000000" w14:paraId="00000023">
      <w:pPr>
        <w:spacing w:line="480" w:lineRule="auto"/>
        <w:jc w:val="both"/>
        <w:rPr>
          <w:sz w:val="24"/>
          <w:szCs w:val="24"/>
        </w:rPr>
      </w:pPr>
      <w:r w:rsidDel="00000000" w:rsidR="00000000" w:rsidRPr="00000000">
        <w:rPr>
          <w:rtl w:val="0"/>
        </w:rPr>
      </w:r>
    </w:p>
    <w:p w:rsidR="00000000" w:rsidDel="00000000" w:rsidP="00000000" w:rsidRDefault="00000000" w:rsidRPr="00000000" w14:paraId="00000024">
      <w:pPr>
        <w:spacing w:line="480" w:lineRule="auto"/>
        <w:jc w:val="both"/>
        <w:rPr>
          <w:sz w:val="24"/>
          <w:szCs w:val="24"/>
          <w:highlight w:val="yellow"/>
        </w:rPr>
      </w:pPr>
      <w:r w:rsidDel="00000000" w:rsidR="00000000" w:rsidRPr="00000000">
        <w:rPr>
          <w:sz w:val="24"/>
          <w:szCs w:val="24"/>
          <w:rtl w:val="0"/>
        </w:rPr>
        <w:t xml:space="preserve">Within a contradictory argument, the National Organisation for Rare Disorders (NORD) states that even with the previous statements and theories that say that this condition makes men more predisposed to violence, their recent studies show it's not the case. However individuals with this condition are more likely to have behavioural problems and learning difficulties (NORD, 2012). This is also backed up from the systematic review by Birkhoff et al (2015) who state through their research that there cannot be an evident correlation between the two things. </w:t>
      </w:r>
      <w:r w:rsidDel="00000000" w:rsidR="00000000" w:rsidRPr="00000000">
        <w:rPr>
          <w:rtl w:val="0"/>
        </w:rPr>
      </w:r>
    </w:p>
    <w:p w:rsidR="00000000" w:rsidDel="00000000" w:rsidP="00000000" w:rsidRDefault="00000000" w:rsidRPr="00000000" w14:paraId="00000025">
      <w:pPr>
        <w:spacing w:line="480" w:lineRule="auto"/>
        <w:jc w:val="both"/>
        <w:rPr>
          <w:sz w:val="24"/>
          <w:szCs w:val="24"/>
          <w:highlight w:val="yellow"/>
        </w:rPr>
      </w:pPr>
      <w:r w:rsidDel="00000000" w:rsidR="00000000" w:rsidRPr="00000000">
        <w:rPr>
          <w:rtl w:val="0"/>
        </w:rPr>
      </w:r>
    </w:p>
    <w:p w:rsidR="00000000" w:rsidDel="00000000" w:rsidP="00000000" w:rsidRDefault="00000000" w:rsidRPr="00000000" w14:paraId="00000026">
      <w:pPr>
        <w:spacing w:line="480" w:lineRule="auto"/>
        <w:jc w:val="both"/>
        <w:rPr>
          <w:sz w:val="24"/>
          <w:szCs w:val="24"/>
        </w:rPr>
      </w:pPr>
      <w:r w:rsidDel="00000000" w:rsidR="00000000" w:rsidRPr="00000000">
        <w:rPr>
          <w:sz w:val="24"/>
          <w:szCs w:val="24"/>
          <w:rtl w:val="0"/>
        </w:rPr>
        <w:t xml:space="preserve">Another genetic factor that contributes to criminal behaviour is a study by Han Brunner (Brunner et al, 1993), where he observed a Dutch family over several generations and found that many of the men exhibited antisocial and violent behaviour. Brunner, along with his colleagues, found that within these family members they were deficient or completely absent in Monoamine Oxidase A (MAOA).</w:t>
      </w:r>
    </w:p>
    <w:p w:rsidR="00000000" w:rsidDel="00000000" w:rsidP="00000000" w:rsidRDefault="00000000" w:rsidRPr="00000000" w14:paraId="00000027">
      <w:pPr>
        <w:spacing w:line="480" w:lineRule="auto"/>
        <w:jc w:val="both"/>
        <w:rPr>
          <w:sz w:val="24"/>
          <w:szCs w:val="24"/>
        </w:rPr>
      </w:pPr>
      <w:r w:rsidDel="00000000" w:rsidR="00000000" w:rsidRPr="00000000">
        <w:rPr>
          <w:rtl w:val="0"/>
        </w:rPr>
      </w:r>
    </w:p>
    <w:p w:rsidR="00000000" w:rsidDel="00000000" w:rsidP="00000000" w:rsidRDefault="00000000" w:rsidRPr="00000000" w14:paraId="00000028">
      <w:pPr>
        <w:spacing w:line="480" w:lineRule="auto"/>
        <w:jc w:val="both"/>
        <w:rPr>
          <w:sz w:val="24"/>
          <w:szCs w:val="24"/>
          <w:highlight w:val="yellow"/>
        </w:rPr>
      </w:pPr>
      <w:r w:rsidDel="00000000" w:rsidR="00000000" w:rsidRPr="00000000">
        <w:rPr>
          <w:sz w:val="24"/>
          <w:szCs w:val="24"/>
          <w:rtl w:val="0"/>
        </w:rPr>
        <w:t xml:space="preserve">The chemicals within species, including humans, that regulate aggression include dopamine, noradrenaline and serotonin. A study by the Institute of Cytology and Genetics in the Siberian Branch of the Russian Academy of Sciences involved mice to find out more about this relation. It was shown that the mice who were deficient in MAOA did show a higher level of isolation-induced aggression along with being more territorial and predatory (Latif et al, 2013).</w:t>
      </w:r>
      <w:r w:rsidDel="00000000" w:rsidR="00000000" w:rsidRPr="00000000">
        <w:rPr>
          <w:rtl w:val="0"/>
        </w:rPr>
      </w:r>
    </w:p>
    <w:p w:rsidR="00000000" w:rsidDel="00000000" w:rsidP="00000000" w:rsidRDefault="00000000" w:rsidRPr="00000000" w14:paraId="00000029">
      <w:pPr>
        <w:spacing w:line="480" w:lineRule="auto"/>
        <w:jc w:val="both"/>
        <w:rPr>
          <w:sz w:val="24"/>
          <w:szCs w:val="24"/>
          <w:highlight w:val="yellow"/>
        </w:rPr>
      </w:pPr>
      <w:r w:rsidDel="00000000" w:rsidR="00000000" w:rsidRPr="00000000">
        <w:rPr>
          <w:rtl w:val="0"/>
        </w:rPr>
      </w:r>
    </w:p>
    <w:p w:rsidR="00000000" w:rsidDel="00000000" w:rsidP="00000000" w:rsidRDefault="00000000" w:rsidRPr="00000000" w14:paraId="0000002A">
      <w:pPr>
        <w:spacing w:line="480" w:lineRule="auto"/>
        <w:jc w:val="both"/>
        <w:rPr>
          <w:sz w:val="24"/>
          <w:szCs w:val="24"/>
        </w:rPr>
      </w:pPr>
      <w:r w:rsidDel="00000000" w:rsidR="00000000" w:rsidRPr="00000000">
        <w:rPr>
          <w:sz w:val="24"/>
          <w:szCs w:val="24"/>
          <w:rtl w:val="0"/>
        </w:rPr>
        <w:t xml:space="preserve">Brunner (1996), goes on to say that the idea of a gene that is directly responsible for a certain behaviour is improbable, as the data did not support the hypothesis that MAOA constitutes an “aggression gene”.  It was also stated that a direct causal relationship between this behaviour and a single gene is highly unlikely due to the fact that genes are predominantly simple as opposed to behaviour(s) having complex reasons.  Therefore, although the study involving mice showed that there may be a possible relationship between MAOA deficiency and abnormal behaviour, the data did not support it.  Some of the difficulties of MAOA deficiencies are shown by the complex effects on neurotransmitter functions, as well as a person’s observable traits in relation to their behaviour.</w:t>
      </w:r>
    </w:p>
    <w:p w:rsidR="00000000" w:rsidDel="00000000" w:rsidP="00000000" w:rsidRDefault="00000000" w:rsidRPr="00000000" w14:paraId="0000002B">
      <w:pPr>
        <w:spacing w:line="480" w:lineRule="auto"/>
        <w:jc w:val="both"/>
        <w:rPr>
          <w:sz w:val="24"/>
          <w:szCs w:val="24"/>
        </w:rPr>
      </w:pPr>
      <w:r w:rsidDel="00000000" w:rsidR="00000000" w:rsidRPr="00000000">
        <w:rPr>
          <w:rtl w:val="0"/>
        </w:rPr>
      </w:r>
    </w:p>
    <w:p w:rsidR="00000000" w:rsidDel="00000000" w:rsidP="00000000" w:rsidRDefault="00000000" w:rsidRPr="00000000" w14:paraId="0000002C">
      <w:pPr>
        <w:spacing w:line="480" w:lineRule="auto"/>
        <w:jc w:val="both"/>
        <w:rPr>
          <w:sz w:val="24"/>
          <w:szCs w:val="24"/>
        </w:rPr>
      </w:pPr>
      <w:r w:rsidDel="00000000" w:rsidR="00000000" w:rsidRPr="00000000">
        <w:rPr>
          <w:sz w:val="24"/>
          <w:szCs w:val="24"/>
          <w:rtl w:val="0"/>
        </w:rPr>
        <w:t xml:space="preserve">Moving on to Classicism Theory, Robert Merton (1957) was one of the first people to write about Strain theory. According to this, its beliefs are that being pressured is the cause of individuals turning too committing crimes as there is a strain too get to the ‘ideal’ way of living and achieving goals and dreams too be successful and not many legitimate ways to get there (Lee, 2021)</w:t>
      </w:r>
    </w:p>
    <w:p w:rsidR="00000000" w:rsidDel="00000000" w:rsidP="00000000" w:rsidRDefault="00000000" w:rsidRPr="00000000" w14:paraId="0000002D">
      <w:pPr>
        <w:spacing w:line="480" w:lineRule="auto"/>
        <w:jc w:val="both"/>
        <w:rPr>
          <w:sz w:val="24"/>
          <w:szCs w:val="24"/>
        </w:rPr>
      </w:pPr>
      <w:r w:rsidDel="00000000" w:rsidR="00000000" w:rsidRPr="00000000">
        <w:rPr>
          <w:rtl w:val="0"/>
        </w:rPr>
      </w:r>
    </w:p>
    <w:p w:rsidR="00000000" w:rsidDel="00000000" w:rsidP="00000000" w:rsidRDefault="00000000" w:rsidRPr="00000000" w14:paraId="0000002E">
      <w:pPr>
        <w:spacing w:line="480" w:lineRule="auto"/>
        <w:jc w:val="both"/>
        <w:rPr>
          <w:sz w:val="24"/>
          <w:szCs w:val="24"/>
        </w:rPr>
      </w:pPr>
      <w:r w:rsidDel="00000000" w:rsidR="00000000" w:rsidRPr="00000000">
        <w:rPr>
          <w:sz w:val="24"/>
          <w:szCs w:val="24"/>
          <w:rtl w:val="0"/>
        </w:rPr>
        <w:t xml:space="preserve">Merton looked into this idea that there is a lack of the usual social or ethical standards of how to live. He shows that when people face this strain they have five ways to adapt. Number one being conformity and getting the ideal goals through socially approved means. Innovation and using unapproved means of obtaining these goals such as drug dealing. Third being Ritualism and by this he means in a more humble way to use the same socially approved ways to obtain smaller goals. Fourth to retreat completely and the last to rebell (Messner, 2012). </w:t>
      </w:r>
    </w:p>
    <w:p w:rsidR="00000000" w:rsidDel="00000000" w:rsidP="00000000" w:rsidRDefault="00000000" w:rsidRPr="00000000" w14:paraId="0000002F">
      <w:pPr>
        <w:spacing w:line="480" w:lineRule="auto"/>
        <w:jc w:val="both"/>
        <w:rPr>
          <w:sz w:val="24"/>
          <w:szCs w:val="24"/>
        </w:rPr>
      </w:pPr>
      <w:r w:rsidDel="00000000" w:rsidR="00000000" w:rsidRPr="00000000">
        <w:rPr>
          <w:rtl w:val="0"/>
        </w:rPr>
      </w:r>
    </w:p>
    <w:p w:rsidR="00000000" w:rsidDel="00000000" w:rsidP="00000000" w:rsidRDefault="00000000" w:rsidRPr="00000000" w14:paraId="00000030">
      <w:pPr>
        <w:spacing w:line="480" w:lineRule="auto"/>
        <w:jc w:val="both"/>
        <w:rPr>
          <w:sz w:val="24"/>
          <w:szCs w:val="24"/>
        </w:rPr>
      </w:pPr>
      <w:r w:rsidDel="00000000" w:rsidR="00000000" w:rsidRPr="00000000">
        <w:rPr>
          <w:sz w:val="24"/>
          <w:szCs w:val="24"/>
          <w:rtl w:val="0"/>
        </w:rPr>
        <w:t xml:space="preserve">A good representation of this is the ‘American Dream’. This was to encourage people to pursue the ‘best life’ and have all the success and was measured strongly on wealth and material possessions. People were expected to get to this point through education and work (</w:t>
      </w:r>
      <w:r w:rsidDel="00000000" w:rsidR="00000000" w:rsidRPr="00000000">
        <w:rPr>
          <w:sz w:val="24"/>
          <w:szCs w:val="24"/>
          <w:rtl w:val="0"/>
        </w:rPr>
        <w:t xml:space="preserve">Messnerm</w:t>
      </w:r>
      <w:r w:rsidDel="00000000" w:rsidR="00000000" w:rsidRPr="00000000">
        <w:rPr>
          <w:sz w:val="24"/>
          <w:szCs w:val="24"/>
          <w:rtl w:val="0"/>
        </w:rPr>
        <w:t xml:space="preserve"> 2012). </w:t>
      </w:r>
    </w:p>
    <w:p w:rsidR="00000000" w:rsidDel="00000000" w:rsidP="00000000" w:rsidRDefault="00000000" w:rsidRPr="00000000" w14:paraId="00000031">
      <w:pPr>
        <w:spacing w:line="480" w:lineRule="auto"/>
        <w:jc w:val="both"/>
        <w:rPr>
          <w:sz w:val="24"/>
          <w:szCs w:val="24"/>
        </w:rPr>
      </w:pPr>
      <w:r w:rsidDel="00000000" w:rsidR="00000000" w:rsidRPr="00000000">
        <w:rPr>
          <w:rtl w:val="0"/>
        </w:rPr>
      </w:r>
    </w:p>
    <w:p w:rsidR="00000000" w:rsidDel="00000000" w:rsidP="00000000" w:rsidRDefault="00000000" w:rsidRPr="00000000" w14:paraId="00000032">
      <w:pPr>
        <w:spacing w:line="480" w:lineRule="auto"/>
        <w:jc w:val="both"/>
        <w:rPr>
          <w:sz w:val="24"/>
          <w:szCs w:val="24"/>
        </w:rPr>
      </w:pPr>
      <w:r w:rsidDel="00000000" w:rsidR="00000000" w:rsidRPr="00000000">
        <w:rPr>
          <w:sz w:val="24"/>
          <w:szCs w:val="24"/>
          <w:rtl w:val="0"/>
        </w:rPr>
        <w:t xml:space="preserve">Merton argued that this dream idea of living was highly unequal and put a massive divide into society which promoted goals that realistically only was available to some of the population. It was apparent that many working class individuals could not get to this point through school and work and were forced to go down the route of crime (Schoepfer, 2006). </w:t>
      </w:r>
    </w:p>
    <w:p w:rsidR="00000000" w:rsidDel="00000000" w:rsidP="00000000" w:rsidRDefault="00000000" w:rsidRPr="00000000" w14:paraId="00000033">
      <w:pPr>
        <w:spacing w:line="480" w:lineRule="auto"/>
        <w:jc w:val="both"/>
        <w:rPr>
          <w:sz w:val="24"/>
          <w:szCs w:val="24"/>
        </w:rPr>
      </w:pPr>
      <w:r w:rsidDel="00000000" w:rsidR="00000000" w:rsidRPr="00000000">
        <w:rPr>
          <w:rtl w:val="0"/>
        </w:rPr>
      </w:r>
    </w:p>
    <w:p w:rsidR="00000000" w:rsidDel="00000000" w:rsidP="00000000" w:rsidRDefault="00000000" w:rsidRPr="00000000" w14:paraId="00000034">
      <w:pPr>
        <w:spacing w:after="840" w:line="480" w:lineRule="auto"/>
        <w:jc w:val="both"/>
        <w:rPr>
          <w:sz w:val="24"/>
          <w:szCs w:val="24"/>
        </w:rPr>
      </w:pPr>
      <w:r w:rsidDel="00000000" w:rsidR="00000000" w:rsidRPr="00000000">
        <w:rPr>
          <w:sz w:val="24"/>
          <w:szCs w:val="24"/>
          <w:rtl w:val="0"/>
        </w:rPr>
        <w:t xml:space="preserve">In a similar theory, Albert Cohen had the subcultural theory. Cohen explains that the limits which may be in place for someone from a lower class may be responsible for them not being able to reach their full potential.  These barriers include social background, low status, poor standing and the chances of being successful in business and society.  When confronted with expectations and goals that are unattainable, their self-respect may be impacted – which could lead to a social grouping defined by their separation from the unachievable higher status (Cohen, 2015).</w:t>
      </w:r>
    </w:p>
    <w:p w:rsidR="00000000" w:rsidDel="00000000" w:rsidP="00000000" w:rsidRDefault="00000000" w:rsidRPr="00000000" w14:paraId="00000035">
      <w:pPr>
        <w:spacing w:after="840" w:line="480" w:lineRule="auto"/>
        <w:jc w:val="both"/>
        <w:rPr>
          <w:sz w:val="24"/>
          <w:szCs w:val="24"/>
        </w:rPr>
      </w:pPr>
      <w:r w:rsidDel="00000000" w:rsidR="00000000" w:rsidRPr="00000000">
        <w:rPr>
          <w:sz w:val="24"/>
          <w:szCs w:val="24"/>
          <w:rtl w:val="0"/>
        </w:rPr>
        <w:t xml:space="preserve">Overall, through this research it shows that there are a lot of theorists and hypotheses to argue and try to prove both sides of whether a criminal is born or made. However, as there is more criticism and arguments against the statement criminals are born, personally I have more belief in the statement Criminals are made. </w:t>
      </w:r>
    </w:p>
    <w:p w:rsidR="00000000" w:rsidDel="00000000" w:rsidP="00000000" w:rsidRDefault="00000000" w:rsidRPr="00000000" w14:paraId="00000036">
      <w:pPr>
        <w:spacing w:after="840" w:line="480" w:lineRule="auto"/>
        <w:jc w:val="both"/>
        <w:rPr>
          <w:sz w:val="24"/>
          <w:szCs w:val="24"/>
        </w:rPr>
      </w:pPr>
      <w:r w:rsidDel="00000000" w:rsidR="00000000" w:rsidRPr="00000000">
        <w:rPr>
          <w:rtl w:val="0"/>
        </w:rPr>
      </w:r>
    </w:p>
    <w:p w:rsidR="00000000" w:rsidDel="00000000" w:rsidP="00000000" w:rsidRDefault="00000000" w:rsidRPr="00000000" w14:paraId="00000037">
      <w:pPr>
        <w:spacing w:after="840" w:line="480" w:lineRule="auto"/>
        <w:jc w:val="both"/>
        <w:rPr>
          <w:sz w:val="24"/>
          <w:szCs w:val="24"/>
        </w:rPr>
      </w:pPr>
      <w:r w:rsidDel="00000000" w:rsidR="00000000" w:rsidRPr="00000000">
        <w:rPr>
          <w:rtl w:val="0"/>
        </w:rPr>
      </w:r>
    </w:p>
    <w:p w:rsidR="00000000" w:rsidDel="00000000" w:rsidP="00000000" w:rsidRDefault="00000000" w:rsidRPr="00000000" w14:paraId="00000038">
      <w:pPr>
        <w:spacing w:after="840" w:line="480" w:lineRule="auto"/>
        <w:jc w:val="both"/>
        <w:rPr>
          <w:sz w:val="24"/>
          <w:szCs w:val="24"/>
        </w:rPr>
      </w:pPr>
      <w:r w:rsidDel="00000000" w:rsidR="00000000" w:rsidRPr="00000000">
        <w:rPr>
          <w:rtl w:val="0"/>
        </w:rPr>
      </w:r>
    </w:p>
    <w:p w:rsidR="00000000" w:rsidDel="00000000" w:rsidP="00000000" w:rsidRDefault="00000000" w:rsidRPr="00000000" w14:paraId="00000039">
      <w:pPr>
        <w:spacing w:after="840" w:line="480" w:lineRule="auto"/>
        <w:jc w:val="both"/>
        <w:rPr>
          <w:sz w:val="24"/>
          <w:szCs w:val="24"/>
        </w:rPr>
      </w:pPr>
      <w:r w:rsidDel="00000000" w:rsidR="00000000" w:rsidRPr="00000000">
        <w:rPr>
          <w:rtl w:val="0"/>
        </w:rPr>
      </w:r>
    </w:p>
    <w:p w:rsidR="00000000" w:rsidDel="00000000" w:rsidP="00000000" w:rsidRDefault="00000000" w:rsidRPr="00000000" w14:paraId="0000003A">
      <w:pPr>
        <w:spacing w:line="480" w:lineRule="auto"/>
        <w:jc w:val="both"/>
        <w:rPr>
          <w:sz w:val="24"/>
          <w:szCs w:val="24"/>
        </w:rPr>
      </w:pPr>
      <w:r w:rsidDel="00000000" w:rsidR="00000000" w:rsidRPr="00000000">
        <w:rPr>
          <w:rtl w:val="0"/>
        </w:rPr>
      </w:r>
    </w:p>
    <w:p w:rsidR="00000000" w:rsidDel="00000000" w:rsidP="00000000" w:rsidRDefault="00000000" w:rsidRPr="00000000" w14:paraId="0000003B">
      <w:pPr>
        <w:spacing w:line="480" w:lineRule="auto"/>
        <w:jc w:val="both"/>
        <w:rPr>
          <w:sz w:val="24"/>
          <w:szCs w:val="24"/>
        </w:rPr>
      </w:pPr>
      <w:r w:rsidDel="00000000" w:rsidR="00000000" w:rsidRPr="00000000">
        <w:rPr>
          <w:rtl w:val="0"/>
        </w:rPr>
      </w:r>
    </w:p>
    <w:p w:rsidR="00000000" w:rsidDel="00000000" w:rsidP="00000000" w:rsidRDefault="00000000" w:rsidRPr="00000000" w14:paraId="0000003C">
      <w:pPr>
        <w:spacing w:line="480" w:lineRule="auto"/>
        <w:jc w:val="both"/>
        <w:rPr>
          <w:sz w:val="24"/>
          <w:szCs w:val="24"/>
          <w:u w:val="single"/>
        </w:rPr>
      </w:pPr>
      <w:r w:rsidDel="00000000" w:rsidR="00000000" w:rsidRPr="00000000">
        <w:rPr>
          <w:sz w:val="24"/>
          <w:szCs w:val="24"/>
          <w:u w:val="single"/>
          <w:rtl w:val="0"/>
        </w:rPr>
        <w:t xml:space="preserve">References  </w:t>
      </w:r>
    </w:p>
    <w:p w:rsidR="00000000" w:rsidDel="00000000" w:rsidP="00000000" w:rsidRDefault="00000000" w:rsidRPr="00000000" w14:paraId="0000003D">
      <w:pPr>
        <w:numPr>
          <w:ilvl w:val="0"/>
          <w:numId w:val="1"/>
        </w:numPr>
        <w:spacing w:line="480" w:lineRule="auto"/>
        <w:ind w:left="720" w:hanging="360"/>
        <w:jc w:val="both"/>
        <w:rPr>
          <w:sz w:val="24"/>
          <w:szCs w:val="24"/>
        </w:rPr>
      </w:pPr>
      <w:r w:rsidDel="00000000" w:rsidR="00000000" w:rsidRPr="00000000">
        <w:rPr>
          <w:sz w:val="24"/>
          <w:szCs w:val="24"/>
          <w:rtl w:val="0"/>
        </w:rPr>
        <w:t xml:space="preserve">Birkhoff, J M &amp; Re, L (2015),</w:t>
      </w:r>
      <w:r w:rsidDel="00000000" w:rsidR="00000000" w:rsidRPr="00000000">
        <w:rPr>
          <w:i w:val="1"/>
          <w:sz w:val="24"/>
          <w:szCs w:val="24"/>
          <w:rtl w:val="0"/>
        </w:rPr>
        <w:t xml:space="preserve"> The 47,XYY syndrome, 50 years of certainties and doubts: A systematic review,  </w:t>
      </w:r>
      <w:r w:rsidDel="00000000" w:rsidR="00000000" w:rsidRPr="00000000">
        <w:rPr>
          <w:sz w:val="24"/>
          <w:szCs w:val="24"/>
          <w:rtl w:val="0"/>
        </w:rPr>
        <w:t xml:space="preserve">VOL 22 Pp 9-17 available at: </w:t>
      </w:r>
      <w:hyperlink r:id="rId6">
        <w:r w:rsidDel="00000000" w:rsidR="00000000" w:rsidRPr="00000000">
          <w:rPr>
            <w:color w:val="0c7dbb"/>
            <w:sz w:val="24"/>
            <w:szCs w:val="24"/>
            <w:rtl w:val="0"/>
          </w:rPr>
          <w:t xml:space="preserve">https://doi.org/10.1016/j.avb.2015.02.003</w:t>
        </w:r>
      </w:hyperlink>
      <w:r w:rsidDel="00000000" w:rsidR="00000000" w:rsidRPr="00000000">
        <w:rPr>
          <w:sz w:val="24"/>
          <w:szCs w:val="24"/>
          <w:rtl w:val="0"/>
        </w:rPr>
        <w:t xml:space="preserve"> (accessed on 22/02/22)</w:t>
      </w:r>
    </w:p>
    <w:p w:rsidR="00000000" w:rsidDel="00000000" w:rsidP="00000000" w:rsidRDefault="00000000" w:rsidRPr="00000000" w14:paraId="0000003E">
      <w:pPr>
        <w:numPr>
          <w:ilvl w:val="0"/>
          <w:numId w:val="1"/>
        </w:numPr>
        <w:spacing w:line="480" w:lineRule="auto"/>
        <w:ind w:left="720" w:hanging="360"/>
        <w:jc w:val="both"/>
        <w:rPr>
          <w:sz w:val="24"/>
          <w:szCs w:val="24"/>
        </w:rPr>
      </w:pPr>
      <w:r w:rsidDel="00000000" w:rsidR="00000000" w:rsidRPr="00000000">
        <w:rPr>
          <w:sz w:val="24"/>
          <w:szCs w:val="24"/>
          <w:rtl w:val="0"/>
        </w:rPr>
        <w:t xml:space="preserve">Brunner, H., M. Nelen, X. Breakefield, H. Ropers, and B. van Oost. (1993). </w:t>
      </w:r>
      <w:r w:rsidDel="00000000" w:rsidR="00000000" w:rsidRPr="00000000">
        <w:rPr>
          <w:i w:val="1"/>
          <w:sz w:val="24"/>
          <w:szCs w:val="24"/>
          <w:rtl w:val="0"/>
        </w:rPr>
        <w:t xml:space="preserve">Abnormal behaviour associated with a point mutation in the structural gene for monoamine oxidase</w:t>
      </w:r>
      <w:r w:rsidDel="00000000" w:rsidR="00000000" w:rsidRPr="00000000">
        <w:rPr>
          <w:sz w:val="24"/>
          <w:szCs w:val="24"/>
          <w:rtl w:val="0"/>
        </w:rPr>
        <w:t xml:space="preserve"> A. Science 262(5133): 578–580.</w:t>
      </w:r>
    </w:p>
    <w:p w:rsidR="00000000" w:rsidDel="00000000" w:rsidP="00000000" w:rsidRDefault="00000000" w:rsidRPr="00000000" w14:paraId="0000003F">
      <w:pPr>
        <w:numPr>
          <w:ilvl w:val="0"/>
          <w:numId w:val="1"/>
        </w:numPr>
        <w:spacing w:line="480" w:lineRule="auto"/>
        <w:ind w:left="720" w:hanging="360"/>
        <w:jc w:val="both"/>
        <w:rPr>
          <w:sz w:val="24"/>
          <w:szCs w:val="24"/>
        </w:rPr>
      </w:pPr>
      <w:r w:rsidDel="00000000" w:rsidR="00000000" w:rsidRPr="00000000">
        <w:rPr>
          <w:sz w:val="24"/>
          <w:szCs w:val="24"/>
          <w:rtl w:val="0"/>
        </w:rPr>
        <w:t xml:space="preserve">Brunner, H G, (1996), </w:t>
      </w:r>
      <w:r w:rsidDel="00000000" w:rsidR="00000000" w:rsidRPr="00000000">
        <w:rPr>
          <w:i w:val="1"/>
          <w:sz w:val="24"/>
          <w:szCs w:val="24"/>
          <w:rtl w:val="0"/>
        </w:rPr>
        <w:t xml:space="preserve">MAOA deficiency and abnormal behaviour: perspectives on an association</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https://pubmed.ncbi.nlm.nih.gov/8862875/</w:t>
        </w:r>
      </w:hyperlink>
      <w:r w:rsidDel="00000000" w:rsidR="00000000" w:rsidRPr="00000000">
        <w:rPr>
          <w:sz w:val="24"/>
          <w:szCs w:val="24"/>
          <w:rtl w:val="0"/>
        </w:rPr>
        <w:t xml:space="preserve"> DOI:10.1002/9780470514825.ch9 (accessed on 23/02/22)</w:t>
      </w:r>
    </w:p>
    <w:p w:rsidR="00000000" w:rsidDel="00000000" w:rsidP="00000000" w:rsidRDefault="00000000" w:rsidRPr="00000000" w14:paraId="00000040">
      <w:pPr>
        <w:numPr>
          <w:ilvl w:val="0"/>
          <w:numId w:val="1"/>
        </w:numPr>
        <w:spacing w:line="480" w:lineRule="auto"/>
        <w:ind w:left="720" w:hanging="360"/>
        <w:jc w:val="both"/>
        <w:rPr>
          <w:sz w:val="24"/>
          <w:szCs w:val="24"/>
        </w:rPr>
      </w:pPr>
      <w:r w:rsidDel="00000000" w:rsidR="00000000" w:rsidRPr="00000000">
        <w:rPr>
          <w:sz w:val="24"/>
          <w:szCs w:val="24"/>
          <w:rtl w:val="0"/>
        </w:rPr>
        <w:t xml:space="preserve">Cohen, A.K., (2015).</w:t>
      </w:r>
      <w:r w:rsidDel="00000000" w:rsidR="00000000" w:rsidRPr="00000000">
        <w:rPr>
          <w:i w:val="1"/>
          <w:sz w:val="24"/>
          <w:szCs w:val="24"/>
          <w:rtl w:val="0"/>
        </w:rPr>
        <w:t xml:space="preserve"> Subculture Theory Delinquent Boys. In Criminology Theory</w:t>
      </w:r>
      <w:r w:rsidDel="00000000" w:rsidR="00000000" w:rsidRPr="00000000">
        <w:rPr>
          <w:sz w:val="24"/>
          <w:szCs w:val="24"/>
          <w:rtl w:val="0"/>
        </w:rPr>
        <w:t xml:space="preserve"> (pp. 143-158). Routledge.</w:t>
      </w:r>
    </w:p>
    <w:p w:rsidR="00000000" w:rsidDel="00000000" w:rsidP="00000000" w:rsidRDefault="00000000" w:rsidRPr="00000000" w14:paraId="00000041">
      <w:pPr>
        <w:numPr>
          <w:ilvl w:val="0"/>
          <w:numId w:val="1"/>
        </w:numPr>
        <w:spacing w:line="480" w:lineRule="auto"/>
        <w:ind w:left="720" w:hanging="360"/>
        <w:jc w:val="both"/>
        <w:rPr>
          <w:sz w:val="24"/>
          <w:szCs w:val="24"/>
        </w:rPr>
      </w:pPr>
      <w:r w:rsidDel="00000000" w:rsidR="00000000" w:rsidRPr="00000000">
        <w:rPr>
          <w:sz w:val="24"/>
          <w:szCs w:val="24"/>
          <w:rtl w:val="0"/>
        </w:rPr>
        <w:t xml:space="preserve">Deflem, M. and Triplett, R.A., (2018). </w:t>
      </w:r>
      <w:r w:rsidDel="00000000" w:rsidR="00000000" w:rsidRPr="00000000">
        <w:rPr>
          <w:i w:val="1"/>
          <w:sz w:val="24"/>
          <w:szCs w:val="24"/>
          <w:rtl w:val="0"/>
        </w:rPr>
        <w:t xml:space="preserve">Anomie, Strain, and Opportunity Structure: Robert K. Merton’s Paradigm of Deviant Behaviour. The Handbook of the History and Philosophy of Criminology,</w:t>
      </w:r>
      <w:r w:rsidDel="00000000" w:rsidR="00000000" w:rsidRPr="00000000">
        <w:rPr>
          <w:sz w:val="24"/>
          <w:szCs w:val="24"/>
          <w:rtl w:val="0"/>
        </w:rPr>
        <w:t xml:space="preserve"> pp.140-155.</w:t>
      </w:r>
    </w:p>
    <w:p w:rsidR="00000000" w:rsidDel="00000000" w:rsidP="00000000" w:rsidRDefault="00000000" w:rsidRPr="00000000" w14:paraId="00000042">
      <w:pPr>
        <w:numPr>
          <w:ilvl w:val="0"/>
          <w:numId w:val="1"/>
        </w:numPr>
        <w:spacing w:line="480" w:lineRule="auto"/>
        <w:ind w:left="720" w:hanging="360"/>
        <w:jc w:val="both"/>
        <w:rPr>
          <w:sz w:val="24"/>
          <w:szCs w:val="24"/>
        </w:rPr>
      </w:pPr>
      <w:r w:rsidDel="00000000" w:rsidR="00000000" w:rsidRPr="00000000">
        <w:rPr>
          <w:sz w:val="24"/>
          <w:szCs w:val="24"/>
          <w:rtl w:val="0"/>
        </w:rPr>
        <w:t xml:space="preserve">Genovese, J (2008), </w:t>
      </w:r>
      <w:r w:rsidDel="00000000" w:rsidR="00000000" w:rsidRPr="00000000">
        <w:rPr>
          <w:i w:val="1"/>
          <w:sz w:val="24"/>
          <w:szCs w:val="24"/>
          <w:rtl w:val="0"/>
        </w:rPr>
        <w:t xml:space="preserve">Physique Correlates with Reproductive Success in an Archival Sample of Delinquent Youth,</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https://journals.sagepub.com/doi/pdf/10.1177/147470490800600301</w:t>
        </w:r>
      </w:hyperlink>
      <w:r w:rsidDel="00000000" w:rsidR="00000000" w:rsidRPr="00000000">
        <w:rPr>
          <w:sz w:val="24"/>
          <w:szCs w:val="24"/>
          <w:rtl w:val="0"/>
        </w:rPr>
        <w:t xml:space="preserve"> (accessed 23/02/22) </w:t>
      </w:r>
    </w:p>
    <w:p w:rsidR="00000000" w:rsidDel="00000000" w:rsidP="00000000" w:rsidRDefault="00000000" w:rsidRPr="00000000" w14:paraId="00000043">
      <w:pPr>
        <w:numPr>
          <w:ilvl w:val="0"/>
          <w:numId w:val="1"/>
        </w:numPr>
        <w:spacing w:line="480" w:lineRule="auto"/>
        <w:ind w:left="720" w:hanging="360"/>
        <w:jc w:val="both"/>
        <w:rPr>
          <w:sz w:val="24"/>
          <w:szCs w:val="24"/>
        </w:rPr>
      </w:pPr>
      <w:r w:rsidDel="00000000" w:rsidR="00000000" w:rsidRPr="00000000">
        <w:rPr>
          <w:sz w:val="24"/>
          <w:szCs w:val="24"/>
          <w:rtl w:val="0"/>
        </w:rPr>
        <w:t xml:space="preserve">Jacobs, P.A., Brunton, M., Melville, M.M., Brittain, R.P. and McClemont, W.F., (1965). </w:t>
      </w:r>
      <w:r w:rsidDel="00000000" w:rsidR="00000000" w:rsidRPr="00000000">
        <w:rPr>
          <w:i w:val="1"/>
          <w:sz w:val="24"/>
          <w:szCs w:val="24"/>
          <w:rtl w:val="0"/>
        </w:rPr>
        <w:t xml:space="preserve">Aggressive behaviour, mental sub-normality and the XYY male. Nature</w:t>
      </w:r>
      <w:r w:rsidDel="00000000" w:rsidR="00000000" w:rsidRPr="00000000">
        <w:rPr>
          <w:sz w:val="24"/>
          <w:szCs w:val="24"/>
          <w:rtl w:val="0"/>
        </w:rPr>
        <w:t xml:space="preserve">, 208(5017), pp.1351-1352.</w:t>
      </w:r>
    </w:p>
    <w:p w:rsidR="00000000" w:rsidDel="00000000" w:rsidP="00000000" w:rsidRDefault="00000000" w:rsidRPr="00000000" w14:paraId="00000044">
      <w:pPr>
        <w:numPr>
          <w:ilvl w:val="0"/>
          <w:numId w:val="1"/>
        </w:numPr>
        <w:spacing w:line="480" w:lineRule="auto"/>
        <w:ind w:left="720" w:hanging="360"/>
        <w:jc w:val="both"/>
        <w:rPr>
          <w:sz w:val="24"/>
          <w:szCs w:val="24"/>
        </w:rPr>
      </w:pPr>
      <w:r w:rsidDel="00000000" w:rsidR="00000000" w:rsidRPr="00000000">
        <w:rPr>
          <w:sz w:val="24"/>
          <w:szCs w:val="24"/>
          <w:rtl w:val="0"/>
        </w:rPr>
        <w:t xml:space="preserve">Kenneth, I &amp; Matthew, B (2013), </w:t>
      </w:r>
      <w:r w:rsidDel="00000000" w:rsidR="00000000" w:rsidRPr="00000000">
        <w:rPr>
          <w:i w:val="1"/>
          <w:sz w:val="24"/>
          <w:szCs w:val="24"/>
          <w:rtl w:val="0"/>
        </w:rPr>
        <w:t xml:space="preserve">Investigation of William H. Sheldon’s Constitutional Theory of Personality: A Case Study of the University of the Gambia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https://www.researchgate.net/publication/287015241_Investigation_of_William_H_Sheldon's_Constitutional_Theory_of_Personality_A_Case_Study_of_the_University_of_the_Gambia</w:t>
        </w:r>
      </w:hyperlink>
      <w:r w:rsidDel="00000000" w:rsidR="00000000" w:rsidRPr="00000000">
        <w:rPr>
          <w:sz w:val="24"/>
          <w:szCs w:val="24"/>
          <w:rtl w:val="0"/>
        </w:rPr>
        <w:t xml:space="preserve"> (accessed on 23/02/22)</w:t>
      </w:r>
    </w:p>
    <w:p w:rsidR="00000000" w:rsidDel="00000000" w:rsidP="00000000" w:rsidRDefault="00000000" w:rsidRPr="00000000" w14:paraId="00000045">
      <w:pPr>
        <w:numPr>
          <w:ilvl w:val="0"/>
          <w:numId w:val="1"/>
        </w:numPr>
        <w:spacing w:line="480" w:lineRule="auto"/>
        <w:ind w:left="720" w:hanging="360"/>
        <w:jc w:val="both"/>
        <w:rPr>
          <w:sz w:val="24"/>
          <w:szCs w:val="24"/>
        </w:rPr>
      </w:pPr>
      <w:r w:rsidDel="00000000" w:rsidR="00000000" w:rsidRPr="00000000">
        <w:rPr>
          <w:sz w:val="24"/>
          <w:szCs w:val="24"/>
          <w:rtl w:val="0"/>
        </w:rPr>
        <w:t xml:space="preserve">Latif, Z &amp; Koh-Bell, A, (2013), </w:t>
      </w:r>
      <w:r w:rsidDel="00000000" w:rsidR="00000000" w:rsidRPr="00000000">
        <w:rPr>
          <w:i w:val="1"/>
          <w:sz w:val="24"/>
          <w:szCs w:val="24"/>
          <w:rtl w:val="0"/>
        </w:rPr>
        <w:t xml:space="preserve">Monoamine oxidase A (MAOA</w:t>
      </w:r>
      <w:r w:rsidDel="00000000" w:rsidR="00000000" w:rsidRPr="00000000">
        <w:rPr>
          <w:sz w:val="24"/>
          <w:szCs w:val="24"/>
          <w:rtl w:val="0"/>
        </w:rPr>
        <w:t xml:space="preserve">), available at: http://allaboutgenes.weebly.com/maoa.html (accessed on 22/02/22)</w:t>
      </w:r>
    </w:p>
    <w:p w:rsidR="00000000" w:rsidDel="00000000" w:rsidP="00000000" w:rsidRDefault="00000000" w:rsidRPr="00000000" w14:paraId="00000046">
      <w:pPr>
        <w:numPr>
          <w:ilvl w:val="0"/>
          <w:numId w:val="1"/>
        </w:numPr>
        <w:spacing w:line="480" w:lineRule="auto"/>
        <w:ind w:left="720" w:hanging="360"/>
        <w:jc w:val="both"/>
        <w:rPr>
          <w:sz w:val="24"/>
          <w:szCs w:val="24"/>
        </w:rPr>
      </w:pPr>
      <w:r w:rsidDel="00000000" w:rsidR="00000000" w:rsidRPr="00000000">
        <w:rPr>
          <w:sz w:val="24"/>
          <w:szCs w:val="24"/>
          <w:rtl w:val="0"/>
        </w:rPr>
        <w:t xml:space="preserve">Lee, J., (2021), </w:t>
      </w:r>
      <w:r w:rsidDel="00000000" w:rsidR="00000000" w:rsidRPr="00000000">
        <w:rPr>
          <w:i w:val="1"/>
          <w:sz w:val="24"/>
          <w:szCs w:val="24"/>
          <w:rtl w:val="0"/>
        </w:rPr>
        <w:t xml:space="preserve">The Legacy of Robert K. Merton: On Theories of the Middle Range. In Sociological Forum</w:t>
      </w:r>
      <w:r w:rsidDel="00000000" w:rsidR="00000000" w:rsidRPr="00000000">
        <w:rPr>
          <w:sz w:val="24"/>
          <w:szCs w:val="24"/>
          <w:rtl w:val="0"/>
        </w:rPr>
        <w:t xml:space="preserve"> (Vol. 36, No. 2, pp. 515-519).</w:t>
      </w:r>
    </w:p>
    <w:p w:rsidR="00000000" w:rsidDel="00000000" w:rsidP="00000000" w:rsidRDefault="00000000" w:rsidRPr="00000000" w14:paraId="00000047">
      <w:pPr>
        <w:numPr>
          <w:ilvl w:val="0"/>
          <w:numId w:val="1"/>
        </w:numPr>
        <w:spacing w:line="480" w:lineRule="auto"/>
        <w:ind w:left="720" w:hanging="360"/>
        <w:jc w:val="both"/>
        <w:rPr>
          <w:sz w:val="24"/>
          <w:szCs w:val="24"/>
        </w:rPr>
      </w:pPr>
      <w:r w:rsidDel="00000000" w:rsidR="00000000" w:rsidRPr="00000000">
        <w:rPr>
          <w:sz w:val="24"/>
          <w:szCs w:val="24"/>
          <w:rtl w:val="0"/>
        </w:rPr>
        <w:t xml:space="preserve">Messner, S.F. and Rosenfeld, R., (2012). </w:t>
      </w:r>
      <w:r w:rsidDel="00000000" w:rsidR="00000000" w:rsidRPr="00000000">
        <w:rPr>
          <w:i w:val="1"/>
          <w:sz w:val="24"/>
          <w:szCs w:val="24"/>
          <w:rtl w:val="0"/>
        </w:rPr>
        <w:t xml:space="preserve">Crime and the American dream.</w:t>
      </w:r>
      <w:r w:rsidDel="00000000" w:rsidR="00000000" w:rsidRPr="00000000">
        <w:rPr>
          <w:sz w:val="24"/>
          <w:szCs w:val="24"/>
          <w:rtl w:val="0"/>
        </w:rPr>
        <w:t xml:space="preserve"> Cengage Learning.</w:t>
      </w:r>
    </w:p>
    <w:p w:rsidR="00000000" w:rsidDel="00000000" w:rsidP="00000000" w:rsidRDefault="00000000" w:rsidRPr="00000000" w14:paraId="00000048">
      <w:pPr>
        <w:numPr>
          <w:ilvl w:val="0"/>
          <w:numId w:val="1"/>
        </w:numPr>
        <w:spacing w:line="480" w:lineRule="auto"/>
        <w:ind w:left="720" w:hanging="360"/>
        <w:jc w:val="both"/>
        <w:rPr>
          <w:sz w:val="24"/>
          <w:szCs w:val="24"/>
        </w:rPr>
      </w:pPr>
      <w:r w:rsidDel="00000000" w:rsidR="00000000" w:rsidRPr="00000000">
        <w:rPr>
          <w:sz w:val="24"/>
          <w:szCs w:val="24"/>
          <w:rtl w:val="0"/>
        </w:rPr>
        <w:t xml:space="preserve">National Organisation for Rare Diseases, (2012),  </w:t>
      </w:r>
      <w:r w:rsidDel="00000000" w:rsidR="00000000" w:rsidRPr="00000000">
        <w:rPr>
          <w:i w:val="1"/>
          <w:sz w:val="24"/>
          <w:szCs w:val="24"/>
          <w:rtl w:val="0"/>
        </w:rPr>
        <w:t xml:space="preserve">XYY Syndrome</w:t>
      </w:r>
      <w:r w:rsidDel="00000000" w:rsidR="00000000" w:rsidRPr="00000000">
        <w:rPr>
          <w:sz w:val="24"/>
          <w:szCs w:val="24"/>
          <w:rtl w:val="0"/>
        </w:rPr>
        <w:t xml:space="preserve">, available at:</w:t>
      </w:r>
      <w:hyperlink r:id="rId10">
        <w:r w:rsidDel="00000000" w:rsidR="00000000" w:rsidRPr="00000000">
          <w:rPr>
            <w:color w:val="1155cc"/>
            <w:sz w:val="24"/>
            <w:szCs w:val="24"/>
            <w:u w:val="single"/>
            <w:rtl w:val="0"/>
          </w:rPr>
          <w:t xml:space="preserve">https://rarediseases.org/rare-diseases/xyy-syndrome/#affected-populations</w:t>
        </w:r>
      </w:hyperlink>
      <w:r w:rsidDel="00000000" w:rsidR="00000000" w:rsidRPr="00000000">
        <w:rPr>
          <w:sz w:val="24"/>
          <w:szCs w:val="24"/>
          <w:rtl w:val="0"/>
        </w:rPr>
        <w:t xml:space="preserve"> (accessed on 21/02/22)</w:t>
      </w:r>
    </w:p>
    <w:p w:rsidR="00000000" w:rsidDel="00000000" w:rsidP="00000000" w:rsidRDefault="00000000" w:rsidRPr="00000000" w14:paraId="00000049">
      <w:pPr>
        <w:numPr>
          <w:ilvl w:val="0"/>
          <w:numId w:val="1"/>
        </w:numPr>
        <w:spacing w:line="480" w:lineRule="auto"/>
        <w:ind w:left="720" w:hanging="360"/>
        <w:jc w:val="both"/>
        <w:rPr>
          <w:sz w:val="24"/>
          <w:szCs w:val="24"/>
        </w:rPr>
      </w:pPr>
      <w:r w:rsidDel="00000000" w:rsidR="00000000" w:rsidRPr="00000000">
        <w:rPr>
          <w:sz w:val="24"/>
          <w:szCs w:val="24"/>
          <w:rtl w:val="0"/>
        </w:rPr>
        <w:t xml:space="preserve">NHS, (2019), </w:t>
      </w:r>
      <w:r w:rsidDel="00000000" w:rsidR="00000000" w:rsidRPr="00000000">
        <w:rPr>
          <w:i w:val="1"/>
          <w:sz w:val="24"/>
          <w:szCs w:val="24"/>
          <w:rtl w:val="0"/>
        </w:rPr>
        <w:t xml:space="preserve">Klinefelter syndrome,</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https://www.nhs.uk/conditions/klinefelters-syndrome/#:~:text=Klinefelter%20syndrome%20</w:t>
        </w:r>
      </w:hyperlink>
      <w:r w:rsidDel="00000000" w:rsidR="00000000" w:rsidRPr="00000000">
        <w:rPr>
          <w:sz w:val="24"/>
          <w:szCs w:val="24"/>
          <w:rtl w:val="0"/>
        </w:rPr>
        <w:t xml:space="preserve">(sometimes%20called%20Klinefelter's,genetic%20sex%20of%20a%20baby, (accessed on 21/02/22)</w:t>
      </w:r>
    </w:p>
    <w:p w:rsidR="00000000" w:rsidDel="00000000" w:rsidP="00000000" w:rsidRDefault="00000000" w:rsidRPr="00000000" w14:paraId="0000004A">
      <w:pPr>
        <w:numPr>
          <w:ilvl w:val="0"/>
          <w:numId w:val="1"/>
        </w:numPr>
        <w:spacing w:line="480" w:lineRule="auto"/>
        <w:ind w:left="720" w:hanging="360"/>
        <w:jc w:val="both"/>
        <w:rPr>
          <w:sz w:val="24"/>
          <w:szCs w:val="24"/>
        </w:rPr>
      </w:pPr>
      <w:r w:rsidDel="00000000" w:rsidR="00000000" w:rsidRPr="00000000">
        <w:rPr>
          <w:sz w:val="24"/>
          <w:szCs w:val="24"/>
          <w:rtl w:val="0"/>
        </w:rPr>
        <w:t xml:space="preserve">Schoepfer, A. and Piquero, N.L., (2006). </w:t>
      </w:r>
      <w:r w:rsidDel="00000000" w:rsidR="00000000" w:rsidRPr="00000000">
        <w:rPr>
          <w:i w:val="1"/>
          <w:sz w:val="24"/>
          <w:szCs w:val="24"/>
          <w:rtl w:val="0"/>
        </w:rPr>
        <w:t xml:space="preserve">Exploring white-collar crime and the American dream: A partial test of institutional anomie theory. Journal of Criminal Justice,</w:t>
      </w:r>
      <w:r w:rsidDel="00000000" w:rsidR="00000000" w:rsidRPr="00000000">
        <w:rPr>
          <w:sz w:val="24"/>
          <w:szCs w:val="24"/>
          <w:rtl w:val="0"/>
        </w:rPr>
        <w:t xml:space="preserve"> 34(3), pp.227-235. Available at: </w:t>
      </w:r>
      <w:hyperlink r:id="rId12">
        <w:r w:rsidDel="00000000" w:rsidR="00000000" w:rsidRPr="00000000">
          <w:rPr>
            <w:color w:val="1155cc"/>
            <w:sz w:val="24"/>
            <w:szCs w:val="24"/>
            <w:u w:val="single"/>
            <w:rtl w:val="0"/>
          </w:rPr>
          <w:t xml:space="preserve">https://www.sciencedirect.com/science/article/abs/pii/S0047235206000316</w:t>
        </w:r>
      </w:hyperlink>
      <w:r w:rsidDel="00000000" w:rsidR="00000000" w:rsidRPr="00000000">
        <w:rPr>
          <w:sz w:val="24"/>
          <w:szCs w:val="24"/>
          <w:rtl w:val="0"/>
        </w:rPr>
        <w:t xml:space="preserve"> </w:t>
      </w:r>
    </w:p>
    <w:p w:rsidR="00000000" w:rsidDel="00000000" w:rsidP="00000000" w:rsidRDefault="00000000" w:rsidRPr="00000000" w14:paraId="0000004B">
      <w:pPr>
        <w:numPr>
          <w:ilvl w:val="0"/>
          <w:numId w:val="1"/>
        </w:numPr>
        <w:spacing w:line="480" w:lineRule="auto"/>
        <w:ind w:left="720" w:hanging="360"/>
        <w:jc w:val="both"/>
        <w:rPr>
          <w:sz w:val="24"/>
          <w:szCs w:val="24"/>
        </w:rPr>
      </w:pPr>
      <w:r w:rsidDel="00000000" w:rsidR="00000000" w:rsidRPr="00000000">
        <w:rPr>
          <w:sz w:val="24"/>
          <w:szCs w:val="24"/>
          <w:rtl w:val="0"/>
        </w:rPr>
        <w:t xml:space="preserve">Stockholm, K (2012), </w:t>
      </w:r>
      <w:r w:rsidDel="00000000" w:rsidR="00000000" w:rsidRPr="00000000">
        <w:rPr>
          <w:i w:val="1"/>
          <w:sz w:val="24"/>
          <w:szCs w:val="24"/>
          <w:rtl w:val="0"/>
        </w:rPr>
        <w:t xml:space="preserve">Criminality in men with Klinefelter's syndrome and XYY syndrome: a cohort study</w:t>
      </w:r>
      <w:r w:rsidDel="00000000" w:rsidR="00000000" w:rsidRPr="00000000">
        <w:rPr>
          <w:sz w:val="24"/>
          <w:szCs w:val="24"/>
          <w:rtl w:val="0"/>
        </w:rPr>
        <w:t xml:space="preserve"> , available at: </w:t>
      </w:r>
      <w:hyperlink r:id="rId13">
        <w:r w:rsidDel="00000000" w:rsidR="00000000" w:rsidRPr="00000000">
          <w:rPr>
            <w:color w:val="1155cc"/>
            <w:sz w:val="24"/>
            <w:szCs w:val="24"/>
            <w:u w:val="single"/>
            <w:rtl w:val="0"/>
          </w:rPr>
          <w:t xml:space="preserve">https://bmjopen.bmj.com/content/2/1/e000650</w:t>
        </w:r>
      </w:hyperlink>
      <w:r w:rsidDel="00000000" w:rsidR="00000000" w:rsidRPr="00000000">
        <w:rPr>
          <w:sz w:val="24"/>
          <w:szCs w:val="24"/>
          <w:rtl w:val="0"/>
        </w:rPr>
        <w:t xml:space="preserve"> (accessed on 21/02/22)</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hs.uk/conditions/klinefelters-syndrome/#:~:text=Klinefelter%20syndrome%20" TargetMode="External"/><Relationship Id="rId10" Type="http://schemas.openxmlformats.org/officeDocument/2006/relationships/hyperlink" Target="https://rarediseases.org/rare-diseases/xyy-syndrome/#affected-populations" TargetMode="External"/><Relationship Id="rId13" Type="http://schemas.openxmlformats.org/officeDocument/2006/relationships/hyperlink" Target="https://bmjopen.bmj.com/content/2/1/e000650" TargetMode="External"/><Relationship Id="rId12" Type="http://schemas.openxmlformats.org/officeDocument/2006/relationships/hyperlink" Target="https://www.sciencedirect.com/science/article/abs/pii/S004723520600031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287015241_Investigation_of_William_H_Sheldon's_Constitutional_Theory_of_Personality_A_Case_Study_of_the_University_of_the_Gambia" TargetMode="External"/><Relationship Id="rId5" Type="http://schemas.openxmlformats.org/officeDocument/2006/relationships/styles" Target="styles.xml"/><Relationship Id="rId6" Type="http://schemas.openxmlformats.org/officeDocument/2006/relationships/hyperlink" Target="https://doi.org/10.1016/j.avb.2015.02.003" TargetMode="External"/><Relationship Id="rId7" Type="http://schemas.openxmlformats.org/officeDocument/2006/relationships/hyperlink" Target="https://pubmed.ncbi.nlm.nih.gov/8862875/" TargetMode="External"/><Relationship Id="rId8" Type="http://schemas.openxmlformats.org/officeDocument/2006/relationships/hyperlink" Target="https://journals.sagepub.com/doi/pdf/10.1177/147470490800600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