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73CB8" w14:textId="41C10F9A" w:rsidR="00B151A8" w:rsidRPr="00BE07CA" w:rsidRDefault="00BE07CA" w:rsidP="00BE07CA">
      <w:pPr>
        <w:spacing w:line="360" w:lineRule="auto"/>
        <w:rPr>
          <w:rFonts w:ascii="Arial" w:hAnsi="Arial" w:cs="Arial"/>
          <w:b/>
          <w:bCs/>
          <w:sz w:val="40"/>
          <w:szCs w:val="40"/>
        </w:rPr>
      </w:pPr>
      <w:r w:rsidRPr="00BE07CA">
        <w:rPr>
          <w:rFonts w:ascii="Arial" w:hAnsi="Arial" w:cs="Arial"/>
          <w:b/>
          <w:bCs/>
          <w:sz w:val="40"/>
          <w:szCs w:val="40"/>
        </w:rPr>
        <w:t>Sustainable Hospitality &amp; Tourism Management</w:t>
      </w:r>
    </w:p>
    <w:p w14:paraId="5481C31A" w14:textId="7CC9111C" w:rsidR="00BE07CA" w:rsidRPr="00BE07CA" w:rsidRDefault="00BE07CA" w:rsidP="00BE07CA">
      <w:pPr>
        <w:spacing w:line="360" w:lineRule="auto"/>
        <w:rPr>
          <w:rFonts w:ascii="Arial" w:hAnsi="Arial" w:cs="Arial"/>
          <w:b/>
          <w:bCs/>
          <w:sz w:val="40"/>
          <w:szCs w:val="40"/>
        </w:rPr>
      </w:pPr>
      <w:r w:rsidRPr="00BE07CA">
        <w:rPr>
          <w:rFonts w:ascii="Arial" w:hAnsi="Arial" w:cs="Arial"/>
          <w:b/>
          <w:bCs/>
          <w:sz w:val="40"/>
          <w:szCs w:val="40"/>
        </w:rPr>
        <w:t>BMIH5006</w:t>
      </w:r>
    </w:p>
    <w:p w14:paraId="3C718009" w14:textId="77777777" w:rsidR="00537210" w:rsidRDefault="00537210" w:rsidP="00BE07CA">
      <w:pPr>
        <w:spacing w:line="360" w:lineRule="auto"/>
      </w:pPr>
    </w:p>
    <w:p w14:paraId="09D97CAE" w14:textId="6EAF5A1D" w:rsidR="00BE07CA" w:rsidRDefault="00BE07CA" w:rsidP="00BE07CA">
      <w:pPr>
        <w:spacing w:line="360" w:lineRule="auto"/>
        <w:rPr>
          <w:rFonts w:ascii="Arial" w:hAnsi="Arial" w:cs="Arial"/>
          <w:sz w:val="28"/>
          <w:szCs w:val="28"/>
        </w:rPr>
      </w:pPr>
      <w:r w:rsidRPr="00BE07CA">
        <w:rPr>
          <w:rFonts w:ascii="Arial" w:hAnsi="Arial" w:cs="Arial"/>
          <w:sz w:val="28"/>
          <w:szCs w:val="28"/>
        </w:rPr>
        <w:t>Essay</w:t>
      </w:r>
    </w:p>
    <w:p w14:paraId="11741F02" w14:textId="77777777" w:rsidR="00BE07CA" w:rsidRDefault="00BE07CA" w:rsidP="00BE07CA">
      <w:pPr>
        <w:spacing w:line="360" w:lineRule="auto"/>
        <w:rPr>
          <w:rFonts w:ascii="Arial" w:hAnsi="Arial" w:cs="Arial"/>
          <w:sz w:val="28"/>
          <w:szCs w:val="28"/>
        </w:rPr>
      </w:pPr>
    </w:p>
    <w:p w14:paraId="6EB17E7B" w14:textId="77777777" w:rsidR="00BE07CA" w:rsidRDefault="00BE07CA" w:rsidP="00BE07CA">
      <w:pPr>
        <w:spacing w:line="360" w:lineRule="auto"/>
        <w:rPr>
          <w:rFonts w:ascii="Arial" w:hAnsi="Arial" w:cs="Arial"/>
          <w:sz w:val="28"/>
          <w:szCs w:val="28"/>
        </w:rPr>
      </w:pPr>
    </w:p>
    <w:p w14:paraId="12503CAB" w14:textId="77777777" w:rsidR="00BE07CA" w:rsidRDefault="00BE07CA" w:rsidP="00BE07CA">
      <w:pPr>
        <w:spacing w:line="360" w:lineRule="auto"/>
        <w:rPr>
          <w:rFonts w:ascii="Arial" w:hAnsi="Arial" w:cs="Arial"/>
          <w:sz w:val="28"/>
          <w:szCs w:val="28"/>
        </w:rPr>
      </w:pPr>
    </w:p>
    <w:p w14:paraId="0D86F5E6" w14:textId="77777777" w:rsidR="00BE07CA" w:rsidRPr="00BE07CA" w:rsidRDefault="00BE07CA" w:rsidP="00BE07CA">
      <w:pPr>
        <w:spacing w:line="360" w:lineRule="auto"/>
        <w:rPr>
          <w:rFonts w:ascii="Arial" w:hAnsi="Arial" w:cs="Arial"/>
          <w:sz w:val="28"/>
          <w:szCs w:val="28"/>
        </w:rPr>
      </w:pPr>
    </w:p>
    <w:p w14:paraId="093BD724" w14:textId="284096ED" w:rsidR="00BE07CA" w:rsidRPr="00B034F6" w:rsidRDefault="00BE07CA" w:rsidP="00BE07CA">
      <w:pPr>
        <w:spacing w:line="360" w:lineRule="auto"/>
        <w:rPr>
          <w:rFonts w:ascii="Arial" w:hAnsi="Arial" w:cs="Arial"/>
          <w:sz w:val="28"/>
          <w:szCs w:val="28"/>
        </w:rPr>
      </w:pPr>
      <w:r w:rsidRPr="00B034F6">
        <w:rPr>
          <w:rFonts w:ascii="Arial" w:hAnsi="Arial" w:cs="Arial"/>
          <w:sz w:val="28"/>
          <w:szCs w:val="28"/>
        </w:rPr>
        <w:t>Lecturer: Kathryn Roberts</w:t>
      </w:r>
    </w:p>
    <w:p w14:paraId="2E6CA396" w14:textId="2E7BAACD" w:rsidR="00BE07CA" w:rsidRPr="00B034F6" w:rsidRDefault="00BE07CA" w:rsidP="00BE07CA">
      <w:pPr>
        <w:spacing w:line="360" w:lineRule="auto"/>
        <w:rPr>
          <w:rFonts w:ascii="Arial" w:hAnsi="Arial" w:cs="Arial"/>
          <w:sz w:val="28"/>
          <w:szCs w:val="28"/>
        </w:rPr>
      </w:pPr>
      <w:r w:rsidRPr="00B034F6">
        <w:rPr>
          <w:rFonts w:ascii="Arial" w:hAnsi="Arial" w:cs="Arial"/>
          <w:sz w:val="28"/>
          <w:szCs w:val="28"/>
        </w:rPr>
        <w:t>Student id:</w:t>
      </w:r>
      <w:r w:rsidR="00B034F6" w:rsidRPr="00B034F6">
        <w:rPr>
          <w:rFonts w:ascii="Arial" w:hAnsi="Arial" w:cs="Arial"/>
          <w:sz w:val="28"/>
          <w:szCs w:val="28"/>
        </w:rPr>
        <w:t xml:space="preserve"> </w:t>
      </w:r>
      <w:r w:rsidR="00B034F6" w:rsidRPr="00B034F6">
        <w:rPr>
          <w:rFonts w:ascii="Arial" w:hAnsi="Arial" w:cs="Arial"/>
          <w:sz w:val="28"/>
          <w:szCs w:val="28"/>
        </w:rPr>
        <w:t>2127116</w:t>
      </w:r>
    </w:p>
    <w:p w14:paraId="359111C4" w14:textId="4E77A7E3" w:rsidR="00BE07CA" w:rsidRPr="00B034F6" w:rsidRDefault="00BE07CA" w:rsidP="00BE07CA">
      <w:pPr>
        <w:spacing w:line="360" w:lineRule="auto"/>
        <w:rPr>
          <w:rFonts w:ascii="Arial" w:hAnsi="Arial" w:cs="Arial"/>
          <w:sz w:val="28"/>
          <w:szCs w:val="28"/>
        </w:rPr>
      </w:pPr>
      <w:r w:rsidRPr="00B034F6">
        <w:rPr>
          <w:rFonts w:ascii="Arial" w:hAnsi="Arial" w:cs="Arial"/>
          <w:sz w:val="28"/>
          <w:szCs w:val="28"/>
        </w:rPr>
        <w:t>Student name:</w:t>
      </w:r>
      <w:r w:rsidR="00B034F6" w:rsidRPr="00B034F6">
        <w:rPr>
          <w:rFonts w:ascii="Arial" w:hAnsi="Arial" w:cs="Arial"/>
          <w:sz w:val="28"/>
          <w:szCs w:val="28"/>
        </w:rPr>
        <w:t xml:space="preserve"> </w:t>
      </w:r>
      <w:r w:rsidR="00B034F6" w:rsidRPr="00B034F6">
        <w:rPr>
          <w:rFonts w:ascii="Arial" w:hAnsi="Arial" w:cs="Arial"/>
          <w:kern w:val="0"/>
          <w:sz w:val="28"/>
          <w:szCs w:val="28"/>
          <w14:ligatures w14:val="none"/>
        </w:rPr>
        <w:t>Andrei Alexandru Munteanu</w:t>
      </w:r>
    </w:p>
    <w:p w14:paraId="20A91F38" w14:textId="697055AA" w:rsidR="00BE07CA" w:rsidRPr="00B034F6" w:rsidRDefault="00BE07CA" w:rsidP="00BE07CA">
      <w:pPr>
        <w:spacing w:line="360" w:lineRule="auto"/>
        <w:rPr>
          <w:rFonts w:ascii="Arial" w:hAnsi="Arial" w:cs="Arial"/>
          <w:sz w:val="28"/>
          <w:szCs w:val="28"/>
        </w:rPr>
      </w:pPr>
      <w:r w:rsidRPr="00B034F6">
        <w:rPr>
          <w:rFonts w:ascii="Arial" w:hAnsi="Arial" w:cs="Arial"/>
          <w:sz w:val="28"/>
          <w:szCs w:val="28"/>
        </w:rPr>
        <w:t>Word count:</w:t>
      </w:r>
      <w:r w:rsidR="00B034F6" w:rsidRPr="00B034F6">
        <w:rPr>
          <w:rFonts w:ascii="Arial" w:hAnsi="Arial" w:cs="Arial"/>
          <w:sz w:val="28"/>
          <w:szCs w:val="28"/>
        </w:rPr>
        <w:t xml:space="preserve"> 2085</w:t>
      </w:r>
    </w:p>
    <w:p w14:paraId="0ABEE546" w14:textId="394E10AC" w:rsidR="00BE07CA" w:rsidRPr="00B034F6" w:rsidRDefault="00BE07CA" w:rsidP="00BE07CA">
      <w:pPr>
        <w:spacing w:line="360" w:lineRule="auto"/>
        <w:rPr>
          <w:rFonts w:ascii="Arial" w:hAnsi="Arial" w:cs="Arial"/>
          <w:sz w:val="28"/>
          <w:szCs w:val="28"/>
        </w:rPr>
      </w:pPr>
      <w:r w:rsidRPr="00B034F6">
        <w:rPr>
          <w:rFonts w:ascii="Arial" w:hAnsi="Arial" w:cs="Arial"/>
          <w:sz w:val="28"/>
          <w:szCs w:val="28"/>
        </w:rPr>
        <w:t>Date: 01/01/2024</w:t>
      </w:r>
    </w:p>
    <w:p w14:paraId="4B9CC884" w14:textId="77777777" w:rsidR="00537210" w:rsidRDefault="00537210"/>
    <w:p w14:paraId="23FD3ECD" w14:textId="77777777" w:rsidR="00537210" w:rsidRDefault="00537210"/>
    <w:p w14:paraId="66580A3E" w14:textId="77777777" w:rsidR="00537210" w:rsidRDefault="00537210"/>
    <w:p w14:paraId="0C5BAB52" w14:textId="77777777" w:rsidR="00537210" w:rsidRDefault="00537210"/>
    <w:p w14:paraId="221BC9E8" w14:textId="77777777" w:rsidR="00537210" w:rsidRDefault="00537210"/>
    <w:p w14:paraId="4D47421C" w14:textId="77777777" w:rsidR="00537210" w:rsidRDefault="00537210"/>
    <w:p w14:paraId="7D3DC392" w14:textId="77777777" w:rsidR="00537210" w:rsidRDefault="00537210"/>
    <w:p w14:paraId="0F57F761" w14:textId="77777777" w:rsidR="00537210" w:rsidRDefault="00537210"/>
    <w:p w14:paraId="43EE29D6" w14:textId="77777777" w:rsidR="00537210" w:rsidRDefault="00537210"/>
    <w:p w14:paraId="65B6A004" w14:textId="77777777" w:rsidR="00537210" w:rsidRDefault="00537210"/>
    <w:p w14:paraId="014AF67F" w14:textId="77777777" w:rsidR="00537210" w:rsidRDefault="00537210"/>
    <w:p w14:paraId="5C59C098" w14:textId="77777777" w:rsidR="00537210" w:rsidRPr="00537210" w:rsidRDefault="00537210" w:rsidP="00537210">
      <w:pPr>
        <w:spacing w:line="360" w:lineRule="auto"/>
        <w:jc w:val="both"/>
        <w:rPr>
          <w:rFonts w:ascii="Arial" w:hAnsi="Arial" w:cs="Arial"/>
          <w:sz w:val="24"/>
          <w:szCs w:val="24"/>
        </w:rPr>
      </w:pPr>
    </w:p>
    <w:p w14:paraId="4A70FC55" w14:textId="43A31D59" w:rsidR="00537210" w:rsidRPr="00B034F6" w:rsidRDefault="00537210" w:rsidP="00BC109C">
      <w:pPr>
        <w:spacing w:line="360" w:lineRule="auto"/>
        <w:jc w:val="both"/>
        <w:rPr>
          <w:rFonts w:ascii="Arial" w:hAnsi="Arial" w:cs="Arial"/>
          <w:sz w:val="24"/>
          <w:szCs w:val="24"/>
        </w:rPr>
      </w:pPr>
      <w:r w:rsidRPr="00B034F6">
        <w:rPr>
          <w:rFonts w:ascii="Arial" w:hAnsi="Arial" w:cs="Arial"/>
          <w:sz w:val="24"/>
          <w:szCs w:val="24"/>
        </w:rPr>
        <w:lastRenderedPageBreak/>
        <w:t xml:space="preserve">In modern economic context, integrating sustainability principles into company strategy is critical, particularly in the hotel industry. The present paper will look at the circular economy and its role in Corporate Social Responsibility practices, utilising Premier Inn as a case study. Premier Inn, the UK's largest hotel brand, has become known for its devotion to comfort, convenience, and value throughout its broad network of properties. Since its </w:t>
      </w:r>
      <w:proofErr w:type="gramStart"/>
      <w:r w:rsidRPr="00B034F6">
        <w:rPr>
          <w:rFonts w:ascii="Arial" w:hAnsi="Arial" w:cs="Arial"/>
          <w:sz w:val="24"/>
          <w:szCs w:val="24"/>
        </w:rPr>
        <w:t>inception</w:t>
      </w:r>
      <w:proofErr w:type="gramEnd"/>
      <w:r w:rsidRPr="00B034F6">
        <w:rPr>
          <w:rFonts w:ascii="Arial" w:hAnsi="Arial" w:cs="Arial"/>
          <w:sz w:val="24"/>
          <w:szCs w:val="24"/>
        </w:rPr>
        <w:t xml:space="preserve"> in 1987, Whitbread PLC has expanded to include over 800 hotels in the United Kingdom, Ireland, and Germany, all of which guarantee high-quality accommodations and exceptional service. Premier Inn's success stems from its emphasis on satisfied customers and operational efficiency</w:t>
      </w:r>
      <w:r w:rsidR="00E7790D" w:rsidRPr="00B034F6">
        <w:rPr>
          <w:rFonts w:ascii="Arial" w:hAnsi="Arial" w:cs="Arial"/>
          <w:sz w:val="24"/>
          <w:szCs w:val="24"/>
        </w:rPr>
        <w:t xml:space="preserve"> </w:t>
      </w:r>
      <w:r w:rsidR="00E7790D" w:rsidRPr="00B034F6">
        <w:rPr>
          <w:rFonts w:ascii="Arial" w:hAnsi="Arial" w:cs="Arial"/>
          <w:sz w:val="24"/>
          <w:szCs w:val="24"/>
          <w:shd w:val="clear" w:color="auto" w:fill="FFFFFF"/>
        </w:rPr>
        <w:t>(Whitbread, 2023)</w:t>
      </w:r>
      <w:r w:rsidR="00E7790D" w:rsidRPr="00B034F6">
        <w:rPr>
          <w:rFonts w:ascii="Arial" w:hAnsi="Arial" w:cs="Arial"/>
          <w:sz w:val="24"/>
          <w:szCs w:val="24"/>
          <w:shd w:val="clear" w:color="auto" w:fill="FFFFFF"/>
        </w:rPr>
        <w:t>.</w:t>
      </w:r>
      <w:r w:rsidRPr="00B034F6">
        <w:rPr>
          <w:rFonts w:ascii="Arial" w:hAnsi="Arial" w:cs="Arial"/>
          <w:sz w:val="24"/>
          <w:szCs w:val="24"/>
        </w:rPr>
        <w:t xml:space="preserve"> Furthermore, the circular economy is an integrated strategy to economic development that benefits enterprises, society, and the environment. It challenges the old, linear economic model of "take, make, dispose" by promoting resource redesign, reuse, recycling, and regeneration (</w:t>
      </w:r>
      <w:proofErr w:type="spellStart"/>
      <w:r w:rsidRPr="00B034F6">
        <w:rPr>
          <w:rFonts w:ascii="Arial" w:hAnsi="Arial" w:cs="Arial"/>
          <w:sz w:val="24"/>
          <w:szCs w:val="24"/>
        </w:rPr>
        <w:t>Geissdoerfer</w:t>
      </w:r>
      <w:proofErr w:type="spellEnd"/>
      <w:r w:rsidRPr="00B034F6">
        <w:rPr>
          <w:rFonts w:ascii="Arial" w:hAnsi="Arial" w:cs="Arial"/>
          <w:sz w:val="24"/>
          <w:szCs w:val="24"/>
        </w:rPr>
        <w:t xml:space="preserve"> et al., 2017). This approach aspires not just to reduce waste, but also to generate value in new, inventive ways, making it an important component of CSR efforts for innovative organisations. The circular economy is relevant to CSR because of its ability to address important sustainability concerns while also boosting economic development and competitiveness. CSR practices that embrace circular economy concepts show a commitment to sustainable development by decreasing environmental impact, increasing resource efficiency, and positively </w:t>
      </w:r>
      <w:proofErr w:type="gramStart"/>
      <w:r w:rsidRPr="00B034F6">
        <w:rPr>
          <w:rFonts w:ascii="Arial" w:hAnsi="Arial" w:cs="Arial"/>
          <w:sz w:val="24"/>
          <w:szCs w:val="24"/>
        </w:rPr>
        <w:t>impacting</w:t>
      </w:r>
      <w:proofErr w:type="gramEnd"/>
      <w:r w:rsidRPr="00B034F6">
        <w:rPr>
          <w:rFonts w:ascii="Arial" w:hAnsi="Arial" w:cs="Arial"/>
          <w:sz w:val="24"/>
          <w:szCs w:val="24"/>
        </w:rPr>
        <w:t xml:space="preserve"> the communities in which they operate</w:t>
      </w:r>
      <w:r w:rsidR="00E7790D" w:rsidRPr="00B034F6">
        <w:rPr>
          <w:rFonts w:ascii="Arial" w:hAnsi="Arial" w:cs="Arial"/>
          <w:sz w:val="24"/>
          <w:szCs w:val="24"/>
        </w:rPr>
        <w:t xml:space="preserve"> (Stoyanova, 2019).</w:t>
      </w:r>
    </w:p>
    <w:p w14:paraId="062CBC06" w14:textId="77777777" w:rsidR="00537210" w:rsidRPr="00B034F6" w:rsidRDefault="00537210" w:rsidP="00BC109C">
      <w:pPr>
        <w:spacing w:line="360" w:lineRule="auto"/>
        <w:jc w:val="both"/>
        <w:rPr>
          <w:rFonts w:ascii="Arial" w:hAnsi="Arial" w:cs="Arial"/>
          <w:sz w:val="24"/>
          <w:szCs w:val="24"/>
        </w:rPr>
      </w:pPr>
    </w:p>
    <w:p w14:paraId="191C9FAB" w14:textId="35DD3990" w:rsidR="00537210" w:rsidRPr="00B034F6" w:rsidRDefault="00BE07CA" w:rsidP="00BC109C">
      <w:pPr>
        <w:spacing w:line="360" w:lineRule="auto"/>
        <w:jc w:val="both"/>
        <w:rPr>
          <w:rFonts w:ascii="Arial" w:hAnsi="Arial" w:cs="Arial"/>
          <w:sz w:val="24"/>
          <w:szCs w:val="24"/>
        </w:rPr>
      </w:pPr>
      <w:r w:rsidRPr="00B034F6">
        <w:rPr>
          <w:rFonts w:ascii="Arial" w:hAnsi="Arial" w:cs="Arial"/>
          <w:sz w:val="24"/>
          <w:szCs w:val="24"/>
        </w:rPr>
        <w:t>The Circular Economy  is a revolutionary way to tackling global environmental issues by reimagining old consumption and manufacturing models. The establishment of a closed-loop system in which materials are reused, recycled, and recovered is central to this notion, since it reduces waste and natural resource depletion. The circular economy is critical to addressing global environmental concerns</w:t>
      </w:r>
      <w:r w:rsidR="00E7790D" w:rsidRPr="00B034F6">
        <w:rPr>
          <w:rFonts w:ascii="Arial" w:hAnsi="Arial" w:cs="Arial"/>
          <w:sz w:val="24"/>
          <w:szCs w:val="24"/>
        </w:rPr>
        <w:t xml:space="preserve"> (Modak, 2021).</w:t>
      </w:r>
      <w:r w:rsidRPr="00B034F6">
        <w:rPr>
          <w:rFonts w:ascii="Arial" w:hAnsi="Arial" w:cs="Arial"/>
          <w:sz w:val="24"/>
          <w:szCs w:val="24"/>
        </w:rPr>
        <w:t xml:space="preserve"> It promotes resource efficiency, reduces degradation of the environment, and </w:t>
      </w:r>
      <w:proofErr w:type="gramStart"/>
      <w:r w:rsidRPr="00B034F6">
        <w:rPr>
          <w:rFonts w:ascii="Arial" w:hAnsi="Arial" w:cs="Arial"/>
          <w:sz w:val="24"/>
          <w:szCs w:val="24"/>
        </w:rPr>
        <w:t>facilitates</w:t>
      </w:r>
      <w:proofErr w:type="gramEnd"/>
      <w:r w:rsidRPr="00B034F6">
        <w:rPr>
          <w:rFonts w:ascii="Arial" w:hAnsi="Arial" w:cs="Arial"/>
          <w:sz w:val="24"/>
          <w:szCs w:val="24"/>
        </w:rPr>
        <w:t xml:space="preserve"> the transition to environmentally friendly economies, all of which contribute to sustainable development. This strategy is especially important </w:t>
      </w:r>
      <w:proofErr w:type="gramStart"/>
      <w:r w:rsidRPr="00B034F6">
        <w:rPr>
          <w:rFonts w:ascii="Arial" w:hAnsi="Arial" w:cs="Arial"/>
          <w:sz w:val="24"/>
          <w:szCs w:val="24"/>
        </w:rPr>
        <w:t>in light of</w:t>
      </w:r>
      <w:proofErr w:type="gramEnd"/>
      <w:r w:rsidRPr="00B034F6">
        <w:rPr>
          <w:rFonts w:ascii="Arial" w:hAnsi="Arial" w:cs="Arial"/>
          <w:sz w:val="24"/>
          <w:szCs w:val="24"/>
        </w:rPr>
        <w:t xml:space="preserve"> growing environmental concerns such as climate change, resource shortages, and biodiversity loss. According to </w:t>
      </w:r>
      <w:proofErr w:type="spellStart"/>
      <w:r w:rsidR="00E7790D" w:rsidRPr="00B034F6">
        <w:rPr>
          <w:rFonts w:ascii="Arial" w:hAnsi="Arial" w:cs="Arial"/>
          <w:sz w:val="24"/>
          <w:szCs w:val="24"/>
        </w:rPr>
        <w:t>Ubinati</w:t>
      </w:r>
      <w:proofErr w:type="spellEnd"/>
      <w:r w:rsidR="00E7790D" w:rsidRPr="00B034F6">
        <w:rPr>
          <w:rFonts w:ascii="Arial" w:hAnsi="Arial" w:cs="Arial"/>
          <w:sz w:val="24"/>
          <w:szCs w:val="24"/>
        </w:rPr>
        <w:t xml:space="preserve">, </w:t>
      </w:r>
      <w:proofErr w:type="spellStart"/>
      <w:r w:rsidR="00E7790D" w:rsidRPr="00B034F6">
        <w:rPr>
          <w:rFonts w:ascii="Arial" w:hAnsi="Arial" w:cs="Arial"/>
          <w:sz w:val="24"/>
          <w:szCs w:val="24"/>
        </w:rPr>
        <w:t>Chiaroni</w:t>
      </w:r>
      <w:proofErr w:type="spellEnd"/>
      <w:r w:rsidR="00E7790D" w:rsidRPr="00B034F6">
        <w:rPr>
          <w:rFonts w:ascii="Arial" w:hAnsi="Arial" w:cs="Arial"/>
          <w:sz w:val="24"/>
          <w:szCs w:val="24"/>
        </w:rPr>
        <w:t xml:space="preserve"> and Chiesa</w:t>
      </w:r>
      <w:r w:rsidRPr="00B034F6">
        <w:rPr>
          <w:rFonts w:ascii="Arial" w:hAnsi="Arial" w:cs="Arial"/>
          <w:sz w:val="24"/>
          <w:szCs w:val="24"/>
        </w:rPr>
        <w:t xml:space="preserve"> (201</w:t>
      </w:r>
      <w:r w:rsidR="00E7790D" w:rsidRPr="00B034F6">
        <w:rPr>
          <w:rFonts w:ascii="Arial" w:hAnsi="Arial" w:cs="Arial"/>
          <w:sz w:val="24"/>
          <w:szCs w:val="24"/>
        </w:rPr>
        <w:t>7</w:t>
      </w:r>
      <w:r w:rsidRPr="00B034F6">
        <w:rPr>
          <w:rFonts w:ascii="Arial" w:hAnsi="Arial" w:cs="Arial"/>
          <w:sz w:val="24"/>
          <w:szCs w:val="24"/>
        </w:rPr>
        <w:t>), the circular economy aspires to promote economic development and social well-being through innovation and new business prospects, in addition to environmental sustainability. The Circular Economy and Corporate Social Responsibility are fundamentally mutually beneficial. CSR programmes have typically centred on how businesses manage their economic, social, and environmental implications. The circular economy improves CSR efforts by integrating sustainability into the fundamental business strategy. Companies that use circular methods may decrease waste, lower their carbon footprint, and conserve natural resources, directly contributing to their CSR goals of environmental stewardship</w:t>
      </w:r>
      <w:r w:rsidR="00E7790D" w:rsidRPr="00B034F6">
        <w:rPr>
          <w:rFonts w:ascii="Arial" w:hAnsi="Arial" w:cs="Arial"/>
          <w:sz w:val="24"/>
          <w:szCs w:val="24"/>
        </w:rPr>
        <w:t xml:space="preserve"> (</w:t>
      </w:r>
      <w:proofErr w:type="spellStart"/>
      <w:r w:rsidR="00E7790D" w:rsidRPr="00B034F6">
        <w:rPr>
          <w:rFonts w:ascii="Arial" w:hAnsi="Arial" w:cs="Arial"/>
          <w:sz w:val="24"/>
          <w:szCs w:val="24"/>
        </w:rPr>
        <w:t>Jauhari</w:t>
      </w:r>
      <w:proofErr w:type="spellEnd"/>
      <w:r w:rsidR="00E7790D" w:rsidRPr="00B034F6">
        <w:rPr>
          <w:rFonts w:ascii="Arial" w:hAnsi="Arial" w:cs="Arial"/>
          <w:sz w:val="24"/>
          <w:szCs w:val="24"/>
        </w:rPr>
        <w:t xml:space="preserve">, 2021). </w:t>
      </w:r>
      <w:r w:rsidRPr="00B034F6">
        <w:rPr>
          <w:rFonts w:ascii="Arial" w:hAnsi="Arial" w:cs="Arial"/>
          <w:sz w:val="24"/>
          <w:szCs w:val="24"/>
        </w:rPr>
        <w:t xml:space="preserve">Furthermore, the circular economy drives businesses to innovate in areas like product design, material selection, and supply chain management, resulting in more sustainable goods and services. This not only helps to reduce environmental effect, but it also connects with the social pillar of CSR by </w:t>
      </w:r>
      <w:proofErr w:type="gramStart"/>
      <w:r w:rsidRPr="00B034F6">
        <w:rPr>
          <w:rFonts w:ascii="Arial" w:hAnsi="Arial" w:cs="Arial"/>
          <w:sz w:val="24"/>
          <w:szCs w:val="24"/>
        </w:rPr>
        <w:t>providing</w:t>
      </w:r>
      <w:proofErr w:type="gramEnd"/>
      <w:r w:rsidRPr="00B034F6">
        <w:rPr>
          <w:rFonts w:ascii="Arial" w:hAnsi="Arial" w:cs="Arial"/>
          <w:sz w:val="24"/>
          <w:szCs w:val="24"/>
        </w:rPr>
        <w:t xml:space="preserve"> value to both consumers and communities. For example, by implementing circular economy methods, organisations may </w:t>
      </w:r>
      <w:proofErr w:type="gramStart"/>
      <w:r w:rsidRPr="00B034F6">
        <w:rPr>
          <w:rFonts w:ascii="Arial" w:hAnsi="Arial" w:cs="Arial"/>
          <w:sz w:val="24"/>
          <w:szCs w:val="24"/>
        </w:rPr>
        <w:t>demonstrate</w:t>
      </w:r>
      <w:proofErr w:type="gramEnd"/>
      <w:r w:rsidRPr="00B034F6">
        <w:rPr>
          <w:rFonts w:ascii="Arial" w:hAnsi="Arial" w:cs="Arial"/>
          <w:sz w:val="24"/>
          <w:szCs w:val="24"/>
        </w:rPr>
        <w:t xml:space="preserve"> their commitment to responsible consumption and production, enhancing their credibility and reputation among stakeholders. While the circular economy has many advantages, it has significant implementation obstacles</w:t>
      </w:r>
      <w:r w:rsidR="00501E45" w:rsidRPr="00B034F6">
        <w:rPr>
          <w:rFonts w:ascii="Arial" w:hAnsi="Arial" w:cs="Arial"/>
          <w:sz w:val="24"/>
          <w:szCs w:val="24"/>
        </w:rPr>
        <w:t xml:space="preserve"> (</w:t>
      </w:r>
      <w:proofErr w:type="spellStart"/>
      <w:r w:rsidR="00501E45" w:rsidRPr="00B034F6">
        <w:rPr>
          <w:rFonts w:ascii="Arial" w:hAnsi="Arial" w:cs="Arial"/>
          <w:sz w:val="24"/>
          <w:szCs w:val="24"/>
        </w:rPr>
        <w:t>Ubinati</w:t>
      </w:r>
      <w:proofErr w:type="spellEnd"/>
      <w:r w:rsidR="00501E45" w:rsidRPr="00B034F6">
        <w:rPr>
          <w:rFonts w:ascii="Arial" w:hAnsi="Arial" w:cs="Arial"/>
          <w:sz w:val="24"/>
          <w:szCs w:val="24"/>
        </w:rPr>
        <w:t xml:space="preserve">, </w:t>
      </w:r>
      <w:proofErr w:type="spellStart"/>
      <w:r w:rsidR="00501E45" w:rsidRPr="00B034F6">
        <w:rPr>
          <w:rFonts w:ascii="Arial" w:hAnsi="Arial" w:cs="Arial"/>
          <w:sz w:val="24"/>
          <w:szCs w:val="24"/>
        </w:rPr>
        <w:t>Chiaroni</w:t>
      </w:r>
      <w:proofErr w:type="spellEnd"/>
      <w:r w:rsidR="00501E45" w:rsidRPr="00B034F6">
        <w:rPr>
          <w:rFonts w:ascii="Arial" w:hAnsi="Arial" w:cs="Arial"/>
          <w:sz w:val="24"/>
          <w:szCs w:val="24"/>
        </w:rPr>
        <w:t>,</w:t>
      </w:r>
      <w:r w:rsidR="00501E45" w:rsidRPr="00B034F6">
        <w:rPr>
          <w:rFonts w:ascii="Arial" w:hAnsi="Arial" w:cs="Arial"/>
          <w:sz w:val="24"/>
          <w:szCs w:val="24"/>
        </w:rPr>
        <w:t xml:space="preserve"> and Chiesa</w:t>
      </w:r>
      <w:r w:rsidR="00501E45" w:rsidRPr="00B034F6">
        <w:rPr>
          <w:rFonts w:ascii="Arial" w:hAnsi="Arial" w:cs="Arial"/>
          <w:sz w:val="24"/>
          <w:szCs w:val="24"/>
        </w:rPr>
        <w:t xml:space="preserve">, </w:t>
      </w:r>
      <w:r w:rsidR="00501E45" w:rsidRPr="00B034F6">
        <w:rPr>
          <w:rFonts w:ascii="Arial" w:hAnsi="Arial" w:cs="Arial"/>
          <w:sz w:val="24"/>
          <w:szCs w:val="24"/>
        </w:rPr>
        <w:t>2017)</w:t>
      </w:r>
      <w:r w:rsidR="00501E45" w:rsidRPr="00B034F6">
        <w:rPr>
          <w:rFonts w:ascii="Arial" w:hAnsi="Arial" w:cs="Arial"/>
          <w:sz w:val="24"/>
          <w:szCs w:val="24"/>
        </w:rPr>
        <w:t>.</w:t>
      </w:r>
      <w:r w:rsidRPr="00B034F6">
        <w:rPr>
          <w:rFonts w:ascii="Arial" w:hAnsi="Arial" w:cs="Arial"/>
          <w:sz w:val="24"/>
          <w:szCs w:val="24"/>
        </w:rPr>
        <w:t xml:space="preserve"> These include technological limits, the necessity for large upfront investment, regulatory difficulties, and the need for widespread behavioural change among both consumers and enterprises. Furthermore, the efficacy and sustainability of circular economy activities may be impeded by a lack of recycling and reuse infrastructure, low market demand for recovered products, and the difficulty of changing existing production and consumption habits</w:t>
      </w:r>
      <w:r w:rsidR="00501E45" w:rsidRPr="00B034F6">
        <w:rPr>
          <w:rFonts w:ascii="Arial" w:hAnsi="Arial" w:cs="Arial"/>
          <w:sz w:val="24"/>
          <w:szCs w:val="24"/>
        </w:rPr>
        <w:t xml:space="preserve"> (</w:t>
      </w:r>
      <w:proofErr w:type="spellStart"/>
      <w:r w:rsidR="00501E45" w:rsidRPr="00B034F6">
        <w:rPr>
          <w:rFonts w:ascii="Arial" w:hAnsi="Arial" w:cs="Arial"/>
          <w:sz w:val="24"/>
          <w:szCs w:val="24"/>
        </w:rPr>
        <w:t>Haski</w:t>
      </w:r>
      <w:proofErr w:type="spellEnd"/>
      <w:r w:rsidR="00501E45" w:rsidRPr="00B034F6">
        <w:rPr>
          <w:rFonts w:ascii="Arial" w:hAnsi="Arial" w:cs="Arial"/>
          <w:sz w:val="24"/>
          <w:szCs w:val="24"/>
        </w:rPr>
        <w:t>-Leventhal,</w:t>
      </w:r>
      <w:r w:rsidR="00501E45" w:rsidRPr="00B034F6">
        <w:rPr>
          <w:rFonts w:ascii="Arial" w:hAnsi="Arial" w:cs="Arial"/>
          <w:sz w:val="24"/>
          <w:szCs w:val="24"/>
        </w:rPr>
        <w:t xml:space="preserve"> </w:t>
      </w:r>
      <w:r w:rsidR="00501E45" w:rsidRPr="00B034F6">
        <w:rPr>
          <w:rFonts w:ascii="Arial" w:hAnsi="Arial" w:cs="Arial"/>
          <w:sz w:val="24"/>
          <w:szCs w:val="24"/>
        </w:rPr>
        <w:t>2018)</w:t>
      </w:r>
      <w:r w:rsidR="00501E45" w:rsidRPr="00B034F6">
        <w:rPr>
          <w:rFonts w:ascii="Arial" w:hAnsi="Arial" w:cs="Arial"/>
          <w:sz w:val="24"/>
          <w:szCs w:val="24"/>
        </w:rPr>
        <w:t>.</w:t>
      </w:r>
      <w:r w:rsidRPr="00B034F6">
        <w:rPr>
          <w:rFonts w:ascii="Arial" w:hAnsi="Arial" w:cs="Arial"/>
          <w:sz w:val="24"/>
          <w:szCs w:val="24"/>
        </w:rPr>
        <w:t xml:space="preserve"> Despite these obstacles, there </w:t>
      </w:r>
      <w:proofErr w:type="gramStart"/>
      <w:r w:rsidRPr="00B034F6">
        <w:rPr>
          <w:rFonts w:ascii="Arial" w:hAnsi="Arial" w:cs="Arial"/>
          <w:sz w:val="24"/>
          <w:szCs w:val="24"/>
        </w:rPr>
        <w:t>remains</w:t>
      </w:r>
      <w:proofErr w:type="gramEnd"/>
      <w:r w:rsidRPr="00B034F6">
        <w:rPr>
          <w:rFonts w:ascii="Arial" w:hAnsi="Arial" w:cs="Arial"/>
          <w:sz w:val="24"/>
          <w:szCs w:val="24"/>
        </w:rPr>
        <w:t xml:space="preserve"> substantial room for development. Technological advancements, more governmental backing, higher consumer awareness, and cross-sector collaboration can all help to accelerate the transition to a more circular and sustainable economy. In this environment, CSR may play a vital role by encouraging enterprises to take </w:t>
      </w:r>
      <w:proofErr w:type="gramStart"/>
      <w:r w:rsidRPr="00B034F6">
        <w:rPr>
          <w:rFonts w:ascii="Arial" w:hAnsi="Arial" w:cs="Arial"/>
          <w:sz w:val="24"/>
          <w:szCs w:val="24"/>
        </w:rPr>
        <w:t>a proactive</w:t>
      </w:r>
      <w:proofErr w:type="gramEnd"/>
      <w:r w:rsidRPr="00B034F6">
        <w:rPr>
          <w:rFonts w:ascii="Arial" w:hAnsi="Arial" w:cs="Arial"/>
          <w:sz w:val="24"/>
          <w:szCs w:val="24"/>
        </w:rPr>
        <w:t xml:space="preserve"> approach in tackling these difficulties, stimulating innovation, and leading by example in the move towards sustainability</w:t>
      </w:r>
      <w:r w:rsidR="00501E45" w:rsidRPr="00B034F6">
        <w:rPr>
          <w:rFonts w:ascii="Arial" w:hAnsi="Arial" w:cs="Arial"/>
          <w:sz w:val="24"/>
          <w:szCs w:val="24"/>
        </w:rPr>
        <w:t xml:space="preserve"> (Forti et al., 2020).</w:t>
      </w:r>
    </w:p>
    <w:p w14:paraId="3C1FEF1E" w14:textId="77777777" w:rsidR="00177F05" w:rsidRPr="00B034F6" w:rsidRDefault="00177F05" w:rsidP="00BC109C">
      <w:pPr>
        <w:spacing w:line="360" w:lineRule="auto"/>
        <w:jc w:val="both"/>
        <w:rPr>
          <w:rFonts w:ascii="Arial" w:hAnsi="Arial" w:cs="Arial"/>
          <w:sz w:val="24"/>
          <w:szCs w:val="24"/>
        </w:rPr>
      </w:pPr>
    </w:p>
    <w:p w14:paraId="1B4E3761" w14:textId="7DFAAB1B" w:rsidR="00177F05" w:rsidRPr="00B034F6" w:rsidRDefault="00177F05" w:rsidP="00BC109C">
      <w:pPr>
        <w:spacing w:line="360" w:lineRule="auto"/>
        <w:jc w:val="both"/>
        <w:rPr>
          <w:rFonts w:ascii="Arial" w:hAnsi="Arial" w:cs="Arial"/>
          <w:sz w:val="24"/>
          <w:szCs w:val="24"/>
        </w:rPr>
      </w:pPr>
      <w:r w:rsidRPr="00B034F6">
        <w:rPr>
          <w:rFonts w:ascii="Arial" w:hAnsi="Arial" w:cs="Arial"/>
          <w:sz w:val="24"/>
          <w:szCs w:val="24"/>
        </w:rPr>
        <w:t xml:space="preserve">The incorporation of circular economy methods into hotel chains' CSR policies is </w:t>
      </w:r>
      <w:proofErr w:type="gramStart"/>
      <w:r w:rsidRPr="00B034F6">
        <w:rPr>
          <w:rFonts w:ascii="Arial" w:hAnsi="Arial" w:cs="Arial"/>
          <w:sz w:val="24"/>
          <w:szCs w:val="24"/>
        </w:rPr>
        <w:t>closely associated</w:t>
      </w:r>
      <w:proofErr w:type="gramEnd"/>
      <w:r w:rsidRPr="00B034F6">
        <w:rPr>
          <w:rFonts w:ascii="Arial" w:hAnsi="Arial" w:cs="Arial"/>
          <w:sz w:val="24"/>
          <w:szCs w:val="24"/>
        </w:rPr>
        <w:t xml:space="preserve"> with the United Nations Sustainable Development Goals  which provide a strategic framework for solving global environmental and social concerns. The SDGs, particularly Responsible Consumption and Production, Climate Action, and Life on Land, emphasise the importance of responsible resource utilisation, climate change mitigation, and </w:t>
      </w:r>
      <w:proofErr w:type="gramStart"/>
      <w:r w:rsidRPr="00B034F6">
        <w:rPr>
          <w:rFonts w:ascii="Arial" w:hAnsi="Arial" w:cs="Arial"/>
          <w:sz w:val="24"/>
          <w:szCs w:val="24"/>
        </w:rPr>
        <w:t>maintaining</w:t>
      </w:r>
      <w:proofErr w:type="gramEnd"/>
      <w:r w:rsidRPr="00B034F6">
        <w:rPr>
          <w:rFonts w:ascii="Arial" w:hAnsi="Arial" w:cs="Arial"/>
          <w:sz w:val="24"/>
          <w:szCs w:val="24"/>
        </w:rPr>
        <w:t xml:space="preserve"> ecosystems, all of which are fundamental to the circular economy model (UN, 20</w:t>
      </w:r>
      <w:r w:rsidR="00501E45" w:rsidRPr="00B034F6">
        <w:rPr>
          <w:rFonts w:ascii="Arial" w:hAnsi="Arial" w:cs="Arial"/>
          <w:sz w:val="24"/>
          <w:szCs w:val="24"/>
        </w:rPr>
        <w:t>23</w:t>
      </w:r>
      <w:r w:rsidRPr="00B034F6">
        <w:rPr>
          <w:rFonts w:ascii="Arial" w:hAnsi="Arial" w:cs="Arial"/>
          <w:sz w:val="24"/>
          <w:szCs w:val="24"/>
        </w:rPr>
        <w:t xml:space="preserve">). Hotels that implement circular economy strategies, such as reducing waste, promoting recycling and reuse, and lowering carbon footprints, not only promote their sustainability agendas but also help </w:t>
      </w:r>
      <w:proofErr w:type="gramStart"/>
      <w:r w:rsidRPr="00B034F6">
        <w:rPr>
          <w:rFonts w:ascii="Arial" w:hAnsi="Arial" w:cs="Arial"/>
          <w:sz w:val="24"/>
          <w:szCs w:val="24"/>
        </w:rPr>
        <w:t>accomplish</w:t>
      </w:r>
      <w:proofErr w:type="gramEnd"/>
      <w:r w:rsidRPr="00B034F6">
        <w:rPr>
          <w:rFonts w:ascii="Arial" w:hAnsi="Arial" w:cs="Arial"/>
          <w:sz w:val="24"/>
          <w:szCs w:val="24"/>
        </w:rPr>
        <w:t xml:space="preserve"> global goals, demonstrating their role in a global sustainability movement (</w:t>
      </w:r>
      <w:proofErr w:type="spellStart"/>
      <w:r w:rsidRPr="00B034F6">
        <w:rPr>
          <w:rFonts w:ascii="Arial" w:hAnsi="Arial" w:cs="Arial"/>
          <w:sz w:val="24"/>
          <w:szCs w:val="24"/>
        </w:rPr>
        <w:t>Geissdoerfer</w:t>
      </w:r>
      <w:proofErr w:type="spellEnd"/>
      <w:r w:rsidRPr="00B034F6">
        <w:rPr>
          <w:rFonts w:ascii="Arial" w:hAnsi="Arial" w:cs="Arial"/>
          <w:sz w:val="24"/>
          <w:szCs w:val="24"/>
        </w:rPr>
        <w:t xml:space="preserve"> et al., 2017). On a local basis, the hotel chain's dedication to circular economy techniques has a substantial influence on the communities and ecosystems where it </w:t>
      </w:r>
      <w:proofErr w:type="gramStart"/>
      <w:r w:rsidRPr="00B034F6">
        <w:rPr>
          <w:rFonts w:ascii="Arial" w:hAnsi="Arial" w:cs="Arial"/>
          <w:sz w:val="24"/>
          <w:szCs w:val="24"/>
        </w:rPr>
        <w:t>operates</w:t>
      </w:r>
      <w:proofErr w:type="gramEnd"/>
      <w:r w:rsidRPr="00B034F6">
        <w:rPr>
          <w:rFonts w:ascii="Arial" w:hAnsi="Arial" w:cs="Arial"/>
          <w:sz w:val="24"/>
          <w:szCs w:val="24"/>
        </w:rPr>
        <w:t xml:space="preserve">. Local sourcing laws, for example, </w:t>
      </w:r>
      <w:proofErr w:type="gramStart"/>
      <w:r w:rsidRPr="00B034F6">
        <w:rPr>
          <w:rFonts w:ascii="Arial" w:hAnsi="Arial" w:cs="Arial"/>
          <w:sz w:val="24"/>
          <w:szCs w:val="24"/>
        </w:rPr>
        <w:t>benefit</w:t>
      </w:r>
      <w:proofErr w:type="gramEnd"/>
      <w:r w:rsidRPr="00B034F6">
        <w:rPr>
          <w:rFonts w:ascii="Arial" w:hAnsi="Arial" w:cs="Arial"/>
          <w:sz w:val="24"/>
          <w:szCs w:val="24"/>
        </w:rPr>
        <w:t xml:space="preserve"> local economies by increasing demand for local goods and services, encouraging community development, and lowering travel emissions (</w:t>
      </w:r>
      <w:proofErr w:type="spellStart"/>
      <w:r w:rsidR="00501E45" w:rsidRPr="00B034F6">
        <w:rPr>
          <w:rFonts w:ascii="Arial" w:hAnsi="Arial" w:cs="Arial"/>
          <w:sz w:val="24"/>
          <w:szCs w:val="24"/>
        </w:rPr>
        <w:t>Bax</w:t>
      </w:r>
      <w:proofErr w:type="spellEnd"/>
      <w:r w:rsidR="00501E45" w:rsidRPr="00B034F6">
        <w:rPr>
          <w:rFonts w:ascii="Arial" w:hAnsi="Arial" w:cs="Arial"/>
          <w:sz w:val="24"/>
          <w:szCs w:val="24"/>
        </w:rPr>
        <w:t xml:space="preserve"> and </w:t>
      </w:r>
      <w:proofErr w:type="spellStart"/>
      <w:r w:rsidR="00501E45" w:rsidRPr="00B034F6">
        <w:rPr>
          <w:rFonts w:ascii="Arial" w:hAnsi="Arial" w:cs="Arial"/>
          <w:sz w:val="24"/>
          <w:szCs w:val="24"/>
        </w:rPr>
        <w:t>Amicarelli</w:t>
      </w:r>
      <w:proofErr w:type="spellEnd"/>
      <w:r w:rsidRPr="00B034F6">
        <w:rPr>
          <w:rFonts w:ascii="Arial" w:hAnsi="Arial" w:cs="Arial"/>
          <w:sz w:val="24"/>
          <w:szCs w:val="24"/>
        </w:rPr>
        <w:t>, 202</w:t>
      </w:r>
      <w:r w:rsidR="00501E45" w:rsidRPr="00B034F6">
        <w:rPr>
          <w:rFonts w:ascii="Arial" w:hAnsi="Arial" w:cs="Arial"/>
          <w:sz w:val="24"/>
          <w:szCs w:val="24"/>
        </w:rPr>
        <w:t>3</w:t>
      </w:r>
      <w:r w:rsidRPr="00B034F6">
        <w:rPr>
          <w:rFonts w:ascii="Arial" w:hAnsi="Arial" w:cs="Arial"/>
          <w:sz w:val="24"/>
          <w:szCs w:val="24"/>
        </w:rPr>
        <w:t xml:space="preserve">). Furthermore, </w:t>
      </w:r>
      <w:proofErr w:type="gramStart"/>
      <w:r w:rsidRPr="00B034F6">
        <w:rPr>
          <w:rFonts w:ascii="Arial" w:hAnsi="Arial" w:cs="Arial"/>
          <w:sz w:val="24"/>
          <w:szCs w:val="24"/>
        </w:rPr>
        <w:t>participating</w:t>
      </w:r>
      <w:proofErr w:type="gramEnd"/>
      <w:r w:rsidRPr="00B034F6">
        <w:rPr>
          <w:rFonts w:ascii="Arial" w:hAnsi="Arial" w:cs="Arial"/>
          <w:sz w:val="24"/>
          <w:szCs w:val="24"/>
        </w:rPr>
        <w:t xml:space="preserve"> in community-based sustainability projects, such as cleaning up beaches or supporting local environmental efforts, improves community ties and aids in the preservation of natural ecosystems. These measures additionally reaffirm the hotel's CSR commitments, but also improve local environmental and economic conditions, illustrating the practical benefits of incorporating circular economy ideas into corporate operations (Jones et al., 201</w:t>
      </w:r>
      <w:r w:rsidR="00501E45" w:rsidRPr="00B034F6">
        <w:rPr>
          <w:rFonts w:ascii="Arial" w:hAnsi="Arial" w:cs="Arial"/>
          <w:sz w:val="24"/>
          <w:szCs w:val="24"/>
        </w:rPr>
        <w:t>4</w:t>
      </w:r>
      <w:r w:rsidRPr="00B034F6">
        <w:rPr>
          <w:rFonts w:ascii="Arial" w:hAnsi="Arial" w:cs="Arial"/>
          <w:sz w:val="24"/>
          <w:szCs w:val="24"/>
        </w:rPr>
        <w:t>).</w:t>
      </w:r>
    </w:p>
    <w:p w14:paraId="72E8CDDD" w14:textId="77777777" w:rsidR="00BC109C" w:rsidRPr="00B034F6" w:rsidRDefault="00BC109C" w:rsidP="00BC109C">
      <w:pPr>
        <w:spacing w:line="360" w:lineRule="auto"/>
        <w:jc w:val="both"/>
        <w:rPr>
          <w:rFonts w:ascii="Arial" w:hAnsi="Arial" w:cs="Arial"/>
          <w:sz w:val="24"/>
          <w:szCs w:val="24"/>
        </w:rPr>
      </w:pPr>
    </w:p>
    <w:p w14:paraId="41ABCC77" w14:textId="14BAA867" w:rsidR="00BE07CA" w:rsidRPr="00B034F6" w:rsidRDefault="00BC109C" w:rsidP="00BC109C">
      <w:pPr>
        <w:spacing w:line="360" w:lineRule="auto"/>
        <w:jc w:val="both"/>
        <w:rPr>
          <w:rFonts w:ascii="Arial" w:hAnsi="Arial" w:cs="Arial"/>
          <w:sz w:val="24"/>
          <w:szCs w:val="24"/>
        </w:rPr>
      </w:pPr>
      <w:r w:rsidRPr="00B034F6">
        <w:rPr>
          <w:rFonts w:ascii="Arial" w:hAnsi="Arial" w:cs="Arial"/>
          <w:sz w:val="24"/>
          <w:szCs w:val="24"/>
        </w:rPr>
        <w:t xml:space="preserve">On the other hand, </w:t>
      </w:r>
      <w:r w:rsidR="00501E45" w:rsidRPr="00B034F6">
        <w:rPr>
          <w:rFonts w:ascii="Arial" w:hAnsi="Arial" w:cs="Arial"/>
          <w:sz w:val="24"/>
          <w:szCs w:val="24"/>
        </w:rPr>
        <w:t xml:space="preserve">as </w:t>
      </w:r>
      <w:proofErr w:type="gramStart"/>
      <w:r w:rsidR="00501E45" w:rsidRPr="00B034F6">
        <w:rPr>
          <w:rFonts w:ascii="Arial" w:hAnsi="Arial" w:cs="Arial"/>
          <w:sz w:val="24"/>
          <w:szCs w:val="24"/>
        </w:rPr>
        <w:t>indicated</w:t>
      </w:r>
      <w:proofErr w:type="gramEnd"/>
      <w:r w:rsidR="00501E45" w:rsidRPr="00B034F6">
        <w:rPr>
          <w:rFonts w:ascii="Arial" w:hAnsi="Arial" w:cs="Arial"/>
          <w:sz w:val="24"/>
          <w:szCs w:val="24"/>
        </w:rPr>
        <w:t xml:space="preserve"> by Farmaki (2019), s</w:t>
      </w:r>
      <w:r w:rsidRPr="00B034F6">
        <w:rPr>
          <w:rFonts w:ascii="Arial" w:hAnsi="Arial" w:cs="Arial"/>
          <w:sz w:val="24"/>
          <w:szCs w:val="24"/>
        </w:rPr>
        <w:t>takeholder participation is critical to the effective execution of the hotel chain's CSR and circular economy activities. Premier Inn, for example, actively engages a variety of stakeholders, including guests, staff, suppliers, and local communities, to promote sustainability. Premier Inn assures a communal effort to achieve its environmental goals by requesting input from visitors on sustainable measures and engaging workers in green projects. The company's engagement with suppliers highlights the significance of sustainable sourcing, promoting a supply chain that meets ethical and environmental requirements</w:t>
      </w:r>
      <w:r w:rsidR="00D01028" w:rsidRPr="00B034F6">
        <w:rPr>
          <w:rFonts w:ascii="Arial" w:hAnsi="Arial" w:cs="Arial"/>
          <w:sz w:val="24"/>
          <w:szCs w:val="24"/>
        </w:rPr>
        <w:t xml:space="preserve"> (Whitebread, 2023).</w:t>
      </w:r>
      <w:r w:rsidRPr="00B034F6">
        <w:rPr>
          <w:rFonts w:ascii="Arial" w:hAnsi="Arial" w:cs="Arial"/>
          <w:sz w:val="24"/>
          <w:szCs w:val="24"/>
        </w:rPr>
        <w:t xml:space="preserve"> Furthermore, Premier Inn's involvement with local communities through sustainability programmes not only increases its social effect but also deepens its community relationships. Partnerships are critical to amplifying Premier Inn's environmental initiatives. Collaborations with governmental organisations, non-governmental organisations, and other companies </w:t>
      </w:r>
      <w:proofErr w:type="gramStart"/>
      <w:r w:rsidRPr="00B034F6">
        <w:rPr>
          <w:rFonts w:ascii="Arial" w:hAnsi="Arial" w:cs="Arial"/>
          <w:sz w:val="24"/>
          <w:szCs w:val="24"/>
        </w:rPr>
        <w:t>provide</w:t>
      </w:r>
      <w:proofErr w:type="gramEnd"/>
      <w:r w:rsidRPr="00B034F6">
        <w:rPr>
          <w:rFonts w:ascii="Arial" w:hAnsi="Arial" w:cs="Arial"/>
          <w:sz w:val="24"/>
          <w:szCs w:val="24"/>
        </w:rPr>
        <w:t xml:space="preserve"> the hotel access to resources, skills, and networks that are critical for achieving circular economy objectives</w:t>
      </w:r>
      <w:r w:rsidR="00D01028" w:rsidRPr="00B034F6">
        <w:rPr>
          <w:rFonts w:ascii="Arial" w:hAnsi="Arial" w:cs="Arial"/>
          <w:sz w:val="24"/>
          <w:szCs w:val="24"/>
        </w:rPr>
        <w:t xml:space="preserve"> (Cooper, 2021).</w:t>
      </w:r>
      <w:r w:rsidRPr="00B034F6">
        <w:rPr>
          <w:rFonts w:ascii="Arial" w:hAnsi="Arial" w:cs="Arial"/>
          <w:sz w:val="24"/>
          <w:szCs w:val="24"/>
        </w:rPr>
        <w:t xml:space="preserve"> These collaborations can result in novel solutions for waste reduction, energy efficiency, and sustainable sourcing.</w:t>
      </w:r>
    </w:p>
    <w:p w14:paraId="1D5AD275" w14:textId="46B95C46" w:rsidR="00BE07CA" w:rsidRPr="00B034F6" w:rsidRDefault="00BE07CA" w:rsidP="00BC109C">
      <w:pPr>
        <w:spacing w:line="360" w:lineRule="auto"/>
        <w:jc w:val="both"/>
        <w:rPr>
          <w:rFonts w:ascii="Arial" w:hAnsi="Arial" w:cs="Arial"/>
          <w:sz w:val="24"/>
          <w:szCs w:val="24"/>
        </w:rPr>
      </w:pPr>
      <w:r w:rsidRPr="00B034F6">
        <w:rPr>
          <w:rFonts w:ascii="Arial" w:hAnsi="Arial" w:cs="Arial"/>
          <w:sz w:val="24"/>
          <w:szCs w:val="24"/>
        </w:rPr>
        <w:t>Premier Inn</w:t>
      </w:r>
      <w:r w:rsidR="00D01028" w:rsidRPr="00B034F6">
        <w:rPr>
          <w:rFonts w:ascii="Arial" w:hAnsi="Arial" w:cs="Arial"/>
          <w:sz w:val="24"/>
          <w:szCs w:val="24"/>
        </w:rPr>
        <w:t xml:space="preserve"> </w:t>
      </w:r>
      <w:r w:rsidRPr="00B034F6">
        <w:rPr>
          <w:rFonts w:ascii="Arial" w:hAnsi="Arial" w:cs="Arial"/>
          <w:sz w:val="24"/>
          <w:szCs w:val="24"/>
        </w:rPr>
        <w:t>has a thorough Corporate Social Responsibility strategy that places an intense focus on sustainability and environmental responsibility. This dedication is shown in their comprehensive Environmental, Social, and Governance  policies, which include a variety of programmes targeted at reducing their environmental impact and increasing community participation. Whitbread</w:t>
      </w:r>
      <w:r w:rsidR="00D01028" w:rsidRPr="00B034F6">
        <w:rPr>
          <w:rFonts w:ascii="Arial" w:hAnsi="Arial" w:cs="Arial"/>
          <w:sz w:val="24"/>
          <w:szCs w:val="24"/>
        </w:rPr>
        <w:t xml:space="preserve"> (20</w:t>
      </w:r>
      <w:r w:rsidRPr="00B034F6">
        <w:rPr>
          <w:rFonts w:ascii="Arial" w:hAnsi="Arial" w:cs="Arial"/>
          <w:sz w:val="24"/>
          <w:szCs w:val="24"/>
        </w:rPr>
        <w:t>23</w:t>
      </w:r>
      <w:r w:rsidR="00D01028" w:rsidRPr="00B034F6">
        <w:rPr>
          <w:rFonts w:ascii="Arial" w:hAnsi="Arial" w:cs="Arial"/>
          <w:sz w:val="24"/>
          <w:szCs w:val="24"/>
        </w:rPr>
        <w:t>)</w:t>
      </w:r>
      <w:r w:rsidRPr="00B034F6">
        <w:rPr>
          <w:rFonts w:ascii="Arial" w:hAnsi="Arial" w:cs="Arial"/>
          <w:sz w:val="24"/>
          <w:szCs w:val="24"/>
        </w:rPr>
        <w:t xml:space="preserve"> outlines Premier Inn's commitment to sustainability through a variety of policies and projects. They have included sustainability into their business strategy, from the design of new buildings to the operation of old ones. The adoption of BREEAM accreditation to evaluate the sustainability performance of new Premier Inn and Hub hotels </w:t>
      </w:r>
      <w:proofErr w:type="gramStart"/>
      <w:r w:rsidRPr="00B034F6">
        <w:rPr>
          <w:rFonts w:ascii="Arial" w:hAnsi="Arial" w:cs="Arial"/>
          <w:sz w:val="24"/>
          <w:szCs w:val="24"/>
        </w:rPr>
        <w:t>demonstrates</w:t>
      </w:r>
      <w:proofErr w:type="gramEnd"/>
      <w:r w:rsidRPr="00B034F6">
        <w:rPr>
          <w:rFonts w:ascii="Arial" w:hAnsi="Arial" w:cs="Arial"/>
          <w:sz w:val="24"/>
          <w:szCs w:val="24"/>
        </w:rPr>
        <w:t xml:space="preserve"> their commitment to upholding high environmental standards. This accreditation is significant since it offers a similar baseline for sustainable performance throughout the industry. The use of circular economy ideas is an important component of Premier Inn's CSR strategy. Premier Inn has taken great steps to minimise its energy use and transition to renewable energy contracts. They have implemented </w:t>
      </w:r>
      <w:proofErr w:type="gramStart"/>
      <w:r w:rsidRPr="00B034F6">
        <w:rPr>
          <w:rFonts w:ascii="Arial" w:hAnsi="Arial" w:cs="Arial"/>
          <w:sz w:val="24"/>
          <w:szCs w:val="24"/>
        </w:rPr>
        <w:t>a number of</w:t>
      </w:r>
      <w:proofErr w:type="gramEnd"/>
      <w:r w:rsidRPr="00B034F6">
        <w:rPr>
          <w:rFonts w:ascii="Arial" w:hAnsi="Arial" w:cs="Arial"/>
          <w:sz w:val="24"/>
          <w:szCs w:val="24"/>
        </w:rPr>
        <w:t xml:space="preserve"> initiatives across their estate, including solar PV panels, 100% renewable power, energy-efficient appliances, water-saving technology, and smart building management systems</w:t>
      </w:r>
      <w:r w:rsidR="00D01028" w:rsidRPr="00B034F6">
        <w:rPr>
          <w:rFonts w:ascii="Arial" w:hAnsi="Arial" w:cs="Arial"/>
          <w:sz w:val="24"/>
          <w:szCs w:val="24"/>
        </w:rPr>
        <w:t xml:space="preserve"> (Whitebread, 2023).</w:t>
      </w:r>
      <w:r w:rsidRPr="00B034F6">
        <w:rPr>
          <w:rFonts w:ascii="Arial" w:hAnsi="Arial" w:cs="Arial"/>
          <w:sz w:val="24"/>
          <w:szCs w:val="24"/>
        </w:rPr>
        <w:t xml:space="preserve">These activities aim to minimise the carbon footprint of their operations and stimulate comparable actions in the hospitality sector. Premier Inn's CSR approach is not limited to environmental sustainability, it also includes social and ethical aspects. For instance, Whitbread's Responsible Sourcing Policy outlines their commitment to enhancing social, ethical, and environmental standards across their supply chain. This policy emphasises the need of </w:t>
      </w:r>
      <w:proofErr w:type="gramStart"/>
      <w:r w:rsidRPr="00B034F6">
        <w:rPr>
          <w:rFonts w:ascii="Arial" w:hAnsi="Arial" w:cs="Arial"/>
          <w:sz w:val="24"/>
          <w:szCs w:val="24"/>
        </w:rPr>
        <w:t>equitable</w:t>
      </w:r>
      <w:proofErr w:type="gramEnd"/>
      <w:r w:rsidRPr="00B034F6">
        <w:rPr>
          <w:rFonts w:ascii="Arial" w:hAnsi="Arial" w:cs="Arial"/>
          <w:sz w:val="24"/>
          <w:szCs w:val="24"/>
        </w:rPr>
        <w:t xml:space="preserve"> and transparent working conditions, human rights protection, and community involvement. Premier Inn's responsible sourcing policy mandates stringent ethical criteria for suppliers, ensuring that their operations positively </w:t>
      </w:r>
      <w:proofErr w:type="gramStart"/>
      <w:r w:rsidRPr="00B034F6">
        <w:rPr>
          <w:rFonts w:ascii="Arial" w:hAnsi="Arial" w:cs="Arial"/>
          <w:sz w:val="24"/>
          <w:szCs w:val="24"/>
        </w:rPr>
        <w:t>impact</w:t>
      </w:r>
      <w:proofErr w:type="gramEnd"/>
      <w:r w:rsidRPr="00B034F6">
        <w:rPr>
          <w:rFonts w:ascii="Arial" w:hAnsi="Arial" w:cs="Arial"/>
          <w:sz w:val="24"/>
          <w:szCs w:val="24"/>
        </w:rPr>
        <w:t xml:space="preserve"> the communities they operate in</w:t>
      </w:r>
      <w:r w:rsidR="00D01028" w:rsidRPr="00B034F6">
        <w:rPr>
          <w:rFonts w:ascii="Arial" w:hAnsi="Arial" w:cs="Arial"/>
          <w:sz w:val="24"/>
          <w:szCs w:val="24"/>
        </w:rPr>
        <w:t xml:space="preserve"> (Whitbread, 2021).</w:t>
      </w:r>
      <w:r w:rsidRPr="00B034F6">
        <w:rPr>
          <w:rFonts w:ascii="Arial" w:hAnsi="Arial" w:cs="Arial"/>
          <w:sz w:val="24"/>
          <w:szCs w:val="24"/>
        </w:rPr>
        <w:t xml:space="preserve"> Analysing Premier Inn's CSR practices reveals that their approach to sustainability, which includes energy efficiency, waste management, water conservation, and ethical sourcing, </w:t>
      </w:r>
      <w:proofErr w:type="gramStart"/>
      <w:r w:rsidRPr="00B034F6">
        <w:rPr>
          <w:rFonts w:ascii="Arial" w:hAnsi="Arial" w:cs="Arial"/>
          <w:sz w:val="24"/>
          <w:szCs w:val="24"/>
        </w:rPr>
        <w:t>establishes</w:t>
      </w:r>
      <w:proofErr w:type="gramEnd"/>
      <w:r w:rsidRPr="00B034F6">
        <w:rPr>
          <w:rFonts w:ascii="Arial" w:hAnsi="Arial" w:cs="Arial"/>
          <w:sz w:val="24"/>
          <w:szCs w:val="24"/>
        </w:rPr>
        <w:t xml:space="preserve"> a solid precedence in the hotel sector. These activities not only reduce environmental effect, but also improve the brand's reputation, </w:t>
      </w:r>
      <w:proofErr w:type="gramStart"/>
      <w:r w:rsidRPr="00B034F6">
        <w:rPr>
          <w:rFonts w:ascii="Arial" w:hAnsi="Arial" w:cs="Arial"/>
          <w:sz w:val="24"/>
          <w:szCs w:val="24"/>
        </w:rPr>
        <w:t>benefit</w:t>
      </w:r>
      <w:proofErr w:type="gramEnd"/>
      <w:r w:rsidRPr="00B034F6">
        <w:rPr>
          <w:rFonts w:ascii="Arial" w:hAnsi="Arial" w:cs="Arial"/>
          <w:sz w:val="24"/>
          <w:szCs w:val="24"/>
        </w:rPr>
        <w:t xml:space="preserve"> local economies, and promote social well-being. However, there are several areas where Premier Inn's CSR activities might be strengthened. Despite substantial progress in lowering carbon emissions and increasing energy efficiency, the goal of reaching net-zero emissions across all processes </w:t>
      </w:r>
      <w:proofErr w:type="gramStart"/>
      <w:r w:rsidRPr="00B034F6">
        <w:rPr>
          <w:rFonts w:ascii="Arial" w:hAnsi="Arial" w:cs="Arial"/>
          <w:sz w:val="24"/>
          <w:szCs w:val="24"/>
        </w:rPr>
        <w:t>remains</w:t>
      </w:r>
      <w:proofErr w:type="gramEnd"/>
      <w:r w:rsidRPr="00B034F6">
        <w:rPr>
          <w:rFonts w:ascii="Arial" w:hAnsi="Arial" w:cs="Arial"/>
          <w:sz w:val="24"/>
          <w:szCs w:val="24"/>
        </w:rPr>
        <w:t xml:space="preserve"> challenging. Furthermore, while the corporation has made progress in sustainable procurement, the complexity and scope of global supply chains provide continual hurdles in assuring complete compliance with ethical and environmental guidelines</w:t>
      </w:r>
      <w:r w:rsidR="00D01028" w:rsidRPr="00B034F6">
        <w:rPr>
          <w:rFonts w:ascii="Arial" w:hAnsi="Arial" w:cs="Arial"/>
          <w:sz w:val="24"/>
          <w:szCs w:val="24"/>
        </w:rPr>
        <w:t xml:space="preserve"> (Whitbread, 2023).</w:t>
      </w:r>
      <w:r w:rsidRPr="00B034F6">
        <w:rPr>
          <w:rFonts w:ascii="Arial" w:hAnsi="Arial" w:cs="Arial"/>
          <w:sz w:val="24"/>
          <w:szCs w:val="24"/>
        </w:rPr>
        <w:t xml:space="preserve"> The impact of Premier Inn's CSR activities on the environment, local communities, and hotel operations is significant. Environmentally, their dedication to lowering carbon emissions and increasing energy efficiency helps the worldwide fight against climate change. Socially, their ethical sourcing policy and community involvement activities promote local development while ensuring responsible business operations. Operationally, these sustainability measures not only lower expenses </w:t>
      </w:r>
      <w:proofErr w:type="gramStart"/>
      <w:r w:rsidRPr="00B034F6">
        <w:rPr>
          <w:rFonts w:ascii="Arial" w:hAnsi="Arial" w:cs="Arial"/>
          <w:sz w:val="24"/>
          <w:szCs w:val="24"/>
        </w:rPr>
        <w:t>in the long run</w:t>
      </w:r>
      <w:proofErr w:type="gramEnd"/>
      <w:r w:rsidRPr="00B034F6">
        <w:rPr>
          <w:rFonts w:ascii="Arial" w:hAnsi="Arial" w:cs="Arial"/>
          <w:sz w:val="24"/>
          <w:szCs w:val="24"/>
        </w:rPr>
        <w:t>, but also establish Premier Inn as a CSR leader in the hotel sector.</w:t>
      </w:r>
    </w:p>
    <w:p w14:paraId="333CDCDB" w14:textId="592117AB" w:rsidR="005E1EE9" w:rsidRPr="00B034F6" w:rsidRDefault="005E1EE9" w:rsidP="00BC109C">
      <w:pPr>
        <w:spacing w:line="360" w:lineRule="auto"/>
        <w:jc w:val="both"/>
        <w:rPr>
          <w:rFonts w:ascii="Arial" w:hAnsi="Arial" w:cs="Arial"/>
          <w:sz w:val="24"/>
          <w:szCs w:val="24"/>
        </w:rPr>
      </w:pPr>
    </w:p>
    <w:p w14:paraId="43F4868D" w14:textId="2C307517" w:rsidR="005E1EE9" w:rsidRPr="00B034F6" w:rsidRDefault="005E1EE9" w:rsidP="00BC109C">
      <w:pPr>
        <w:spacing w:line="360" w:lineRule="auto"/>
        <w:jc w:val="both"/>
        <w:rPr>
          <w:rFonts w:ascii="Arial" w:hAnsi="Arial" w:cs="Arial"/>
          <w:sz w:val="24"/>
          <w:szCs w:val="24"/>
        </w:rPr>
      </w:pPr>
      <w:r w:rsidRPr="00B034F6">
        <w:rPr>
          <w:rFonts w:ascii="Arial" w:hAnsi="Arial" w:cs="Arial"/>
          <w:sz w:val="24"/>
          <w:szCs w:val="24"/>
        </w:rPr>
        <w:t xml:space="preserve">Marriott International, along with Premier Inn, stands out in the hotel sector for its dedication to incorporating circular economy ideas into corporate social responsibility  and sustainability initiatives. Both organisations share the goal of decreasing their environmental effect, but they use different tactics and strategies to </w:t>
      </w:r>
      <w:proofErr w:type="gramStart"/>
      <w:r w:rsidRPr="00B034F6">
        <w:rPr>
          <w:rFonts w:ascii="Arial" w:hAnsi="Arial" w:cs="Arial"/>
          <w:sz w:val="24"/>
          <w:szCs w:val="24"/>
        </w:rPr>
        <w:t>accomplish</w:t>
      </w:r>
      <w:proofErr w:type="gramEnd"/>
      <w:r w:rsidRPr="00B034F6">
        <w:rPr>
          <w:rFonts w:ascii="Arial" w:hAnsi="Arial" w:cs="Arial"/>
          <w:sz w:val="24"/>
          <w:szCs w:val="24"/>
        </w:rPr>
        <w:t xml:space="preserve"> sustainability goals. Marriott International prioritises carbon reduction, ethical sourcing, waste reduction, and water conservation as essential components of its sustainability plan. Marriott's Serve 360 platform outlines a complete approach to sustainability, including environmental, social, and governance considerations</w:t>
      </w:r>
      <w:r w:rsidR="00B034F6" w:rsidRPr="00B034F6">
        <w:rPr>
          <w:rFonts w:ascii="Arial" w:hAnsi="Arial" w:cs="Arial"/>
          <w:sz w:val="24"/>
          <w:szCs w:val="24"/>
        </w:rPr>
        <w:t xml:space="preserve"> (Mariott, 2023).</w:t>
      </w:r>
      <w:r w:rsidR="00177F05" w:rsidRPr="00B034F6">
        <w:rPr>
          <w:rFonts w:ascii="Arial" w:hAnsi="Arial" w:cs="Arial"/>
          <w:sz w:val="24"/>
          <w:szCs w:val="24"/>
        </w:rPr>
        <w:t xml:space="preserve"> Marriott's goal to achieving net-zero value chain greenhouse gas emissions by 2050 is noteworthy, </w:t>
      </w:r>
      <w:proofErr w:type="gramStart"/>
      <w:r w:rsidR="00177F05" w:rsidRPr="00B034F6">
        <w:rPr>
          <w:rFonts w:ascii="Arial" w:hAnsi="Arial" w:cs="Arial"/>
          <w:sz w:val="24"/>
          <w:szCs w:val="24"/>
        </w:rPr>
        <w:t>exhibiting</w:t>
      </w:r>
      <w:proofErr w:type="gramEnd"/>
      <w:r w:rsidR="00177F05" w:rsidRPr="00B034F6">
        <w:rPr>
          <w:rFonts w:ascii="Arial" w:hAnsi="Arial" w:cs="Arial"/>
          <w:sz w:val="24"/>
          <w:szCs w:val="24"/>
        </w:rPr>
        <w:t xml:space="preserve"> an ambitious approach to climate action that is consistent with the Science Based Targets effort. Marriott is likewise committed to responsible sourcing, with the goal of achieving 95% responsible sourcing by spend across its top ten priority categories by the end of 2025</w:t>
      </w:r>
      <w:r w:rsidR="00B034F6" w:rsidRPr="00B034F6">
        <w:rPr>
          <w:rFonts w:ascii="Arial" w:hAnsi="Arial" w:cs="Arial"/>
          <w:sz w:val="24"/>
          <w:szCs w:val="24"/>
        </w:rPr>
        <w:t xml:space="preserve"> (Mariott International,2022). </w:t>
      </w:r>
      <w:r w:rsidR="00177F05" w:rsidRPr="00B034F6">
        <w:rPr>
          <w:rFonts w:ascii="Arial" w:hAnsi="Arial" w:cs="Arial"/>
          <w:sz w:val="24"/>
          <w:szCs w:val="24"/>
        </w:rPr>
        <w:t xml:space="preserve">This plan </w:t>
      </w:r>
      <w:proofErr w:type="gramStart"/>
      <w:r w:rsidR="00177F05" w:rsidRPr="00B034F6">
        <w:rPr>
          <w:rFonts w:ascii="Arial" w:hAnsi="Arial" w:cs="Arial"/>
          <w:sz w:val="24"/>
          <w:szCs w:val="24"/>
        </w:rPr>
        <w:t>demonstrates</w:t>
      </w:r>
      <w:proofErr w:type="gramEnd"/>
      <w:r w:rsidR="00177F05" w:rsidRPr="00B034F6">
        <w:rPr>
          <w:rFonts w:ascii="Arial" w:hAnsi="Arial" w:cs="Arial"/>
          <w:sz w:val="24"/>
          <w:szCs w:val="24"/>
        </w:rPr>
        <w:t xml:space="preserve"> Marriott's commitment to environmental stewardship and social responsibility throughout its supply chain. Premier Inn, uses circular economy concepts, concentrating on energy savings, disposal of waste, conserving water, and environmentally friendly purchasing. Premier Inn's plan includes using BREEAM accreditation for new buildings, including renewable energy sources, and implementing extensive waste reduction programmes</w:t>
      </w:r>
      <w:r w:rsidR="00B034F6" w:rsidRPr="00B034F6">
        <w:rPr>
          <w:rFonts w:ascii="Arial" w:hAnsi="Arial" w:cs="Arial"/>
          <w:sz w:val="24"/>
          <w:szCs w:val="24"/>
        </w:rPr>
        <w:t xml:space="preserve"> (Whitbread, 2023).</w:t>
      </w:r>
      <w:r w:rsidR="00177F05" w:rsidRPr="00B034F6">
        <w:rPr>
          <w:rFonts w:ascii="Arial" w:hAnsi="Arial" w:cs="Arial"/>
          <w:sz w:val="24"/>
          <w:szCs w:val="24"/>
        </w:rPr>
        <w:t xml:space="preserve"> Both firms prioritise the decrease of single-use plastics while emphasising the significance of recycling and composting to reduce trash going to landfills. However, Premier Inn lays a substantial focus on the building and operating efficiency of its hotels, with the goal of achieving high sustainability performance through tight development standards and planning system criteria. While both Marriott and Premier Inn have significant approaches to sustainability, Marriott's worldwide reach and comprehensive sustainability targets, such as net-zero GHG emissions, </w:t>
      </w:r>
      <w:proofErr w:type="gramStart"/>
      <w:r w:rsidR="00177F05" w:rsidRPr="00B034F6">
        <w:rPr>
          <w:rFonts w:ascii="Arial" w:hAnsi="Arial" w:cs="Arial"/>
          <w:sz w:val="24"/>
          <w:szCs w:val="24"/>
        </w:rPr>
        <w:t>provide</w:t>
      </w:r>
      <w:proofErr w:type="gramEnd"/>
      <w:r w:rsidR="00177F05" w:rsidRPr="00B034F6">
        <w:rPr>
          <w:rFonts w:ascii="Arial" w:hAnsi="Arial" w:cs="Arial"/>
          <w:sz w:val="24"/>
          <w:szCs w:val="24"/>
        </w:rPr>
        <w:t xml:space="preserve"> a larger and more ambitious agenda. Marriott's Serve 360 platform, with its defined targets for responsible sourcing, waste reduction, and water conservation, </w:t>
      </w:r>
      <w:proofErr w:type="gramStart"/>
      <w:r w:rsidR="00177F05" w:rsidRPr="00B034F6">
        <w:rPr>
          <w:rFonts w:ascii="Arial" w:hAnsi="Arial" w:cs="Arial"/>
          <w:sz w:val="24"/>
          <w:szCs w:val="24"/>
        </w:rPr>
        <w:t>represents</w:t>
      </w:r>
      <w:proofErr w:type="gramEnd"/>
      <w:r w:rsidR="00177F05" w:rsidRPr="00B034F6">
        <w:rPr>
          <w:rFonts w:ascii="Arial" w:hAnsi="Arial" w:cs="Arial"/>
          <w:sz w:val="24"/>
          <w:szCs w:val="24"/>
        </w:rPr>
        <w:t xml:space="preserve"> a comprehensive strategy to incorporating circular economy ideas into all aspects of company operations. Premier Inn might </w:t>
      </w:r>
      <w:proofErr w:type="gramStart"/>
      <w:r w:rsidR="00177F05" w:rsidRPr="00B034F6">
        <w:rPr>
          <w:rFonts w:ascii="Arial" w:hAnsi="Arial" w:cs="Arial"/>
          <w:sz w:val="24"/>
          <w:szCs w:val="24"/>
        </w:rPr>
        <w:t>benefit</w:t>
      </w:r>
      <w:proofErr w:type="gramEnd"/>
      <w:r w:rsidR="00177F05" w:rsidRPr="00B034F6">
        <w:rPr>
          <w:rFonts w:ascii="Arial" w:hAnsi="Arial" w:cs="Arial"/>
          <w:sz w:val="24"/>
          <w:szCs w:val="24"/>
        </w:rPr>
        <w:t xml:space="preserve"> from Marriott's strategy, particularly in terms of increasing exposure and participation with sustainable initiatives. Marriott's commitment to net-zero GHG emissions and focus on responsible sourcing </w:t>
      </w:r>
      <w:proofErr w:type="gramStart"/>
      <w:r w:rsidR="00177F05" w:rsidRPr="00B034F6">
        <w:rPr>
          <w:rFonts w:ascii="Arial" w:hAnsi="Arial" w:cs="Arial"/>
          <w:sz w:val="24"/>
          <w:szCs w:val="24"/>
        </w:rPr>
        <w:t>provide</w:t>
      </w:r>
      <w:proofErr w:type="gramEnd"/>
      <w:r w:rsidR="00177F05" w:rsidRPr="00B034F6">
        <w:rPr>
          <w:rFonts w:ascii="Arial" w:hAnsi="Arial" w:cs="Arial"/>
          <w:sz w:val="24"/>
          <w:szCs w:val="24"/>
        </w:rPr>
        <w:t xml:space="preserve"> insights on how Premier Inn may incorporate circular economy ideas into its CSR and sustainability initiatives. Furthermore, Marriott's use of technology for environmental reporting and stakeholder interaction might help Premier Inn develop strategies for measuring, monitoring, and publicising sustainability successes.</w:t>
      </w:r>
    </w:p>
    <w:p w14:paraId="79C3B1B5" w14:textId="77777777" w:rsidR="00BC109C" w:rsidRPr="00B034F6" w:rsidRDefault="00BC109C" w:rsidP="00BC109C">
      <w:pPr>
        <w:spacing w:line="360" w:lineRule="auto"/>
        <w:jc w:val="both"/>
        <w:rPr>
          <w:rFonts w:ascii="Arial" w:hAnsi="Arial" w:cs="Arial"/>
          <w:sz w:val="24"/>
          <w:szCs w:val="24"/>
        </w:rPr>
      </w:pPr>
    </w:p>
    <w:p w14:paraId="7BFA5062" w14:textId="01F7C4A9" w:rsidR="00BC109C" w:rsidRPr="00B034F6" w:rsidRDefault="00BC109C" w:rsidP="00BC109C">
      <w:pPr>
        <w:spacing w:line="360" w:lineRule="auto"/>
        <w:jc w:val="both"/>
        <w:rPr>
          <w:rFonts w:ascii="Arial" w:hAnsi="Arial" w:cs="Arial"/>
          <w:sz w:val="24"/>
          <w:szCs w:val="24"/>
        </w:rPr>
      </w:pPr>
      <w:r w:rsidRPr="00B034F6">
        <w:rPr>
          <w:rFonts w:ascii="Arial" w:hAnsi="Arial" w:cs="Arial"/>
          <w:sz w:val="24"/>
          <w:szCs w:val="24"/>
        </w:rPr>
        <w:t xml:space="preserve">In conclusion, in this paper was explored the critical role that circular economy concepts play within the hotel industry's Corporate Social Responsibility frameworks, with a focus on Premier Inn. Premier Inn's dedication to sustainability </w:t>
      </w:r>
      <w:proofErr w:type="gramStart"/>
      <w:r w:rsidRPr="00B034F6">
        <w:rPr>
          <w:rFonts w:ascii="Arial" w:hAnsi="Arial" w:cs="Arial"/>
          <w:sz w:val="24"/>
          <w:szCs w:val="24"/>
        </w:rPr>
        <w:t>demonstrates</w:t>
      </w:r>
      <w:proofErr w:type="gramEnd"/>
      <w:r w:rsidRPr="00B034F6">
        <w:rPr>
          <w:rFonts w:ascii="Arial" w:hAnsi="Arial" w:cs="Arial"/>
          <w:sz w:val="24"/>
          <w:szCs w:val="24"/>
        </w:rPr>
        <w:t xml:space="preserve"> the incorporation of circular economy concepts, such as energy saving and sustainable building design, as well as responsible sourcing and waste reduction. These programmes besides supporting global sustainability goals, such as the United Nations Sustainable Development Goals,  they also have a significant local influence, promoting community development and environmental protection. The comparison to Marriott </w:t>
      </w:r>
      <w:proofErr w:type="gramStart"/>
      <w:r w:rsidRPr="00B034F6">
        <w:rPr>
          <w:rFonts w:ascii="Arial" w:hAnsi="Arial" w:cs="Arial"/>
          <w:sz w:val="24"/>
          <w:szCs w:val="24"/>
        </w:rPr>
        <w:t>demonstrate</w:t>
      </w:r>
      <w:proofErr w:type="gramEnd"/>
      <w:r w:rsidRPr="00B034F6">
        <w:rPr>
          <w:rFonts w:ascii="Arial" w:hAnsi="Arial" w:cs="Arial"/>
          <w:sz w:val="24"/>
          <w:szCs w:val="24"/>
        </w:rPr>
        <w:t xml:space="preserve"> different approaches to sustainability within the sector and highlighting Premier Inn's capacity to embrace more ambitious aims and creative solutions. Both hotel chains </w:t>
      </w:r>
      <w:proofErr w:type="gramStart"/>
      <w:r w:rsidRPr="00B034F6">
        <w:rPr>
          <w:rFonts w:ascii="Arial" w:hAnsi="Arial" w:cs="Arial"/>
          <w:sz w:val="24"/>
          <w:szCs w:val="24"/>
        </w:rPr>
        <w:t>exhibit</w:t>
      </w:r>
      <w:proofErr w:type="gramEnd"/>
      <w:r w:rsidRPr="00B034F6">
        <w:rPr>
          <w:rFonts w:ascii="Arial" w:hAnsi="Arial" w:cs="Arial"/>
          <w:sz w:val="24"/>
          <w:szCs w:val="24"/>
        </w:rPr>
        <w:t xml:space="preserve"> a symbiotic link between the circular economy and CSR, demonstrating that sustainable practices benefit not just the environment but also the business by improving brand recognition, customer loyalty, and operational efficiency. The paper stresses the significance of adopting circular economy models for the future of the hospitality sector, arguing for continual innovation, engaging with stakeholders to overcome hurdles and maximise the advantages of sustainability programmes.</w:t>
      </w:r>
    </w:p>
    <w:p w14:paraId="10359D0F" w14:textId="77777777" w:rsidR="00B034F6" w:rsidRDefault="00B034F6" w:rsidP="00BC109C">
      <w:pPr>
        <w:spacing w:line="360" w:lineRule="auto"/>
        <w:jc w:val="both"/>
        <w:rPr>
          <w:rFonts w:ascii="Arial" w:hAnsi="Arial" w:cs="Arial"/>
          <w:sz w:val="24"/>
          <w:szCs w:val="24"/>
        </w:rPr>
      </w:pPr>
    </w:p>
    <w:p w14:paraId="1D03BCCF" w14:textId="77777777" w:rsidR="00B034F6" w:rsidRPr="00BC109C" w:rsidRDefault="00B034F6" w:rsidP="00BC109C">
      <w:pPr>
        <w:spacing w:line="360" w:lineRule="auto"/>
        <w:jc w:val="both"/>
        <w:rPr>
          <w:rFonts w:ascii="Arial" w:hAnsi="Arial" w:cs="Arial"/>
          <w:sz w:val="24"/>
          <w:szCs w:val="24"/>
        </w:rPr>
      </w:pPr>
    </w:p>
    <w:p w14:paraId="10168BBD" w14:textId="47C22CA4" w:rsidR="00BC109C" w:rsidRPr="00501E45" w:rsidRDefault="00501E45" w:rsidP="00501E45">
      <w:pPr>
        <w:spacing w:line="360" w:lineRule="auto"/>
        <w:jc w:val="center"/>
        <w:rPr>
          <w:rFonts w:ascii="Arial" w:hAnsi="Arial" w:cs="Arial"/>
          <w:b/>
          <w:bCs/>
          <w:sz w:val="24"/>
          <w:szCs w:val="24"/>
        </w:rPr>
      </w:pPr>
      <w:r w:rsidRPr="00501E45">
        <w:rPr>
          <w:rFonts w:ascii="Arial" w:hAnsi="Arial" w:cs="Arial"/>
          <w:b/>
          <w:bCs/>
          <w:sz w:val="24"/>
          <w:szCs w:val="24"/>
        </w:rPr>
        <w:t>References:</w:t>
      </w:r>
    </w:p>
    <w:p w14:paraId="7FD79B63" w14:textId="77777777" w:rsidR="00E7790D" w:rsidRDefault="00E7790D" w:rsidP="00537210">
      <w:pPr>
        <w:spacing w:line="360" w:lineRule="auto"/>
        <w:jc w:val="both"/>
        <w:rPr>
          <w:rFonts w:ascii="Arial" w:hAnsi="Arial" w:cs="Arial"/>
          <w:sz w:val="24"/>
          <w:szCs w:val="24"/>
        </w:rPr>
      </w:pPr>
    </w:p>
    <w:p w14:paraId="48BFD38A" w14:textId="3D7D502E" w:rsidR="00E7790D" w:rsidRPr="00B034F6" w:rsidRDefault="00501E45" w:rsidP="00B034F6">
      <w:pPr>
        <w:spacing w:after="0" w:line="360" w:lineRule="auto"/>
        <w:jc w:val="both"/>
        <w:rPr>
          <w:rFonts w:ascii="Arial" w:eastAsia="Times New Roman" w:hAnsi="Arial" w:cs="Arial"/>
          <w:kern w:val="0"/>
          <w:sz w:val="24"/>
          <w:szCs w:val="24"/>
          <w:lang w:eastAsia="en-GB"/>
          <w14:ligatures w14:val="none"/>
        </w:rPr>
      </w:pPr>
      <w:r w:rsidRPr="00501E45">
        <w:rPr>
          <w:rFonts w:ascii="Arial" w:eastAsia="Times New Roman" w:hAnsi="Arial" w:cs="Arial"/>
          <w:kern w:val="0"/>
          <w:sz w:val="24"/>
          <w:szCs w:val="24"/>
          <w:lang w:eastAsia="en-GB"/>
          <w14:ligatures w14:val="none"/>
        </w:rPr>
        <w:t xml:space="preserve">Bux, C. and </w:t>
      </w:r>
      <w:proofErr w:type="spellStart"/>
      <w:r w:rsidRPr="00501E45">
        <w:rPr>
          <w:rFonts w:ascii="Arial" w:eastAsia="Times New Roman" w:hAnsi="Arial" w:cs="Arial"/>
          <w:kern w:val="0"/>
          <w:sz w:val="24"/>
          <w:szCs w:val="24"/>
          <w:lang w:eastAsia="en-GB"/>
          <w14:ligatures w14:val="none"/>
        </w:rPr>
        <w:t>Amicarelli</w:t>
      </w:r>
      <w:proofErr w:type="spellEnd"/>
      <w:r w:rsidRPr="00501E45">
        <w:rPr>
          <w:rFonts w:ascii="Arial" w:eastAsia="Times New Roman" w:hAnsi="Arial" w:cs="Arial"/>
          <w:kern w:val="0"/>
          <w:sz w:val="24"/>
          <w:szCs w:val="24"/>
          <w:lang w:eastAsia="en-GB"/>
          <w14:ligatures w14:val="none"/>
        </w:rPr>
        <w:t xml:space="preserve">, V. (2023) ‘Circular economy and sustainable strategies in the hospitality industry: Current trends and empirical implications’, </w:t>
      </w:r>
      <w:proofErr w:type="gramStart"/>
      <w:r w:rsidRPr="00501E45">
        <w:rPr>
          <w:rFonts w:ascii="Arial" w:eastAsia="Times New Roman" w:hAnsi="Arial" w:cs="Arial"/>
          <w:kern w:val="0"/>
          <w:sz w:val="24"/>
          <w:szCs w:val="24"/>
          <w:lang w:eastAsia="en-GB"/>
          <w14:ligatures w14:val="none"/>
        </w:rPr>
        <w:t>Tourism</w:t>
      </w:r>
      <w:proofErr w:type="gramEnd"/>
      <w:r w:rsidRPr="00501E45">
        <w:rPr>
          <w:rFonts w:ascii="Arial" w:eastAsia="Times New Roman" w:hAnsi="Arial" w:cs="Arial"/>
          <w:kern w:val="0"/>
          <w:sz w:val="24"/>
          <w:szCs w:val="24"/>
          <w:lang w:eastAsia="en-GB"/>
          <w14:ligatures w14:val="none"/>
        </w:rPr>
        <w:t xml:space="preserve"> and hospitality research : the Surrey quarterly review., 23(4), pp. 624–636. Available at: </w:t>
      </w:r>
      <w:hyperlink r:id="rId7" w:history="1">
        <w:r w:rsidRPr="00501E45">
          <w:rPr>
            <w:rStyle w:val="Hyperlink"/>
            <w:rFonts w:ascii="Arial" w:eastAsia="Times New Roman" w:hAnsi="Arial" w:cs="Arial"/>
            <w:color w:val="auto"/>
            <w:kern w:val="0"/>
            <w:sz w:val="24"/>
            <w:szCs w:val="24"/>
            <w:lang w:eastAsia="en-GB"/>
            <w14:ligatures w14:val="none"/>
          </w:rPr>
          <w:t>https://doi.org/10.1177/14673584221119581</w:t>
        </w:r>
      </w:hyperlink>
      <w:r w:rsidRPr="00501E45">
        <w:rPr>
          <w:rFonts w:ascii="Arial" w:eastAsia="Times New Roman" w:hAnsi="Arial" w:cs="Arial"/>
          <w:kern w:val="0"/>
          <w:sz w:val="24"/>
          <w:szCs w:val="24"/>
          <w:lang w:eastAsia="en-GB"/>
          <w14:ligatures w14:val="none"/>
        </w:rPr>
        <w:t>.</w:t>
      </w:r>
    </w:p>
    <w:p w14:paraId="7711F40B" w14:textId="77777777" w:rsidR="00D01028" w:rsidRPr="00B034F6" w:rsidRDefault="00D01028" w:rsidP="00B034F6">
      <w:pPr>
        <w:spacing w:after="0" w:line="360" w:lineRule="auto"/>
        <w:jc w:val="both"/>
        <w:rPr>
          <w:rFonts w:ascii="Arial" w:eastAsia="Times New Roman" w:hAnsi="Arial" w:cs="Arial"/>
          <w:kern w:val="0"/>
          <w:sz w:val="24"/>
          <w:szCs w:val="24"/>
          <w:lang w:eastAsia="en-GB"/>
          <w14:ligatures w14:val="none"/>
        </w:rPr>
      </w:pPr>
    </w:p>
    <w:p w14:paraId="63369BA7" w14:textId="228CF8C4" w:rsidR="00D01028" w:rsidRPr="00B034F6" w:rsidRDefault="00D01028" w:rsidP="00B034F6">
      <w:pPr>
        <w:spacing w:after="0" w:line="360" w:lineRule="auto"/>
        <w:jc w:val="both"/>
        <w:rPr>
          <w:rFonts w:ascii="Arial" w:eastAsia="Times New Roman" w:hAnsi="Arial" w:cs="Arial"/>
          <w:kern w:val="0"/>
          <w:sz w:val="24"/>
          <w:szCs w:val="24"/>
          <w:lang w:eastAsia="en-GB"/>
          <w14:ligatures w14:val="none"/>
        </w:rPr>
      </w:pPr>
      <w:r w:rsidRPr="00B034F6">
        <w:rPr>
          <w:rFonts w:ascii="Arial" w:hAnsi="Arial" w:cs="Arial"/>
          <w:sz w:val="24"/>
          <w:szCs w:val="24"/>
        </w:rPr>
        <w:t>Cooper, C. (2021) Essentials of tourism. Third edition. London: SAGE.</w:t>
      </w:r>
    </w:p>
    <w:p w14:paraId="14C267E8" w14:textId="77777777" w:rsidR="00501E45" w:rsidRPr="00B034F6" w:rsidRDefault="00501E45" w:rsidP="00B034F6">
      <w:pPr>
        <w:spacing w:after="0" w:line="360" w:lineRule="auto"/>
        <w:jc w:val="both"/>
        <w:rPr>
          <w:rFonts w:ascii="Arial" w:eastAsia="Times New Roman" w:hAnsi="Arial" w:cs="Arial"/>
          <w:kern w:val="0"/>
          <w:sz w:val="24"/>
          <w:szCs w:val="24"/>
          <w:lang w:eastAsia="en-GB"/>
          <w14:ligatures w14:val="none"/>
        </w:rPr>
      </w:pPr>
    </w:p>
    <w:p w14:paraId="4631753C" w14:textId="08C3F44A" w:rsidR="00501E45" w:rsidRDefault="00501E45" w:rsidP="00B034F6">
      <w:pPr>
        <w:spacing w:after="0" w:line="360" w:lineRule="auto"/>
        <w:jc w:val="both"/>
        <w:rPr>
          <w:rFonts w:ascii="Arial" w:eastAsia="Times New Roman" w:hAnsi="Arial" w:cs="Arial"/>
          <w:kern w:val="0"/>
          <w:sz w:val="24"/>
          <w:szCs w:val="24"/>
          <w:lang w:eastAsia="en-GB"/>
          <w14:ligatures w14:val="none"/>
        </w:rPr>
      </w:pPr>
      <w:r w:rsidRPr="00501E45">
        <w:rPr>
          <w:rFonts w:ascii="Arial" w:eastAsia="Times New Roman" w:hAnsi="Arial" w:cs="Arial"/>
          <w:kern w:val="0"/>
          <w:sz w:val="24"/>
          <w:szCs w:val="24"/>
          <w:lang w:eastAsia="en-GB"/>
          <w14:ligatures w14:val="none"/>
        </w:rPr>
        <w:t xml:space="preserve">Farmaki, A. (2019) ‘Corporate social responsibility in hotels: a stakeholder approach’, International journal of contemporary hospitality management., 31(6), pp. 2297–2320. Available at: </w:t>
      </w:r>
      <w:hyperlink r:id="rId8" w:history="1">
        <w:r w:rsidR="00B034F6" w:rsidRPr="00501E45">
          <w:rPr>
            <w:rStyle w:val="Hyperlink"/>
            <w:rFonts w:ascii="Arial" w:eastAsia="Times New Roman" w:hAnsi="Arial" w:cs="Arial"/>
            <w:kern w:val="0"/>
            <w:sz w:val="24"/>
            <w:szCs w:val="24"/>
            <w:lang w:eastAsia="en-GB"/>
            <w14:ligatures w14:val="none"/>
          </w:rPr>
          <w:t>https://doi.org/10.1108/IJCHM-03-2018-0199</w:t>
        </w:r>
      </w:hyperlink>
      <w:r w:rsidRPr="00501E45">
        <w:rPr>
          <w:rFonts w:ascii="Arial" w:eastAsia="Times New Roman" w:hAnsi="Arial" w:cs="Arial"/>
          <w:kern w:val="0"/>
          <w:sz w:val="24"/>
          <w:szCs w:val="24"/>
          <w:lang w:eastAsia="en-GB"/>
          <w14:ligatures w14:val="none"/>
        </w:rPr>
        <w:t>.</w:t>
      </w:r>
    </w:p>
    <w:p w14:paraId="7FB12AE3" w14:textId="77777777" w:rsidR="00B034F6" w:rsidRPr="00B034F6" w:rsidRDefault="00B034F6" w:rsidP="00B034F6">
      <w:pPr>
        <w:spacing w:after="0" w:line="360" w:lineRule="auto"/>
        <w:jc w:val="both"/>
        <w:rPr>
          <w:rFonts w:ascii="Arial" w:eastAsia="Times New Roman" w:hAnsi="Arial" w:cs="Arial"/>
          <w:kern w:val="0"/>
          <w:sz w:val="24"/>
          <w:szCs w:val="24"/>
          <w:lang w:eastAsia="en-GB"/>
          <w14:ligatures w14:val="none"/>
        </w:rPr>
      </w:pPr>
    </w:p>
    <w:p w14:paraId="188092A5" w14:textId="438CA536" w:rsidR="00E7790D" w:rsidRPr="00B034F6" w:rsidRDefault="00501E45" w:rsidP="00B034F6">
      <w:pPr>
        <w:spacing w:line="360" w:lineRule="auto"/>
        <w:jc w:val="both"/>
        <w:rPr>
          <w:rFonts w:ascii="Arial" w:hAnsi="Arial" w:cs="Arial"/>
          <w:sz w:val="24"/>
          <w:szCs w:val="24"/>
        </w:rPr>
      </w:pPr>
      <w:r w:rsidRPr="00B034F6">
        <w:rPr>
          <w:rFonts w:ascii="Arial" w:hAnsi="Arial" w:cs="Arial"/>
          <w:sz w:val="24"/>
          <w:szCs w:val="24"/>
          <w:shd w:val="clear" w:color="auto" w:fill="FFFFFF"/>
        </w:rPr>
        <w:t xml:space="preserve">Forti, V., Baldé, C.P., </w:t>
      </w:r>
      <w:proofErr w:type="spellStart"/>
      <w:r w:rsidRPr="00B034F6">
        <w:rPr>
          <w:rFonts w:ascii="Arial" w:hAnsi="Arial" w:cs="Arial"/>
          <w:sz w:val="24"/>
          <w:szCs w:val="24"/>
          <w:shd w:val="clear" w:color="auto" w:fill="FFFFFF"/>
        </w:rPr>
        <w:t>Kuehr</w:t>
      </w:r>
      <w:proofErr w:type="spellEnd"/>
      <w:r w:rsidRPr="00B034F6">
        <w:rPr>
          <w:rFonts w:ascii="Arial" w:hAnsi="Arial" w:cs="Arial"/>
          <w:sz w:val="24"/>
          <w:szCs w:val="24"/>
          <w:shd w:val="clear" w:color="auto" w:fill="FFFFFF"/>
        </w:rPr>
        <w:t>, R. and Bel, G., 2020. The global e-waste monitor 2020. United Nations University (UNU), International Telecommunication Union (ITU) &amp; International Solid Waste Association (ISWA), Bonn/Geneva/Rotterdam, 120.</w:t>
      </w:r>
    </w:p>
    <w:p w14:paraId="176FB98E" w14:textId="349FC35A" w:rsidR="00E7790D" w:rsidRPr="00B034F6" w:rsidRDefault="00E7790D" w:rsidP="00B034F6">
      <w:pPr>
        <w:spacing w:after="0" w:line="360" w:lineRule="auto"/>
        <w:jc w:val="both"/>
        <w:rPr>
          <w:rFonts w:ascii="Arial" w:eastAsia="Times New Roman" w:hAnsi="Arial" w:cs="Arial"/>
          <w:kern w:val="0"/>
          <w:sz w:val="24"/>
          <w:szCs w:val="24"/>
          <w:lang w:eastAsia="en-GB"/>
          <w14:ligatures w14:val="none"/>
        </w:rPr>
      </w:pPr>
      <w:proofErr w:type="spellStart"/>
      <w:r w:rsidRPr="00E7790D">
        <w:rPr>
          <w:rFonts w:ascii="Arial" w:eastAsia="Times New Roman" w:hAnsi="Arial" w:cs="Arial"/>
          <w:kern w:val="0"/>
          <w:sz w:val="24"/>
          <w:szCs w:val="24"/>
          <w:lang w:eastAsia="en-GB"/>
          <w14:ligatures w14:val="none"/>
        </w:rPr>
        <w:t>Geissdoerfer</w:t>
      </w:r>
      <w:proofErr w:type="spellEnd"/>
      <w:r w:rsidRPr="00E7790D">
        <w:rPr>
          <w:rFonts w:ascii="Arial" w:eastAsia="Times New Roman" w:hAnsi="Arial" w:cs="Arial"/>
          <w:kern w:val="0"/>
          <w:sz w:val="24"/>
          <w:szCs w:val="24"/>
          <w:lang w:eastAsia="en-GB"/>
          <w14:ligatures w14:val="none"/>
        </w:rPr>
        <w:t xml:space="preserve">, M., </w:t>
      </w:r>
      <w:proofErr w:type="spellStart"/>
      <w:r w:rsidRPr="00E7790D">
        <w:rPr>
          <w:rFonts w:ascii="Arial" w:eastAsia="Times New Roman" w:hAnsi="Arial" w:cs="Arial"/>
          <w:kern w:val="0"/>
          <w:sz w:val="24"/>
          <w:szCs w:val="24"/>
          <w:lang w:eastAsia="en-GB"/>
          <w14:ligatures w14:val="none"/>
        </w:rPr>
        <w:t>Savaget</w:t>
      </w:r>
      <w:proofErr w:type="spellEnd"/>
      <w:r w:rsidRPr="00E7790D">
        <w:rPr>
          <w:rFonts w:ascii="Arial" w:eastAsia="Times New Roman" w:hAnsi="Arial" w:cs="Arial"/>
          <w:kern w:val="0"/>
          <w:sz w:val="24"/>
          <w:szCs w:val="24"/>
          <w:lang w:eastAsia="en-GB"/>
          <w14:ligatures w14:val="none"/>
        </w:rPr>
        <w:t xml:space="preserve">, P., </w:t>
      </w:r>
      <w:proofErr w:type="spellStart"/>
      <w:r w:rsidRPr="00E7790D">
        <w:rPr>
          <w:rFonts w:ascii="Arial" w:eastAsia="Times New Roman" w:hAnsi="Arial" w:cs="Arial"/>
          <w:kern w:val="0"/>
          <w:sz w:val="24"/>
          <w:szCs w:val="24"/>
          <w:lang w:eastAsia="en-GB"/>
          <w14:ligatures w14:val="none"/>
        </w:rPr>
        <w:t>Bocken</w:t>
      </w:r>
      <w:proofErr w:type="spellEnd"/>
      <w:r w:rsidRPr="00E7790D">
        <w:rPr>
          <w:rFonts w:ascii="Arial" w:eastAsia="Times New Roman" w:hAnsi="Arial" w:cs="Arial"/>
          <w:kern w:val="0"/>
          <w:sz w:val="24"/>
          <w:szCs w:val="24"/>
          <w:lang w:eastAsia="en-GB"/>
          <w14:ligatures w14:val="none"/>
        </w:rPr>
        <w:t xml:space="preserve">, N.M. and </w:t>
      </w:r>
      <w:proofErr w:type="spellStart"/>
      <w:r w:rsidRPr="00E7790D">
        <w:rPr>
          <w:rFonts w:ascii="Arial" w:eastAsia="Times New Roman" w:hAnsi="Arial" w:cs="Arial"/>
          <w:kern w:val="0"/>
          <w:sz w:val="24"/>
          <w:szCs w:val="24"/>
          <w:lang w:eastAsia="en-GB"/>
          <w14:ligatures w14:val="none"/>
        </w:rPr>
        <w:t>Hultink</w:t>
      </w:r>
      <w:proofErr w:type="spellEnd"/>
      <w:r w:rsidRPr="00E7790D">
        <w:rPr>
          <w:rFonts w:ascii="Arial" w:eastAsia="Times New Roman" w:hAnsi="Arial" w:cs="Arial"/>
          <w:kern w:val="0"/>
          <w:sz w:val="24"/>
          <w:szCs w:val="24"/>
          <w:lang w:eastAsia="en-GB"/>
          <w14:ligatures w14:val="none"/>
        </w:rPr>
        <w:t xml:space="preserve">, E.J. (2017) ‘The Circular Economy – A new sustainability paradigm?’, Journal of cleaner production., 143, pp. 757–768. Available at: </w:t>
      </w:r>
      <w:hyperlink r:id="rId9" w:history="1">
        <w:r w:rsidRPr="00E7790D">
          <w:rPr>
            <w:rStyle w:val="Hyperlink"/>
            <w:rFonts w:ascii="Arial" w:eastAsia="Times New Roman" w:hAnsi="Arial" w:cs="Arial"/>
            <w:color w:val="auto"/>
            <w:kern w:val="0"/>
            <w:sz w:val="24"/>
            <w:szCs w:val="24"/>
            <w:lang w:eastAsia="en-GB"/>
            <w14:ligatures w14:val="none"/>
          </w:rPr>
          <w:t>https://doi.org/10.1016/j.jclepro.2016.12.048</w:t>
        </w:r>
      </w:hyperlink>
      <w:r w:rsidRPr="00E7790D">
        <w:rPr>
          <w:rFonts w:ascii="Arial" w:eastAsia="Times New Roman" w:hAnsi="Arial" w:cs="Arial"/>
          <w:kern w:val="0"/>
          <w:sz w:val="24"/>
          <w:szCs w:val="24"/>
          <w:lang w:eastAsia="en-GB"/>
          <w14:ligatures w14:val="none"/>
        </w:rPr>
        <w:t>.</w:t>
      </w:r>
    </w:p>
    <w:p w14:paraId="5A11FE44" w14:textId="77777777" w:rsidR="00501E45" w:rsidRPr="00B034F6" w:rsidRDefault="00501E45" w:rsidP="00B034F6">
      <w:pPr>
        <w:spacing w:after="0" w:line="360" w:lineRule="auto"/>
        <w:jc w:val="both"/>
        <w:rPr>
          <w:rFonts w:ascii="Arial" w:eastAsia="Times New Roman" w:hAnsi="Arial" w:cs="Arial"/>
          <w:kern w:val="0"/>
          <w:sz w:val="24"/>
          <w:szCs w:val="24"/>
          <w:lang w:eastAsia="en-GB"/>
          <w14:ligatures w14:val="none"/>
        </w:rPr>
      </w:pPr>
    </w:p>
    <w:p w14:paraId="62D05D14" w14:textId="7F01875B" w:rsidR="00501E45" w:rsidRPr="00B034F6" w:rsidRDefault="00501E45" w:rsidP="00B034F6">
      <w:pPr>
        <w:spacing w:after="0" w:line="360" w:lineRule="auto"/>
        <w:jc w:val="both"/>
        <w:rPr>
          <w:rFonts w:ascii="Arial" w:eastAsia="Times New Roman" w:hAnsi="Arial" w:cs="Arial"/>
          <w:kern w:val="0"/>
          <w:sz w:val="24"/>
          <w:szCs w:val="24"/>
          <w:lang w:eastAsia="en-GB"/>
          <w14:ligatures w14:val="none"/>
        </w:rPr>
      </w:pPr>
      <w:proofErr w:type="spellStart"/>
      <w:r w:rsidRPr="00B034F6">
        <w:rPr>
          <w:rFonts w:ascii="Arial" w:hAnsi="Arial" w:cs="Arial"/>
          <w:sz w:val="24"/>
          <w:szCs w:val="24"/>
        </w:rPr>
        <w:t>Haski</w:t>
      </w:r>
      <w:proofErr w:type="spellEnd"/>
      <w:r w:rsidRPr="00B034F6">
        <w:rPr>
          <w:rFonts w:ascii="Arial" w:hAnsi="Arial" w:cs="Arial"/>
          <w:sz w:val="24"/>
          <w:szCs w:val="24"/>
        </w:rPr>
        <w:t>-Leventhal, D. (2018) Strategic corporate social responsibility : tools &amp; theories for responsible management. London: SAGE.</w:t>
      </w:r>
    </w:p>
    <w:p w14:paraId="7519E9E3" w14:textId="77777777" w:rsidR="00E7790D" w:rsidRPr="00B034F6" w:rsidRDefault="00E7790D" w:rsidP="00B034F6">
      <w:pPr>
        <w:spacing w:after="0" w:line="360" w:lineRule="auto"/>
        <w:jc w:val="both"/>
        <w:rPr>
          <w:rFonts w:ascii="Arial" w:eastAsia="Times New Roman" w:hAnsi="Arial" w:cs="Arial"/>
          <w:kern w:val="0"/>
          <w:sz w:val="24"/>
          <w:szCs w:val="24"/>
          <w:lang w:eastAsia="en-GB"/>
          <w14:ligatures w14:val="none"/>
        </w:rPr>
      </w:pPr>
    </w:p>
    <w:p w14:paraId="5DBA27AE" w14:textId="78251090" w:rsidR="00E7790D" w:rsidRPr="00B034F6" w:rsidRDefault="00E7790D" w:rsidP="00B034F6">
      <w:pPr>
        <w:spacing w:after="0" w:line="360" w:lineRule="auto"/>
        <w:jc w:val="both"/>
        <w:rPr>
          <w:rFonts w:ascii="Arial" w:eastAsia="Times New Roman" w:hAnsi="Arial" w:cs="Arial"/>
          <w:kern w:val="0"/>
          <w:sz w:val="24"/>
          <w:szCs w:val="24"/>
          <w:lang w:eastAsia="en-GB"/>
          <w14:ligatures w14:val="none"/>
        </w:rPr>
      </w:pPr>
      <w:proofErr w:type="spellStart"/>
      <w:r w:rsidRPr="00B034F6">
        <w:rPr>
          <w:rFonts w:ascii="Arial" w:hAnsi="Arial" w:cs="Arial"/>
          <w:sz w:val="24"/>
          <w:szCs w:val="24"/>
        </w:rPr>
        <w:t>Jauhari</w:t>
      </w:r>
      <w:proofErr w:type="spellEnd"/>
      <w:r w:rsidRPr="00B034F6">
        <w:rPr>
          <w:rFonts w:ascii="Arial" w:hAnsi="Arial" w:cs="Arial"/>
          <w:sz w:val="24"/>
          <w:szCs w:val="24"/>
        </w:rPr>
        <w:t xml:space="preserve">, V (2021) ‘Managing Sustainability in the Hospitality and Tourism Industry: Paradigms and Directions for the Future’ 9 </w:t>
      </w:r>
      <w:proofErr w:type="spellStart"/>
      <w:r w:rsidRPr="00B034F6">
        <w:rPr>
          <w:rFonts w:ascii="Arial" w:hAnsi="Arial" w:cs="Arial"/>
          <w:sz w:val="24"/>
          <w:szCs w:val="24"/>
        </w:rPr>
        <w:t>th</w:t>
      </w:r>
      <w:proofErr w:type="spellEnd"/>
      <w:r w:rsidRPr="00B034F6">
        <w:rPr>
          <w:rFonts w:ascii="Arial" w:hAnsi="Arial" w:cs="Arial"/>
          <w:sz w:val="24"/>
          <w:szCs w:val="24"/>
        </w:rPr>
        <w:t xml:space="preserve"> </w:t>
      </w:r>
      <w:proofErr w:type="spellStart"/>
      <w:r w:rsidRPr="00B034F6">
        <w:rPr>
          <w:rFonts w:ascii="Arial" w:hAnsi="Arial" w:cs="Arial"/>
          <w:sz w:val="24"/>
          <w:szCs w:val="24"/>
        </w:rPr>
        <w:t>edn.Oakville</w:t>
      </w:r>
      <w:proofErr w:type="spellEnd"/>
      <w:r w:rsidRPr="00B034F6">
        <w:rPr>
          <w:rFonts w:ascii="Arial" w:hAnsi="Arial" w:cs="Arial"/>
          <w:sz w:val="24"/>
          <w:szCs w:val="24"/>
        </w:rPr>
        <w:t>: Apple Academic Press. Inc</w:t>
      </w:r>
    </w:p>
    <w:p w14:paraId="2BA9C178" w14:textId="77777777" w:rsidR="00E7790D" w:rsidRPr="00B034F6" w:rsidRDefault="00E7790D" w:rsidP="00B034F6">
      <w:pPr>
        <w:spacing w:after="0" w:line="360" w:lineRule="auto"/>
        <w:jc w:val="both"/>
        <w:rPr>
          <w:rFonts w:ascii="Arial" w:eastAsia="Times New Roman" w:hAnsi="Arial" w:cs="Arial"/>
          <w:kern w:val="0"/>
          <w:sz w:val="24"/>
          <w:szCs w:val="24"/>
          <w:lang w:eastAsia="en-GB"/>
          <w14:ligatures w14:val="none"/>
        </w:rPr>
      </w:pPr>
    </w:p>
    <w:p w14:paraId="64610F94" w14:textId="36D50974" w:rsidR="00501E45" w:rsidRPr="00B034F6" w:rsidRDefault="00501E45" w:rsidP="00B034F6">
      <w:pPr>
        <w:spacing w:after="0" w:line="360" w:lineRule="auto"/>
        <w:jc w:val="both"/>
        <w:rPr>
          <w:rFonts w:ascii="Arial" w:eastAsia="Times New Roman" w:hAnsi="Arial" w:cs="Arial"/>
          <w:kern w:val="0"/>
          <w:sz w:val="24"/>
          <w:szCs w:val="24"/>
          <w:lang w:eastAsia="en-GB"/>
          <w14:ligatures w14:val="none"/>
        </w:rPr>
      </w:pPr>
      <w:r w:rsidRPr="00501E45">
        <w:rPr>
          <w:rFonts w:ascii="Arial" w:eastAsia="Times New Roman" w:hAnsi="Arial" w:cs="Arial"/>
          <w:kern w:val="0"/>
          <w:sz w:val="24"/>
          <w:szCs w:val="24"/>
          <w:lang w:eastAsia="en-GB"/>
          <w14:ligatures w14:val="none"/>
        </w:rPr>
        <w:t xml:space="preserve">Jones, P., Hillier, D. and Comfort, D. (2014) ‘Sustainability in the global hotel industry’, International journal of contemporary hospitality management., 26(1), pp. 5–17. Available at: </w:t>
      </w:r>
      <w:hyperlink r:id="rId10" w:history="1">
        <w:r w:rsidR="00B034F6" w:rsidRPr="00501E45">
          <w:rPr>
            <w:rStyle w:val="Hyperlink"/>
            <w:rFonts w:ascii="Arial" w:eastAsia="Times New Roman" w:hAnsi="Arial" w:cs="Arial"/>
            <w:color w:val="auto"/>
            <w:kern w:val="0"/>
            <w:sz w:val="24"/>
            <w:szCs w:val="24"/>
            <w:lang w:eastAsia="en-GB"/>
            <w14:ligatures w14:val="none"/>
          </w:rPr>
          <w:t>https://doi.org/10.1108/IJCHM-10-2012-0180</w:t>
        </w:r>
      </w:hyperlink>
      <w:r w:rsidRPr="00501E45">
        <w:rPr>
          <w:rFonts w:ascii="Arial" w:eastAsia="Times New Roman" w:hAnsi="Arial" w:cs="Arial"/>
          <w:kern w:val="0"/>
          <w:sz w:val="24"/>
          <w:szCs w:val="24"/>
          <w:lang w:eastAsia="en-GB"/>
          <w14:ligatures w14:val="none"/>
        </w:rPr>
        <w:t>.</w:t>
      </w:r>
    </w:p>
    <w:p w14:paraId="3477CB11" w14:textId="77777777" w:rsidR="00B034F6" w:rsidRPr="00B034F6" w:rsidRDefault="00B034F6" w:rsidP="00B034F6">
      <w:pPr>
        <w:spacing w:after="0" w:line="360" w:lineRule="auto"/>
        <w:jc w:val="both"/>
        <w:rPr>
          <w:rFonts w:ascii="Arial" w:eastAsia="Times New Roman" w:hAnsi="Arial" w:cs="Arial"/>
          <w:kern w:val="0"/>
          <w:sz w:val="24"/>
          <w:szCs w:val="24"/>
          <w:lang w:eastAsia="en-GB"/>
          <w14:ligatures w14:val="none"/>
        </w:rPr>
      </w:pPr>
    </w:p>
    <w:p w14:paraId="0505DA34" w14:textId="6E2E3ECB" w:rsidR="00B034F6" w:rsidRPr="00B034F6" w:rsidRDefault="00B034F6" w:rsidP="00B034F6">
      <w:pPr>
        <w:spacing w:after="0" w:line="360" w:lineRule="auto"/>
        <w:jc w:val="both"/>
        <w:rPr>
          <w:rFonts w:ascii="Arial" w:hAnsi="Arial" w:cs="Arial"/>
          <w:sz w:val="24"/>
          <w:szCs w:val="24"/>
        </w:rPr>
      </w:pPr>
      <w:r w:rsidRPr="00B034F6">
        <w:rPr>
          <w:rFonts w:ascii="Arial" w:eastAsia="Times New Roman" w:hAnsi="Arial" w:cs="Arial"/>
          <w:kern w:val="0"/>
          <w:sz w:val="24"/>
          <w:szCs w:val="24"/>
          <w:lang w:eastAsia="en-GB"/>
          <w14:ligatures w14:val="none"/>
        </w:rPr>
        <w:t xml:space="preserve">Mariott (2023). </w:t>
      </w:r>
      <w:r w:rsidRPr="00B034F6">
        <w:rPr>
          <w:rFonts w:ascii="Arial" w:hAnsi="Arial" w:cs="Arial"/>
          <w:sz w:val="24"/>
          <w:szCs w:val="24"/>
        </w:rPr>
        <w:t>Marriott International, Inc. - Climate Change 2023</w:t>
      </w:r>
      <w:r w:rsidRPr="00B034F6">
        <w:rPr>
          <w:rFonts w:ascii="Arial" w:hAnsi="Arial" w:cs="Arial"/>
          <w:sz w:val="24"/>
          <w:szCs w:val="24"/>
        </w:rPr>
        <w:t xml:space="preserve">. Available at: </w:t>
      </w:r>
      <w:hyperlink r:id="rId11" w:history="1">
        <w:r w:rsidRPr="00B034F6">
          <w:rPr>
            <w:rStyle w:val="Hyperlink"/>
            <w:rFonts w:ascii="Arial" w:hAnsi="Arial" w:cs="Arial"/>
            <w:color w:val="auto"/>
            <w:sz w:val="24"/>
            <w:szCs w:val="24"/>
          </w:rPr>
          <w:t>https://serve360.marriott.com/wp-content/uploads/2023/09/CDP-Climate-2023-vHsm2.pdf</w:t>
        </w:r>
      </w:hyperlink>
    </w:p>
    <w:p w14:paraId="1A4B1BAA" w14:textId="77777777" w:rsidR="00B034F6" w:rsidRPr="00B034F6" w:rsidRDefault="00B034F6" w:rsidP="00B034F6">
      <w:pPr>
        <w:spacing w:after="0" w:line="360" w:lineRule="auto"/>
        <w:jc w:val="both"/>
        <w:rPr>
          <w:rFonts w:ascii="Arial" w:hAnsi="Arial" w:cs="Arial"/>
          <w:sz w:val="24"/>
          <w:szCs w:val="24"/>
        </w:rPr>
      </w:pPr>
    </w:p>
    <w:p w14:paraId="1B728904" w14:textId="2DE7740C" w:rsidR="00B034F6" w:rsidRPr="00B034F6" w:rsidRDefault="00B034F6" w:rsidP="00B034F6">
      <w:pPr>
        <w:pStyle w:val="NormalWeb"/>
        <w:spacing w:before="0" w:beforeAutospacing="0" w:after="0" w:afterAutospacing="0" w:line="360" w:lineRule="auto"/>
        <w:jc w:val="both"/>
        <w:rPr>
          <w:rFonts w:ascii="Arial" w:hAnsi="Arial" w:cs="Arial"/>
        </w:rPr>
      </w:pPr>
      <w:r w:rsidRPr="00B034F6">
        <w:rPr>
          <w:rFonts w:ascii="Arial" w:hAnsi="Arial" w:cs="Arial"/>
        </w:rPr>
        <w:t xml:space="preserve">Mariott </w:t>
      </w:r>
      <w:proofErr w:type="spellStart"/>
      <w:r w:rsidRPr="00B034F6">
        <w:rPr>
          <w:rFonts w:ascii="Arial" w:hAnsi="Arial" w:cs="Arial"/>
        </w:rPr>
        <w:t>Intrenational</w:t>
      </w:r>
      <w:proofErr w:type="spellEnd"/>
      <w:r w:rsidRPr="00B034F6">
        <w:rPr>
          <w:rFonts w:ascii="Arial" w:hAnsi="Arial" w:cs="Arial"/>
        </w:rPr>
        <w:t xml:space="preserve"> (2022). </w:t>
      </w:r>
      <w:r w:rsidRPr="00B034F6">
        <w:rPr>
          <w:rFonts w:ascii="Arial" w:hAnsi="Arial" w:cs="Arial"/>
        </w:rPr>
        <w:t xml:space="preserve">2022 SERVE 360 </w:t>
      </w:r>
      <w:proofErr w:type="gramStart"/>
      <w:r w:rsidRPr="00B034F6">
        <w:rPr>
          <w:rFonts w:ascii="Arial" w:hAnsi="Arial" w:cs="Arial"/>
        </w:rPr>
        <w:t>REPORT</w:t>
      </w:r>
      <w:proofErr w:type="gramEnd"/>
      <w:r w:rsidRPr="00B034F6">
        <w:rPr>
          <w:rFonts w:ascii="Arial" w:hAnsi="Arial" w:cs="Arial"/>
        </w:rPr>
        <w:t>: Environmental, Social, and Governance Progress [online] Available at: https://serve360.marriott.com/wp-content/uploads/2022/10/Marriott-2022-Serve-360-ESG-Report-accessible_F.pdf.</w:t>
      </w:r>
    </w:p>
    <w:p w14:paraId="0441846E" w14:textId="77777777" w:rsidR="00501E45" w:rsidRPr="00B034F6" w:rsidRDefault="00501E45" w:rsidP="00B034F6">
      <w:pPr>
        <w:spacing w:after="0" w:line="360" w:lineRule="auto"/>
        <w:jc w:val="both"/>
        <w:rPr>
          <w:rFonts w:ascii="Arial" w:eastAsia="Times New Roman" w:hAnsi="Arial" w:cs="Arial"/>
          <w:kern w:val="0"/>
          <w:sz w:val="24"/>
          <w:szCs w:val="24"/>
          <w:lang w:eastAsia="en-GB"/>
          <w14:ligatures w14:val="none"/>
        </w:rPr>
      </w:pPr>
    </w:p>
    <w:p w14:paraId="34694130" w14:textId="0B7803AF" w:rsidR="00E7790D" w:rsidRPr="00B034F6" w:rsidRDefault="00E7790D" w:rsidP="00B034F6">
      <w:pPr>
        <w:pStyle w:val="NormalWeb"/>
        <w:spacing w:before="0" w:beforeAutospacing="0" w:after="0" w:afterAutospacing="0" w:line="360" w:lineRule="auto"/>
        <w:jc w:val="both"/>
        <w:rPr>
          <w:rFonts w:ascii="Arial" w:hAnsi="Arial" w:cs="Arial"/>
        </w:rPr>
      </w:pPr>
      <w:r w:rsidRPr="00B034F6">
        <w:rPr>
          <w:rFonts w:ascii="Arial" w:hAnsi="Arial" w:cs="Arial"/>
        </w:rPr>
        <w:t>Modak, P. (2021). Practicing Circular Economy. [online] Google Books. CRC Press. Available at: https://www.google.co.uk/books/edition/Practicing_Circular_Economy/kWgtEAAAQBAJ?hl=en&amp;gbpv=1&amp;dq=The+Circular+Economy++is+a+revolutionary+way+to+tackling+global+environmental+issues+&amp;pg=PP1&amp;printsec=frontcover [Accessed 1</w:t>
      </w:r>
      <w:r w:rsidRPr="00B034F6">
        <w:rPr>
          <w:rFonts w:ascii="Arial" w:hAnsi="Arial" w:cs="Arial"/>
        </w:rPr>
        <w:t>7</w:t>
      </w:r>
      <w:r w:rsidRPr="00B034F6">
        <w:rPr>
          <w:rFonts w:ascii="Arial" w:hAnsi="Arial" w:cs="Arial"/>
        </w:rPr>
        <w:t xml:space="preserve"> </w:t>
      </w:r>
      <w:r w:rsidRPr="00B034F6">
        <w:rPr>
          <w:rFonts w:ascii="Arial" w:hAnsi="Arial" w:cs="Arial"/>
        </w:rPr>
        <w:t>Jan</w:t>
      </w:r>
      <w:r w:rsidRPr="00B034F6">
        <w:rPr>
          <w:rFonts w:ascii="Arial" w:hAnsi="Arial" w:cs="Arial"/>
        </w:rPr>
        <w:t>. 2024].</w:t>
      </w:r>
    </w:p>
    <w:p w14:paraId="02C6EC6D" w14:textId="77777777" w:rsidR="00E7790D" w:rsidRPr="00B034F6" w:rsidRDefault="00E7790D" w:rsidP="00B034F6">
      <w:pPr>
        <w:spacing w:after="0" w:line="360" w:lineRule="auto"/>
        <w:jc w:val="both"/>
        <w:rPr>
          <w:rFonts w:ascii="Arial" w:eastAsia="Times New Roman" w:hAnsi="Arial" w:cs="Arial"/>
          <w:kern w:val="0"/>
          <w:sz w:val="24"/>
          <w:szCs w:val="24"/>
          <w:lang w:eastAsia="en-GB"/>
          <w14:ligatures w14:val="none"/>
        </w:rPr>
      </w:pPr>
    </w:p>
    <w:p w14:paraId="1A291D1F" w14:textId="531C4700" w:rsidR="00E7790D" w:rsidRPr="00B034F6" w:rsidRDefault="00E7790D" w:rsidP="00B034F6">
      <w:pPr>
        <w:spacing w:after="0" w:line="360" w:lineRule="auto"/>
        <w:jc w:val="both"/>
        <w:rPr>
          <w:rFonts w:ascii="Arial" w:hAnsi="Arial" w:cs="Arial"/>
          <w:sz w:val="24"/>
          <w:szCs w:val="24"/>
          <w:shd w:val="clear" w:color="auto" w:fill="FFFFFF"/>
        </w:rPr>
      </w:pPr>
      <w:r w:rsidRPr="00B034F6">
        <w:rPr>
          <w:rFonts w:ascii="Arial" w:hAnsi="Arial" w:cs="Arial"/>
          <w:sz w:val="24"/>
          <w:szCs w:val="24"/>
          <w:shd w:val="clear" w:color="auto" w:fill="FFFFFF"/>
        </w:rPr>
        <w:t>Stoyanova, T., 2019. CSR strategies applied in terms of circular economy. Econ. Altern, 2, pp.263-274.</w:t>
      </w:r>
    </w:p>
    <w:p w14:paraId="318AB906" w14:textId="77777777" w:rsidR="00E7790D" w:rsidRPr="00B034F6" w:rsidRDefault="00E7790D" w:rsidP="00B034F6">
      <w:pPr>
        <w:spacing w:after="0" w:line="360" w:lineRule="auto"/>
        <w:jc w:val="both"/>
        <w:rPr>
          <w:rFonts w:ascii="Arial" w:hAnsi="Arial" w:cs="Arial"/>
          <w:sz w:val="24"/>
          <w:szCs w:val="24"/>
          <w:shd w:val="clear" w:color="auto" w:fill="FFFFFF"/>
        </w:rPr>
      </w:pPr>
    </w:p>
    <w:p w14:paraId="6A5AC074" w14:textId="33AA0589" w:rsidR="00501E45" w:rsidRPr="00B034F6" w:rsidRDefault="00501E45" w:rsidP="00B034F6">
      <w:pPr>
        <w:pStyle w:val="NormalWeb"/>
        <w:spacing w:before="0" w:beforeAutospacing="0" w:after="0" w:afterAutospacing="0" w:line="360" w:lineRule="auto"/>
        <w:jc w:val="both"/>
        <w:rPr>
          <w:rFonts w:ascii="Arial" w:hAnsi="Arial" w:cs="Arial"/>
        </w:rPr>
      </w:pPr>
      <w:r w:rsidRPr="00B034F6">
        <w:rPr>
          <w:rFonts w:ascii="Arial" w:hAnsi="Arial" w:cs="Arial"/>
        </w:rPr>
        <w:t xml:space="preserve">United Nations (2023). Sustainable Development Goals. [online] United Nations Sustainable Development. Available at: </w:t>
      </w:r>
      <w:hyperlink r:id="rId12" w:history="1">
        <w:r w:rsidRPr="00B034F6">
          <w:rPr>
            <w:rStyle w:val="Hyperlink"/>
            <w:rFonts w:ascii="Arial" w:hAnsi="Arial" w:cs="Arial"/>
            <w:color w:val="auto"/>
          </w:rPr>
          <w:t>https://www.un.org/sustainabledevelopment/sustainable-development-goals/</w:t>
        </w:r>
      </w:hyperlink>
      <w:r w:rsidRPr="00B034F6">
        <w:rPr>
          <w:rFonts w:ascii="Arial" w:hAnsi="Arial" w:cs="Arial"/>
        </w:rPr>
        <w:t>.</w:t>
      </w:r>
    </w:p>
    <w:p w14:paraId="5636CF69" w14:textId="77777777" w:rsidR="00501E45" w:rsidRPr="00B034F6" w:rsidRDefault="00501E45" w:rsidP="00B034F6">
      <w:pPr>
        <w:pStyle w:val="NormalWeb"/>
        <w:spacing w:before="0" w:beforeAutospacing="0" w:after="0" w:afterAutospacing="0" w:line="360" w:lineRule="auto"/>
        <w:jc w:val="both"/>
        <w:rPr>
          <w:rFonts w:ascii="Arial" w:hAnsi="Arial" w:cs="Arial"/>
        </w:rPr>
      </w:pPr>
    </w:p>
    <w:p w14:paraId="51E9E888" w14:textId="59BF88A4" w:rsidR="00E7790D" w:rsidRPr="00B034F6" w:rsidRDefault="00E7790D" w:rsidP="00B034F6">
      <w:pPr>
        <w:spacing w:after="0" w:line="360" w:lineRule="auto"/>
        <w:jc w:val="both"/>
        <w:rPr>
          <w:rFonts w:ascii="Arial" w:eastAsia="Times New Roman" w:hAnsi="Arial" w:cs="Arial"/>
          <w:kern w:val="0"/>
          <w:sz w:val="24"/>
          <w:szCs w:val="24"/>
          <w:lang w:eastAsia="en-GB"/>
          <w14:ligatures w14:val="none"/>
        </w:rPr>
      </w:pPr>
      <w:r w:rsidRPr="00E7790D">
        <w:rPr>
          <w:rFonts w:ascii="Arial" w:eastAsia="Times New Roman" w:hAnsi="Arial" w:cs="Arial"/>
          <w:kern w:val="0"/>
          <w:sz w:val="24"/>
          <w:szCs w:val="24"/>
          <w:lang w:eastAsia="en-GB"/>
          <w14:ligatures w14:val="none"/>
        </w:rPr>
        <w:t xml:space="preserve">Urbinati, A., </w:t>
      </w:r>
      <w:proofErr w:type="spellStart"/>
      <w:r w:rsidRPr="00E7790D">
        <w:rPr>
          <w:rFonts w:ascii="Arial" w:eastAsia="Times New Roman" w:hAnsi="Arial" w:cs="Arial"/>
          <w:kern w:val="0"/>
          <w:sz w:val="24"/>
          <w:szCs w:val="24"/>
          <w:lang w:eastAsia="en-GB"/>
          <w14:ligatures w14:val="none"/>
        </w:rPr>
        <w:t>Chiaroni</w:t>
      </w:r>
      <w:proofErr w:type="spellEnd"/>
      <w:r w:rsidRPr="00E7790D">
        <w:rPr>
          <w:rFonts w:ascii="Arial" w:eastAsia="Times New Roman" w:hAnsi="Arial" w:cs="Arial"/>
          <w:kern w:val="0"/>
          <w:sz w:val="24"/>
          <w:szCs w:val="24"/>
          <w:lang w:eastAsia="en-GB"/>
          <w14:ligatures w14:val="none"/>
        </w:rPr>
        <w:t xml:space="preserve">, D. and Chiesa, V. (2017) ‘Towards a new taxonomy of circular economy business models’, Journal of cleaner production., 168, pp. 487–498. Available at: </w:t>
      </w:r>
      <w:hyperlink r:id="rId13" w:history="1">
        <w:r w:rsidR="00D01028" w:rsidRPr="00E7790D">
          <w:rPr>
            <w:rStyle w:val="Hyperlink"/>
            <w:rFonts w:ascii="Arial" w:eastAsia="Times New Roman" w:hAnsi="Arial" w:cs="Arial"/>
            <w:color w:val="auto"/>
            <w:kern w:val="0"/>
            <w:sz w:val="24"/>
            <w:szCs w:val="24"/>
            <w:lang w:eastAsia="en-GB"/>
            <w14:ligatures w14:val="none"/>
          </w:rPr>
          <w:t>https://doi.org/10.1016/j.jclepro.2017.09.047</w:t>
        </w:r>
      </w:hyperlink>
      <w:r w:rsidRPr="00E7790D">
        <w:rPr>
          <w:rFonts w:ascii="Arial" w:eastAsia="Times New Roman" w:hAnsi="Arial" w:cs="Arial"/>
          <w:kern w:val="0"/>
          <w:sz w:val="24"/>
          <w:szCs w:val="24"/>
          <w:lang w:eastAsia="en-GB"/>
          <w14:ligatures w14:val="none"/>
        </w:rPr>
        <w:t>.</w:t>
      </w:r>
    </w:p>
    <w:p w14:paraId="77F09D3F" w14:textId="77777777" w:rsidR="00D01028" w:rsidRPr="00B034F6" w:rsidRDefault="00D01028" w:rsidP="00B034F6">
      <w:pPr>
        <w:spacing w:after="0" w:line="360" w:lineRule="auto"/>
        <w:jc w:val="both"/>
        <w:rPr>
          <w:rFonts w:ascii="Arial" w:eastAsia="Times New Roman" w:hAnsi="Arial" w:cs="Arial"/>
          <w:kern w:val="0"/>
          <w:sz w:val="24"/>
          <w:szCs w:val="24"/>
          <w:lang w:eastAsia="en-GB"/>
          <w14:ligatures w14:val="none"/>
        </w:rPr>
      </w:pPr>
    </w:p>
    <w:p w14:paraId="3F73AC7E" w14:textId="2B59AD50" w:rsidR="00D01028" w:rsidRPr="00E7790D" w:rsidRDefault="00D01028" w:rsidP="00B034F6">
      <w:pPr>
        <w:pStyle w:val="NormalWeb"/>
        <w:spacing w:before="0" w:beforeAutospacing="0" w:after="0" w:afterAutospacing="0" w:line="360" w:lineRule="auto"/>
        <w:jc w:val="both"/>
        <w:rPr>
          <w:rFonts w:ascii="Arial" w:hAnsi="Arial" w:cs="Arial"/>
        </w:rPr>
      </w:pPr>
      <w:proofErr w:type="spellStart"/>
      <w:r w:rsidRPr="00B034F6">
        <w:rPr>
          <w:rFonts w:ascii="Arial" w:hAnsi="Arial" w:cs="Arial"/>
        </w:rPr>
        <w:t>Whibread</w:t>
      </w:r>
      <w:proofErr w:type="spellEnd"/>
      <w:r w:rsidRPr="00B034F6">
        <w:rPr>
          <w:rFonts w:ascii="Arial" w:hAnsi="Arial" w:cs="Arial"/>
        </w:rPr>
        <w:t xml:space="preserve"> (2021). </w:t>
      </w:r>
      <w:r w:rsidRPr="00B034F6">
        <w:rPr>
          <w:rFonts w:ascii="Arial" w:hAnsi="Arial" w:cs="Arial"/>
        </w:rPr>
        <w:t>Whitbread plc Responsible Sourcing Policy Contents. Available at: https://cdn.whitbread.co.uk/media/2021/02/Whitbread-Responsible-Sourcing-Policy-Update-July2021.pdf.</w:t>
      </w:r>
    </w:p>
    <w:p w14:paraId="1CAE8BE7" w14:textId="77777777" w:rsidR="00E7790D" w:rsidRPr="00B034F6" w:rsidRDefault="00E7790D" w:rsidP="00B034F6">
      <w:pPr>
        <w:spacing w:line="360" w:lineRule="auto"/>
        <w:jc w:val="both"/>
        <w:rPr>
          <w:rFonts w:ascii="Arial" w:hAnsi="Arial" w:cs="Arial"/>
          <w:sz w:val="24"/>
          <w:szCs w:val="24"/>
        </w:rPr>
      </w:pPr>
    </w:p>
    <w:p w14:paraId="769DEA5C" w14:textId="2030DCA1" w:rsidR="00E7790D" w:rsidRPr="00B034F6" w:rsidRDefault="00E7790D" w:rsidP="00B034F6">
      <w:pPr>
        <w:pStyle w:val="NormalWeb"/>
        <w:spacing w:before="0" w:beforeAutospacing="0" w:after="0" w:afterAutospacing="0" w:line="360" w:lineRule="auto"/>
        <w:jc w:val="both"/>
        <w:rPr>
          <w:rFonts w:ascii="Arial" w:hAnsi="Arial" w:cs="Arial"/>
        </w:rPr>
      </w:pPr>
      <w:r w:rsidRPr="00B034F6">
        <w:rPr>
          <w:rFonts w:ascii="Arial" w:hAnsi="Arial" w:cs="Arial"/>
        </w:rPr>
        <w:t xml:space="preserve">Whitbread (2023). About Us. [online] Whitbread PLC. Available at: </w:t>
      </w:r>
      <w:hyperlink r:id="rId14" w:history="1">
        <w:r w:rsidR="00D01028" w:rsidRPr="00B034F6">
          <w:rPr>
            <w:rStyle w:val="Hyperlink"/>
            <w:rFonts w:ascii="Arial" w:hAnsi="Arial" w:cs="Arial"/>
            <w:color w:val="auto"/>
          </w:rPr>
          <w:t>https://www.whitbread.co.uk/about-us/</w:t>
        </w:r>
      </w:hyperlink>
      <w:r w:rsidRPr="00B034F6">
        <w:rPr>
          <w:rFonts w:ascii="Arial" w:hAnsi="Arial" w:cs="Arial"/>
        </w:rPr>
        <w:t>.</w:t>
      </w:r>
    </w:p>
    <w:p w14:paraId="6C44B301" w14:textId="77777777" w:rsidR="00D01028" w:rsidRPr="00B034F6" w:rsidRDefault="00D01028" w:rsidP="00B034F6">
      <w:pPr>
        <w:pStyle w:val="NormalWeb"/>
        <w:spacing w:before="0" w:beforeAutospacing="0" w:after="0" w:afterAutospacing="0" w:line="360" w:lineRule="auto"/>
        <w:jc w:val="both"/>
        <w:rPr>
          <w:rFonts w:ascii="Arial" w:hAnsi="Arial" w:cs="Arial"/>
        </w:rPr>
      </w:pPr>
    </w:p>
    <w:p w14:paraId="299C45BD" w14:textId="2BCC4075" w:rsidR="00D01028" w:rsidRPr="00B034F6" w:rsidRDefault="00D01028" w:rsidP="00B034F6">
      <w:pPr>
        <w:pStyle w:val="NormalWeb"/>
        <w:spacing w:before="0" w:beforeAutospacing="0" w:after="0" w:afterAutospacing="0" w:line="360" w:lineRule="auto"/>
        <w:jc w:val="both"/>
        <w:rPr>
          <w:rFonts w:ascii="Arial" w:hAnsi="Arial" w:cs="Arial"/>
        </w:rPr>
      </w:pPr>
      <w:r w:rsidRPr="00B034F6">
        <w:rPr>
          <w:rFonts w:ascii="Arial" w:hAnsi="Arial" w:cs="Arial"/>
        </w:rPr>
        <w:t>Whitbread (2023). </w:t>
      </w:r>
      <w:r w:rsidR="00B034F6" w:rsidRPr="00B034F6">
        <w:rPr>
          <w:rFonts w:ascii="Arial" w:hAnsi="Arial" w:cs="Arial"/>
        </w:rPr>
        <w:t xml:space="preserve">Annual report 2022/2023. Available at: </w:t>
      </w:r>
      <w:r w:rsidR="00B034F6" w:rsidRPr="00B034F6">
        <w:rPr>
          <w:rFonts w:ascii="Arial" w:hAnsi="Arial" w:cs="Arial"/>
        </w:rPr>
        <w:t>https://cdn.whitbread.co.uk/media/2023/05/Whitbread_AR22_Interactive.pdf</w:t>
      </w:r>
    </w:p>
    <w:p w14:paraId="07981090" w14:textId="77777777" w:rsidR="00D01028" w:rsidRPr="00B034F6" w:rsidRDefault="00D01028" w:rsidP="00B034F6">
      <w:pPr>
        <w:pStyle w:val="NormalWeb"/>
        <w:spacing w:before="0" w:beforeAutospacing="0" w:after="0" w:afterAutospacing="0" w:line="360" w:lineRule="auto"/>
        <w:jc w:val="both"/>
        <w:rPr>
          <w:rFonts w:ascii="Arial" w:hAnsi="Arial" w:cs="Arial"/>
        </w:rPr>
      </w:pPr>
    </w:p>
    <w:p w14:paraId="21D8A4D5" w14:textId="5F164C75" w:rsidR="00D01028" w:rsidRPr="00B034F6" w:rsidRDefault="00D01028" w:rsidP="00B034F6">
      <w:pPr>
        <w:pStyle w:val="NormalWeb"/>
        <w:spacing w:before="0" w:beforeAutospacing="0" w:after="0" w:afterAutospacing="0" w:line="360" w:lineRule="auto"/>
        <w:jc w:val="both"/>
        <w:rPr>
          <w:rFonts w:ascii="Arial" w:hAnsi="Arial" w:cs="Arial"/>
        </w:rPr>
      </w:pPr>
      <w:r w:rsidRPr="00B034F6">
        <w:rPr>
          <w:rFonts w:ascii="Arial" w:hAnsi="Arial" w:cs="Arial"/>
        </w:rPr>
        <w:t xml:space="preserve">Whitbread (2023). </w:t>
      </w:r>
      <w:r w:rsidRPr="00B034F6">
        <w:rPr>
          <w:rFonts w:ascii="Arial" w:hAnsi="Arial" w:cs="Arial"/>
        </w:rPr>
        <w:t>Environmental, Social and Governance Report 2022/23.</w:t>
      </w:r>
      <w:r w:rsidRPr="00B034F6">
        <w:rPr>
          <w:rFonts w:ascii="Arial" w:hAnsi="Arial" w:cs="Arial"/>
        </w:rPr>
        <w:t xml:space="preserve"> </w:t>
      </w:r>
      <w:r w:rsidRPr="00B034F6">
        <w:rPr>
          <w:rFonts w:ascii="Arial" w:hAnsi="Arial" w:cs="Arial"/>
        </w:rPr>
        <w:t>Available at: https://cdn.whitbread.co.uk/media/2023/05/Whitbread_ESG_Report_FY22_23-1.pdf.</w:t>
      </w:r>
    </w:p>
    <w:p w14:paraId="0F3830E9" w14:textId="7580071B" w:rsidR="00D01028" w:rsidRPr="00B034F6" w:rsidRDefault="00D01028" w:rsidP="00B034F6">
      <w:pPr>
        <w:pStyle w:val="NormalWeb"/>
        <w:spacing w:line="360" w:lineRule="auto"/>
        <w:jc w:val="both"/>
        <w:rPr>
          <w:rFonts w:ascii="Arial" w:hAnsi="Arial" w:cs="Arial"/>
        </w:rPr>
      </w:pPr>
      <w:r w:rsidRPr="00B034F6">
        <w:rPr>
          <w:rFonts w:ascii="Arial" w:hAnsi="Arial" w:cs="Arial"/>
        </w:rPr>
        <w:t>‌Whitbread (2023).</w:t>
      </w:r>
      <w:r w:rsidRPr="00B034F6">
        <w:rPr>
          <w:rFonts w:ascii="Arial" w:hAnsi="Arial" w:cs="Arial"/>
        </w:rPr>
        <w:t xml:space="preserve"> </w:t>
      </w:r>
      <w:r w:rsidRPr="00B034F6">
        <w:rPr>
          <w:rFonts w:ascii="Arial" w:hAnsi="Arial" w:cs="Arial"/>
        </w:rPr>
        <w:t>Net Zero Transition Plan 2022/23</w:t>
      </w:r>
      <w:r w:rsidRPr="00B034F6">
        <w:rPr>
          <w:rFonts w:ascii="Arial" w:hAnsi="Arial" w:cs="Arial"/>
        </w:rPr>
        <w:t xml:space="preserve">. Available at: </w:t>
      </w:r>
      <w:r w:rsidRPr="00B034F6">
        <w:rPr>
          <w:rFonts w:ascii="Arial" w:hAnsi="Arial" w:cs="Arial"/>
        </w:rPr>
        <w:t>https://cdn.whitbread.co.uk/media/2023/05/23818_Whitbread-Net-Zero-Transition_230516.pdf</w:t>
      </w:r>
    </w:p>
    <w:p w14:paraId="0CC34CFC" w14:textId="79B91097" w:rsidR="00D01028" w:rsidRPr="00B034F6" w:rsidRDefault="00D01028" w:rsidP="00B034F6">
      <w:pPr>
        <w:pStyle w:val="NormalWeb"/>
        <w:spacing w:before="0" w:beforeAutospacing="0" w:after="0" w:afterAutospacing="0" w:line="360" w:lineRule="auto"/>
        <w:jc w:val="both"/>
        <w:rPr>
          <w:rFonts w:ascii="Arial" w:hAnsi="Arial" w:cs="Arial"/>
        </w:rPr>
      </w:pPr>
    </w:p>
    <w:p w14:paraId="2334C1D0" w14:textId="77777777" w:rsidR="00E7790D" w:rsidRPr="00B034F6" w:rsidRDefault="00E7790D" w:rsidP="00B034F6">
      <w:pPr>
        <w:pStyle w:val="NormalWeb"/>
        <w:spacing w:line="360" w:lineRule="auto"/>
        <w:jc w:val="both"/>
        <w:rPr>
          <w:rFonts w:ascii="Arial" w:hAnsi="Arial" w:cs="Arial"/>
        </w:rPr>
      </w:pPr>
      <w:r w:rsidRPr="00B034F6">
        <w:rPr>
          <w:rFonts w:ascii="Arial" w:hAnsi="Arial" w:cs="Arial"/>
        </w:rPr>
        <w:t>‌</w:t>
      </w:r>
    </w:p>
    <w:p w14:paraId="1938B624" w14:textId="77777777" w:rsidR="00E7790D" w:rsidRPr="00B034F6" w:rsidRDefault="00E7790D" w:rsidP="00B034F6">
      <w:pPr>
        <w:spacing w:line="360" w:lineRule="auto"/>
        <w:jc w:val="both"/>
        <w:rPr>
          <w:rFonts w:ascii="Arial" w:hAnsi="Arial" w:cs="Arial"/>
          <w:sz w:val="24"/>
          <w:szCs w:val="24"/>
        </w:rPr>
      </w:pPr>
    </w:p>
    <w:p w14:paraId="251F481F" w14:textId="77777777" w:rsidR="00BE07CA" w:rsidRPr="00B034F6" w:rsidRDefault="00BE07CA" w:rsidP="00B034F6">
      <w:pPr>
        <w:spacing w:line="360" w:lineRule="auto"/>
        <w:jc w:val="both"/>
        <w:rPr>
          <w:rFonts w:ascii="Arial" w:hAnsi="Arial" w:cs="Arial"/>
          <w:sz w:val="24"/>
          <w:szCs w:val="24"/>
        </w:rPr>
      </w:pPr>
    </w:p>
    <w:sectPr w:rsidR="00BE07CA" w:rsidRPr="00B034F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46249" w14:textId="77777777" w:rsidR="00D80027" w:rsidRDefault="00D80027" w:rsidP="00537210">
      <w:pPr>
        <w:spacing w:after="0" w:line="240" w:lineRule="auto"/>
      </w:pPr>
      <w:r>
        <w:separator/>
      </w:r>
    </w:p>
  </w:endnote>
  <w:endnote w:type="continuationSeparator" w:id="0">
    <w:p w14:paraId="174E8EB5" w14:textId="77777777" w:rsidR="00D80027" w:rsidRDefault="00D80027" w:rsidP="005372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0245558"/>
      <w:docPartObj>
        <w:docPartGallery w:val="Page Numbers (Bottom of Page)"/>
        <w:docPartUnique/>
      </w:docPartObj>
    </w:sdtPr>
    <w:sdtEndPr>
      <w:rPr>
        <w:noProof/>
      </w:rPr>
    </w:sdtEndPr>
    <w:sdtContent>
      <w:p w14:paraId="046F78F1" w14:textId="0CA4A3EC" w:rsidR="00537210" w:rsidRDefault="0053721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885F30" w14:textId="77777777" w:rsidR="00537210" w:rsidRDefault="005372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45329" w14:textId="77777777" w:rsidR="00D80027" w:rsidRDefault="00D80027" w:rsidP="00537210">
      <w:pPr>
        <w:spacing w:after="0" w:line="240" w:lineRule="auto"/>
      </w:pPr>
      <w:r>
        <w:separator/>
      </w:r>
    </w:p>
  </w:footnote>
  <w:footnote w:type="continuationSeparator" w:id="0">
    <w:p w14:paraId="2533F99B" w14:textId="77777777" w:rsidR="00D80027" w:rsidRDefault="00D80027" w:rsidP="005372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210"/>
    <w:rsid w:val="00177F05"/>
    <w:rsid w:val="00501E45"/>
    <w:rsid w:val="00537210"/>
    <w:rsid w:val="005E1EE9"/>
    <w:rsid w:val="007B0CC3"/>
    <w:rsid w:val="009334D8"/>
    <w:rsid w:val="00B034F6"/>
    <w:rsid w:val="00B151A8"/>
    <w:rsid w:val="00BC109C"/>
    <w:rsid w:val="00BE07CA"/>
    <w:rsid w:val="00D01028"/>
    <w:rsid w:val="00D80027"/>
    <w:rsid w:val="00E55465"/>
    <w:rsid w:val="00E77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E3ED4"/>
  <w15:chartTrackingRefBased/>
  <w15:docId w15:val="{6F8CD199-37E8-48CC-BBF6-835F690EB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2F5496"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5372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7210"/>
  </w:style>
  <w:style w:type="paragraph" w:styleId="Footer">
    <w:name w:val="footer"/>
    <w:basedOn w:val="Normal"/>
    <w:link w:val="FooterChar"/>
    <w:uiPriority w:val="99"/>
    <w:unhideWhenUsed/>
    <w:rsid w:val="005372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7210"/>
  </w:style>
  <w:style w:type="paragraph" w:styleId="NormalWeb">
    <w:name w:val="Normal (Web)"/>
    <w:basedOn w:val="Normal"/>
    <w:uiPriority w:val="99"/>
    <w:unhideWhenUsed/>
    <w:rsid w:val="00E7790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E7790D"/>
    <w:rPr>
      <w:color w:val="0563C1" w:themeColor="hyperlink"/>
      <w:u w:val="single"/>
    </w:rPr>
  </w:style>
  <w:style w:type="character" w:styleId="UnresolvedMention">
    <w:name w:val="Unresolved Mention"/>
    <w:basedOn w:val="DefaultParagraphFont"/>
    <w:uiPriority w:val="99"/>
    <w:semiHidden/>
    <w:unhideWhenUsed/>
    <w:rsid w:val="00E779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19877">
      <w:bodyDiv w:val="1"/>
      <w:marLeft w:val="0"/>
      <w:marRight w:val="0"/>
      <w:marTop w:val="0"/>
      <w:marBottom w:val="0"/>
      <w:divBdr>
        <w:top w:val="none" w:sz="0" w:space="0" w:color="auto"/>
        <w:left w:val="none" w:sz="0" w:space="0" w:color="auto"/>
        <w:bottom w:val="none" w:sz="0" w:space="0" w:color="auto"/>
        <w:right w:val="none" w:sz="0" w:space="0" w:color="auto"/>
      </w:divBdr>
    </w:div>
    <w:div w:id="509685729">
      <w:bodyDiv w:val="1"/>
      <w:marLeft w:val="0"/>
      <w:marRight w:val="0"/>
      <w:marTop w:val="0"/>
      <w:marBottom w:val="0"/>
      <w:divBdr>
        <w:top w:val="none" w:sz="0" w:space="0" w:color="auto"/>
        <w:left w:val="none" w:sz="0" w:space="0" w:color="auto"/>
        <w:bottom w:val="none" w:sz="0" w:space="0" w:color="auto"/>
        <w:right w:val="none" w:sz="0" w:space="0" w:color="auto"/>
      </w:divBdr>
      <w:divsChild>
        <w:div w:id="686103658">
          <w:marLeft w:val="0"/>
          <w:marRight w:val="0"/>
          <w:marTop w:val="0"/>
          <w:marBottom w:val="0"/>
          <w:divBdr>
            <w:top w:val="none" w:sz="0" w:space="0" w:color="auto"/>
            <w:left w:val="none" w:sz="0" w:space="0" w:color="auto"/>
            <w:bottom w:val="none" w:sz="0" w:space="0" w:color="auto"/>
            <w:right w:val="none" w:sz="0" w:space="0" w:color="auto"/>
          </w:divBdr>
          <w:divsChild>
            <w:div w:id="184362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102946">
      <w:bodyDiv w:val="1"/>
      <w:marLeft w:val="0"/>
      <w:marRight w:val="0"/>
      <w:marTop w:val="0"/>
      <w:marBottom w:val="0"/>
      <w:divBdr>
        <w:top w:val="none" w:sz="0" w:space="0" w:color="auto"/>
        <w:left w:val="none" w:sz="0" w:space="0" w:color="auto"/>
        <w:bottom w:val="none" w:sz="0" w:space="0" w:color="auto"/>
        <w:right w:val="none" w:sz="0" w:space="0" w:color="auto"/>
      </w:divBdr>
      <w:divsChild>
        <w:div w:id="471602975">
          <w:marLeft w:val="0"/>
          <w:marRight w:val="0"/>
          <w:marTop w:val="0"/>
          <w:marBottom w:val="0"/>
          <w:divBdr>
            <w:top w:val="none" w:sz="0" w:space="0" w:color="auto"/>
            <w:left w:val="none" w:sz="0" w:space="0" w:color="auto"/>
            <w:bottom w:val="none" w:sz="0" w:space="0" w:color="auto"/>
            <w:right w:val="none" w:sz="0" w:space="0" w:color="auto"/>
          </w:divBdr>
          <w:divsChild>
            <w:div w:id="128453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755075">
      <w:bodyDiv w:val="1"/>
      <w:marLeft w:val="0"/>
      <w:marRight w:val="0"/>
      <w:marTop w:val="0"/>
      <w:marBottom w:val="0"/>
      <w:divBdr>
        <w:top w:val="none" w:sz="0" w:space="0" w:color="auto"/>
        <w:left w:val="none" w:sz="0" w:space="0" w:color="auto"/>
        <w:bottom w:val="none" w:sz="0" w:space="0" w:color="auto"/>
        <w:right w:val="none" w:sz="0" w:space="0" w:color="auto"/>
      </w:divBdr>
    </w:div>
    <w:div w:id="1306810378">
      <w:bodyDiv w:val="1"/>
      <w:marLeft w:val="0"/>
      <w:marRight w:val="0"/>
      <w:marTop w:val="0"/>
      <w:marBottom w:val="0"/>
      <w:divBdr>
        <w:top w:val="none" w:sz="0" w:space="0" w:color="auto"/>
        <w:left w:val="none" w:sz="0" w:space="0" w:color="auto"/>
        <w:bottom w:val="none" w:sz="0" w:space="0" w:color="auto"/>
        <w:right w:val="none" w:sz="0" w:space="0" w:color="auto"/>
      </w:divBdr>
    </w:div>
    <w:div w:id="1307315910">
      <w:bodyDiv w:val="1"/>
      <w:marLeft w:val="0"/>
      <w:marRight w:val="0"/>
      <w:marTop w:val="0"/>
      <w:marBottom w:val="0"/>
      <w:divBdr>
        <w:top w:val="none" w:sz="0" w:space="0" w:color="auto"/>
        <w:left w:val="none" w:sz="0" w:space="0" w:color="auto"/>
        <w:bottom w:val="none" w:sz="0" w:space="0" w:color="auto"/>
        <w:right w:val="none" w:sz="0" w:space="0" w:color="auto"/>
      </w:divBdr>
    </w:div>
    <w:div w:id="1639601659">
      <w:bodyDiv w:val="1"/>
      <w:marLeft w:val="0"/>
      <w:marRight w:val="0"/>
      <w:marTop w:val="0"/>
      <w:marBottom w:val="0"/>
      <w:divBdr>
        <w:top w:val="none" w:sz="0" w:space="0" w:color="auto"/>
        <w:left w:val="none" w:sz="0" w:space="0" w:color="auto"/>
        <w:bottom w:val="none" w:sz="0" w:space="0" w:color="auto"/>
        <w:right w:val="none" w:sz="0" w:space="0" w:color="auto"/>
      </w:divBdr>
      <w:divsChild>
        <w:div w:id="145248701">
          <w:marLeft w:val="0"/>
          <w:marRight w:val="0"/>
          <w:marTop w:val="0"/>
          <w:marBottom w:val="0"/>
          <w:divBdr>
            <w:top w:val="none" w:sz="0" w:space="0" w:color="auto"/>
            <w:left w:val="none" w:sz="0" w:space="0" w:color="auto"/>
            <w:bottom w:val="none" w:sz="0" w:space="0" w:color="auto"/>
            <w:right w:val="none" w:sz="0" w:space="0" w:color="auto"/>
          </w:divBdr>
          <w:divsChild>
            <w:div w:id="214361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338316">
      <w:bodyDiv w:val="1"/>
      <w:marLeft w:val="0"/>
      <w:marRight w:val="0"/>
      <w:marTop w:val="0"/>
      <w:marBottom w:val="0"/>
      <w:divBdr>
        <w:top w:val="none" w:sz="0" w:space="0" w:color="auto"/>
        <w:left w:val="none" w:sz="0" w:space="0" w:color="auto"/>
        <w:bottom w:val="none" w:sz="0" w:space="0" w:color="auto"/>
        <w:right w:val="none" w:sz="0" w:space="0" w:color="auto"/>
      </w:divBdr>
    </w:div>
    <w:div w:id="1966764564">
      <w:bodyDiv w:val="1"/>
      <w:marLeft w:val="0"/>
      <w:marRight w:val="0"/>
      <w:marTop w:val="0"/>
      <w:marBottom w:val="0"/>
      <w:divBdr>
        <w:top w:val="none" w:sz="0" w:space="0" w:color="auto"/>
        <w:left w:val="none" w:sz="0" w:space="0" w:color="auto"/>
        <w:bottom w:val="none" w:sz="0" w:space="0" w:color="auto"/>
        <w:right w:val="none" w:sz="0" w:space="0" w:color="auto"/>
      </w:divBdr>
    </w:div>
    <w:div w:id="2038311150">
      <w:bodyDiv w:val="1"/>
      <w:marLeft w:val="0"/>
      <w:marRight w:val="0"/>
      <w:marTop w:val="0"/>
      <w:marBottom w:val="0"/>
      <w:divBdr>
        <w:top w:val="none" w:sz="0" w:space="0" w:color="auto"/>
        <w:left w:val="none" w:sz="0" w:space="0" w:color="auto"/>
        <w:bottom w:val="none" w:sz="0" w:space="0" w:color="auto"/>
        <w:right w:val="none" w:sz="0" w:space="0" w:color="auto"/>
      </w:divBdr>
      <w:divsChild>
        <w:div w:id="253247339">
          <w:marLeft w:val="0"/>
          <w:marRight w:val="0"/>
          <w:marTop w:val="0"/>
          <w:marBottom w:val="0"/>
          <w:divBdr>
            <w:top w:val="none" w:sz="0" w:space="0" w:color="auto"/>
            <w:left w:val="none" w:sz="0" w:space="0" w:color="auto"/>
            <w:bottom w:val="none" w:sz="0" w:space="0" w:color="auto"/>
            <w:right w:val="none" w:sz="0" w:space="0" w:color="auto"/>
          </w:divBdr>
          <w:divsChild>
            <w:div w:id="89242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277805">
      <w:bodyDiv w:val="1"/>
      <w:marLeft w:val="0"/>
      <w:marRight w:val="0"/>
      <w:marTop w:val="0"/>
      <w:marBottom w:val="0"/>
      <w:divBdr>
        <w:top w:val="none" w:sz="0" w:space="0" w:color="auto"/>
        <w:left w:val="none" w:sz="0" w:space="0" w:color="auto"/>
        <w:bottom w:val="none" w:sz="0" w:space="0" w:color="auto"/>
        <w:right w:val="none" w:sz="0" w:space="0" w:color="auto"/>
      </w:divBdr>
      <w:divsChild>
        <w:div w:id="528300256">
          <w:marLeft w:val="0"/>
          <w:marRight w:val="0"/>
          <w:marTop w:val="0"/>
          <w:marBottom w:val="0"/>
          <w:divBdr>
            <w:top w:val="none" w:sz="0" w:space="0" w:color="auto"/>
            <w:left w:val="none" w:sz="0" w:space="0" w:color="auto"/>
            <w:bottom w:val="none" w:sz="0" w:space="0" w:color="auto"/>
            <w:right w:val="none" w:sz="0" w:space="0" w:color="auto"/>
          </w:divBdr>
          <w:divsChild>
            <w:div w:id="86568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IJCHM-03-2018-0199" TargetMode="External"/><Relationship Id="rId13" Type="http://schemas.openxmlformats.org/officeDocument/2006/relationships/hyperlink" Target="https://doi.org/10.1016/j.jclepro.2017.09.047" TargetMode="External"/><Relationship Id="rId3" Type="http://schemas.openxmlformats.org/officeDocument/2006/relationships/settings" Target="settings.xml"/><Relationship Id="rId7" Type="http://schemas.openxmlformats.org/officeDocument/2006/relationships/hyperlink" Target="https://doi.org/10.1177/14673584221119581" TargetMode="External"/><Relationship Id="rId12" Type="http://schemas.openxmlformats.org/officeDocument/2006/relationships/hyperlink" Target="https://www.un.org/sustainabledevelopment/sustainable-development-goal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erve360.marriott.com/wp-content/uploads/2023/09/CDP-Climate-2023-vHsm2.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i.org/10.1108/IJCHM-10-2012-0180" TargetMode="External"/><Relationship Id="rId4" Type="http://schemas.openxmlformats.org/officeDocument/2006/relationships/webSettings" Target="webSettings.xml"/><Relationship Id="rId9" Type="http://schemas.openxmlformats.org/officeDocument/2006/relationships/hyperlink" Target="https://doi.org/10.1016/j.jclepro.2016.12.048" TargetMode="External"/><Relationship Id="rId14" Type="http://schemas.openxmlformats.org/officeDocument/2006/relationships/hyperlink" Target="https://www.whitbread.co.uk/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2BBC1-AADA-4FBD-881F-59EFDE1CB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10</Pages>
  <Words>2991</Words>
  <Characters>17054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dcterms:created xsi:type="dcterms:W3CDTF">2024-01-31T18:49:00Z</dcterms:created>
  <dcterms:modified xsi:type="dcterms:W3CDTF">2024-02-01T11:54:00Z</dcterms:modified>
</cp:coreProperties>
</file>