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0B09CB2F" w:rsidR="00642F80" w:rsidRDefault="253D673F" w:rsidP="103743D0">
      <w:pPr>
        <w:pStyle w:val="ListParagraph"/>
        <w:numPr>
          <w:ilvl w:val="0"/>
          <w:numId w:val="1"/>
        </w:numPr>
        <w:jc w:val="center"/>
        <w:rPr>
          <w:rFonts w:ascii="Times New Roman" w:eastAsia="Times New Roman" w:hAnsi="Times New Roman" w:cs="Times New Roman"/>
          <w:b/>
          <w:bCs/>
          <w:sz w:val="28"/>
          <w:szCs w:val="28"/>
        </w:rPr>
      </w:pPr>
      <w:r w:rsidRPr="103743D0">
        <w:rPr>
          <w:rFonts w:ascii="Times New Roman" w:eastAsia="Times New Roman" w:hAnsi="Times New Roman" w:cs="Times New Roman"/>
          <w:b/>
          <w:bCs/>
          <w:sz w:val="28"/>
          <w:szCs w:val="28"/>
        </w:rPr>
        <w:t>Translation of Cicero</w:t>
      </w:r>
      <w:r w:rsidR="482AB60F" w:rsidRPr="103743D0">
        <w:rPr>
          <w:rFonts w:ascii="Times New Roman" w:eastAsia="Times New Roman" w:hAnsi="Times New Roman" w:cs="Times New Roman"/>
          <w:b/>
          <w:bCs/>
          <w:sz w:val="28"/>
          <w:szCs w:val="28"/>
        </w:rPr>
        <w:t>,</w:t>
      </w:r>
      <w:r w:rsidRPr="103743D0">
        <w:rPr>
          <w:rFonts w:ascii="Times New Roman" w:eastAsia="Times New Roman" w:hAnsi="Times New Roman" w:cs="Times New Roman"/>
          <w:b/>
          <w:bCs/>
          <w:sz w:val="28"/>
          <w:szCs w:val="28"/>
        </w:rPr>
        <w:t xml:space="preserve"> </w:t>
      </w:r>
      <w:r w:rsidRPr="103743D0">
        <w:rPr>
          <w:rFonts w:ascii="Times New Roman" w:eastAsia="Times New Roman" w:hAnsi="Times New Roman" w:cs="Times New Roman"/>
          <w:b/>
          <w:bCs/>
          <w:i/>
          <w:iCs/>
          <w:sz w:val="28"/>
          <w:szCs w:val="28"/>
        </w:rPr>
        <w:t>Verrines</w:t>
      </w:r>
      <w:r w:rsidRPr="103743D0">
        <w:rPr>
          <w:rFonts w:ascii="Times New Roman" w:eastAsia="Times New Roman" w:hAnsi="Times New Roman" w:cs="Times New Roman"/>
          <w:b/>
          <w:bCs/>
          <w:sz w:val="28"/>
          <w:szCs w:val="28"/>
        </w:rPr>
        <w:t xml:space="preserve"> 2.1.62</w:t>
      </w:r>
    </w:p>
    <w:p w14:paraId="6AC6997B" w14:textId="702B3D00" w:rsidR="5C9FA469" w:rsidRDefault="5C9FA469" w:rsidP="103743D0">
      <w:pPr>
        <w:pStyle w:val="ListParagraph"/>
        <w:jc w:val="center"/>
        <w:rPr>
          <w:rFonts w:ascii="Times New Roman" w:eastAsia="Times New Roman" w:hAnsi="Times New Roman" w:cs="Times New Roman"/>
          <w:sz w:val="28"/>
          <w:szCs w:val="28"/>
        </w:rPr>
      </w:pPr>
    </w:p>
    <w:p w14:paraId="4C284512" w14:textId="1623BC0E" w:rsidR="78128B0B" w:rsidRPr="00063473" w:rsidRDefault="0005443D" w:rsidP="07512DD2">
      <w:pPr>
        <w:spacing w:line="480" w:lineRule="auto"/>
        <w:rPr>
          <w:rFonts w:ascii="Times New Roman" w:hAnsi="Times New Roman" w:cs="Times New Roman"/>
        </w:rPr>
      </w:pPr>
      <w:r w:rsidRPr="00063473">
        <w:rPr>
          <w:rFonts w:ascii="Times New Roman" w:eastAsia="Times New Roman" w:hAnsi="Times New Roman" w:cs="Times New Roman"/>
        </w:rPr>
        <w:t>‘</w:t>
      </w:r>
      <w:r w:rsidR="0EA44460" w:rsidRPr="00063473">
        <w:rPr>
          <w:rFonts w:ascii="Times New Roman" w:eastAsia="Times New Roman" w:hAnsi="Times New Roman" w:cs="Times New Roman"/>
        </w:rPr>
        <w:t>He had, I believe, ungovernable and unbridled desires in these matters alone; his other lusts were restrained by some sort of reason or by moderation. How many freeborn youths, how many matrons do you think he violated during that foul and impure embassy? In what town did he set foot without leaving behind more traces of his debaucheries and crimes than of his arrival? But I will pass over everything that can be denied; I will even leave aside those things which are most certain and most evident. I will choose just one example from that man</w:t>
      </w:r>
      <w:r w:rsidR="366D4649" w:rsidRPr="00063473">
        <w:rPr>
          <w:rFonts w:ascii="Times New Roman" w:eastAsia="Times New Roman" w:hAnsi="Times New Roman" w:cs="Times New Roman"/>
        </w:rPr>
        <w:t>'</w:t>
      </w:r>
      <w:r w:rsidR="0EA44460" w:rsidRPr="00063473">
        <w:rPr>
          <w:rFonts w:ascii="Times New Roman" w:eastAsia="Times New Roman" w:hAnsi="Times New Roman" w:cs="Times New Roman"/>
        </w:rPr>
        <w:t xml:space="preserve">s abominations, so that I </w:t>
      </w:r>
      <w:r w:rsidR="0037571F">
        <w:rPr>
          <w:rFonts w:ascii="Times New Roman" w:eastAsia="Times New Roman" w:hAnsi="Times New Roman" w:cs="Times New Roman"/>
        </w:rPr>
        <w:t xml:space="preserve">        </w:t>
      </w:r>
      <w:r w:rsidR="0EA44460" w:rsidRPr="00063473">
        <w:rPr>
          <w:rFonts w:ascii="Times New Roman" w:eastAsia="Times New Roman" w:hAnsi="Times New Roman" w:cs="Times New Roman"/>
        </w:rPr>
        <w:t>may more easily reach Sicily at some point, Sicily, which has laid this burden and task upon me</w:t>
      </w:r>
      <w:r w:rsidR="00340D02" w:rsidRPr="00063473">
        <w:rPr>
          <w:rFonts w:ascii="Times New Roman" w:eastAsia="Times New Roman" w:hAnsi="Times New Roman" w:cs="Times New Roman"/>
        </w:rPr>
        <w:t>’</w:t>
      </w:r>
      <w:r w:rsidR="0EA44460" w:rsidRPr="00063473">
        <w:rPr>
          <w:rFonts w:ascii="Times New Roman" w:eastAsia="Times New Roman" w:hAnsi="Times New Roman" w:cs="Times New Roman"/>
        </w:rPr>
        <w:t>.</w:t>
      </w:r>
    </w:p>
    <w:p w14:paraId="047FEB70" w14:textId="77777777" w:rsidR="00057DAA" w:rsidRPr="00063473" w:rsidRDefault="79DA72FF" w:rsidP="00057DAA">
      <w:pPr>
        <w:pStyle w:val="ListParagraph"/>
        <w:numPr>
          <w:ilvl w:val="0"/>
          <w:numId w:val="1"/>
        </w:numPr>
        <w:spacing w:line="278" w:lineRule="auto"/>
        <w:jc w:val="center"/>
        <w:rPr>
          <w:rFonts w:ascii="Times New Roman" w:eastAsia="Times New Roman" w:hAnsi="Times New Roman" w:cs="Times New Roman"/>
          <w:sz w:val="28"/>
          <w:szCs w:val="28"/>
        </w:rPr>
      </w:pPr>
      <w:r w:rsidRPr="00063473">
        <w:rPr>
          <w:rFonts w:ascii="Times New Roman" w:eastAsia="Times New Roman" w:hAnsi="Times New Roman" w:cs="Times New Roman"/>
          <w:b/>
          <w:bCs/>
          <w:sz w:val="28"/>
          <w:szCs w:val="28"/>
        </w:rPr>
        <w:t xml:space="preserve">Commentary on </w:t>
      </w:r>
      <w:r w:rsidRPr="00063473">
        <w:rPr>
          <w:rFonts w:ascii="Times New Roman" w:eastAsia="Times New Roman" w:hAnsi="Times New Roman" w:cs="Times New Roman"/>
          <w:b/>
          <w:bCs/>
          <w:i/>
          <w:iCs/>
          <w:sz w:val="28"/>
          <w:szCs w:val="28"/>
        </w:rPr>
        <w:t xml:space="preserve">Verrines </w:t>
      </w:r>
      <w:r w:rsidRPr="00063473">
        <w:rPr>
          <w:rFonts w:ascii="Times New Roman" w:eastAsia="Times New Roman" w:hAnsi="Times New Roman" w:cs="Times New Roman"/>
          <w:b/>
          <w:bCs/>
          <w:sz w:val="28"/>
          <w:szCs w:val="28"/>
        </w:rPr>
        <w:t>2.1</w:t>
      </w:r>
      <w:r w:rsidR="4EC3D4ED" w:rsidRPr="00063473">
        <w:rPr>
          <w:rFonts w:ascii="Times New Roman" w:eastAsia="Times New Roman" w:hAnsi="Times New Roman" w:cs="Times New Roman"/>
          <w:b/>
          <w:bCs/>
          <w:sz w:val="28"/>
          <w:szCs w:val="28"/>
        </w:rPr>
        <w:t>.</w:t>
      </w:r>
      <w:r w:rsidRPr="00063473">
        <w:rPr>
          <w:rFonts w:ascii="Times New Roman" w:eastAsia="Times New Roman" w:hAnsi="Times New Roman" w:cs="Times New Roman"/>
          <w:b/>
          <w:bCs/>
          <w:sz w:val="28"/>
          <w:szCs w:val="28"/>
        </w:rPr>
        <w:t>63</w:t>
      </w:r>
    </w:p>
    <w:p w14:paraId="2B106802" w14:textId="2D12600A" w:rsidR="00451949" w:rsidRPr="00063473" w:rsidRDefault="00451949" w:rsidP="00D67C75">
      <w:pPr>
        <w:spacing w:line="480" w:lineRule="auto"/>
        <w:rPr>
          <w:rFonts w:ascii="Times New Roman" w:eastAsia="Times New Roman" w:hAnsi="Times New Roman" w:cs="Times New Roman"/>
          <w:sz w:val="28"/>
          <w:szCs w:val="28"/>
        </w:rPr>
      </w:pPr>
      <w:r w:rsidRPr="00063473">
        <w:rPr>
          <w:rFonts w:ascii="Times New Roman" w:hAnsi="Times New Roman" w:cs="Times New Roman"/>
        </w:rPr>
        <w:t xml:space="preserve">The following short essay attempts to </w:t>
      </w:r>
      <w:r w:rsidR="00B06EA2">
        <w:rPr>
          <w:rFonts w:ascii="Times New Roman" w:hAnsi="Times New Roman" w:cs="Times New Roman"/>
        </w:rPr>
        <w:t>mirror</w:t>
      </w:r>
      <w:r w:rsidRPr="00063473">
        <w:rPr>
          <w:rFonts w:ascii="Times New Roman" w:hAnsi="Times New Roman" w:cs="Times New Roman"/>
        </w:rPr>
        <w:t xml:space="preserve"> Cicero’s approach by presenting a blended linguistic and sociopolitical commentary on section 63. Cicero’s description of Lampsacus at the opening of the passage is a carefully crafted piece of rhetorical scene setting. The town is introduced as </w:t>
      </w:r>
      <w:r w:rsidRPr="00063473">
        <w:rPr>
          <w:rStyle w:val="Emphasis"/>
          <w:rFonts w:ascii="Times New Roman" w:hAnsi="Times New Roman" w:cs="Times New Roman"/>
        </w:rPr>
        <w:t>clarum et nobile</w:t>
      </w:r>
      <w:r w:rsidRPr="00063473">
        <w:rPr>
          <w:rFonts w:ascii="Times New Roman" w:hAnsi="Times New Roman" w:cs="Times New Roman"/>
        </w:rPr>
        <w:t xml:space="preserve">, ‘renowned and noble’, and its inhabitants as exceptionally well disposed towards Romans, </w:t>
      </w:r>
      <w:r w:rsidRPr="00063473">
        <w:rPr>
          <w:rStyle w:val="Emphasis"/>
          <w:rFonts w:ascii="Times New Roman" w:hAnsi="Times New Roman" w:cs="Times New Roman"/>
        </w:rPr>
        <w:t>summe in omnis civis Romanos officiosi</w:t>
      </w:r>
      <w:r w:rsidRPr="00063473">
        <w:rPr>
          <w:rFonts w:ascii="Times New Roman" w:hAnsi="Times New Roman" w:cs="Times New Roman"/>
        </w:rPr>
        <w:t xml:space="preserve">. The superlative </w:t>
      </w:r>
      <w:r w:rsidRPr="00063473">
        <w:rPr>
          <w:rStyle w:val="Emphasis"/>
          <w:rFonts w:ascii="Times New Roman" w:hAnsi="Times New Roman" w:cs="Times New Roman"/>
        </w:rPr>
        <w:t>summe</w:t>
      </w:r>
      <w:r w:rsidRPr="00063473">
        <w:rPr>
          <w:rFonts w:ascii="Times New Roman" w:hAnsi="Times New Roman" w:cs="Times New Roman"/>
        </w:rPr>
        <w:t xml:space="preserve"> and the universalising </w:t>
      </w:r>
      <w:r w:rsidRPr="00063473">
        <w:rPr>
          <w:rStyle w:val="Emphasis"/>
          <w:rFonts w:ascii="Times New Roman" w:hAnsi="Times New Roman" w:cs="Times New Roman"/>
        </w:rPr>
        <w:t>in omnis</w:t>
      </w:r>
      <w:r w:rsidRPr="00063473">
        <w:rPr>
          <w:rFonts w:ascii="Times New Roman" w:hAnsi="Times New Roman" w:cs="Times New Roman"/>
        </w:rPr>
        <w:t xml:space="preserve"> combine to present the Lampsacenes as ideal provincial subjects, inclined to loyalty and cooperation. Cicero then adds that they are </w:t>
      </w:r>
      <w:r w:rsidRPr="00063473">
        <w:rPr>
          <w:rStyle w:val="Emphasis"/>
          <w:rFonts w:ascii="Times New Roman" w:hAnsi="Times New Roman" w:cs="Times New Roman"/>
        </w:rPr>
        <w:t>maxime sedati et quieti</w:t>
      </w:r>
      <w:r w:rsidRPr="00063473">
        <w:rPr>
          <w:rFonts w:ascii="Times New Roman" w:hAnsi="Times New Roman" w:cs="Times New Roman"/>
        </w:rPr>
        <w:t xml:space="preserve">, ‘especially calm and peaceful’, almost uniquely suited </w:t>
      </w:r>
      <w:r w:rsidRPr="00063473">
        <w:rPr>
          <w:rStyle w:val="Emphasis"/>
          <w:rFonts w:ascii="Times New Roman" w:hAnsi="Times New Roman" w:cs="Times New Roman"/>
        </w:rPr>
        <w:t>ad summum Graecorum otium</w:t>
      </w:r>
      <w:r w:rsidRPr="00063473">
        <w:rPr>
          <w:rFonts w:ascii="Times New Roman" w:hAnsi="Times New Roman" w:cs="Times New Roman"/>
        </w:rPr>
        <w:t xml:space="preserve">, ‘to the highest degree of Greek tranquillity’, rather than to </w:t>
      </w:r>
      <w:r w:rsidRPr="00063473">
        <w:rPr>
          <w:rStyle w:val="Emphasis"/>
          <w:rFonts w:ascii="Times New Roman" w:hAnsi="Times New Roman" w:cs="Times New Roman"/>
        </w:rPr>
        <w:t>ullam vim aut tumultum</w:t>
      </w:r>
      <w:r w:rsidRPr="00063473">
        <w:rPr>
          <w:rFonts w:ascii="Times New Roman" w:hAnsi="Times New Roman" w:cs="Times New Roman"/>
        </w:rPr>
        <w:t xml:space="preserve">, ‘any violence or disturbance’. The contrast between </w:t>
      </w:r>
      <w:r w:rsidRPr="00063473">
        <w:rPr>
          <w:rStyle w:val="Emphasis"/>
          <w:rFonts w:ascii="Times New Roman" w:hAnsi="Times New Roman" w:cs="Times New Roman"/>
        </w:rPr>
        <w:t>otium</w:t>
      </w:r>
      <w:r w:rsidRPr="00063473">
        <w:rPr>
          <w:rFonts w:ascii="Times New Roman" w:hAnsi="Times New Roman" w:cs="Times New Roman"/>
        </w:rPr>
        <w:t xml:space="preserve"> and </w:t>
      </w:r>
      <w:r w:rsidRPr="00063473">
        <w:rPr>
          <w:rStyle w:val="Emphasis"/>
          <w:rFonts w:ascii="Times New Roman" w:hAnsi="Times New Roman" w:cs="Times New Roman"/>
        </w:rPr>
        <w:t>vis</w:t>
      </w:r>
      <w:r w:rsidRPr="00063473">
        <w:rPr>
          <w:rFonts w:ascii="Times New Roman" w:hAnsi="Times New Roman" w:cs="Times New Roman"/>
        </w:rPr>
        <w:t xml:space="preserve"> is not merely descriptive but ideological: Cicero constructs Lampsacus as a community whose cultural identity is antithetical to violence, thereby heightening the outrage of what Verres’ arrival will bring </w:t>
      </w:r>
      <w:r w:rsidR="00394600" w:rsidRPr="00063473">
        <w:rPr>
          <w:rFonts w:ascii="Times New Roman" w:hAnsi="Times New Roman" w:cs="Times New Roman"/>
        </w:rPr>
        <w:t xml:space="preserve"> </w:t>
      </w:r>
      <w:r w:rsidRPr="00063473">
        <w:rPr>
          <w:rFonts w:ascii="Times New Roman" w:hAnsi="Times New Roman" w:cs="Times New Roman"/>
        </w:rPr>
        <w:t>(Vasaly 1993, pp. 118–20).</w:t>
      </w:r>
    </w:p>
    <w:p w14:paraId="2F72D2EB" w14:textId="77777777" w:rsidR="00451949" w:rsidRPr="00063473" w:rsidRDefault="00451949" w:rsidP="00D67C75">
      <w:pPr>
        <w:pStyle w:val="NormalWeb"/>
        <w:spacing w:line="480" w:lineRule="auto"/>
        <w:ind w:firstLine="360"/>
      </w:pPr>
      <w:r w:rsidRPr="00063473">
        <w:lastRenderedPageBreak/>
        <w:t xml:space="preserve">The linguistic texture of this opening is dominated by superlatives and intensifiers: </w:t>
      </w:r>
      <w:r w:rsidRPr="00063473">
        <w:rPr>
          <w:rStyle w:val="Emphasis"/>
        </w:rPr>
        <w:t>in primis, summe, maxime, prope praeter ceteros</w:t>
      </w:r>
      <w:r w:rsidRPr="00063473">
        <w:t xml:space="preserve">. Cicero uses these to create an idealised provincial community whose virtues will be violated by Verres’ conduct. Steel notes that Cicero’s </w:t>
      </w:r>
      <w:r w:rsidRPr="00063473">
        <w:rPr>
          <w:rStyle w:val="Emphasis"/>
        </w:rPr>
        <w:t>narratio</w:t>
      </w:r>
      <w:r w:rsidRPr="00063473">
        <w:t xml:space="preserve"> frequently relies on exaggerated characterisation to frame Verres’ actions as aberrant and destructive (Steel 2001, pp. 76–80). The Lampsacenes are not simply good; they are models of civic order. This rhetorical hyperbole serves a double purpose in that it magnifies the horror of Verres’ behaviour and implicitly criticises Roman governance for failing to protect such communities.</w:t>
      </w:r>
    </w:p>
    <w:p w14:paraId="63125211" w14:textId="7617354C" w:rsidR="00451949" w:rsidRPr="00063473" w:rsidRDefault="00451949" w:rsidP="00D67C75">
      <w:pPr>
        <w:pStyle w:val="NormalWeb"/>
        <w:spacing w:line="480" w:lineRule="auto"/>
        <w:ind w:firstLine="360"/>
      </w:pPr>
      <w:r w:rsidRPr="00063473">
        <w:t xml:space="preserve">The narrative pivot comes with </w:t>
      </w:r>
      <w:r w:rsidRPr="00063473">
        <w:rPr>
          <w:rStyle w:val="Emphasis"/>
        </w:rPr>
        <w:t>accidit</w:t>
      </w:r>
      <w:r w:rsidRPr="00063473">
        <w:t>, ‘it happened’, a verb Cicero often uses to introduce misfortune or wrongdoing</w:t>
      </w:r>
      <w:r w:rsidR="00CE0C82" w:rsidRPr="00063473">
        <w:rPr>
          <w:rStyle w:val="FootnoteReference"/>
        </w:rPr>
        <w:footnoteReference w:id="1"/>
      </w:r>
      <w:r w:rsidRPr="00063473">
        <w:t xml:space="preserve">. Here, </w:t>
      </w:r>
      <w:r w:rsidRPr="00063473">
        <w:rPr>
          <w:rStyle w:val="Emphasis"/>
        </w:rPr>
        <w:t>accidit</w:t>
      </w:r>
      <w:r w:rsidRPr="00063473">
        <w:t xml:space="preserve"> marks the transition from factual exposition to moral denunciation. This kind of dramatic tonal shift is characteristic of Cicero’s courtroom persona; as Edwards notes, he frequently stages moments of heightened indignation to present himself as the guardian of Roman public morality (Edwards 2026, pp. 142–45). The pivot therefore aligns with Cicero’s broader rhetorical practice of signalling the onset of wrongdoing through verbs of sudden occurrence. Verres, we are told, had ‘demanded insistently’ (</w:t>
      </w:r>
      <w:r w:rsidRPr="00063473">
        <w:rPr>
          <w:rStyle w:val="Emphasis"/>
        </w:rPr>
        <w:t>efflagitasset</w:t>
      </w:r>
      <w:r w:rsidRPr="00063473">
        <w:t xml:space="preserve">) that Dolabella should send him to the kings Nicomedes and Sadala. The verb </w:t>
      </w:r>
      <w:r w:rsidRPr="00063473">
        <w:rPr>
          <w:rStyle w:val="Emphasis"/>
        </w:rPr>
        <w:t>efflagitare</w:t>
      </w:r>
      <w:r w:rsidRPr="00063473">
        <w:t xml:space="preserve"> carries connotations of importunate begging or pestering, and Cicero uses it to suggest Verres’ lack of restraint. He then adds that Verres requested the journey not for public business but </w:t>
      </w:r>
      <w:r w:rsidRPr="00063473">
        <w:rPr>
          <w:rStyle w:val="Emphasis"/>
        </w:rPr>
        <w:t>magis ad quaestum suum</w:t>
      </w:r>
      <w:r w:rsidRPr="00063473">
        <w:t xml:space="preserve">, ‘more for his own profit’, than for the needs of the state. The contrast between </w:t>
      </w:r>
      <w:r w:rsidRPr="00063473">
        <w:rPr>
          <w:rStyle w:val="Emphasis"/>
        </w:rPr>
        <w:t>quaestus</w:t>
      </w:r>
      <w:r w:rsidRPr="00063473">
        <w:t xml:space="preserve"> and </w:t>
      </w:r>
      <w:r w:rsidRPr="00063473">
        <w:rPr>
          <w:rStyle w:val="Emphasis"/>
        </w:rPr>
        <w:t>rei publicae tempus</w:t>
      </w:r>
      <w:r w:rsidRPr="00063473">
        <w:t xml:space="preserve"> is </w:t>
      </w:r>
      <w:r w:rsidR="00212FB9">
        <w:t>significant</w:t>
      </w:r>
      <w:r w:rsidRPr="00063473">
        <w:t xml:space="preserve">: Verres’ priorities are personal gain and exploitation, not Roman imperial duty (Mitchell 1986, pp. 188–90). Cicero’s language darkens as he describes Verres’ </w:t>
      </w:r>
      <w:r w:rsidRPr="00063473">
        <w:lastRenderedPageBreak/>
        <w:t xml:space="preserve">arrival at Lampsacus: </w:t>
      </w:r>
      <w:r w:rsidRPr="00063473">
        <w:rPr>
          <w:rStyle w:val="Emphasis"/>
        </w:rPr>
        <w:t>cum magna calamitate et prope pernicie civitatis</w:t>
      </w:r>
      <w:r w:rsidRPr="00063473">
        <w:t xml:space="preserve">, ‘with great disaster and almost the ruin of the city’. The hyperbolic </w:t>
      </w:r>
      <w:r w:rsidRPr="00063473">
        <w:rPr>
          <w:rStyle w:val="Emphasis"/>
        </w:rPr>
        <w:t>prope pernicie</w:t>
      </w:r>
      <w:r w:rsidRPr="00063473">
        <w:t xml:space="preserve"> is typical of Cicero’s moral rhetoric, presenting Verres not merely as a corrupt official but as a force of civic destruction. Berry notes that Cicero frequently frames Verres’ actions as existential threats to communities, thereby elevating the stakes of the trial (Berry 2009, pp. 49–52).</w:t>
      </w:r>
    </w:p>
    <w:p w14:paraId="50E34811" w14:textId="77777777" w:rsidR="00451949" w:rsidRPr="00063473" w:rsidRDefault="00451949" w:rsidP="00D67C75">
      <w:pPr>
        <w:pStyle w:val="NormalWeb"/>
        <w:spacing w:line="480" w:lineRule="auto"/>
        <w:ind w:firstLine="360"/>
      </w:pPr>
      <w:r w:rsidRPr="00063473">
        <w:t>The sociopolitical implications of this framing are significant. Lampsacus is depicted as a peaceful, loyal, culturally refined Greek city whose relationship with Rome should be mutually beneficial. Instead, Roman power, embodied in Verres, brings violence, exploitation, and moral degradation. Cicero thus uses the narrative to critique Roman provincial administration more broadly; Verres is not an isolated bad actor but a symptom of systemic failure (Steel 2001, pp. 82–84).</w:t>
      </w:r>
    </w:p>
    <w:p w14:paraId="3A50919D" w14:textId="77777777" w:rsidR="00451949" w:rsidRPr="00063473" w:rsidRDefault="00451949" w:rsidP="00D67C75">
      <w:pPr>
        <w:pStyle w:val="NormalWeb"/>
        <w:spacing w:line="480" w:lineRule="auto"/>
        <w:ind w:firstLine="360"/>
      </w:pPr>
      <w:r w:rsidRPr="00063473">
        <w:t xml:space="preserve">The passage then shifts from civic description to domestic narrative. Verres is lodged with a certain Ianitor, and his companions are distributed among other hosts. The verb </w:t>
      </w:r>
      <w:r w:rsidRPr="00063473">
        <w:rPr>
          <w:rStyle w:val="Emphasis"/>
        </w:rPr>
        <w:t>deducitur</w:t>
      </w:r>
      <w:r w:rsidRPr="00063473">
        <w:t xml:space="preserve"> (‘he is escorted’) suggests formal hospitality, but Cicero quickly undermines this by introducing Verres’ habitual behaviour: </w:t>
      </w:r>
      <w:r w:rsidRPr="00063473">
        <w:rPr>
          <w:rStyle w:val="Emphasis"/>
        </w:rPr>
        <w:t>ut mos erat istius</w:t>
      </w:r>
      <w:r w:rsidRPr="00063473">
        <w:t xml:space="preserve">, ‘as was that man’s custom’. The demonstrative </w:t>
      </w:r>
      <w:r w:rsidRPr="00063473">
        <w:rPr>
          <w:rStyle w:val="Emphasis"/>
        </w:rPr>
        <w:t>istiús</w:t>
      </w:r>
      <w:r w:rsidRPr="00063473">
        <w:t xml:space="preserve"> is contemptuous, marking Verres as morally distant from the speaker and audience. Cicero adds that Verres’ ‘shameful lusts’ (</w:t>
      </w:r>
      <w:r w:rsidRPr="00063473">
        <w:rPr>
          <w:rStyle w:val="Emphasis"/>
        </w:rPr>
        <w:t>suae libidines flagitiosae</w:t>
      </w:r>
      <w:r w:rsidRPr="00063473">
        <w:t xml:space="preserve">) prompted him to act. The adjective </w:t>
      </w:r>
      <w:r w:rsidRPr="00063473">
        <w:rPr>
          <w:rStyle w:val="Emphasis"/>
        </w:rPr>
        <w:t>flagitiosae</w:t>
      </w:r>
      <w:r w:rsidRPr="00063473">
        <w:t xml:space="preserve"> is a strong moral term, associated with disgrace and public scandal.</w:t>
      </w:r>
    </w:p>
    <w:p w14:paraId="3FEEFAEB" w14:textId="77777777" w:rsidR="00451949" w:rsidRPr="00063473" w:rsidRDefault="00451949" w:rsidP="00D67C75">
      <w:pPr>
        <w:pStyle w:val="NormalWeb"/>
        <w:spacing w:line="480" w:lineRule="auto"/>
        <w:ind w:firstLine="360"/>
      </w:pPr>
      <w:r w:rsidRPr="00063473">
        <w:t xml:space="preserve">Verres immediately gives his attendants a task: </w:t>
      </w:r>
      <w:r w:rsidRPr="00063473">
        <w:rPr>
          <w:rStyle w:val="Emphasis"/>
        </w:rPr>
        <w:t>statim negotium dat illis suis comitibus… uti videant et investigent ecqua virgo sit aut mulier digna quam ob rem ipse Lampsaci diutius commoraretur.</w:t>
      </w:r>
      <w:r w:rsidRPr="00063473">
        <w:t xml:space="preserve"> The phrasing is sinister. The verbs </w:t>
      </w:r>
      <w:r w:rsidRPr="00063473">
        <w:rPr>
          <w:rStyle w:val="Emphasis"/>
        </w:rPr>
        <w:t>videant</w:t>
      </w:r>
      <w:r w:rsidRPr="00063473">
        <w:t xml:space="preserve"> (‘see’) and </w:t>
      </w:r>
      <w:r w:rsidRPr="00063473">
        <w:rPr>
          <w:rStyle w:val="Emphasis"/>
        </w:rPr>
        <w:t>investigent</w:t>
      </w:r>
      <w:r w:rsidRPr="00063473">
        <w:t xml:space="preserve"> (‘investigate’) suggest a predatory search, and the phrase </w:t>
      </w:r>
      <w:r w:rsidRPr="00063473">
        <w:rPr>
          <w:rStyle w:val="Emphasis"/>
        </w:rPr>
        <w:t>ecqua virgo sit aut mulier digna</w:t>
      </w:r>
      <w:r w:rsidRPr="00063473">
        <w:t xml:space="preserve"> (‘whether there is any </w:t>
      </w:r>
      <w:r w:rsidRPr="00063473">
        <w:lastRenderedPageBreak/>
        <w:t xml:space="preserve">girl or woman worthy’) is ironic. The adjective </w:t>
      </w:r>
      <w:r w:rsidRPr="00063473">
        <w:rPr>
          <w:rStyle w:val="Emphasis"/>
        </w:rPr>
        <w:t>digna</w:t>
      </w:r>
      <w:r w:rsidRPr="00063473">
        <w:t xml:space="preserve"> is used here in a morally inverted sense, ‘worthy’ of being sexually targeted. Dyck notes that Cicero’s use of </w:t>
      </w:r>
      <w:r w:rsidRPr="00063473">
        <w:rPr>
          <w:rStyle w:val="Emphasis"/>
        </w:rPr>
        <w:t>digna</w:t>
      </w:r>
      <w:r w:rsidRPr="00063473">
        <w:t xml:space="preserve"> in such contexts exposes the moral perversion of Verres’ worldview (Dyck 2008, pp. 142–43).</w:t>
      </w:r>
    </w:p>
    <w:p w14:paraId="4E1CDCC4" w14:textId="77777777" w:rsidR="00451949" w:rsidRPr="00063473" w:rsidRDefault="00451949" w:rsidP="00D67C75">
      <w:pPr>
        <w:pStyle w:val="NormalWeb"/>
        <w:spacing w:line="480" w:lineRule="auto"/>
        <w:ind w:firstLine="360"/>
      </w:pPr>
      <w:r w:rsidRPr="00063473">
        <w:t xml:space="preserve">The sociopolitical significance of this moment is profound. Verres’ behaviour is not merely personal immorality; it is an abuse of Roman power. His attendants are described as </w:t>
      </w:r>
      <w:r w:rsidRPr="00063473">
        <w:rPr>
          <w:rStyle w:val="Emphasis"/>
        </w:rPr>
        <w:t>nequissimis turpissimisque hominibus</w:t>
      </w:r>
      <w:r w:rsidRPr="00063473">
        <w:t xml:space="preserve">, ‘most worthless and most disgraceful men’, yet they act with impunity because they are Romans. Cicero’s linguistic strategy here is to contrast Greek civic virtue with Roman moral collapse. The Lampsacenes are </w:t>
      </w:r>
      <w:r w:rsidRPr="00063473">
        <w:rPr>
          <w:rStyle w:val="Emphasis"/>
        </w:rPr>
        <w:t>sedati et quieti</w:t>
      </w:r>
      <w:r w:rsidRPr="00063473">
        <w:t xml:space="preserve">, predisposed to </w:t>
      </w:r>
      <w:r w:rsidRPr="00063473">
        <w:rPr>
          <w:rStyle w:val="Emphasis"/>
        </w:rPr>
        <w:t>otium</w:t>
      </w:r>
      <w:r w:rsidRPr="00063473">
        <w:t xml:space="preserve">, while Verres’ men embody </w:t>
      </w:r>
      <w:r w:rsidRPr="00063473">
        <w:rPr>
          <w:rStyle w:val="Emphasis"/>
        </w:rPr>
        <w:t>turpitudo</w:t>
      </w:r>
      <w:r w:rsidRPr="00063473">
        <w:t xml:space="preserve"> and </w:t>
      </w:r>
      <w:r w:rsidRPr="00063473">
        <w:rPr>
          <w:rStyle w:val="Emphasis"/>
        </w:rPr>
        <w:t>libido</w:t>
      </w:r>
      <w:r w:rsidRPr="00063473">
        <w:t xml:space="preserve">. Hall argues that Cicero frequently uses Greekness as a moral mirror, reflecting Roman failings back at the audience (Hall 2015, pp. 210–13). The domestic setting is crucial. Verres’ predatory search for a woman takes place within the context of Greek hospitality, a sacred institution governed by </w:t>
      </w:r>
      <w:r w:rsidRPr="00063473">
        <w:rPr>
          <w:rStyle w:val="Emphasis"/>
        </w:rPr>
        <w:t>xenia</w:t>
      </w:r>
      <w:r w:rsidRPr="00063473">
        <w:t>. By violating the household of his host, Verres symbolically violates the social fabric of the city. Roman governors were expected to uphold local customs and protect civic dignity; Verres instead exploits his status to pursue sexual exploitation. Cicero’s narrative thus becomes a critique not only of Verres but of Roman imperial arrogance.</w:t>
      </w:r>
    </w:p>
    <w:p w14:paraId="444E2B69" w14:textId="77777777" w:rsidR="00451949" w:rsidRPr="00063473" w:rsidRDefault="00451949" w:rsidP="00D67C75">
      <w:pPr>
        <w:pStyle w:val="NormalWeb"/>
        <w:spacing w:line="480" w:lineRule="auto"/>
        <w:ind w:firstLine="360"/>
      </w:pPr>
      <w:r w:rsidRPr="00063473">
        <w:t xml:space="preserve">The linguistic contrast between Greek and Roman behaviour is reinforced by Cicero’s use of cultural vocabulary. The Lampsacenes are described as suited </w:t>
      </w:r>
      <w:r w:rsidRPr="00063473">
        <w:rPr>
          <w:rStyle w:val="Emphasis"/>
        </w:rPr>
        <w:t>ad summum Graecorum otium</w:t>
      </w:r>
      <w:r w:rsidRPr="00063473">
        <w:t xml:space="preserve">, a phrase that evokes philosophical ideals of tranquillity and civic harmony. Verres, by contrast, is driven by </w:t>
      </w:r>
      <w:r w:rsidRPr="00063473">
        <w:rPr>
          <w:rStyle w:val="Emphasis"/>
        </w:rPr>
        <w:t>libidines flagitiosae</w:t>
      </w:r>
      <w:r w:rsidRPr="00063473">
        <w:t xml:space="preserve">. The juxtaposition of </w:t>
      </w:r>
      <w:r w:rsidRPr="00063473">
        <w:rPr>
          <w:rStyle w:val="Emphasis"/>
        </w:rPr>
        <w:t>otium</w:t>
      </w:r>
      <w:r w:rsidRPr="00063473">
        <w:t xml:space="preserve"> and </w:t>
      </w:r>
      <w:r w:rsidRPr="00063473">
        <w:rPr>
          <w:rStyle w:val="Emphasis"/>
        </w:rPr>
        <w:t>libido</w:t>
      </w:r>
      <w:r w:rsidRPr="00063473">
        <w:t xml:space="preserve"> frames the conflict as one between civilised restraint and barbaric excess. Cicero’s rhetorical strategy is to present the Lampsacus event as emblematic of the broader dangers of Roman provincial power. Verres’ </w:t>
      </w:r>
      <w:r w:rsidRPr="00063473">
        <w:lastRenderedPageBreak/>
        <w:t xml:space="preserve">actions threaten not only individuals but the stability of communities. His arrival brings </w:t>
      </w:r>
      <w:r w:rsidRPr="00063473">
        <w:rPr>
          <w:rStyle w:val="Emphasis"/>
        </w:rPr>
        <w:t>calamitas</w:t>
      </w:r>
      <w:r w:rsidRPr="00063473">
        <w:t xml:space="preserve"> and </w:t>
      </w:r>
      <w:r w:rsidRPr="00063473">
        <w:rPr>
          <w:rStyle w:val="Emphasis"/>
        </w:rPr>
        <w:t>pernicies</w:t>
      </w:r>
      <w:r w:rsidRPr="00063473">
        <w:t>, terms associated with civic ruin. By foregrounding the peaceful nature of Lampsacus, Cicero heightens the sense of violation and injustice.</w:t>
      </w:r>
    </w:p>
    <w:p w14:paraId="05E43DAE" w14:textId="544577D1" w:rsidR="00451949" w:rsidRPr="00063473" w:rsidRDefault="00451949" w:rsidP="00D67C75">
      <w:pPr>
        <w:pStyle w:val="NormalWeb"/>
        <w:spacing w:line="480" w:lineRule="auto"/>
        <w:ind w:firstLine="360"/>
      </w:pPr>
      <w:r w:rsidRPr="00063473">
        <w:t>In conclusion, section 63 exemplifies Cicero’s ability to combine linguistic precision with sociopolitical critique. Through superlatives, cultural contrasts, moral vocabulary, and domestic imagery, Cicero constructs a narrative in which Verres’ behaviour appears not merely immoral but fundamentally incompatible with Roman ideals of governance. The Lampsacenes’ peaceful civic identity is shattered by Roman violence, and Cicero uses this rupture to argue that Verres represents a threat to the moral foundations of Roman rule itself. As Edwards’ recent biography makes clear, Cicero’s career unfolded within a Republic increasingly unable to curb the misconduct of its magistrates (Edwards 2026, pp. </w:t>
      </w:r>
      <w:r w:rsidR="00411156">
        <w:t>60-</w:t>
      </w:r>
      <w:r w:rsidR="00EE32E0">
        <w:t>61</w:t>
      </w:r>
      <w:r w:rsidRPr="00063473">
        <w:t>), and the administration of the provinces, in her analysis, exposed the deeper structural malaise of the state, power operating without any meaningful system of accountability.</w:t>
      </w:r>
    </w:p>
    <w:p w14:paraId="1BE9D21F" w14:textId="1333CF2D" w:rsidR="00DE4257" w:rsidRPr="00063473" w:rsidRDefault="004F3527" w:rsidP="004F3527">
      <w:pPr>
        <w:spacing w:before="240" w:after="240" w:line="480" w:lineRule="auto"/>
        <w:ind w:firstLine="720"/>
        <w:rPr>
          <w:rFonts w:ascii="Times New Roman" w:eastAsia="Times New Roman" w:hAnsi="Times New Roman" w:cs="Times New Roman"/>
        </w:rPr>
      </w:pPr>
      <w:r w:rsidRPr="00063473">
        <w:rPr>
          <w:rFonts w:ascii="Times New Roman" w:eastAsia="Times New Roman" w:hAnsi="Times New Roman" w:cs="Times New Roman"/>
        </w:rPr>
        <w:t xml:space="preserve">. </w:t>
      </w:r>
    </w:p>
    <w:p w14:paraId="0D8339B5" w14:textId="4D788F30" w:rsidR="00D46DE9" w:rsidRPr="00063473" w:rsidRDefault="00CA16E8" w:rsidP="00DE4257">
      <w:pPr>
        <w:spacing w:before="240" w:after="240" w:line="480" w:lineRule="auto"/>
        <w:rPr>
          <w:rFonts w:ascii="Times New Roman" w:eastAsia="Times New Roman" w:hAnsi="Times New Roman" w:cs="Times New Roman"/>
        </w:rPr>
      </w:pPr>
      <w:r w:rsidRPr="00063473">
        <w:rPr>
          <w:rFonts w:ascii="Times New Roman" w:eastAsia="Times New Roman" w:hAnsi="Times New Roman" w:cs="Times New Roman"/>
        </w:rPr>
        <w:t>(1</w:t>
      </w:r>
      <w:r w:rsidR="0069388F">
        <w:rPr>
          <w:rFonts w:ascii="Times New Roman" w:eastAsia="Times New Roman" w:hAnsi="Times New Roman" w:cs="Times New Roman"/>
        </w:rPr>
        <w:t>,</w:t>
      </w:r>
      <w:r w:rsidRPr="00063473">
        <w:rPr>
          <w:rFonts w:ascii="Times New Roman" w:eastAsia="Times New Roman" w:hAnsi="Times New Roman" w:cs="Times New Roman"/>
        </w:rPr>
        <w:t>2</w:t>
      </w:r>
      <w:r w:rsidR="0069388F">
        <w:rPr>
          <w:rFonts w:ascii="Times New Roman" w:eastAsia="Times New Roman" w:hAnsi="Times New Roman" w:cs="Times New Roman"/>
        </w:rPr>
        <w:t>22</w:t>
      </w:r>
      <w:r w:rsidRPr="00063473">
        <w:rPr>
          <w:rFonts w:ascii="Times New Roman" w:eastAsia="Times New Roman" w:hAnsi="Times New Roman" w:cs="Times New Roman"/>
        </w:rPr>
        <w:t xml:space="preserve"> words)</w:t>
      </w:r>
    </w:p>
    <w:p w14:paraId="052B642E" w14:textId="528AAB8E" w:rsidR="00F52D66" w:rsidRPr="00063473" w:rsidRDefault="00192A4E" w:rsidP="00D06050">
      <w:pPr>
        <w:spacing w:before="240" w:after="240" w:line="240" w:lineRule="auto"/>
        <w:rPr>
          <w:rFonts w:ascii="Times New Roman" w:eastAsia="Times New Roman" w:hAnsi="Times New Roman" w:cs="Times New Roman"/>
        </w:rPr>
      </w:pPr>
      <w:r w:rsidRPr="00063473">
        <w:rPr>
          <w:rFonts w:ascii="Times New Roman" w:eastAsia="Times New Roman" w:hAnsi="Times New Roman" w:cs="Times New Roman"/>
        </w:rPr>
        <w:t>Tom Norton</w:t>
      </w:r>
    </w:p>
    <w:p w14:paraId="4BD04409" w14:textId="2BCC4D17" w:rsidR="00192A4E" w:rsidRPr="00063473" w:rsidRDefault="00192A4E" w:rsidP="00D06050">
      <w:pPr>
        <w:spacing w:before="240" w:after="240" w:line="240" w:lineRule="auto"/>
        <w:rPr>
          <w:rFonts w:ascii="Times New Roman" w:hAnsi="Times New Roman" w:cs="Times New Roman"/>
        </w:rPr>
      </w:pPr>
      <w:r w:rsidRPr="00063473">
        <w:rPr>
          <w:rFonts w:ascii="Times New Roman" w:eastAsia="Times New Roman" w:hAnsi="Times New Roman" w:cs="Times New Roman"/>
        </w:rPr>
        <w:t>1</w:t>
      </w:r>
      <w:r w:rsidR="006C57A9">
        <w:rPr>
          <w:rFonts w:ascii="Times New Roman" w:eastAsia="Times New Roman" w:hAnsi="Times New Roman" w:cs="Times New Roman"/>
        </w:rPr>
        <w:t>8</w:t>
      </w:r>
      <w:r w:rsidRPr="00063473">
        <w:rPr>
          <w:rFonts w:ascii="Times New Roman" w:eastAsia="Times New Roman" w:hAnsi="Times New Roman" w:cs="Times New Roman"/>
        </w:rPr>
        <w:t xml:space="preserve"> October 2026</w:t>
      </w:r>
    </w:p>
    <w:p w14:paraId="7E69AEA6" w14:textId="77777777" w:rsidR="000D7AC8" w:rsidRPr="00063473" w:rsidRDefault="521A9697" w:rsidP="00DF6906">
      <w:pPr>
        <w:pStyle w:val="Heading1"/>
        <w:spacing w:before="322" w:after="322" w:line="278" w:lineRule="auto"/>
        <w:rPr>
          <w:rFonts w:ascii="Times New Roman" w:eastAsia="Times New Roman" w:hAnsi="Times New Roman" w:cs="Times New Roman"/>
          <w:b/>
          <w:bCs/>
          <w:sz w:val="28"/>
          <w:szCs w:val="28"/>
        </w:rPr>
      </w:pPr>
      <w:r w:rsidRPr="00063473">
        <w:rPr>
          <w:rFonts w:ascii="Times New Roman" w:eastAsia="Times New Roman" w:hAnsi="Times New Roman" w:cs="Times New Roman"/>
          <w:b/>
          <w:bCs/>
          <w:sz w:val="28"/>
          <w:szCs w:val="28"/>
        </w:rPr>
        <w:t>Bibliography</w:t>
      </w:r>
    </w:p>
    <w:p w14:paraId="04DA14B8" w14:textId="782346FA" w:rsidR="5C9FA469" w:rsidRPr="00063473" w:rsidRDefault="521A9697" w:rsidP="00DF6906">
      <w:pPr>
        <w:pStyle w:val="Heading1"/>
        <w:spacing w:before="322" w:after="322" w:line="278" w:lineRule="auto"/>
        <w:rPr>
          <w:rFonts w:ascii="Times New Roman" w:eastAsia="Times New Roman" w:hAnsi="Times New Roman" w:cs="Times New Roman"/>
          <w:b/>
          <w:bCs/>
          <w:sz w:val="28"/>
          <w:szCs w:val="28"/>
        </w:rPr>
      </w:pPr>
      <w:r w:rsidRPr="00063473">
        <w:rPr>
          <w:rFonts w:ascii="Times New Roman" w:eastAsia="Times New Roman" w:hAnsi="Times New Roman" w:cs="Times New Roman"/>
          <w:sz w:val="24"/>
          <w:szCs w:val="24"/>
        </w:rPr>
        <w:t>Berry, D.H. (</w:t>
      </w:r>
      <w:r w:rsidR="00C91796" w:rsidRPr="00063473">
        <w:rPr>
          <w:rFonts w:ascii="Times New Roman" w:eastAsia="Times New Roman" w:hAnsi="Times New Roman" w:cs="Times New Roman"/>
          <w:sz w:val="24"/>
          <w:szCs w:val="24"/>
        </w:rPr>
        <w:t>2009</w:t>
      </w:r>
      <w:r w:rsidRPr="00063473">
        <w:rPr>
          <w:rFonts w:ascii="Times New Roman" w:eastAsia="Times New Roman" w:hAnsi="Times New Roman" w:cs="Times New Roman"/>
          <w:sz w:val="24"/>
          <w:szCs w:val="24"/>
        </w:rPr>
        <w:t xml:space="preserve">). </w:t>
      </w:r>
      <w:r w:rsidRPr="00063473">
        <w:rPr>
          <w:rFonts w:ascii="Times New Roman" w:eastAsia="Times New Roman" w:hAnsi="Times New Roman" w:cs="Times New Roman"/>
          <w:i/>
          <w:iCs/>
          <w:sz w:val="24"/>
          <w:szCs w:val="24"/>
        </w:rPr>
        <w:t xml:space="preserve">Cicero: </w:t>
      </w:r>
      <w:r w:rsidR="007848F6" w:rsidRPr="00063473">
        <w:rPr>
          <w:rFonts w:ascii="Times New Roman" w:eastAsia="Times New Roman" w:hAnsi="Times New Roman" w:cs="Times New Roman"/>
          <w:i/>
          <w:iCs/>
          <w:sz w:val="24"/>
          <w:szCs w:val="24"/>
        </w:rPr>
        <w:t>Political</w:t>
      </w:r>
      <w:r w:rsidRPr="00063473">
        <w:rPr>
          <w:rFonts w:ascii="Times New Roman" w:eastAsia="Times New Roman" w:hAnsi="Times New Roman" w:cs="Times New Roman"/>
          <w:i/>
          <w:iCs/>
          <w:sz w:val="24"/>
          <w:szCs w:val="24"/>
        </w:rPr>
        <w:t xml:space="preserve"> Speeches</w:t>
      </w:r>
      <w:r w:rsidRPr="00063473">
        <w:rPr>
          <w:rFonts w:ascii="Times New Roman" w:eastAsia="Times New Roman" w:hAnsi="Times New Roman" w:cs="Times New Roman"/>
          <w:sz w:val="24"/>
          <w:szCs w:val="24"/>
        </w:rPr>
        <w:t xml:space="preserve">. </w:t>
      </w:r>
      <w:r w:rsidR="2CEF7496" w:rsidRPr="00063473">
        <w:rPr>
          <w:rFonts w:ascii="Times New Roman" w:eastAsia="Times New Roman" w:hAnsi="Times New Roman" w:cs="Times New Roman"/>
          <w:sz w:val="24"/>
          <w:szCs w:val="24"/>
        </w:rPr>
        <w:t xml:space="preserve">Oxford: </w:t>
      </w:r>
      <w:r w:rsidRPr="00063473">
        <w:rPr>
          <w:rFonts w:ascii="Times New Roman" w:eastAsia="Times New Roman" w:hAnsi="Times New Roman" w:cs="Times New Roman"/>
          <w:sz w:val="24"/>
          <w:szCs w:val="24"/>
        </w:rPr>
        <w:t xml:space="preserve">Oxford University Press. </w:t>
      </w:r>
    </w:p>
    <w:p w14:paraId="06A24A49" w14:textId="7BE67E4F" w:rsidR="5C9FA469" w:rsidRPr="00063473" w:rsidRDefault="521A9697" w:rsidP="103743D0">
      <w:pPr>
        <w:spacing w:before="240" w:after="240" w:line="240" w:lineRule="auto"/>
        <w:rPr>
          <w:rFonts w:ascii="Times New Roman" w:eastAsia="Times New Roman" w:hAnsi="Times New Roman" w:cs="Times New Roman"/>
        </w:rPr>
      </w:pPr>
      <w:r w:rsidRPr="00063473">
        <w:rPr>
          <w:rFonts w:ascii="Times New Roman" w:eastAsia="Times New Roman" w:hAnsi="Times New Roman" w:cs="Times New Roman"/>
        </w:rPr>
        <w:t xml:space="preserve">Dyck, A.R. (2008). </w:t>
      </w:r>
      <w:r w:rsidRPr="00063473">
        <w:rPr>
          <w:rFonts w:ascii="Times New Roman" w:eastAsia="Times New Roman" w:hAnsi="Times New Roman" w:cs="Times New Roman"/>
          <w:i/>
          <w:iCs/>
        </w:rPr>
        <w:t>Cicero: Catilinarians</w:t>
      </w:r>
      <w:r w:rsidRPr="00063473">
        <w:rPr>
          <w:rFonts w:ascii="Times New Roman" w:eastAsia="Times New Roman" w:hAnsi="Times New Roman" w:cs="Times New Roman"/>
        </w:rPr>
        <w:t xml:space="preserve">. </w:t>
      </w:r>
      <w:r w:rsidR="65157C0D" w:rsidRPr="00063473">
        <w:rPr>
          <w:rFonts w:ascii="Times New Roman" w:eastAsia="Times New Roman" w:hAnsi="Times New Roman" w:cs="Times New Roman"/>
        </w:rPr>
        <w:t xml:space="preserve">Cambridge: </w:t>
      </w:r>
      <w:r w:rsidRPr="00063473">
        <w:rPr>
          <w:rFonts w:ascii="Times New Roman" w:eastAsia="Times New Roman" w:hAnsi="Times New Roman" w:cs="Times New Roman"/>
        </w:rPr>
        <w:t xml:space="preserve">Cambridge University Press. </w:t>
      </w:r>
    </w:p>
    <w:p w14:paraId="3E0EFA59" w14:textId="7C66CF84" w:rsidR="000430EF" w:rsidRPr="00063473" w:rsidRDefault="000430EF" w:rsidP="103743D0">
      <w:pPr>
        <w:spacing w:before="240" w:after="240" w:line="240" w:lineRule="auto"/>
        <w:rPr>
          <w:rFonts w:ascii="Times New Roman" w:eastAsia="Times New Roman" w:hAnsi="Times New Roman" w:cs="Times New Roman"/>
        </w:rPr>
      </w:pPr>
      <w:r w:rsidRPr="00063473">
        <w:rPr>
          <w:rFonts w:ascii="Times New Roman" w:eastAsia="Times New Roman" w:hAnsi="Times New Roman" w:cs="Times New Roman"/>
        </w:rPr>
        <w:t>Edwards, C</w:t>
      </w:r>
      <w:r w:rsidR="00BC62C7" w:rsidRPr="00063473">
        <w:rPr>
          <w:rFonts w:ascii="Times New Roman" w:eastAsia="Times New Roman" w:hAnsi="Times New Roman" w:cs="Times New Roman"/>
        </w:rPr>
        <w:t xml:space="preserve">. </w:t>
      </w:r>
      <w:r w:rsidRPr="00063473">
        <w:rPr>
          <w:rFonts w:ascii="Times New Roman" w:eastAsia="Times New Roman" w:hAnsi="Times New Roman" w:cs="Times New Roman"/>
        </w:rPr>
        <w:t xml:space="preserve">(2026), </w:t>
      </w:r>
      <w:r w:rsidRPr="00063473">
        <w:rPr>
          <w:rFonts w:ascii="Times New Roman" w:eastAsia="Times New Roman" w:hAnsi="Times New Roman" w:cs="Times New Roman"/>
          <w:i/>
          <w:iCs/>
        </w:rPr>
        <w:t xml:space="preserve">Orator: The Life of Cicero and the End of the Roman Republic. </w:t>
      </w:r>
      <w:r w:rsidRPr="00063473">
        <w:rPr>
          <w:rFonts w:ascii="Times New Roman" w:eastAsia="Times New Roman" w:hAnsi="Times New Roman" w:cs="Times New Roman"/>
        </w:rPr>
        <w:t>London: Hutchinson Heinemann</w:t>
      </w:r>
      <w:r w:rsidR="00C91796" w:rsidRPr="00063473">
        <w:rPr>
          <w:rFonts w:ascii="Times New Roman" w:eastAsia="Times New Roman" w:hAnsi="Times New Roman" w:cs="Times New Roman"/>
        </w:rPr>
        <w:t>.</w:t>
      </w:r>
    </w:p>
    <w:p w14:paraId="3CBAC1C8" w14:textId="1541C3BC" w:rsidR="0E322267" w:rsidRPr="00063473" w:rsidRDefault="0E322267" w:rsidP="103743D0">
      <w:pPr>
        <w:spacing w:line="240" w:lineRule="auto"/>
        <w:rPr>
          <w:rFonts w:ascii="Times New Roman" w:eastAsia="Times New Roman" w:hAnsi="Times New Roman" w:cs="Times New Roman"/>
        </w:rPr>
      </w:pPr>
      <w:r w:rsidRPr="00063473">
        <w:rPr>
          <w:rFonts w:ascii="Times New Roman" w:eastAsia="Times New Roman" w:hAnsi="Times New Roman" w:cs="Times New Roman"/>
        </w:rPr>
        <w:lastRenderedPageBreak/>
        <w:t>Gildenhard, I.</w:t>
      </w:r>
      <w:r w:rsidRPr="00063473">
        <w:rPr>
          <w:rFonts w:ascii="Times New Roman" w:eastAsia="Times New Roman" w:hAnsi="Times New Roman" w:cs="Times New Roman"/>
          <w:b/>
          <w:bCs/>
        </w:rPr>
        <w:t xml:space="preserve"> </w:t>
      </w:r>
      <w:r w:rsidRPr="00063473">
        <w:rPr>
          <w:rFonts w:ascii="Times New Roman" w:eastAsia="Times New Roman" w:hAnsi="Times New Roman" w:cs="Times New Roman"/>
        </w:rPr>
        <w:t>(2011)</w:t>
      </w:r>
      <w:r w:rsidRPr="00063473">
        <w:rPr>
          <w:rFonts w:ascii="Times New Roman" w:eastAsia="Times New Roman" w:hAnsi="Times New Roman" w:cs="Times New Roman"/>
          <w:b/>
          <w:bCs/>
        </w:rPr>
        <w:t xml:space="preserve"> </w:t>
      </w:r>
      <w:r w:rsidRPr="00063473">
        <w:rPr>
          <w:rFonts w:ascii="Times New Roman" w:eastAsia="Times New Roman" w:hAnsi="Times New Roman" w:cs="Times New Roman"/>
          <w:i/>
          <w:iCs/>
        </w:rPr>
        <w:t>Cicero, Against Verres, 2.1.53–86: Latin Text with Introduction, Study Questions, Commentary and English Translation</w:t>
      </w:r>
      <w:r w:rsidRPr="00063473">
        <w:rPr>
          <w:rFonts w:ascii="Times New Roman" w:eastAsia="Times New Roman" w:hAnsi="Times New Roman" w:cs="Times New Roman"/>
        </w:rPr>
        <w:t>. Cambridge: Open Book Publishers.</w:t>
      </w:r>
    </w:p>
    <w:p w14:paraId="3FC0CACC" w14:textId="05D2DCB4" w:rsidR="5C9FA469" w:rsidRPr="00063473" w:rsidRDefault="5C9FA469" w:rsidP="103743D0">
      <w:pPr>
        <w:spacing w:line="240" w:lineRule="auto"/>
        <w:rPr>
          <w:rFonts w:ascii="Times New Roman" w:eastAsia="Times New Roman" w:hAnsi="Times New Roman" w:cs="Times New Roman"/>
        </w:rPr>
      </w:pPr>
    </w:p>
    <w:p w14:paraId="0D42F06E" w14:textId="06EBA161" w:rsidR="5C9FA469" w:rsidRPr="00063473" w:rsidRDefault="521A9697" w:rsidP="103743D0">
      <w:pPr>
        <w:pStyle w:val="Heading3"/>
        <w:spacing w:before="0" w:after="0" w:line="240" w:lineRule="auto"/>
        <w:rPr>
          <w:rFonts w:ascii="Times New Roman" w:eastAsia="Times New Roman" w:hAnsi="Times New Roman" w:cs="Times New Roman"/>
          <w:sz w:val="24"/>
          <w:szCs w:val="24"/>
        </w:rPr>
      </w:pPr>
      <w:r w:rsidRPr="00063473">
        <w:rPr>
          <w:rFonts w:ascii="Times New Roman" w:eastAsia="Times New Roman" w:hAnsi="Times New Roman" w:cs="Times New Roman"/>
          <w:sz w:val="24"/>
          <w:szCs w:val="24"/>
        </w:rPr>
        <w:t xml:space="preserve">Hall, </w:t>
      </w:r>
      <w:r w:rsidR="00233BDB" w:rsidRPr="00063473">
        <w:rPr>
          <w:rFonts w:ascii="Times New Roman" w:eastAsia="Times New Roman" w:hAnsi="Times New Roman" w:cs="Times New Roman"/>
          <w:sz w:val="24"/>
          <w:szCs w:val="24"/>
        </w:rPr>
        <w:t>E</w:t>
      </w:r>
      <w:r w:rsidRPr="00063473">
        <w:rPr>
          <w:rFonts w:ascii="Times New Roman" w:eastAsia="Times New Roman" w:hAnsi="Times New Roman" w:cs="Times New Roman"/>
          <w:sz w:val="24"/>
          <w:szCs w:val="24"/>
        </w:rPr>
        <w:t xml:space="preserve">. (2015). </w:t>
      </w:r>
      <w:r w:rsidRPr="00063473">
        <w:rPr>
          <w:rFonts w:ascii="Times New Roman" w:eastAsia="Times New Roman" w:hAnsi="Times New Roman" w:cs="Times New Roman"/>
          <w:i/>
          <w:iCs/>
          <w:sz w:val="24"/>
          <w:szCs w:val="24"/>
        </w:rPr>
        <w:t>Polis, Community and Identity in Hellenistic Greece</w:t>
      </w:r>
      <w:r w:rsidRPr="00063473">
        <w:rPr>
          <w:rFonts w:ascii="Times New Roman" w:eastAsia="Times New Roman" w:hAnsi="Times New Roman" w:cs="Times New Roman"/>
          <w:sz w:val="24"/>
          <w:szCs w:val="24"/>
        </w:rPr>
        <w:t>.</w:t>
      </w:r>
      <w:r w:rsidR="6C074CF5" w:rsidRPr="00063473">
        <w:rPr>
          <w:rFonts w:ascii="Times New Roman" w:eastAsia="Times New Roman" w:hAnsi="Times New Roman" w:cs="Times New Roman"/>
          <w:sz w:val="24"/>
          <w:szCs w:val="24"/>
        </w:rPr>
        <w:t xml:space="preserve"> Cambridge:</w:t>
      </w:r>
      <w:r w:rsidRPr="00063473">
        <w:rPr>
          <w:rFonts w:ascii="Times New Roman" w:eastAsia="Times New Roman" w:hAnsi="Times New Roman" w:cs="Times New Roman"/>
          <w:sz w:val="24"/>
          <w:szCs w:val="24"/>
        </w:rPr>
        <w:t xml:space="preserve"> Cambridge University Press.</w:t>
      </w:r>
    </w:p>
    <w:p w14:paraId="631AAEFC" w14:textId="4A9B187D" w:rsidR="6AA80432" w:rsidRPr="00063473" w:rsidRDefault="6AA80432" w:rsidP="103743D0">
      <w:pPr>
        <w:spacing w:before="240" w:after="240" w:line="240" w:lineRule="auto"/>
        <w:rPr>
          <w:rFonts w:ascii="Times New Roman" w:eastAsia="Times New Roman" w:hAnsi="Times New Roman" w:cs="Times New Roman"/>
        </w:rPr>
      </w:pPr>
      <w:r w:rsidRPr="00063473">
        <w:rPr>
          <w:rFonts w:ascii="Times New Roman" w:eastAsia="Times New Roman" w:hAnsi="Times New Roman" w:cs="Times New Roman"/>
        </w:rPr>
        <w:t xml:space="preserve">Lewis, C.T. </w:t>
      </w:r>
      <w:r w:rsidR="008E7088" w:rsidRPr="00063473">
        <w:rPr>
          <w:rFonts w:ascii="Times New Roman" w:eastAsia="Times New Roman" w:hAnsi="Times New Roman" w:cs="Times New Roman"/>
        </w:rPr>
        <w:t>and</w:t>
      </w:r>
      <w:r w:rsidRPr="00063473">
        <w:rPr>
          <w:rFonts w:ascii="Times New Roman" w:eastAsia="Times New Roman" w:hAnsi="Times New Roman" w:cs="Times New Roman"/>
        </w:rPr>
        <w:t xml:space="preserve"> Short, C. (1879) </w:t>
      </w:r>
      <w:r w:rsidRPr="00063473">
        <w:rPr>
          <w:rFonts w:ascii="Times New Roman" w:eastAsia="Times New Roman" w:hAnsi="Times New Roman" w:cs="Times New Roman"/>
          <w:i/>
          <w:iCs/>
        </w:rPr>
        <w:t>A Latin Dictionary</w:t>
      </w:r>
      <w:r w:rsidRPr="00063473">
        <w:rPr>
          <w:rFonts w:ascii="Times New Roman" w:eastAsia="Times New Roman" w:hAnsi="Times New Roman" w:cs="Times New Roman"/>
        </w:rPr>
        <w:t>. Oxford: Clarendon Press.</w:t>
      </w:r>
    </w:p>
    <w:p w14:paraId="39B232D6" w14:textId="7A87CF55" w:rsidR="5C9FA469" w:rsidRPr="00063473" w:rsidRDefault="521A9697" w:rsidP="07512DD2">
      <w:pPr>
        <w:pStyle w:val="Heading3"/>
        <w:spacing w:before="0" w:after="0" w:line="240" w:lineRule="auto"/>
        <w:rPr>
          <w:rFonts w:ascii="Times New Roman" w:hAnsi="Times New Roman" w:cs="Times New Roman"/>
        </w:rPr>
      </w:pPr>
      <w:r w:rsidRPr="00063473">
        <w:rPr>
          <w:rFonts w:ascii="Times New Roman" w:eastAsia="Times New Roman" w:hAnsi="Times New Roman" w:cs="Times New Roman"/>
          <w:sz w:val="24"/>
          <w:szCs w:val="24"/>
        </w:rPr>
        <w:t xml:space="preserve">Mitchell, T.N. (1986). </w:t>
      </w:r>
      <w:r w:rsidRPr="00063473">
        <w:rPr>
          <w:rFonts w:ascii="Times New Roman" w:eastAsia="Times New Roman" w:hAnsi="Times New Roman" w:cs="Times New Roman"/>
          <w:i/>
          <w:iCs/>
          <w:sz w:val="24"/>
          <w:szCs w:val="24"/>
        </w:rPr>
        <w:t>Cicero: The Ascending Years</w:t>
      </w:r>
      <w:r w:rsidRPr="00063473">
        <w:rPr>
          <w:rFonts w:ascii="Times New Roman" w:eastAsia="Times New Roman" w:hAnsi="Times New Roman" w:cs="Times New Roman"/>
          <w:sz w:val="24"/>
          <w:szCs w:val="24"/>
        </w:rPr>
        <w:t xml:space="preserve">. </w:t>
      </w:r>
      <w:r w:rsidR="00F12250" w:rsidRPr="00063473">
        <w:rPr>
          <w:rFonts w:ascii="Times New Roman" w:eastAsia="Times New Roman" w:hAnsi="Times New Roman" w:cs="Times New Roman"/>
          <w:sz w:val="24"/>
          <w:szCs w:val="24"/>
        </w:rPr>
        <w:t xml:space="preserve">New Haven: </w:t>
      </w:r>
      <w:r w:rsidRPr="00063473">
        <w:rPr>
          <w:rFonts w:ascii="Times New Roman" w:eastAsia="Times New Roman" w:hAnsi="Times New Roman" w:cs="Times New Roman"/>
          <w:sz w:val="24"/>
          <w:szCs w:val="24"/>
        </w:rPr>
        <w:t xml:space="preserve">Yale University Press. </w:t>
      </w:r>
    </w:p>
    <w:p w14:paraId="59BC4002" w14:textId="2E2C1879" w:rsidR="614FC200" w:rsidRPr="00063473" w:rsidRDefault="614FC200" w:rsidP="614FC200">
      <w:pPr>
        <w:spacing w:line="240" w:lineRule="auto"/>
        <w:rPr>
          <w:rFonts w:ascii="Times New Roman" w:eastAsia="Times New Roman" w:hAnsi="Times New Roman" w:cs="Times New Roman"/>
          <w:i/>
          <w:iCs/>
        </w:rPr>
      </w:pPr>
    </w:p>
    <w:p w14:paraId="1772674E" w14:textId="4B1CDB10" w:rsidR="5C9FA469" w:rsidRPr="00063473" w:rsidRDefault="6FCFB3CB" w:rsidP="103743D0">
      <w:pPr>
        <w:spacing w:before="240" w:after="240" w:line="240" w:lineRule="auto"/>
        <w:rPr>
          <w:rFonts w:ascii="Times New Roman" w:eastAsia="Times New Roman" w:hAnsi="Times New Roman" w:cs="Times New Roman"/>
        </w:rPr>
      </w:pPr>
      <w:r w:rsidRPr="00063473">
        <w:rPr>
          <w:rFonts w:ascii="Times New Roman" w:eastAsia="Times New Roman" w:hAnsi="Times New Roman" w:cs="Times New Roman"/>
          <w:i/>
          <w:iCs/>
        </w:rPr>
        <w:t>Oxford Latin Dictionary</w:t>
      </w:r>
      <w:r w:rsidR="4FBD8FC5" w:rsidRPr="00063473">
        <w:rPr>
          <w:rFonts w:ascii="Times New Roman" w:eastAsia="Times New Roman" w:hAnsi="Times New Roman" w:cs="Times New Roman"/>
          <w:i/>
          <w:iCs/>
        </w:rPr>
        <w:t xml:space="preserve"> (OLD</w:t>
      </w:r>
      <w:r w:rsidR="4FBD8FC5" w:rsidRPr="00063473">
        <w:rPr>
          <w:rFonts w:ascii="Times New Roman" w:eastAsia="Times New Roman" w:hAnsi="Times New Roman" w:cs="Times New Roman"/>
        </w:rPr>
        <w:t>)</w:t>
      </w:r>
      <w:r w:rsidRPr="00063473">
        <w:rPr>
          <w:rFonts w:ascii="Times New Roman" w:eastAsia="Times New Roman" w:hAnsi="Times New Roman" w:cs="Times New Roman"/>
        </w:rPr>
        <w:t xml:space="preserve"> (1982), ed</w:t>
      </w:r>
      <w:r w:rsidR="00911683" w:rsidRPr="00063473">
        <w:rPr>
          <w:rFonts w:ascii="Times New Roman" w:eastAsia="Times New Roman" w:hAnsi="Times New Roman" w:cs="Times New Roman"/>
        </w:rPr>
        <w:t>.</w:t>
      </w:r>
      <w:r w:rsidRPr="00063473">
        <w:rPr>
          <w:rFonts w:ascii="Times New Roman" w:eastAsia="Times New Roman" w:hAnsi="Times New Roman" w:cs="Times New Roman"/>
        </w:rPr>
        <w:t xml:space="preserve"> Glare, P.G.W. Oxford: Oxford University Press.</w:t>
      </w:r>
    </w:p>
    <w:p w14:paraId="5C403926" w14:textId="77777777" w:rsidR="00ED3D5D" w:rsidRPr="00063473" w:rsidRDefault="521A9697" w:rsidP="07512DD2">
      <w:pPr>
        <w:spacing w:before="240" w:after="240" w:line="240" w:lineRule="auto"/>
        <w:rPr>
          <w:rFonts w:ascii="Times New Roman" w:eastAsia="Times New Roman" w:hAnsi="Times New Roman" w:cs="Times New Roman"/>
        </w:rPr>
      </w:pPr>
      <w:r w:rsidRPr="00063473">
        <w:rPr>
          <w:rFonts w:ascii="Times New Roman" w:eastAsia="Times New Roman" w:hAnsi="Times New Roman" w:cs="Times New Roman"/>
        </w:rPr>
        <w:t xml:space="preserve">Steel, C. (2001). </w:t>
      </w:r>
      <w:r w:rsidRPr="00063473">
        <w:rPr>
          <w:rFonts w:ascii="Times New Roman" w:eastAsia="Times New Roman" w:hAnsi="Times New Roman" w:cs="Times New Roman"/>
          <w:i/>
          <w:iCs/>
        </w:rPr>
        <w:t>Cicero, Rhetoric and Empire</w:t>
      </w:r>
      <w:r w:rsidRPr="00063473">
        <w:rPr>
          <w:rFonts w:ascii="Times New Roman" w:eastAsia="Times New Roman" w:hAnsi="Times New Roman" w:cs="Times New Roman"/>
        </w:rPr>
        <w:t xml:space="preserve">. </w:t>
      </w:r>
      <w:r w:rsidR="4FC0F17B" w:rsidRPr="00063473">
        <w:rPr>
          <w:rFonts w:ascii="Times New Roman" w:eastAsia="Times New Roman" w:hAnsi="Times New Roman" w:cs="Times New Roman"/>
        </w:rPr>
        <w:t xml:space="preserve">Oxford: </w:t>
      </w:r>
      <w:r w:rsidRPr="00063473">
        <w:rPr>
          <w:rFonts w:ascii="Times New Roman" w:eastAsia="Times New Roman" w:hAnsi="Times New Roman" w:cs="Times New Roman"/>
        </w:rPr>
        <w:t xml:space="preserve">Oxford University Press. </w:t>
      </w:r>
    </w:p>
    <w:p w14:paraId="14670B9C" w14:textId="6420E00D" w:rsidR="5C9FA469" w:rsidRPr="00063473" w:rsidRDefault="521A9697" w:rsidP="07512DD2">
      <w:pPr>
        <w:spacing w:before="240" w:after="240" w:line="240" w:lineRule="auto"/>
        <w:rPr>
          <w:rFonts w:ascii="Times New Roman" w:eastAsia="Times New Roman" w:hAnsi="Times New Roman" w:cs="Times New Roman"/>
        </w:rPr>
      </w:pPr>
      <w:r w:rsidRPr="00063473">
        <w:rPr>
          <w:rFonts w:ascii="Times New Roman" w:eastAsia="Times New Roman" w:hAnsi="Times New Roman" w:cs="Times New Roman"/>
        </w:rPr>
        <w:t xml:space="preserve">Vasaly, A. (1993). </w:t>
      </w:r>
      <w:r w:rsidRPr="00063473">
        <w:rPr>
          <w:rFonts w:ascii="Times New Roman" w:eastAsia="Times New Roman" w:hAnsi="Times New Roman" w:cs="Times New Roman"/>
          <w:i/>
          <w:iCs/>
        </w:rPr>
        <w:t>Representations: Images of the World in Ciceronian Oratory</w:t>
      </w:r>
      <w:r w:rsidRPr="00063473">
        <w:rPr>
          <w:rFonts w:ascii="Times New Roman" w:eastAsia="Times New Roman" w:hAnsi="Times New Roman" w:cs="Times New Roman"/>
        </w:rPr>
        <w:t xml:space="preserve">. </w:t>
      </w:r>
      <w:r w:rsidR="19FC7425" w:rsidRPr="00063473">
        <w:rPr>
          <w:rFonts w:ascii="Times New Roman" w:eastAsia="Times New Roman" w:hAnsi="Times New Roman" w:cs="Times New Roman"/>
        </w:rPr>
        <w:t xml:space="preserve">Berkeley: </w:t>
      </w:r>
      <w:r w:rsidRPr="00063473">
        <w:rPr>
          <w:rFonts w:ascii="Times New Roman" w:eastAsia="Times New Roman" w:hAnsi="Times New Roman" w:cs="Times New Roman"/>
        </w:rPr>
        <w:t>University of California Press.</w:t>
      </w:r>
    </w:p>
    <w:p w14:paraId="7891719D" w14:textId="0BFBFC49" w:rsidR="5C9FA469" w:rsidRPr="00063473" w:rsidRDefault="5C9FA469" w:rsidP="103743D0">
      <w:pPr>
        <w:spacing w:line="240" w:lineRule="auto"/>
        <w:rPr>
          <w:rFonts w:ascii="Times New Roman" w:eastAsia="Times New Roman" w:hAnsi="Times New Roman" w:cs="Times New Roman"/>
        </w:rPr>
      </w:pPr>
    </w:p>
    <w:p w14:paraId="3C45EF11" w14:textId="452DC012" w:rsidR="5C9FA469" w:rsidRPr="00063473" w:rsidRDefault="5C9FA469" w:rsidP="103743D0">
      <w:pPr>
        <w:pStyle w:val="ListParagraph"/>
        <w:spacing w:line="240" w:lineRule="auto"/>
        <w:rPr>
          <w:rFonts w:ascii="Times New Roman" w:eastAsia="Times New Roman" w:hAnsi="Times New Roman" w:cs="Times New Roman"/>
          <w:sz w:val="28"/>
          <w:szCs w:val="28"/>
        </w:rPr>
      </w:pPr>
    </w:p>
    <w:sectPr w:rsidR="5C9FA469" w:rsidRPr="00063473">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72D7C" w14:textId="77777777" w:rsidR="00715B7D" w:rsidRDefault="00715B7D">
      <w:pPr>
        <w:spacing w:after="0" w:line="240" w:lineRule="auto"/>
      </w:pPr>
      <w:r>
        <w:separator/>
      </w:r>
    </w:p>
  </w:endnote>
  <w:endnote w:type="continuationSeparator" w:id="0">
    <w:p w14:paraId="541F31BF" w14:textId="77777777" w:rsidR="00715B7D" w:rsidRDefault="00715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7512DD2" w14:paraId="270357EB" w14:textId="77777777" w:rsidTr="07512DD2">
      <w:trPr>
        <w:trHeight w:val="300"/>
      </w:trPr>
      <w:tc>
        <w:tcPr>
          <w:tcW w:w="3120" w:type="dxa"/>
        </w:tcPr>
        <w:p w14:paraId="4B6C9EA3" w14:textId="1800756B" w:rsidR="07512DD2" w:rsidRDefault="07512DD2" w:rsidP="07512DD2">
          <w:pPr>
            <w:pStyle w:val="Header"/>
            <w:ind w:left="-115"/>
          </w:pPr>
        </w:p>
      </w:tc>
      <w:tc>
        <w:tcPr>
          <w:tcW w:w="3120" w:type="dxa"/>
        </w:tcPr>
        <w:p w14:paraId="34D937EF" w14:textId="434F9163" w:rsidR="07512DD2" w:rsidRDefault="07512DD2" w:rsidP="07512DD2">
          <w:pPr>
            <w:pStyle w:val="Header"/>
            <w:jc w:val="center"/>
          </w:pPr>
          <w:r>
            <w:fldChar w:fldCharType="begin"/>
          </w:r>
          <w:r>
            <w:instrText>PAGE</w:instrText>
          </w:r>
          <w:r>
            <w:fldChar w:fldCharType="separate"/>
          </w:r>
          <w:r w:rsidR="001C1CF3">
            <w:rPr>
              <w:noProof/>
            </w:rPr>
            <w:t>1</w:t>
          </w:r>
          <w:r>
            <w:fldChar w:fldCharType="end"/>
          </w:r>
        </w:p>
      </w:tc>
      <w:tc>
        <w:tcPr>
          <w:tcW w:w="3120" w:type="dxa"/>
        </w:tcPr>
        <w:p w14:paraId="3CE844F3" w14:textId="420EA85E" w:rsidR="07512DD2" w:rsidRDefault="07512DD2" w:rsidP="07512DD2">
          <w:pPr>
            <w:pStyle w:val="Header"/>
            <w:ind w:right="-115"/>
            <w:jc w:val="right"/>
          </w:pPr>
        </w:p>
      </w:tc>
    </w:tr>
  </w:tbl>
  <w:p w14:paraId="0080B9C9" w14:textId="39726882" w:rsidR="07512DD2" w:rsidRDefault="07512DD2" w:rsidP="07512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F35AE" w14:textId="77777777" w:rsidR="00715B7D" w:rsidRDefault="00715B7D">
      <w:pPr>
        <w:spacing w:after="0" w:line="240" w:lineRule="auto"/>
      </w:pPr>
      <w:r>
        <w:separator/>
      </w:r>
    </w:p>
  </w:footnote>
  <w:footnote w:type="continuationSeparator" w:id="0">
    <w:p w14:paraId="3A632249" w14:textId="77777777" w:rsidR="00715B7D" w:rsidRDefault="00715B7D">
      <w:pPr>
        <w:spacing w:after="0" w:line="240" w:lineRule="auto"/>
      </w:pPr>
      <w:r>
        <w:continuationSeparator/>
      </w:r>
    </w:p>
  </w:footnote>
  <w:footnote w:id="1">
    <w:p w14:paraId="24D54658" w14:textId="27F09CBD" w:rsidR="00CE0C82" w:rsidRPr="00063473" w:rsidRDefault="00CE0C82">
      <w:pPr>
        <w:pStyle w:val="FootnoteText"/>
        <w:rPr>
          <w:rFonts w:ascii="Times New Roman" w:hAnsi="Times New Roman" w:cs="Times New Roman"/>
        </w:rPr>
      </w:pPr>
      <w:r w:rsidRPr="00063473">
        <w:rPr>
          <w:rStyle w:val="FootnoteReference"/>
          <w:rFonts w:ascii="Times New Roman" w:hAnsi="Times New Roman" w:cs="Times New Roman"/>
        </w:rPr>
        <w:footnoteRef/>
      </w:r>
      <w:r w:rsidRPr="00063473">
        <w:rPr>
          <w:rFonts w:ascii="Times New Roman" w:hAnsi="Times New Roman" w:cs="Times New Roman"/>
        </w:rPr>
        <w:t xml:space="preserve"> </w:t>
      </w:r>
      <w:r w:rsidR="00457D6D" w:rsidRPr="00063473">
        <w:rPr>
          <w:rFonts w:ascii="Times New Roman" w:hAnsi="Times New Roman" w:cs="Times New Roman"/>
        </w:rPr>
        <w:t xml:space="preserve">Lewis, C.T. and  Short, C. (1879) </w:t>
      </w:r>
      <w:r w:rsidR="00457D6D" w:rsidRPr="00063473">
        <w:rPr>
          <w:rFonts w:ascii="Times New Roman" w:hAnsi="Times New Roman" w:cs="Times New Roman"/>
          <w:i/>
          <w:iCs/>
        </w:rPr>
        <w:t>A Latin Dictionary</w:t>
      </w:r>
      <w:r w:rsidR="00457D6D" w:rsidRPr="00063473">
        <w:rPr>
          <w:rFonts w:ascii="Times New Roman" w:hAnsi="Times New Roman" w:cs="Times New Roman"/>
        </w:rPr>
        <w:t xml:space="preserve">. Oxford: Clarendon Press, s.v. </w:t>
      </w:r>
      <w:r w:rsidR="00457D6D" w:rsidRPr="00063473">
        <w:rPr>
          <w:rFonts w:ascii="Times New Roman" w:hAnsi="Times New Roman" w:cs="Times New Roman"/>
          <w:i/>
          <w:iCs/>
        </w:rPr>
        <w:t>accido</w:t>
      </w:r>
      <w:r w:rsidR="00457D6D" w:rsidRPr="00063473">
        <w:rPr>
          <w:rFonts w:ascii="Times New Roman" w:hAnsi="Times New Roman" w:cs="Times New Roman"/>
        </w:rPr>
        <w:t xml:space="preserve">, II; </w:t>
      </w:r>
      <w:r w:rsidR="00457D6D" w:rsidRPr="00063473">
        <w:rPr>
          <w:rFonts w:ascii="Times New Roman" w:hAnsi="Times New Roman" w:cs="Times New Roman"/>
          <w:i/>
          <w:iCs/>
        </w:rPr>
        <w:t>Oxford Latin</w:t>
      </w:r>
      <w:r w:rsidR="00457D6D" w:rsidRPr="00063473">
        <w:rPr>
          <w:rFonts w:ascii="Times New Roman" w:hAnsi="Times New Roman" w:cs="Times New Roman"/>
        </w:rPr>
        <w:t xml:space="preserve"> </w:t>
      </w:r>
      <w:r w:rsidR="00457D6D" w:rsidRPr="00063473">
        <w:rPr>
          <w:rFonts w:ascii="Times New Roman" w:hAnsi="Times New Roman" w:cs="Times New Roman"/>
          <w:i/>
          <w:iCs/>
        </w:rPr>
        <w:t>Dictionary</w:t>
      </w:r>
      <w:r w:rsidR="00457D6D" w:rsidRPr="00063473">
        <w:rPr>
          <w:rFonts w:ascii="Times New Roman" w:hAnsi="Times New Roman" w:cs="Times New Roman"/>
        </w:rPr>
        <w:t xml:space="preserve"> (19</w:t>
      </w:r>
      <w:r w:rsidR="00063473">
        <w:rPr>
          <w:rFonts w:ascii="Times New Roman" w:hAnsi="Times New Roman" w:cs="Times New Roman"/>
        </w:rPr>
        <w:t>82</w:t>
      </w:r>
      <w:r w:rsidR="00457D6D" w:rsidRPr="00063473">
        <w:rPr>
          <w:rFonts w:ascii="Times New Roman" w:hAnsi="Times New Roman" w:cs="Times New Roman"/>
        </w:rPr>
        <w:t xml:space="preserve">) Oxford: Oxford University Press, s.v. </w:t>
      </w:r>
      <w:r w:rsidR="00457D6D" w:rsidRPr="00063473">
        <w:rPr>
          <w:rFonts w:ascii="Times New Roman" w:hAnsi="Times New Roman" w:cs="Times New Roman"/>
          <w:i/>
          <w:iCs/>
        </w:rPr>
        <w:t>accidere</w:t>
      </w:r>
      <w:r w:rsidR="00457D6D" w:rsidRPr="00063473">
        <w:rPr>
          <w:rFonts w:ascii="Times New Roman" w:hAnsi="Times New Roman" w:cs="Times New Roman"/>
        </w:rPr>
        <w:t>, sense 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7512DD2" w14:paraId="6DFFE5A1" w14:textId="77777777" w:rsidTr="07512DD2">
      <w:trPr>
        <w:trHeight w:val="300"/>
      </w:trPr>
      <w:tc>
        <w:tcPr>
          <w:tcW w:w="3120" w:type="dxa"/>
        </w:tcPr>
        <w:p w14:paraId="38C0361C" w14:textId="7C854FE1" w:rsidR="07512DD2" w:rsidRDefault="07512DD2" w:rsidP="07512DD2">
          <w:pPr>
            <w:pStyle w:val="Header"/>
            <w:ind w:left="-115"/>
          </w:pPr>
        </w:p>
      </w:tc>
      <w:tc>
        <w:tcPr>
          <w:tcW w:w="3120" w:type="dxa"/>
        </w:tcPr>
        <w:p w14:paraId="5E0C45CF" w14:textId="6FA1DDA3" w:rsidR="07512DD2" w:rsidRDefault="07512DD2" w:rsidP="07512DD2">
          <w:pPr>
            <w:pStyle w:val="Header"/>
            <w:jc w:val="center"/>
          </w:pPr>
        </w:p>
      </w:tc>
      <w:tc>
        <w:tcPr>
          <w:tcW w:w="3120" w:type="dxa"/>
        </w:tcPr>
        <w:p w14:paraId="33D58AFF" w14:textId="04698A9A" w:rsidR="07512DD2" w:rsidRDefault="07512DD2" w:rsidP="07512DD2">
          <w:pPr>
            <w:pStyle w:val="Header"/>
            <w:ind w:right="-115"/>
            <w:jc w:val="right"/>
          </w:pPr>
        </w:p>
      </w:tc>
    </w:tr>
  </w:tbl>
  <w:p w14:paraId="5EB1775B" w14:textId="6014B527" w:rsidR="07512DD2" w:rsidRDefault="07512DD2" w:rsidP="07512DD2">
    <w:pPr>
      <w:pStyle w:val="Header"/>
    </w:pPr>
  </w:p>
</w:hdr>
</file>

<file path=word/intelligence2.xml><?xml version="1.0" encoding="utf-8"?>
<int2:intelligence xmlns:int2="http://schemas.microsoft.com/office/intelligence/2020/intelligence" xmlns:oel="http://schemas.microsoft.com/office/2019/extlst">
  <int2:observations>
    <int2:textHash int2:hashCode="eA6bb2cgyglazl" int2:id="UozcYkYs">
      <int2:state int2:value="Rejected" int2:type="spell"/>
    </int2:textHash>
    <int2:textHash int2:hashCode="pVJ4vwigIFwd1V" int2:id="rjhmlq0o">
      <int2:state int2:value="Rejected" int2:type="spell"/>
    </int2:textHash>
    <int2:textHash int2:hashCode="ovZAuj+13bXJ7c" int2:id="8z6b4yD4">
      <int2:state int2:value="Rejected" int2:type="spell"/>
    </int2:textHash>
    <int2:textHash int2:hashCode="UQr8ikeMzORlUz" int2:id="WB63VaLf">
      <int2:state int2:value="Rejected" int2:type="spell"/>
    </int2:textHash>
    <int2:textHash int2:hashCode="RXsiVaWsPLKW/B" int2:id="fUP0MVf6">
      <int2:state int2:value="Rejected" int2:type="spell"/>
    </int2:textHash>
    <int2:textHash int2:hashCode="K6+VKXgqkDlz+i" int2:id="2gzw7faj">
      <int2:state int2:value="Rejected" int2:type="spell"/>
    </int2:textHash>
    <int2:textHash int2:hashCode="OT2eV7X34gJ6G+" int2:id="Z4rsGtXC">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12C68"/>
    <w:multiLevelType w:val="hybridMultilevel"/>
    <w:tmpl w:val="B68C86B4"/>
    <w:lvl w:ilvl="0" w:tplc="2668E648">
      <w:start w:val="1"/>
      <w:numFmt w:val="decimal"/>
      <w:lvlText w:val="%1."/>
      <w:lvlJc w:val="left"/>
      <w:pPr>
        <w:ind w:left="720" w:hanging="360"/>
      </w:pPr>
    </w:lvl>
    <w:lvl w:ilvl="1" w:tplc="18B8B9B4">
      <w:start w:val="1"/>
      <w:numFmt w:val="lowerLetter"/>
      <w:lvlText w:val="%2."/>
      <w:lvlJc w:val="left"/>
      <w:pPr>
        <w:ind w:left="1440" w:hanging="360"/>
      </w:pPr>
    </w:lvl>
    <w:lvl w:ilvl="2" w:tplc="A93AA90A">
      <w:start w:val="1"/>
      <w:numFmt w:val="lowerRoman"/>
      <w:lvlText w:val="%3."/>
      <w:lvlJc w:val="right"/>
      <w:pPr>
        <w:ind w:left="2160" w:hanging="180"/>
      </w:pPr>
    </w:lvl>
    <w:lvl w:ilvl="3" w:tplc="81AE5776">
      <w:start w:val="1"/>
      <w:numFmt w:val="decimal"/>
      <w:lvlText w:val="%4."/>
      <w:lvlJc w:val="left"/>
      <w:pPr>
        <w:ind w:left="2880" w:hanging="360"/>
      </w:pPr>
    </w:lvl>
    <w:lvl w:ilvl="4" w:tplc="C838C8C4">
      <w:start w:val="1"/>
      <w:numFmt w:val="lowerLetter"/>
      <w:lvlText w:val="%5."/>
      <w:lvlJc w:val="left"/>
      <w:pPr>
        <w:ind w:left="3600" w:hanging="360"/>
      </w:pPr>
    </w:lvl>
    <w:lvl w:ilvl="5" w:tplc="9A3ED156">
      <w:start w:val="1"/>
      <w:numFmt w:val="lowerRoman"/>
      <w:lvlText w:val="%6."/>
      <w:lvlJc w:val="right"/>
      <w:pPr>
        <w:ind w:left="4320" w:hanging="180"/>
      </w:pPr>
    </w:lvl>
    <w:lvl w:ilvl="6" w:tplc="730AEA28">
      <w:start w:val="1"/>
      <w:numFmt w:val="decimal"/>
      <w:lvlText w:val="%7."/>
      <w:lvlJc w:val="left"/>
      <w:pPr>
        <w:ind w:left="5040" w:hanging="360"/>
      </w:pPr>
    </w:lvl>
    <w:lvl w:ilvl="7" w:tplc="A9F81036">
      <w:start w:val="1"/>
      <w:numFmt w:val="lowerLetter"/>
      <w:lvlText w:val="%8."/>
      <w:lvlJc w:val="left"/>
      <w:pPr>
        <w:ind w:left="5760" w:hanging="360"/>
      </w:pPr>
    </w:lvl>
    <w:lvl w:ilvl="8" w:tplc="652CCBAC">
      <w:start w:val="1"/>
      <w:numFmt w:val="lowerRoman"/>
      <w:lvlText w:val="%9."/>
      <w:lvlJc w:val="right"/>
      <w:pPr>
        <w:ind w:left="6480" w:hanging="180"/>
      </w:pPr>
    </w:lvl>
  </w:abstractNum>
  <w:num w:numId="1" w16cid:durableId="364211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6C515F"/>
    <w:rsid w:val="000430EF"/>
    <w:rsid w:val="000527C8"/>
    <w:rsid w:val="0005443D"/>
    <w:rsid w:val="00057DAA"/>
    <w:rsid w:val="000617B5"/>
    <w:rsid w:val="00063473"/>
    <w:rsid w:val="00093447"/>
    <w:rsid w:val="000B608B"/>
    <w:rsid w:val="000D7AC8"/>
    <w:rsid w:val="000E2A5B"/>
    <w:rsid w:val="00136222"/>
    <w:rsid w:val="0016572C"/>
    <w:rsid w:val="001861E9"/>
    <w:rsid w:val="00192A4E"/>
    <w:rsid w:val="001A0DAD"/>
    <w:rsid w:val="001C1CF3"/>
    <w:rsid w:val="001C34CF"/>
    <w:rsid w:val="001E7A53"/>
    <w:rsid w:val="00205DDC"/>
    <w:rsid w:val="00212FB9"/>
    <w:rsid w:val="002265C9"/>
    <w:rsid w:val="00233BDB"/>
    <w:rsid w:val="00295034"/>
    <w:rsid w:val="002B7C87"/>
    <w:rsid w:val="003206A1"/>
    <w:rsid w:val="00323D94"/>
    <w:rsid w:val="00340D02"/>
    <w:rsid w:val="00342AC3"/>
    <w:rsid w:val="003528E1"/>
    <w:rsid w:val="0037571F"/>
    <w:rsid w:val="00376FE0"/>
    <w:rsid w:val="00394600"/>
    <w:rsid w:val="003E7333"/>
    <w:rsid w:val="00411156"/>
    <w:rsid w:val="00412E15"/>
    <w:rsid w:val="00451949"/>
    <w:rsid w:val="004521A2"/>
    <w:rsid w:val="00457D6D"/>
    <w:rsid w:val="00465B2D"/>
    <w:rsid w:val="004B2E3D"/>
    <w:rsid w:val="004F3527"/>
    <w:rsid w:val="005505A1"/>
    <w:rsid w:val="005A725E"/>
    <w:rsid w:val="005D287B"/>
    <w:rsid w:val="005E63C9"/>
    <w:rsid w:val="0061095F"/>
    <w:rsid w:val="00642F80"/>
    <w:rsid w:val="0065799D"/>
    <w:rsid w:val="00682B35"/>
    <w:rsid w:val="0069388F"/>
    <w:rsid w:val="006C57A9"/>
    <w:rsid w:val="006F4BAA"/>
    <w:rsid w:val="00715B7D"/>
    <w:rsid w:val="00746872"/>
    <w:rsid w:val="007848F6"/>
    <w:rsid w:val="007F1F24"/>
    <w:rsid w:val="00821915"/>
    <w:rsid w:val="00824CD6"/>
    <w:rsid w:val="008546CA"/>
    <w:rsid w:val="0087087F"/>
    <w:rsid w:val="00887737"/>
    <w:rsid w:val="008A721E"/>
    <w:rsid w:val="008E7088"/>
    <w:rsid w:val="00911683"/>
    <w:rsid w:val="00937615"/>
    <w:rsid w:val="00960AB8"/>
    <w:rsid w:val="009A25B1"/>
    <w:rsid w:val="009A7610"/>
    <w:rsid w:val="009B4FDD"/>
    <w:rsid w:val="00AD72CF"/>
    <w:rsid w:val="00AE7C42"/>
    <w:rsid w:val="00AF3166"/>
    <w:rsid w:val="00B04064"/>
    <w:rsid w:val="00B06EA2"/>
    <w:rsid w:val="00B07E1E"/>
    <w:rsid w:val="00BA370F"/>
    <w:rsid w:val="00BC62C7"/>
    <w:rsid w:val="00BC8FEB"/>
    <w:rsid w:val="00BF3FE5"/>
    <w:rsid w:val="00C02DD2"/>
    <w:rsid w:val="00C91796"/>
    <w:rsid w:val="00CA16E8"/>
    <w:rsid w:val="00CC64FD"/>
    <w:rsid w:val="00CE0C82"/>
    <w:rsid w:val="00D06050"/>
    <w:rsid w:val="00D4182F"/>
    <w:rsid w:val="00D46DE9"/>
    <w:rsid w:val="00D51C64"/>
    <w:rsid w:val="00D603D7"/>
    <w:rsid w:val="00D67C75"/>
    <w:rsid w:val="00DE4257"/>
    <w:rsid w:val="00DF6906"/>
    <w:rsid w:val="00DF7930"/>
    <w:rsid w:val="00E83D34"/>
    <w:rsid w:val="00EA2911"/>
    <w:rsid w:val="00EA774E"/>
    <w:rsid w:val="00ED3D5D"/>
    <w:rsid w:val="00EE1E61"/>
    <w:rsid w:val="00EE32E0"/>
    <w:rsid w:val="00F06C06"/>
    <w:rsid w:val="00F12250"/>
    <w:rsid w:val="00F42599"/>
    <w:rsid w:val="00F529EF"/>
    <w:rsid w:val="00F52D66"/>
    <w:rsid w:val="00F80FF7"/>
    <w:rsid w:val="01726694"/>
    <w:rsid w:val="01DE07B6"/>
    <w:rsid w:val="02294B09"/>
    <w:rsid w:val="0287A50E"/>
    <w:rsid w:val="02AA783C"/>
    <w:rsid w:val="03140C26"/>
    <w:rsid w:val="03AC5AFD"/>
    <w:rsid w:val="03F9E2DB"/>
    <w:rsid w:val="055BF50F"/>
    <w:rsid w:val="0575F5B1"/>
    <w:rsid w:val="05E727BF"/>
    <w:rsid w:val="0680DD14"/>
    <w:rsid w:val="06F1BCAF"/>
    <w:rsid w:val="07512DD2"/>
    <w:rsid w:val="077074E9"/>
    <w:rsid w:val="078C5AA7"/>
    <w:rsid w:val="07B7CB6A"/>
    <w:rsid w:val="08BED4E8"/>
    <w:rsid w:val="0959D127"/>
    <w:rsid w:val="095EEE84"/>
    <w:rsid w:val="09EB5A03"/>
    <w:rsid w:val="0A0C1224"/>
    <w:rsid w:val="0A7DDC8D"/>
    <w:rsid w:val="0AB9BC36"/>
    <w:rsid w:val="0AC5E906"/>
    <w:rsid w:val="0B7E62A2"/>
    <w:rsid w:val="0B8D0F3B"/>
    <w:rsid w:val="0BFA3EB7"/>
    <w:rsid w:val="0C95AC94"/>
    <w:rsid w:val="0C9CCF98"/>
    <w:rsid w:val="0DD5B476"/>
    <w:rsid w:val="0E322267"/>
    <w:rsid w:val="0E7FAEBA"/>
    <w:rsid w:val="0EA44460"/>
    <w:rsid w:val="0F1F23F2"/>
    <w:rsid w:val="0F4AA28B"/>
    <w:rsid w:val="0FEC9D8F"/>
    <w:rsid w:val="103743D0"/>
    <w:rsid w:val="108159A5"/>
    <w:rsid w:val="10D6531E"/>
    <w:rsid w:val="10F5D1A1"/>
    <w:rsid w:val="11FF71D4"/>
    <w:rsid w:val="12A92DD8"/>
    <w:rsid w:val="12D8CC75"/>
    <w:rsid w:val="13EE24D4"/>
    <w:rsid w:val="146F6A74"/>
    <w:rsid w:val="14D09318"/>
    <w:rsid w:val="166C515F"/>
    <w:rsid w:val="1711D360"/>
    <w:rsid w:val="1735D85E"/>
    <w:rsid w:val="1782F0B5"/>
    <w:rsid w:val="197CEEC1"/>
    <w:rsid w:val="19CD952D"/>
    <w:rsid w:val="19FC7425"/>
    <w:rsid w:val="1A24CC96"/>
    <w:rsid w:val="1A420AA4"/>
    <w:rsid w:val="1ADC18AD"/>
    <w:rsid w:val="1B05D64C"/>
    <w:rsid w:val="1B948B96"/>
    <w:rsid w:val="1C54291C"/>
    <w:rsid w:val="1C79C639"/>
    <w:rsid w:val="1C970B59"/>
    <w:rsid w:val="1D1673C0"/>
    <w:rsid w:val="1D29D52A"/>
    <w:rsid w:val="1D79FC32"/>
    <w:rsid w:val="1E004FFF"/>
    <w:rsid w:val="1E87B668"/>
    <w:rsid w:val="1ED9EEBA"/>
    <w:rsid w:val="1F6AB825"/>
    <w:rsid w:val="1F912FC8"/>
    <w:rsid w:val="1F9EB11F"/>
    <w:rsid w:val="20AFDADC"/>
    <w:rsid w:val="211FE540"/>
    <w:rsid w:val="21EDCD49"/>
    <w:rsid w:val="22803FEC"/>
    <w:rsid w:val="2448CC15"/>
    <w:rsid w:val="246A8708"/>
    <w:rsid w:val="24FF094A"/>
    <w:rsid w:val="253D673F"/>
    <w:rsid w:val="256CCFD6"/>
    <w:rsid w:val="2579485A"/>
    <w:rsid w:val="257E7971"/>
    <w:rsid w:val="262BDAC4"/>
    <w:rsid w:val="26EF31C5"/>
    <w:rsid w:val="26F59933"/>
    <w:rsid w:val="2771EDFB"/>
    <w:rsid w:val="27CF3ED2"/>
    <w:rsid w:val="280FD393"/>
    <w:rsid w:val="288AD254"/>
    <w:rsid w:val="296E7812"/>
    <w:rsid w:val="2A1849D2"/>
    <w:rsid w:val="2A54F90D"/>
    <w:rsid w:val="2A9D7BE1"/>
    <w:rsid w:val="2AAEB6F7"/>
    <w:rsid w:val="2AF0780F"/>
    <w:rsid w:val="2B77CA38"/>
    <w:rsid w:val="2C3BA229"/>
    <w:rsid w:val="2C4E8FE6"/>
    <w:rsid w:val="2C607F87"/>
    <w:rsid w:val="2CEF7496"/>
    <w:rsid w:val="2CF4AE2F"/>
    <w:rsid w:val="2D1BF855"/>
    <w:rsid w:val="2DB62D40"/>
    <w:rsid w:val="2DE0A0B6"/>
    <w:rsid w:val="2E42CE35"/>
    <w:rsid w:val="2EA24307"/>
    <w:rsid w:val="2EE57DEB"/>
    <w:rsid w:val="2F102178"/>
    <w:rsid w:val="2F5EB03E"/>
    <w:rsid w:val="2F713270"/>
    <w:rsid w:val="3068EC86"/>
    <w:rsid w:val="310ABAEE"/>
    <w:rsid w:val="31388A49"/>
    <w:rsid w:val="3292B8EF"/>
    <w:rsid w:val="3482BD3E"/>
    <w:rsid w:val="3565BE62"/>
    <w:rsid w:val="366D4649"/>
    <w:rsid w:val="36AD775A"/>
    <w:rsid w:val="376F28AE"/>
    <w:rsid w:val="3770C410"/>
    <w:rsid w:val="3895DF33"/>
    <w:rsid w:val="3918C84A"/>
    <w:rsid w:val="39729C04"/>
    <w:rsid w:val="39DE1CB1"/>
    <w:rsid w:val="3A28F5C9"/>
    <w:rsid w:val="3BAD0F67"/>
    <w:rsid w:val="3C025F0D"/>
    <w:rsid w:val="3CB9C7AA"/>
    <w:rsid w:val="3D079920"/>
    <w:rsid w:val="3EE31D39"/>
    <w:rsid w:val="407F5D08"/>
    <w:rsid w:val="41A4F487"/>
    <w:rsid w:val="41C2BD23"/>
    <w:rsid w:val="4236245F"/>
    <w:rsid w:val="43EB24A7"/>
    <w:rsid w:val="44219388"/>
    <w:rsid w:val="453E15E4"/>
    <w:rsid w:val="460F6295"/>
    <w:rsid w:val="4633C496"/>
    <w:rsid w:val="469C9F1F"/>
    <w:rsid w:val="47493B17"/>
    <w:rsid w:val="482AB60F"/>
    <w:rsid w:val="48782680"/>
    <w:rsid w:val="489E31DF"/>
    <w:rsid w:val="49802AE2"/>
    <w:rsid w:val="49CAA39E"/>
    <w:rsid w:val="4B226779"/>
    <w:rsid w:val="4B969103"/>
    <w:rsid w:val="4CB07112"/>
    <w:rsid w:val="4D8B6D3C"/>
    <w:rsid w:val="4DEE457E"/>
    <w:rsid w:val="4DF16712"/>
    <w:rsid w:val="4EC3D4ED"/>
    <w:rsid w:val="4F765600"/>
    <w:rsid w:val="4FBD8FC5"/>
    <w:rsid w:val="4FC0F17B"/>
    <w:rsid w:val="4FC97F8D"/>
    <w:rsid w:val="501048C1"/>
    <w:rsid w:val="50150091"/>
    <w:rsid w:val="521A9697"/>
    <w:rsid w:val="525A6870"/>
    <w:rsid w:val="52821C19"/>
    <w:rsid w:val="529DBDBF"/>
    <w:rsid w:val="52F56FB5"/>
    <w:rsid w:val="53292302"/>
    <w:rsid w:val="549F0BA1"/>
    <w:rsid w:val="54B7ACD0"/>
    <w:rsid w:val="554CFF28"/>
    <w:rsid w:val="556E402E"/>
    <w:rsid w:val="558E6922"/>
    <w:rsid w:val="55B394B8"/>
    <w:rsid w:val="56ACF484"/>
    <w:rsid w:val="56C035F4"/>
    <w:rsid w:val="576158FB"/>
    <w:rsid w:val="58D51361"/>
    <w:rsid w:val="58EF334F"/>
    <w:rsid w:val="594F81AB"/>
    <w:rsid w:val="59C6F689"/>
    <w:rsid w:val="5A0B30AD"/>
    <w:rsid w:val="5A636826"/>
    <w:rsid w:val="5AEDB8C1"/>
    <w:rsid w:val="5B958115"/>
    <w:rsid w:val="5BC19153"/>
    <w:rsid w:val="5BEF98DE"/>
    <w:rsid w:val="5C9FA469"/>
    <w:rsid w:val="5CE94D1C"/>
    <w:rsid w:val="5D121637"/>
    <w:rsid w:val="5F2CE7AC"/>
    <w:rsid w:val="5FB5FBA3"/>
    <w:rsid w:val="5FCD40C6"/>
    <w:rsid w:val="601EAED6"/>
    <w:rsid w:val="6109C494"/>
    <w:rsid w:val="614FC200"/>
    <w:rsid w:val="61E463A2"/>
    <w:rsid w:val="6254EFDA"/>
    <w:rsid w:val="63FFFB6C"/>
    <w:rsid w:val="65157C0D"/>
    <w:rsid w:val="66089B95"/>
    <w:rsid w:val="66856FD6"/>
    <w:rsid w:val="6731C7F2"/>
    <w:rsid w:val="673E48AD"/>
    <w:rsid w:val="67636787"/>
    <w:rsid w:val="67760372"/>
    <w:rsid w:val="682DAD4F"/>
    <w:rsid w:val="6837F8FF"/>
    <w:rsid w:val="68A1A342"/>
    <w:rsid w:val="68B5BB31"/>
    <w:rsid w:val="68F67A56"/>
    <w:rsid w:val="694FB1CD"/>
    <w:rsid w:val="6AA80432"/>
    <w:rsid w:val="6B942CF8"/>
    <w:rsid w:val="6C074CF5"/>
    <w:rsid w:val="6C0E9D2B"/>
    <w:rsid w:val="6C6B4DA3"/>
    <w:rsid w:val="6D830CA2"/>
    <w:rsid w:val="6EC72BC4"/>
    <w:rsid w:val="6F33D632"/>
    <w:rsid w:val="6FB119D8"/>
    <w:rsid w:val="6FCFB3CB"/>
    <w:rsid w:val="6FFD42B0"/>
    <w:rsid w:val="7029BA8C"/>
    <w:rsid w:val="714A97D2"/>
    <w:rsid w:val="72D95365"/>
    <w:rsid w:val="730DE21E"/>
    <w:rsid w:val="74144A22"/>
    <w:rsid w:val="7469D904"/>
    <w:rsid w:val="74EF5067"/>
    <w:rsid w:val="74F4E171"/>
    <w:rsid w:val="76ED0808"/>
    <w:rsid w:val="77ED6E3D"/>
    <w:rsid w:val="78128B0B"/>
    <w:rsid w:val="78AA5CB5"/>
    <w:rsid w:val="78E6901D"/>
    <w:rsid w:val="791837B2"/>
    <w:rsid w:val="79DA72FF"/>
    <w:rsid w:val="79E1A5EB"/>
    <w:rsid w:val="7AE1EEA7"/>
    <w:rsid w:val="7B83CFAD"/>
    <w:rsid w:val="7BC27B5D"/>
    <w:rsid w:val="7BDEC9BE"/>
    <w:rsid w:val="7C81AA98"/>
    <w:rsid w:val="7CFBC1E1"/>
    <w:rsid w:val="7D13182E"/>
    <w:rsid w:val="7D8F394B"/>
    <w:rsid w:val="7F1F318B"/>
    <w:rsid w:val="7F722672"/>
    <w:rsid w:val="7FAE0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95C34"/>
  <w15:chartTrackingRefBased/>
  <w15:docId w15:val="{7B953E1F-BF1C-4C10-ABE4-7FB028B4D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7512D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uiPriority w:val="9"/>
    <w:unhideWhenUsed/>
    <w:qFormat/>
    <w:rsid w:val="07512DD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C9FA469"/>
    <w:pPr>
      <w:ind w:left="720"/>
      <w:contextualSpacing/>
    </w:pPr>
  </w:style>
  <w:style w:type="character" w:styleId="Hyperlink">
    <w:name w:val="Hyperlink"/>
    <w:basedOn w:val="DefaultParagraphFont"/>
    <w:uiPriority w:val="99"/>
    <w:unhideWhenUsed/>
    <w:rsid w:val="07512DD2"/>
    <w:rPr>
      <w:color w:val="467886"/>
      <w:u w:val="single"/>
    </w:rPr>
  </w:style>
  <w:style w:type="paragraph" w:styleId="Header">
    <w:name w:val="header"/>
    <w:basedOn w:val="Normal"/>
    <w:uiPriority w:val="99"/>
    <w:unhideWhenUsed/>
    <w:rsid w:val="07512DD2"/>
    <w:pPr>
      <w:tabs>
        <w:tab w:val="center" w:pos="4680"/>
        <w:tab w:val="right" w:pos="9360"/>
      </w:tabs>
      <w:spacing w:after="0" w:line="240" w:lineRule="auto"/>
    </w:pPr>
  </w:style>
  <w:style w:type="paragraph" w:styleId="Footer">
    <w:name w:val="footer"/>
    <w:basedOn w:val="Normal"/>
    <w:uiPriority w:val="99"/>
    <w:unhideWhenUsed/>
    <w:rsid w:val="07512DD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uiPriority w:val="99"/>
    <w:semiHidden/>
    <w:unhideWhenUsed/>
    <w:rsid w:val="103743D0"/>
    <w:pPr>
      <w:spacing w:after="0" w:line="240" w:lineRule="auto"/>
    </w:pPr>
    <w:rPr>
      <w:sz w:val="20"/>
      <w:szCs w:val="20"/>
    </w:rPr>
  </w:style>
  <w:style w:type="character" w:styleId="FootnoteReference">
    <w:name w:val="footnote reference"/>
    <w:basedOn w:val="DefaultParagraphFont"/>
    <w:uiPriority w:val="99"/>
    <w:semiHidden/>
    <w:unhideWhenUsed/>
    <w:rsid w:val="103743D0"/>
    <w:rPr>
      <w:vertAlign w:val="superscript"/>
    </w:rPr>
  </w:style>
  <w:style w:type="paragraph" w:styleId="NormalWeb">
    <w:name w:val="Normal (Web)"/>
    <w:basedOn w:val="Normal"/>
    <w:uiPriority w:val="99"/>
    <w:semiHidden/>
    <w:unhideWhenUsed/>
    <w:rsid w:val="00682B35"/>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682B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E1461-CBC7-4CB2-83CE-A12A85E7B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632</TotalTime>
  <Pages>6</Pages>
  <Words>1482</Words>
  <Characters>8454</Characters>
  <Application>Microsoft Office Word</Application>
  <DocSecurity>0</DocSecurity>
  <Lines>70</Lines>
  <Paragraphs>19</Paragraphs>
  <ScaleCrop>false</ScaleCrop>
  <Company/>
  <LinksUpToDate>false</LinksUpToDate>
  <CharactersWithSpaces>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Norton (28001101)</dc:creator>
  <cp:keywords/>
  <dc:description/>
  <cp:lastModifiedBy>Tom Norton</cp:lastModifiedBy>
  <cp:revision>47</cp:revision>
  <dcterms:created xsi:type="dcterms:W3CDTF">2026-10-16T16:12:00Z</dcterms:created>
  <dcterms:modified xsi:type="dcterms:W3CDTF">2026-10-18T07:40:00Z</dcterms:modified>
</cp:coreProperties>
</file>