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44ECF" w14:textId="77777777" w:rsidR="00FD5560" w:rsidRDefault="00FD5560" w:rsidP="00FC5B49">
      <w:pPr>
        <w:jc w:val="both"/>
      </w:pPr>
      <w:r>
        <w:t xml:space="preserve">                                                                                                                        </w:t>
      </w:r>
    </w:p>
    <w:p w14:paraId="1A403DE2" w14:textId="5E664FDD" w:rsidR="00FD5560" w:rsidRDefault="00FD5560" w:rsidP="00FC5B49">
      <w:pPr>
        <w:jc w:val="both"/>
      </w:pPr>
      <w:r>
        <w:t xml:space="preserve">                                                                    </w:t>
      </w:r>
      <w:r>
        <w:rPr>
          <w:noProof/>
        </w:rPr>
        <w:drawing>
          <wp:inline distT="0" distB="0" distL="0" distR="0" wp14:anchorId="60BE46B8" wp14:editId="149B81FE">
            <wp:extent cx="1999615" cy="1999615"/>
            <wp:effectExtent l="0" t="0" r="635" b="635"/>
            <wp:docPr id="179513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9615" cy="1999615"/>
                    </a:xfrm>
                    <a:prstGeom prst="rect">
                      <a:avLst/>
                    </a:prstGeom>
                    <a:noFill/>
                  </pic:spPr>
                </pic:pic>
              </a:graphicData>
            </a:graphic>
          </wp:inline>
        </w:drawing>
      </w:r>
    </w:p>
    <w:p w14:paraId="2D92C30C" w14:textId="77777777" w:rsidR="00FD5560" w:rsidRDefault="00FD5560" w:rsidP="00FC5B49">
      <w:pPr>
        <w:jc w:val="both"/>
      </w:pPr>
    </w:p>
    <w:p w14:paraId="725162D2" w14:textId="77777777" w:rsidR="00FD5560" w:rsidRDefault="00FD5560" w:rsidP="00FC5B49">
      <w:pPr>
        <w:jc w:val="both"/>
      </w:pPr>
    </w:p>
    <w:p w14:paraId="37490CB9" w14:textId="77777777" w:rsidR="00FD5560" w:rsidRDefault="00FD5560" w:rsidP="00FC5B49">
      <w:pPr>
        <w:jc w:val="both"/>
      </w:pPr>
      <w:r w:rsidRPr="00FD5560">
        <w:rPr>
          <w:b/>
          <w:bCs/>
        </w:rPr>
        <w:t>Name:</w:t>
      </w:r>
      <w:r>
        <w:t xml:space="preserve"> Javaria Irfan Hafiza</w:t>
      </w:r>
    </w:p>
    <w:p w14:paraId="0879E78F" w14:textId="77777777" w:rsidR="00FD5560" w:rsidRDefault="00FD5560" w:rsidP="00FC5B49">
      <w:pPr>
        <w:jc w:val="both"/>
      </w:pPr>
      <w:r w:rsidRPr="00FD5560">
        <w:rPr>
          <w:b/>
          <w:bCs/>
        </w:rPr>
        <w:t>Student number</w:t>
      </w:r>
      <w:r>
        <w:t>: 2504716</w:t>
      </w:r>
    </w:p>
    <w:p w14:paraId="47B4FDF7" w14:textId="77777777" w:rsidR="00FD5560" w:rsidRDefault="00FD5560" w:rsidP="00FC5B49">
      <w:pPr>
        <w:jc w:val="both"/>
      </w:pPr>
      <w:r w:rsidRPr="00FD5560">
        <w:rPr>
          <w:b/>
          <w:bCs/>
        </w:rPr>
        <w:t>Module code:</w:t>
      </w:r>
      <w:r>
        <w:t xml:space="preserve"> LCHS4003</w:t>
      </w:r>
    </w:p>
    <w:p w14:paraId="057FBC3C" w14:textId="77777777" w:rsidR="00FD5560" w:rsidRDefault="00FD5560" w:rsidP="00FC5B49">
      <w:pPr>
        <w:jc w:val="both"/>
      </w:pPr>
      <w:r w:rsidRPr="00FD5560">
        <w:rPr>
          <w:b/>
          <w:bCs/>
        </w:rPr>
        <w:t>Module:</w:t>
      </w:r>
      <w:r>
        <w:t xml:space="preserve"> Introduction to Health and Social Care</w:t>
      </w:r>
    </w:p>
    <w:p w14:paraId="1064F290" w14:textId="77777777" w:rsidR="00FD5560" w:rsidRDefault="00FD5560" w:rsidP="00FC5B49">
      <w:pPr>
        <w:jc w:val="both"/>
      </w:pPr>
      <w:r w:rsidRPr="00FD5560">
        <w:rPr>
          <w:b/>
          <w:bCs/>
        </w:rPr>
        <w:t>Lecturer’s name:</w:t>
      </w:r>
      <w:r>
        <w:t xml:space="preserve"> Mumtaz Goolam</w:t>
      </w:r>
    </w:p>
    <w:p w14:paraId="1C477ED5" w14:textId="7016A4E2" w:rsidR="009F3219" w:rsidRDefault="00FD5560" w:rsidP="00FC5B49">
      <w:pPr>
        <w:jc w:val="both"/>
      </w:pPr>
      <w:r w:rsidRPr="00CA0FEA">
        <w:rPr>
          <w:b/>
          <w:bCs/>
        </w:rPr>
        <w:t xml:space="preserve"> Portfolio</w:t>
      </w:r>
      <w:r>
        <w:t xml:space="preserve"> – </w:t>
      </w:r>
      <w:r w:rsidRPr="00FD5560">
        <w:t xml:space="preserve">Written </w:t>
      </w:r>
      <w:r w:rsidR="009054FE" w:rsidRPr="00FD5560">
        <w:t>Assignment</w:t>
      </w:r>
      <w:r w:rsidR="009054FE">
        <w:t xml:space="preserve">: </w:t>
      </w:r>
      <w:r w:rsidR="007D334E">
        <w:t>report. (component 2)</w:t>
      </w:r>
    </w:p>
    <w:p w14:paraId="3EDD9874" w14:textId="77777777" w:rsidR="008E1588" w:rsidRDefault="008E1588" w:rsidP="00FC5B49">
      <w:pPr>
        <w:jc w:val="both"/>
      </w:pPr>
    </w:p>
    <w:p w14:paraId="4F637302" w14:textId="77777777" w:rsidR="008E1588" w:rsidRDefault="008E1588" w:rsidP="00FC5B49">
      <w:pPr>
        <w:jc w:val="both"/>
      </w:pPr>
    </w:p>
    <w:p w14:paraId="74217BF6" w14:textId="77777777" w:rsidR="008E1588" w:rsidRDefault="008E1588" w:rsidP="00FC5B49">
      <w:pPr>
        <w:jc w:val="both"/>
      </w:pPr>
    </w:p>
    <w:p w14:paraId="0BED6865" w14:textId="77777777" w:rsidR="008E1588" w:rsidRDefault="008E1588" w:rsidP="00FC5B49">
      <w:pPr>
        <w:jc w:val="both"/>
      </w:pPr>
    </w:p>
    <w:p w14:paraId="53A96C32" w14:textId="77777777" w:rsidR="008E1588" w:rsidRDefault="008E1588" w:rsidP="00FC5B49">
      <w:pPr>
        <w:jc w:val="both"/>
      </w:pPr>
    </w:p>
    <w:p w14:paraId="4E376810" w14:textId="77777777" w:rsidR="008E1588" w:rsidRDefault="008E1588" w:rsidP="00FC5B49">
      <w:pPr>
        <w:jc w:val="both"/>
      </w:pPr>
    </w:p>
    <w:p w14:paraId="1C32C4C4" w14:textId="77777777" w:rsidR="008E1588" w:rsidRDefault="008E1588" w:rsidP="00FC5B49">
      <w:pPr>
        <w:jc w:val="both"/>
      </w:pPr>
    </w:p>
    <w:p w14:paraId="13A567A2" w14:textId="77777777" w:rsidR="008E1588" w:rsidRDefault="008E1588" w:rsidP="00FC5B49">
      <w:pPr>
        <w:jc w:val="both"/>
      </w:pPr>
    </w:p>
    <w:p w14:paraId="5B3ECEA3" w14:textId="77777777" w:rsidR="008E1588" w:rsidRDefault="008E1588" w:rsidP="00FC5B49">
      <w:pPr>
        <w:jc w:val="both"/>
      </w:pPr>
    </w:p>
    <w:p w14:paraId="3840E8F4" w14:textId="77777777" w:rsidR="008E1588" w:rsidRDefault="008E1588" w:rsidP="00FC5B49">
      <w:pPr>
        <w:jc w:val="both"/>
      </w:pPr>
    </w:p>
    <w:sdt>
      <w:sdtPr>
        <w:rPr>
          <w:rFonts w:asciiTheme="minorHAnsi" w:eastAsiaTheme="minorHAnsi" w:hAnsiTheme="minorHAnsi" w:cstheme="minorBidi"/>
          <w:color w:val="auto"/>
          <w:kern w:val="2"/>
          <w:sz w:val="24"/>
          <w:szCs w:val="24"/>
          <w:lang w:eastAsia="en-US"/>
          <w14:ligatures w14:val="standardContextual"/>
        </w:rPr>
        <w:id w:val="-873078159"/>
        <w:docPartObj>
          <w:docPartGallery w:val="Table of Contents"/>
          <w:docPartUnique/>
        </w:docPartObj>
      </w:sdtPr>
      <w:sdtContent>
        <w:p w14:paraId="68772159" w14:textId="546D6A62" w:rsidR="008E1588" w:rsidRDefault="008E1588" w:rsidP="007663C1">
          <w:pPr>
            <w:pStyle w:val="TOCHeading"/>
            <w:spacing w:line="360" w:lineRule="auto"/>
            <w:jc w:val="both"/>
          </w:pPr>
          <w:r>
            <w:t>Table of Contents</w:t>
          </w:r>
        </w:p>
        <w:p w14:paraId="0009FF4B" w14:textId="1EFAB964" w:rsidR="008E1588" w:rsidRDefault="008E1588" w:rsidP="00FC5B49">
          <w:pPr>
            <w:jc w:val="both"/>
            <w:rPr>
              <w:lang w:eastAsia="en-GB"/>
            </w:rPr>
          </w:pPr>
          <w:r>
            <w:rPr>
              <w:lang w:eastAsia="en-GB"/>
            </w:rPr>
            <w:t>Introduction…………………………………………………………………………………</w:t>
          </w:r>
          <w:r w:rsidR="00035121">
            <w:rPr>
              <w:lang w:eastAsia="en-GB"/>
            </w:rPr>
            <w:t>…</w:t>
          </w:r>
          <w:r w:rsidR="007663C1">
            <w:rPr>
              <w:lang w:eastAsia="en-GB"/>
            </w:rPr>
            <w:t>….</w:t>
          </w:r>
          <w:r>
            <w:rPr>
              <w:lang w:eastAsia="en-GB"/>
            </w:rPr>
            <w:t>………….3</w:t>
          </w:r>
        </w:p>
        <w:p w14:paraId="41DF3D07" w14:textId="01114C14" w:rsidR="008E1588" w:rsidRDefault="008E1588" w:rsidP="00FC5B49">
          <w:pPr>
            <w:jc w:val="both"/>
            <w:rPr>
              <w:lang w:eastAsia="en-GB"/>
            </w:rPr>
          </w:pPr>
          <w:r>
            <w:rPr>
              <w:lang w:eastAsia="en-GB"/>
            </w:rPr>
            <w:t>Effective communication………………………………………………………………</w:t>
          </w:r>
          <w:r w:rsidR="007663C1">
            <w:rPr>
              <w:lang w:eastAsia="en-GB"/>
            </w:rPr>
            <w:t>….</w:t>
          </w:r>
          <w:r>
            <w:rPr>
              <w:lang w:eastAsia="en-GB"/>
            </w:rPr>
            <w:t>…</w:t>
          </w:r>
          <w:r w:rsidR="007663C1">
            <w:rPr>
              <w:lang w:eastAsia="en-GB"/>
            </w:rPr>
            <w:t>.</w:t>
          </w:r>
          <w:r>
            <w:rPr>
              <w:lang w:eastAsia="en-GB"/>
            </w:rPr>
            <w:t>………</w:t>
          </w:r>
          <w:r w:rsidR="00BB73BB">
            <w:rPr>
              <w:lang w:eastAsia="en-GB"/>
            </w:rPr>
            <w:t>.</w:t>
          </w:r>
          <w:r>
            <w:rPr>
              <w:lang w:eastAsia="en-GB"/>
            </w:rPr>
            <w:t>3</w:t>
          </w:r>
          <w:r w:rsidR="00D11916">
            <w:rPr>
              <w:lang w:eastAsia="en-GB"/>
            </w:rPr>
            <w:t>,4</w:t>
          </w:r>
        </w:p>
        <w:p w14:paraId="47F74830" w14:textId="4B5A0487" w:rsidR="008E1588" w:rsidRDefault="008E1588" w:rsidP="00FC5B49">
          <w:pPr>
            <w:jc w:val="both"/>
            <w:rPr>
              <w:lang w:eastAsia="en-GB"/>
            </w:rPr>
          </w:pPr>
          <w:r>
            <w:rPr>
              <w:lang w:eastAsia="en-GB"/>
            </w:rPr>
            <w:t>Administrative skills &amp; record keeping………………………………………………</w:t>
          </w:r>
          <w:r w:rsidR="00035121">
            <w:rPr>
              <w:lang w:eastAsia="en-GB"/>
            </w:rPr>
            <w:t>.</w:t>
          </w:r>
          <w:r>
            <w:rPr>
              <w:lang w:eastAsia="en-GB"/>
            </w:rPr>
            <w:t>…………</w:t>
          </w:r>
          <w:r w:rsidR="00BB73BB">
            <w:rPr>
              <w:lang w:eastAsia="en-GB"/>
            </w:rPr>
            <w:t>….</w:t>
          </w:r>
          <w:r>
            <w:rPr>
              <w:lang w:eastAsia="en-GB"/>
            </w:rPr>
            <w:t>4</w:t>
          </w:r>
          <w:r w:rsidR="00D11916">
            <w:rPr>
              <w:lang w:eastAsia="en-GB"/>
            </w:rPr>
            <w:t>,5,</w:t>
          </w:r>
          <w:r w:rsidR="00BD03BA">
            <w:rPr>
              <w:lang w:eastAsia="en-GB"/>
            </w:rPr>
            <w:t>6</w:t>
          </w:r>
        </w:p>
        <w:p w14:paraId="4CDE61A9" w14:textId="78A9C4D5" w:rsidR="008E1588" w:rsidRDefault="008E1588" w:rsidP="00FC5B49">
          <w:pPr>
            <w:jc w:val="both"/>
            <w:rPr>
              <w:lang w:eastAsia="en-GB"/>
            </w:rPr>
          </w:pPr>
          <w:r>
            <w:rPr>
              <w:lang w:eastAsia="en-GB"/>
            </w:rPr>
            <w:t>Collaborative working…………………………………………………………………</w:t>
          </w:r>
          <w:r w:rsidR="007663C1">
            <w:rPr>
              <w:lang w:eastAsia="en-GB"/>
            </w:rPr>
            <w:t>….</w:t>
          </w:r>
          <w:r>
            <w:rPr>
              <w:lang w:eastAsia="en-GB"/>
            </w:rPr>
            <w:t>……………….6</w:t>
          </w:r>
          <w:r w:rsidR="00BD03BA">
            <w:rPr>
              <w:lang w:eastAsia="en-GB"/>
            </w:rPr>
            <w:t>,7</w:t>
          </w:r>
        </w:p>
        <w:p w14:paraId="076A16E7" w14:textId="7A99D94A" w:rsidR="008E1588" w:rsidRDefault="008E1588" w:rsidP="00FC5B49">
          <w:pPr>
            <w:jc w:val="both"/>
            <w:rPr>
              <w:lang w:eastAsia="en-GB"/>
            </w:rPr>
          </w:pPr>
          <w:r>
            <w:rPr>
              <w:lang w:eastAsia="en-GB"/>
            </w:rPr>
            <w:t>Conclusion………………………………………………………………………………</w:t>
          </w:r>
          <w:r w:rsidR="00035121">
            <w:rPr>
              <w:lang w:eastAsia="en-GB"/>
            </w:rPr>
            <w:t>….</w:t>
          </w:r>
          <w:r>
            <w:rPr>
              <w:lang w:eastAsia="en-GB"/>
            </w:rPr>
            <w:t>……</w:t>
          </w:r>
          <w:r w:rsidR="007663C1">
            <w:rPr>
              <w:lang w:eastAsia="en-GB"/>
            </w:rPr>
            <w:t>….</w:t>
          </w:r>
          <w:r>
            <w:rPr>
              <w:lang w:eastAsia="en-GB"/>
            </w:rPr>
            <w:t>……</w:t>
          </w:r>
          <w:r w:rsidR="00BB73BB">
            <w:rPr>
              <w:lang w:eastAsia="en-GB"/>
            </w:rPr>
            <w:t>….</w:t>
          </w:r>
          <w:r>
            <w:rPr>
              <w:lang w:eastAsia="en-GB"/>
            </w:rPr>
            <w:t>7</w:t>
          </w:r>
        </w:p>
        <w:p w14:paraId="0E671995" w14:textId="235AF995" w:rsidR="008E1588" w:rsidRDefault="008E1588" w:rsidP="00FC5B49">
          <w:pPr>
            <w:jc w:val="both"/>
            <w:rPr>
              <w:lang w:eastAsia="en-GB"/>
            </w:rPr>
          </w:pPr>
          <w:r>
            <w:rPr>
              <w:lang w:eastAsia="en-GB"/>
            </w:rPr>
            <w:t>References list ………………………………………………………………………………………</w:t>
          </w:r>
          <w:r w:rsidR="007663C1">
            <w:rPr>
              <w:lang w:eastAsia="en-GB"/>
            </w:rPr>
            <w:t>.</w:t>
          </w:r>
          <w:r>
            <w:rPr>
              <w:lang w:eastAsia="en-GB"/>
            </w:rPr>
            <w:t>…8</w:t>
          </w:r>
          <w:r w:rsidR="00D11916">
            <w:rPr>
              <w:lang w:eastAsia="en-GB"/>
            </w:rPr>
            <w:t>,9</w:t>
          </w:r>
          <w:r w:rsidR="00C52299">
            <w:rPr>
              <w:lang w:eastAsia="en-GB"/>
            </w:rPr>
            <w:t>,10</w:t>
          </w:r>
        </w:p>
        <w:p w14:paraId="5751B891" w14:textId="77777777" w:rsidR="008E1588" w:rsidRDefault="008E1588" w:rsidP="00FC5B49">
          <w:pPr>
            <w:jc w:val="both"/>
            <w:rPr>
              <w:lang w:eastAsia="en-GB"/>
            </w:rPr>
          </w:pPr>
        </w:p>
        <w:p w14:paraId="01FF9A7C" w14:textId="77777777" w:rsidR="008E1588" w:rsidRDefault="008E1588" w:rsidP="00FC5B49">
          <w:pPr>
            <w:jc w:val="both"/>
            <w:rPr>
              <w:lang w:eastAsia="en-GB"/>
            </w:rPr>
          </w:pPr>
        </w:p>
        <w:p w14:paraId="190A8424" w14:textId="77777777" w:rsidR="008E1588" w:rsidRPr="008E1588" w:rsidRDefault="008E1588" w:rsidP="00FC5B49">
          <w:pPr>
            <w:jc w:val="both"/>
            <w:rPr>
              <w:lang w:eastAsia="en-GB"/>
            </w:rPr>
          </w:pPr>
        </w:p>
        <w:p w14:paraId="56A8F5D7" w14:textId="42E50ED7" w:rsidR="008E1588" w:rsidRPr="008E1588" w:rsidRDefault="00000000" w:rsidP="00FC5B49">
          <w:pPr>
            <w:jc w:val="both"/>
            <w:rPr>
              <w:lang w:eastAsia="en-GB"/>
            </w:rPr>
          </w:pPr>
        </w:p>
      </w:sdtContent>
    </w:sdt>
    <w:p w14:paraId="7CC86FFC" w14:textId="77777777" w:rsidR="008E1588" w:rsidRDefault="008E1588" w:rsidP="00FC5B49">
      <w:pPr>
        <w:jc w:val="both"/>
      </w:pPr>
    </w:p>
    <w:p w14:paraId="7FC56DCC" w14:textId="77777777" w:rsidR="008E1588" w:rsidRDefault="008E1588" w:rsidP="00FC5B49">
      <w:pPr>
        <w:jc w:val="both"/>
      </w:pPr>
    </w:p>
    <w:p w14:paraId="573CD76F" w14:textId="77777777" w:rsidR="008E1588" w:rsidRDefault="008E1588" w:rsidP="00FC5B49">
      <w:pPr>
        <w:jc w:val="both"/>
      </w:pPr>
    </w:p>
    <w:p w14:paraId="27F314F5" w14:textId="77777777" w:rsidR="008E1588" w:rsidRDefault="008E1588" w:rsidP="00FC5B49">
      <w:pPr>
        <w:jc w:val="both"/>
      </w:pPr>
    </w:p>
    <w:p w14:paraId="14673416" w14:textId="77777777" w:rsidR="008E1588" w:rsidRDefault="008E1588" w:rsidP="00FC5B49">
      <w:pPr>
        <w:jc w:val="both"/>
      </w:pPr>
    </w:p>
    <w:p w14:paraId="5533C1BC" w14:textId="77777777" w:rsidR="008E1588" w:rsidRDefault="008E1588" w:rsidP="00FC5B49">
      <w:pPr>
        <w:jc w:val="both"/>
      </w:pPr>
    </w:p>
    <w:p w14:paraId="2BC01316" w14:textId="77777777" w:rsidR="008E1588" w:rsidRDefault="008E1588" w:rsidP="00FC5B49">
      <w:pPr>
        <w:jc w:val="both"/>
      </w:pPr>
    </w:p>
    <w:p w14:paraId="7F39A225" w14:textId="77777777" w:rsidR="00FD5560" w:rsidRDefault="00FD5560" w:rsidP="00FC5B49">
      <w:pPr>
        <w:jc w:val="both"/>
      </w:pPr>
    </w:p>
    <w:p w14:paraId="7D6A3E9F" w14:textId="77777777" w:rsidR="00FD5560" w:rsidRDefault="00FD5560" w:rsidP="00FC5B49">
      <w:pPr>
        <w:jc w:val="both"/>
      </w:pPr>
    </w:p>
    <w:p w14:paraId="6FA3F0F1" w14:textId="77777777" w:rsidR="00CA0FEA" w:rsidRDefault="00CA0FEA" w:rsidP="00FC5B49">
      <w:pPr>
        <w:jc w:val="both"/>
      </w:pPr>
    </w:p>
    <w:p w14:paraId="4672BBAB" w14:textId="77777777" w:rsidR="007663C1" w:rsidRDefault="007663C1" w:rsidP="00FC5B49">
      <w:pPr>
        <w:jc w:val="both"/>
        <w:rPr>
          <w:rFonts w:ascii="Arial" w:hAnsi="Arial" w:cs="Arial"/>
          <w:b/>
          <w:bCs/>
          <w:sz w:val="22"/>
          <w:szCs w:val="22"/>
        </w:rPr>
      </w:pPr>
    </w:p>
    <w:p w14:paraId="0A0E7A0E" w14:textId="7B31F436" w:rsidR="00CF114E" w:rsidRPr="00C52299" w:rsidRDefault="00CF114E" w:rsidP="00C52299">
      <w:pPr>
        <w:jc w:val="both"/>
        <w:rPr>
          <w:rFonts w:ascii="Arial" w:hAnsi="Arial" w:cs="Arial"/>
          <w:b/>
          <w:bCs/>
          <w:sz w:val="22"/>
          <w:szCs w:val="22"/>
        </w:rPr>
      </w:pPr>
      <w:r w:rsidRPr="00C52299">
        <w:rPr>
          <w:rFonts w:ascii="Arial" w:hAnsi="Arial" w:cs="Arial"/>
          <w:b/>
          <w:bCs/>
          <w:sz w:val="22"/>
          <w:szCs w:val="22"/>
        </w:rPr>
        <w:lastRenderedPageBreak/>
        <w:t>Introduction:</w:t>
      </w:r>
    </w:p>
    <w:p w14:paraId="53C186A6" w14:textId="7B4765DC" w:rsidR="001F4C49" w:rsidRPr="00C52299" w:rsidRDefault="00C9113C" w:rsidP="00C52299">
      <w:pPr>
        <w:jc w:val="both"/>
        <w:rPr>
          <w:rFonts w:ascii="Arial" w:hAnsi="Arial" w:cs="Arial"/>
          <w:sz w:val="22"/>
          <w:szCs w:val="22"/>
        </w:rPr>
      </w:pPr>
      <w:r w:rsidRPr="00C52299">
        <w:rPr>
          <w:rFonts w:ascii="Arial" w:hAnsi="Arial" w:cs="Arial"/>
          <w:sz w:val="22"/>
          <w:szCs w:val="22"/>
        </w:rPr>
        <w:t xml:space="preserve">Collaborative work, efficient administration, and effective communication are essential parts of professional practice in the health and social </w:t>
      </w:r>
      <w:r w:rsidR="008E1261" w:rsidRPr="00C52299">
        <w:rPr>
          <w:rFonts w:ascii="Arial" w:hAnsi="Arial" w:cs="Arial"/>
          <w:sz w:val="22"/>
          <w:szCs w:val="22"/>
        </w:rPr>
        <w:t>care. This</w:t>
      </w:r>
      <w:r w:rsidR="001F4C49" w:rsidRPr="00C52299">
        <w:rPr>
          <w:rFonts w:ascii="Arial" w:hAnsi="Arial" w:cs="Arial"/>
          <w:sz w:val="22"/>
          <w:szCs w:val="22"/>
        </w:rPr>
        <w:t xml:space="preserve"> </w:t>
      </w:r>
      <w:r w:rsidR="008E1261" w:rsidRPr="00C52299">
        <w:rPr>
          <w:rFonts w:ascii="Arial" w:hAnsi="Arial" w:cs="Arial"/>
          <w:sz w:val="22"/>
          <w:szCs w:val="22"/>
        </w:rPr>
        <w:t xml:space="preserve">case study </w:t>
      </w:r>
      <w:r w:rsidR="001F4C49" w:rsidRPr="00C52299">
        <w:rPr>
          <w:rFonts w:ascii="Arial" w:hAnsi="Arial" w:cs="Arial"/>
          <w:sz w:val="22"/>
          <w:szCs w:val="22"/>
        </w:rPr>
        <w:t>examines these principles in relation to the case of Mr Ahmed, a 68-year-old man receiving domiciliary care support following a stroke. As a result of his condition, Mr Ahmed experiences communication difficulties, and English is not his first language, raising important considerations regarding equality, person-centred care, and accessible communication. Stroke can result in long-term complications, including problems with speech and swallowing, which require specialist assessment and rehabilitation (NICE, 2023). A recent missed care visit, which led to delayed medication administration, further highlights the importance of robust administrative systems and accurate record keeping within regulated services. Additionally, Mr Ahmed’s care involves multiple professionals, including his GP, district nurse, and speech and language therapist, making effective multidisciplinary collaboration essential to ensure continuity, safety, and high-quality care.</w:t>
      </w:r>
    </w:p>
    <w:p w14:paraId="12D6D893" w14:textId="77777777" w:rsidR="00D759EC" w:rsidRPr="00C52299" w:rsidRDefault="00160588" w:rsidP="00C52299">
      <w:pPr>
        <w:jc w:val="both"/>
        <w:rPr>
          <w:rFonts w:ascii="Arial" w:hAnsi="Arial" w:cs="Arial"/>
          <w:sz w:val="22"/>
          <w:szCs w:val="22"/>
        </w:rPr>
      </w:pPr>
      <w:r w:rsidRPr="00C52299">
        <w:rPr>
          <w:rFonts w:ascii="Arial" w:hAnsi="Arial" w:cs="Arial"/>
          <w:b/>
          <w:bCs/>
          <w:sz w:val="22"/>
          <w:szCs w:val="22"/>
        </w:rPr>
        <w:t>Effective communication:</w:t>
      </w:r>
    </w:p>
    <w:p w14:paraId="1194A7C1" w14:textId="47613735" w:rsidR="00D759EC" w:rsidRPr="00C52299" w:rsidRDefault="00D759EC" w:rsidP="00C52299">
      <w:pPr>
        <w:jc w:val="both"/>
        <w:rPr>
          <w:rFonts w:ascii="Arial" w:hAnsi="Arial" w:cs="Arial"/>
          <w:sz w:val="22"/>
          <w:szCs w:val="22"/>
        </w:rPr>
      </w:pPr>
      <w:r w:rsidRPr="00C52299">
        <w:rPr>
          <w:rFonts w:ascii="Arial" w:hAnsi="Arial" w:cs="Arial"/>
          <w:sz w:val="22"/>
          <w:szCs w:val="22"/>
        </w:rPr>
        <w:t>Effective communication is fundamental to safe, person-centred care and is directly linked to improved health outcomes and patient safety (NMC, 2018). Since Mr Ahmed continues to recover from a stroke and has difficulty speaking and swallowing, effective communication is very important in his circumstance. Stroke frequently results in communication impairments such as aphasia and dysarthria, which can affect both understanding and expression of language (NICE, 2023). These difficulties increase the risk of misunderstanding treatment plans, medication instructions, and rehabilitation advice (Stroke Association, 2022).</w:t>
      </w:r>
    </w:p>
    <w:p w14:paraId="501A2F48" w14:textId="0A001A46" w:rsidR="00D759EC" w:rsidRPr="00C52299" w:rsidRDefault="00D759EC" w:rsidP="00C52299">
      <w:pPr>
        <w:jc w:val="both"/>
        <w:rPr>
          <w:rFonts w:ascii="Arial" w:hAnsi="Arial" w:cs="Arial"/>
          <w:sz w:val="22"/>
          <w:szCs w:val="22"/>
        </w:rPr>
      </w:pPr>
      <w:r w:rsidRPr="00C52299">
        <w:rPr>
          <w:rFonts w:ascii="Arial" w:hAnsi="Arial" w:cs="Arial"/>
          <w:sz w:val="22"/>
          <w:szCs w:val="22"/>
        </w:rPr>
        <w:t>Furthermore, Mr Ahmed does not speak English as his primary language, making it a challenge for him to receive medical care effectively. The Equality Act 2010 requires health and social care providers to make reasonable adjustments for individuals with disabilities and to prevent discrimination based on race or ethnicity (Equality Act</w:t>
      </w:r>
      <w:r w:rsidR="00C52299">
        <w:rPr>
          <w:rFonts w:ascii="Arial" w:hAnsi="Arial" w:cs="Arial"/>
          <w:sz w:val="22"/>
          <w:szCs w:val="22"/>
        </w:rPr>
        <w:t xml:space="preserve"> </w:t>
      </w:r>
      <w:r w:rsidRPr="00C52299">
        <w:rPr>
          <w:rFonts w:ascii="Arial" w:hAnsi="Arial" w:cs="Arial"/>
          <w:sz w:val="22"/>
          <w:szCs w:val="22"/>
        </w:rPr>
        <w:t xml:space="preserve">2010). </w:t>
      </w:r>
      <w:proofErr w:type="gramStart"/>
      <w:r w:rsidR="00B85009" w:rsidRPr="00C52299">
        <w:rPr>
          <w:rFonts w:ascii="Arial" w:hAnsi="Arial" w:cs="Arial"/>
          <w:sz w:val="22"/>
          <w:szCs w:val="22"/>
        </w:rPr>
        <w:t>In order to</w:t>
      </w:r>
      <w:proofErr w:type="gramEnd"/>
      <w:r w:rsidR="00B85009" w:rsidRPr="00C52299">
        <w:rPr>
          <w:rFonts w:ascii="Arial" w:hAnsi="Arial" w:cs="Arial"/>
          <w:sz w:val="22"/>
          <w:szCs w:val="22"/>
        </w:rPr>
        <w:t xml:space="preserve"> guarantee that those who use services may be fully involved in their care, suitable modifications involve altering communication techniques, giving clear information, along with offering language help when necessary.</w:t>
      </w:r>
    </w:p>
    <w:p w14:paraId="3F87E2F2" w14:textId="61E8ECCE" w:rsidR="00D759EC" w:rsidRPr="00C52299" w:rsidRDefault="00D759EC" w:rsidP="00C52299">
      <w:pPr>
        <w:jc w:val="both"/>
        <w:rPr>
          <w:rFonts w:ascii="Arial" w:hAnsi="Arial" w:cs="Arial"/>
          <w:sz w:val="22"/>
          <w:szCs w:val="22"/>
        </w:rPr>
      </w:pPr>
      <w:r w:rsidRPr="00C52299">
        <w:rPr>
          <w:rFonts w:ascii="Arial" w:hAnsi="Arial" w:cs="Arial"/>
          <w:sz w:val="22"/>
          <w:szCs w:val="22"/>
        </w:rPr>
        <w:t xml:space="preserve">Even though Mr Ahmed’s wife is fluent in English and constantly represents him in professional conversations, depending just on family members to translate might compromise accuracy, privacy, and informed consent. Therefore, the use of trained professional interpreters is recommended, particularly during complex discussions such as medication reviews or care planning meetings (NHS England, 2018). Interpreters can be offered in person, over the phone, or by using secure video interpreting systems. These services encourage ethical </w:t>
      </w:r>
      <w:r w:rsidRPr="00C52299">
        <w:rPr>
          <w:rFonts w:ascii="Arial" w:hAnsi="Arial" w:cs="Arial"/>
          <w:sz w:val="22"/>
          <w:szCs w:val="22"/>
        </w:rPr>
        <w:lastRenderedPageBreak/>
        <w:t xml:space="preserve">conduct and ensure accurate translation of medical language. Visual aids can also enhance communication. </w:t>
      </w:r>
      <w:r w:rsidR="00011D60" w:rsidRPr="00C52299">
        <w:rPr>
          <w:rFonts w:ascii="Arial" w:hAnsi="Arial" w:cs="Arial"/>
          <w:sz w:val="22"/>
          <w:szCs w:val="22"/>
        </w:rPr>
        <w:t>Picture boards</w:t>
      </w:r>
      <w:r w:rsidRPr="00C52299">
        <w:rPr>
          <w:rFonts w:ascii="Arial" w:hAnsi="Arial" w:cs="Arial"/>
          <w:sz w:val="22"/>
          <w:szCs w:val="22"/>
        </w:rPr>
        <w:t xml:space="preserve"> simplified written instructions, medication charts with symbols, and translated written materials in Bengali may support understanding and independence (Royal College of Speech and Language Therapists, 2021). The speech and language therapist plays a key role in assessing Mr Ahmed’s communication abilities and recommending tailored strategies to support speech and swallowing rehabilitation (NICE, 2023).</w:t>
      </w:r>
    </w:p>
    <w:p w14:paraId="18F92BDB" w14:textId="77777777" w:rsidR="00D759EC" w:rsidRPr="00C52299" w:rsidRDefault="00D759EC" w:rsidP="00C52299">
      <w:pPr>
        <w:jc w:val="both"/>
        <w:rPr>
          <w:rFonts w:ascii="Arial" w:hAnsi="Arial" w:cs="Arial"/>
          <w:sz w:val="22"/>
          <w:szCs w:val="22"/>
        </w:rPr>
      </w:pPr>
      <w:r w:rsidRPr="00C52299">
        <w:rPr>
          <w:rFonts w:ascii="Arial" w:hAnsi="Arial" w:cs="Arial"/>
          <w:sz w:val="22"/>
          <w:szCs w:val="22"/>
        </w:rPr>
        <w:t>A significant theoretical foundation for understanding communication difficulties in this situation is provided by the Shannon and Weaver (1949) communication model. According to the framework, "noise" refers to any feature that obstructs a message's delivery. Difficulties with language, cognitive impairment after a stroke, technical terms, and surrounding distractions could all be regarded as noise for Mr Ahmed. Healthcare professionals must therefore minimise noise by using clear language, confirming understanding through teach-back methods, and selecting appropriate communication channels (Arnold and Boggs, 2020).</w:t>
      </w:r>
    </w:p>
    <w:p w14:paraId="29EA46BD" w14:textId="064C7025" w:rsidR="00760E4E" w:rsidRPr="00C52299" w:rsidRDefault="00D759EC" w:rsidP="00C52299">
      <w:pPr>
        <w:jc w:val="both"/>
        <w:rPr>
          <w:rFonts w:ascii="Arial" w:hAnsi="Arial" w:cs="Arial"/>
          <w:sz w:val="22"/>
          <w:szCs w:val="22"/>
        </w:rPr>
      </w:pPr>
      <w:r w:rsidRPr="00C52299">
        <w:rPr>
          <w:rFonts w:ascii="Arial" w:hAnsi="Arial" w:cs="Arial"/>
          <w:sz w:val="22"/>
          <w:szCs w:val="22"/>
        </w:rPr>
        <w:t xml:space="preserve">Furthermore, the Health and Care Act 2022 </w:t>
      </w:r>
      <w:r w:rsidR="000A0319" w:rsidRPr="00C52299">
        <w:rPr>
          <w:rFonts w:ascii="Arial" w:hAnsi="Arial" w:cs="Arial"/>
          <w:sz w:val="22"/>
          <w:szCs w:val="22"/>
        </w:rPr>
        <w:t>promote</w:t>
      </w:r>
      <w:r w:rsidRPr="00C52299">
        <w:rPr>
          <w:rFonts w:ascii="Arial" w:hAnsi="Arial" w:cs="Arial"/>
          <w:sz w:val="22"/>
          <w:szCs w:val="22"/>
        </w:rPr>
        <w:t xml:space="preserve"> integrated care systems and improved coordination between services (Health and Care Act</w:t>
      </w:r>
      <w:r w:rsidR="00C52299">
        <w:rPr>
          <w:rFonts w:ascii="Arial" w:hAnsi="Arial" w:cs="Arial"/>
          <w:sz w:val="22"/>
          <w:szCs w:val="22"/>
        </w:rPr>
        <w:t xml:space="preserve"> </w:t>
      </w:r>
      <w:r w:rsidRPr="00C52299">
        <w:rPr>
          <w:rFonts w:ascii="Arial" w:hAnsi="Arial" w:cs="Arial"/>
          <w:sz w:val="22"/>
          <w:szCs w:val="22"/>
        </w:rPr>
        <w:t>2022). Effective communication between professionals, and with Mr Ahmed and his family, is essential to ensure continuity of care and reduce the risk of incidents such as missed medication visits (NMC, 2018).</w:t>
      </w:r>
      <w:r w:rsidR="008F7CC8" w:rsidRPr="00C52299">
        <w:rPr>
          <w:rFonts w:ascii="Arial" w:hAnsi="Arial" w:cs="Arial"/>
          <w:sz w:val="22"/>
          <w:szCs w:val="22"/>
        </w:rPr>
        <w:t xml:space="preserve"> Overall, legal compliance, cultural awareness, professional interpreters, visual aids, and communication strategies are essential for safe, person-centred care for Mr Ahmed.</w:t>
      </w:r>
    </w:p>
    <w:p w14:paraId="69602695" w14:textId="10CA83AA" w:rsidR="00470BB5" w:rsidRPr="00C52299" w:rsidRDefault="00DF54E2" w:rsidP="00C52299">
      <w:pPr>
        <w:jc w:val="both"/>
        <w:rPr>
          <w:rFonts w:ascii="Arial" w:hAnsi="Arial" w:cs="Arial"/>
          <w:b/>
          <w:bCs/>
          <w:sz w:val="22"/>
          <w:szCs w:val="22"/>
        </w:rPr>
      </w:pPr>
      <w:r w:rsidRPr="00C52299">
        <w:rPr>
          <w:rFonts w:ascii="Arial" w:hAnsi="Arial" w:cs="Arial"/>
          <w:b/>
          <w:bCs/>
          <w:sz w:val="22"/>
          <w:szCs w:val="22"/>
        </w:rPr>
        <w:t xml:space="preserve">Administrative skills &amp; record keeping </w:t>
      </w:r>
    </w:p>
    <w:p w14:paraId="3C50F66E" w14:textId="77777777" w:rsidR="0080518C" w:rsidRPr="00C52299" w:rsidRDefault="0080518C" w:rsidP="00C52299">
      <w:pPr>
        <w:jc w:val="both"/>
        <w:rPr>
          <w:rFonts w:ascii="Arial" w:hAnsi="Arial" w:cs="Arial"/>
          <w:sz w:val="22"/>
          <w:szCs w:val="22"/>
        </w:rPr>
      </w:pPr>
      <w:r w:rsidRPr="00C52299">
        <w:rPr>
          <w:rFonts w:ascii="Arial" w:hAnsi="Arial" w:cs="Arial"/>
          <w:sz w:val="22"/>
          <w:szCs w:val="22"/>
        </w:rPr>
        <w:t>Effective administrative skills are crucial in professional health and social care practice because they enable safe, coordinated, ethical and accountable care. As Mr Ahmed experienced communication difficulties following his stroke, accurate documentation allows hospital staff, domiciliary carers, therapists and his general practitioner to communicate effectively. Well-organised records promote continuity of care and reduce the likelihood of medical errors.</w:t>
      </w:r>
    </w:p>
    <w:p w14:paraId="617F8B58" w14:textId="2BF1375A" w:rsidR="004979B0" w:rsidRPr="00C52299" w:rsidRDefault="00CE4495" w:rsidP="00C52299">
      <w:pPr>
        <w:jc w:val="both"/>
        <w:rPr>
          <w:rFonts w:ascii="Arial" w:hAnsi="Arial" w:cs="Arial"/>
          <w:sz w:val="22"/>
          <w:szCs w:val="22"/>
        </w:rPr>
      </w:pPr>
      <w:r w:rsidRPr="00C52299">
        <w:rPr>
          <w:rFonts w:ascii="Arial" w:hAnsi="Arial" w:cs="Arial"/>
          <w:sz w:val="22"/>
          <w:szCs w:val="22"/>
        </w:rPr>
        <w:t>Assessments, treatment plans, medication administration records, risk assessments, and daily progress notes are all elements of record keeping</w:t>
      </w:r>
      <w:r w:rsidR="00935649" w:rsidRPr="00C52299">
        <w:rPr>
          <w:rFonts w:ascii="Arial" w:hAnsi="Arial" w:cs="Arial"/>
          <w:sz w:val="22"/>
          <w:szCs w:val="22"/>
        </w:rPr>
        <w:t xml:space="preserve"> These records must be handled in accordance with the Data Protection Act 2018 and the UK General Data Protection Regulation (UK GDPR), which require personal information to be processed lawfully, securely, and only for legitimate purposes (Data Protection Act 2018; UK GDPR, 2018). </w:t>
      </w:r>
      <w:r w:rsidRPr="00C52299">
        <w:rPr>
          <w:rFonts w:ascii="Arial" w:hAnsi="Arial" w:cs="Arial"/>
          <w:sz w:val="22"/>
          <w:szCs w:val="22"/>
        </w:rPr>
        <w:t>Confidential information about Mr. Ahmed, including his medication regimen, language requirements, and stroke diagnosis, must be secured from unauthorised access. As he receives care from multiple professionals, data should only be made available to those who have a legitimate need to know, ensuring privacy and the delivery of effective, confidential care.</w:t>
      </w:r>
    </w:p>
    <w:p w14:paraId="332A1745" w14:textId="7AB889E8" w:rsidR="0080518C" w:rsidRPr="00C52299" w:rsidRDefault="0080518C" w:rsidP="00C52299">
      <w:pPr>
        <w:jc w:val="both"/>
        <w:rPr>
          <w:rFonts w:ascii="Arial" w:hAnsi="Arial" w:cs="Arial"/>
          <w:sz w:val="22"/>
          <w:szCs w:val="22"/>
        </w:rPr>
      </w:pPr>
      <w:r w:rsidRPr="00C52299">
        <w:rPr>
          <w:rFonts w:ascii="Arial" w:hAnsi="Arial" w:cs="Arial"/>
          <w:sz w:val="22"/>
          <w:szCs w:val="22"/>
        </w:rPr>
        <w:lastRenderedPageBreak/>
        <w:t>The Caldicott Principles reinforce the importance of confidentiality by stating that patient-identifiable information should only be used when justified and shared on a strict need-to-know basis (Caldicott, 2020). This is particularly important when professionals involved in Mr Ahmed’s rehabilitation share information across services.</w:t>
      </w:r>
      <w:r w:rsidR="0020601C" w:rsidRPr="00C52299">
        <w:rPr>
          <w:rFonts w:ascii="Arial" w:hAnsi="Arial" w:cs="Arial"/>
          <w:sz w:val="22"/>
          <w:szCs w:val="22"/>
        </w:rPr>
        <w:t xml:space="preserve"> The Caldicott Principles allow workers to figure out who </w:t>
      </w:r>
      <w:r w:rsidR="00277C98" w:rsidRPr="00C52299">
        <w:rPr>
          <w:rFonts w:ascii="Arial" w:hAnsi="Arial" w:cs="Arial"/>
          <w:sz w:val="22"/>
          <w:szCs w:val="22"/>
        </w:rPr>
        <w:t>requires</w:t>
      </w:r>
      <w:r w:rsidR="0020601C" w:rsidRPr="00C52299">
        <w:rPr>
          <w:rFonts w:ascii="Arial" w:hAnsi="Arial" w:cs="Arial"/>
          <w:sz w:val="22"/>
          <w:szCs w:val="22"/>
        </w:rPr>
        <w:t xml:space="preserve"> permission to view sensitive data, ensuring that Mr. Ahmed's personal information, medical history, and communication needs are only visible to relevant team members. This enables efficient planning of care and risk management while protecting his privacy.</w:t>
      </w:r>
      <w:r w:rsidRPr="00C52299">
        <w:rPr>
          <w:rFonts w:ascii="Arial" w:hAnsi="Arial" w:cs="Arial"/>
          <w:sz w:val="22"/>
          <w:szCs w:val="22"/>
        </w:rPr>
        <w:t xml:space="preserve"> Professional regulatory standards also emphasise accurate documentation. The NMC Code (2018) requires nurses to keep clear, accurate and contemporaneous records that reflect the care delivered and any decisions made (NMC, 2018). Inadequate documentation may result in medication errors, missed safeguarding concerns, or failure to recognise deterioration in Mr Ahmed’s condition.</w:t>
      </w:r>
      <w:r w:rsidR="0020601C" w:rsidRPr="00C52299">
        <w:rPr>
          <w:rFonts w:ascii="Arial" w:hAnsi="Arial" w:cs="Arial"/>
          <w:sz w:val="22"/>
          <w:szCs w:val="22"/>
        </w:rPr>
        <w:t xml:space="preserve"> Accurate records can give professionals legal protection by proving in accordance with ethical and legal responsibilities in the event of inspections, complaints, or enquiries.</w:t>
      </w:r>
    </w:p>
    <w:p w14:paraId="70CB83E3" w14:textId="77777777" w:rsidR="0080518C" w:rsidRPr="00C52299" w:rsidRDefault="0080518C" w:rsidP="00C52299">
      <w:pPr>
        <w:jc w:val="both"/>
        <w:rPr>
          <w:rFonts w:ascii="Arial" w:hAnsi="Arial" w:cs="Arial"/>
          <w:sz w:val="22"/>
          <w:szCs w:val="22"/>
        </w:rPr>
      </w:pPr>
    </w:p>
    <w:p w14:paraId="4A8F82CA" w14:textId="77945158" w:rsidR="0080518C" w:rsidRPr="00C52299" w:rsidRDefault="0080518C" w:rsidP="00C52299">
      <w:pPr>
        <w:jc w:val="both"/>
        <w:rPr>
          <w:rFonts w:ascii="Arial" w:hAnsi="Arial" w:cs="Arial"/>
          <w:sz w:val="22"/>
          <w:szCs w:val="22"/>
        </w:rPr>
      </w:pPr>
      <w:r w:rsidRPr="00C52299">
        <w:rPr>
          <w:rFonts w:ascii="Arial" w:hAnsi="Arial" w:cs="Arial"/>
          <w:sz w:val="22"/>
          <w:szCs w:val="22"/>
        </w:rPr>
        <w:t xml:space="preserve">Under the Health and Social Care Act 2008 (Regulated Activities) Regulations 2014, care providers must maintain complete and accurate records for each service user (Health and Social Care Act 2008). Furthermore, the Health and Care Act 2022 </w:t>
      </w:r>
      <w:r w:rsidR="00171163" w:rsidRPr="00C52299">
        <w:rPr>
          <w:rFonts w:ascii="Arial" w:hAnsi="Arial" w:cs="Arial"/>
          <w:sz w:val="22"/>
          <w:szCs w:val="22"/>
        </w:rPr>
        <w:t>promote</w:t>
      </w:r>
      <w:r w:rsidRPr="00C52299">
        <w:rPr>
          <w:rFonts w:ascii="Arial" w:hAnsi="Arial" w:cs="Arial"/>
          <w:sz w:val="22"/>
          <w:szCs w:val="22"/>
        </w:rPr>
        <w:t xml:space="preserve"> integrated care systems and highlights the importance of effective information sharing across organisations to improve coordinated care (Health and Care Act 2022). Accurate documentation therefore supports safe transitions between hospital discharge and community-based services.</w:t>
      </w:r>
    </w:p>
    <w:p w14:paraId="63E2F72B" w14:textId="7DB822D6" w:rsidR="003E3917" w:rsidRPr="00C52299" w:rsidRDefault="00BD03BA" w:rsidP="00C52299">
      <w:pPr>
        <w:jc w:val="both"/>
        <w:rPr>
          <w:rFonts w:ascii="Arial" w:hAnsi="Arial" w:cs="Arial"/>
          <w:sz w:val="22"/>
          <w:szCs w:val="22"/>
        </w:rPr>
      </w:pPr>
      <w:r w:rsidRPr="00C52299">
        <w:rPr>
          <w:rFonts w:ascii="Arial" w:hAnsi="Arial" w:cs="Arial"/>
          <w:sz w:val="22"/>
          <w:szCs w:val="22"/>
        </w:rPr>
        <w:t xml:space="preserve">Assessment is </w:t>
      </w:r>
      <w:proofErr w:type="gramStart"/>
      <w:r w:rsidRPr="00C52299">
        <w:rPr>
          <w:rFonts w:ascii="Arial" w:hAnsi="Arial" w:cs="Arial"/>
          <w:sz w:val="22"/>
          <w:szCs w:val="22"/>
        </w:rPr>
        <w:t>an</w:t>
      </w:r>
      <w:proofErr w:type="gramEnd"/>
      <w:r w:rsidRPr="00C52299">
        <w:rPr>
          <w:rFonts w:ascii="Arial" w:hAnsi="Arial" w:cs="Arial"/>
          <w:sz w:val="22"/>
          <w:szCs w:val="22"/>
        </w:rPr>
        <w:t xml:space="preserve"> </w:t>
      </w:r>
      <w:proofErr w:type="gramStart"/>
      <w:r w:rsidR="00372972" w:rsidRPr="00C52299">
        <w:rPr>
          <w:rFonts w:ascii="Arial" w:hAnsi="Arial" w:cs="Arial"/>
          <w:sz w:val="22"/>
          <w:szCs w:val="22"/>
        </w:rPr>
        <w:t xml:space="preserve">vital </w:t>
      </w:r>
      <w:r w:rsidRPr="00C52299">
        <w:rPr>
          <w:rFonts w:ascii="Arial" w:hAnsi="Arial" w:cs="Arial"/>
          <w:sz w:val="22"/>
          <w:szCs w:val="22"/>
        </w:rPr>
        <w:t xml:space="preserve"> process</w:t>
      </w:r>
      <w:proofErr w:type="gramEnd"/>
      <w:r w:rsidRPr="00C52299">
        <w:rPr>
          <w:rFonts w:ascii="Arial" w:hAnsi="Arial" w:cs="Arial"/>
          <w:sz w:val="22"/>
          <w:szCs w:val="22"/>
        </w:rPr>
        <w:t xml:space="preserve"> in health and social care. An assessment under the Care Act is a critical </w:t>
      </w:r>
      <w:proofErr w:type="gramStart"/>
      <w:r w:rsidRPr="00C52299">
        <w:rPr>
          <w:rFonts w:ascii="Arial" w:hAnsi="Arial" w:cs="Arial"/>
          <w:sz w:val="22"/>
          <w:szCs w:val="22"/>
        </w:rPr>
        <w:t>intervention in its own right</w:t>
      </w:r>
      <w:proofErr w:type="gramEnd"/>
      <w:r w:rsidRPr="00C52299">
        <w:rPr>
          <w:rFonts w:ascii="Arial" w:hAnsi="Arial" w:cs="Arial"/>
          <w:sz w:val="22"/>
          <w:szCs w:val="22"/>
        </w:rPr>
        <w:t xml:space="preserve">. It gives professionals an opportunity to understand an individual’s needs and how these needs may affect their ability to achieve personal outcomes and live </w:t>
      </w:r>
      <w:r w:rsidR="00372972" w:rsidRPr="00C52299">
        <w:rPr>
          <w:rFonts w:ascii="Arial" w:hAnsi="Arial" w:cs="Arial"/>
          <w:sz w:val="22"/>
          <w:szCs w:val="22"/>
        </w:rPr>
        <w:t>independently. (</w:t>
      </w:r>
      <w:r w:rsidRPr="00C52299">
        <w:rPr>
          <w:rFonts w:ascii="Arial" w:hAnsi="Arial" w:cs="Arial"/>
          <w:sz w:val="22"/>
          <w:szCs w:val="22"/>
        </w:rPr>
        <w:t xml:space="preserve">SCIE, 2024). Through assessment, professionals can identify a person’s physical, psychological and social needs, understand how these needs affect their daily functioning, and involve the individual and their </w:t>
      </w:r>
      <w:proofErr w:type="spellStart"/>
      <w:r w:rsidRPr="00C52299">
        <w:rPr>
          <w:rFonts w:ascii="Arial" w:hAnsi="Arial" w:cs="Arial"/>
          <w:sz w:val="22"/>
          <w:szCs w:val="22"/>
        </w:rPr>
        <w:t>carers</w:t>
      </w:r>
      <w:proofErr w:type="spellEnd"/>
      <w:r w:rsidRPr="00C52299">
        <w:rPr>
          <w:rFonts w:ascii="Arial" w:hAnsi="Arial" w:cs="Arial"/>
          <w:sz w:val="22"/>
          <w:szCs w:val="22"/>
        </w:rPr>
        <w:t xml:space="preserve"> in care planning. This approach ensures that care remains person-centred and tailored to the individual’s wishes and preferences. Assessment and record-keeping must also take safeguarding responsibilities into account. The Care Act 2014 outlines six key safeguarding principles: empowerment, protection, prevention, proportionality, partnership and accountability. These principles guide professionals to support individuals in making informed decisions, protect them from harm, prevent abuse, ensure proportionate responses to risk, work collaboratively with other agencies and remain accountable for safeguarding actions (Burton-Hughes, 2017). For </w:t>
      </w:r>
      <w:r w:rsidRPr="00C52299">
        <w:rPr>
          <w:rFonts w:ascii="Arial" w:hAnsi="Arial" w:cs="Arial"/>
          <w:sz w:val="22"/>
          <w:szCs w:val="22"/>
        </w:rPr>
        <w:lastRenderedPageBreak/>
        <w:t>individuals such as Mr Ahmed, documenting assessment outcomes and safeguarding concerns helps ensure that care is safe, well-planned and legally compliant.</w:t>
      </w:r>
    </w:p>
    <w:p w14:paraId="7E996BCD" w14:textId="7D732C93" w:rsidR="0080518C" w:rsidRPr="00C52299" w:rsidRDefault="005A5FBE" w:rsidP="00C52299">
      <w:pPr>
        <w:jc w:val="both"/>
        <w:rPr>
          <w:rFonts w:ascii="Arial" w:hAnsi="Arial" w:cs="Arial"/>
          <w:sz w:val="22"/>
          <w:szCs w:val="22"/>
        </w:rPr>
      </w:pPr>
      <w:r w:rsidRPr="00C52299">
        <w:rPr>
          <w:rFonts w:ascii="Arial" w:hAnsi="Arial" w:cs="Arial"/>
          <w:sz w:val="22"/>
          <w:szCs w:val="22"/>
        </w:rPr>
        <w:t>The Care Quality Commission (CQC) Fundamental Standards require providers to deliver safe, effective and well-led services, which includes maintaining robust documentation systems (CQC, 2023). Failure to meet these standards may compromise patient safety and lead to regulatory action.</w:t>
      </w:r>
    </w:p>
    <w:p w14:paraId="25CCE4B1" w14:textId="68EE0ECB" w:rsidR="00760E4E" w:rsidRPr="00C52299" w:rsidRDefault="0080518C" w:rsidP="00C52299">
      <w:pPr>
        <w:jc w:val="both"/>
        <w:rPr>
          <w:rFonts w:ascii="Arial" w:hAnsi="Arial" w:cs="Arial"/>
          <w:sz w:val="22"/>
          <w:szCs w:val="22"/>
        </w:rPr>
      </w:pPr>
      <w:r w:rsidRPr="00C52299">
        <w:rPr>
          <w:rFonts w:ascii="Arial" w:hAnsi="Arial" w:cs="Arial"/>
          <w:sz w:val="22"/>
          <w:szCs w:val="22"/>
        </w:rPr>
        <w:t>There are significant risks associated with poor record keeping, including incorrect medication administration, duplication of services, safeguarding failures and breaches of confidentiality. Inaccurate or incomplete records may also result in legal consequences under the Data Protection Act 2018. Overall, strong administrative skills, including accurate documentation, confidentiality and following legal frameworks, are essential to ensure that Mr Ahmed receives safe, ethical and person-centred care.</w:t>
      </w:r>
    </w:p>
    <w:p w14:paraId="33750161" w14:textId="77777777" w:rsidR="00BB73BB" w:rsidRPr="00C52299" w:rsidRDefault="00BB73BB" w:rsidP="00C52299">
      <w:pPr>
        <w:jc w:val="both"/>
        <w:rPr>
          <w:rFonts w:ascii="Arial" w:hAnsi="Arial" w:cs="Arial"/>
          <w:b/>
          <w:bCs/>
          <w:sz w:val="22"/>
          <w:szCs w:val="22"/>
        </w:rPr>
      </w:pPr>
    </w:p>
    <w:p w14:paraId="09F113BB" w14:textId="2279BDD9" w:rsidR="00747AD4" w:rsidRPr="00C52299" w:rsidRDefault="00747AD4" w:rsidP="00C52299">
      <w:pPr>
        <w:jc w:val="both"/>
        <w:rPr>
          <w:rFonts w:ascii="Arial" w:hAnsi="Arial" w:cs="Arial"/>
          <w:b/>
          <w:bCs/>
          <w:sz w:val="22"/>
          <w:szCs w:val="22"/>
        </w:rPr>
      </w:pPr>
      <w:r w:rsidRPr="00C52299">
        <w:rPr>
          <w:rFonts w:ascii="Arial" w:hAnsi="Arial" w:cs="Arial"/>
          <w:b/>
          <w:bCs/>
          <w:sz w:val="22"/>
          <w:szCs w:val="22"/>
        </w:rPr>
        <w:t>Collaborative working:</w:t>
      </w:r>
    </w:p>
    <w:p w14:paraId="17F5F496" w14:textId="77777777" w:rsidR="003966C3" w:rsidRPr="00C52299" w:rsidRDefault="003966C3" w:rsidP="00C52299">
      <w:pPr>
        <w:jc w:val="both"/>
        <w:rPr>
          <w:rFonts w:ascii="Arial" w:hAnsi="Arial" w:cs="Arial"/>
          <w:sz w:val="22"/>
          <w:szCs w:val="22"/>
        </w:rPr>
      </w:pPr>
      <w:r w:rsidRPr="00C52299">
        <w:rPr>
          <w:rFonts w:ascii="Arial" w:hAnsi="Arial" w:cs="Arial"/>
          <w:sz w:val="22"/>
          <w:szCs w:val="22"/>
        </w:rPr>
        <w:t>Healthcare and social care providers must work collaboratively to deliver safe, person-centred, and high-quality care for individuals such as Mr Ahmed. Following his stroke, his care involves several professionals, including his general practitioner, district nurse, domiciliary care workers, and speech and language therapist. Multi-agency collaboration enables each professional to contribute their specialist expertise, ensures continuity of care, and reduces the risk of errors or fragmented support (Barrett, Sellman and Thomas, 2019).</w:t>
      </w:r>
    </w:p>
    <w:p w14:paraId="51B4EA2B" w14:textId="77777777" w:rsidR="003966C3" w:rsidRPr="00C52299" w:rsidRDefault="003966C3" w:rsidP="00C52299">
      <w:pPr>
        <w:jc w:val="both"/>
        <w:rPr>
          <w:rFonts w:ascii="Arial" w:hAnsi="Arial" w:cs="Arial"/>
          <w:sz w:val="22"/>
          <w:szCs w:val="22"/>
        </w:rPr>
      </w:pPr>
    </w:p>
    <w:p w14:paraId="24885EFF" w14:textId="77777777" w:rsidR="003966C3" w:rsidRPr="00C52299" w:rsidRDefault="003966C3" w:rsidP="00C52299">
      <w:pPr>
        <w:jc w:val="both"/>
        <w:rPr>
          <w:rFonts w:ascii="Arial" w:hAnsi="Arial" w:cs="Arial"/>
          <w:sz w:val="22"/>
          <w:szCs w:val="22"/>
        </w:rPr>
      </w:pPr>
      <w:r w:rsidRPr="00C52299">
        <w:rPr>
          <w:rFonts w:ascii="Arial" w:hAnsi="Arial" w:cs="Arial"/>
          <w:sz w:val="22"/>
          <w:szCs w:val="22"/>
        </w:rPr>
        <w:t>One effective approach to strengthening collaboration is the use of shared care plans. These plans outline treatment goals, therapeutic interventions, medication management, and progress updates, allowing all team members to access consistent information and coordinate care efficiently (NMC, 2018). In addition, regular communication through multidisciplinary meetings, structured handovers, and secure digital systems supports integrated working and timely clinical decisions (Health and Care Act, 2022).</w:t>
      </w:r>
    </w:p>
    <w:p w14:paraId="1EB11B47" w14:textId="77777777" w:rsidR="003966C3" w:rsidRPr="00C52299" w:rsidRDefault="003966C3" w:rsidP="00C52299">
      <w:pPr>
        <w:jc w:val="both"/>
        <w:rPr>
          <w:rFonts w:ascii="Arial" w:hAnsi="Arial" w:cs="Arial"/>
          <w:sz w:val="22"/>
          <w:szCs w:val="22"/>
        </w:rPr>
      </w:pPr>
    </w:p>
    <w:p w14:paraId="0B7046F1" w14:textId="5DFE9074" w:rsidR="003966C3" w:rsidRPr="00C52299" w:rsidRDefault="003966C3" w:rsidP="00C52299">
      <w:pPr>
        <w:jc w:val="both"/>
        <w:rPr>
          <w:rFonts w:ascii="Arial" w:hAnsi="Arial" w:cs="Arial"/>
          <w:sz w:val="22"/>
          <w:szCs w:val="22"/>
        </w:rPr>
      </w:pPr>
      <w:r w:rsidRPr="00C52299">
        <w:rPr>
          <w:rFonts w:ascii="Arial" w:hAnsi="Arial" w:cs="Arial"/>
          <w:sz w:val="22"/>
          <w:szCs w:val="22"/>
        </w:rPr>
        <w:t>The Care Act 2014 reinforces the legal duty of health and social care organisations to cooperate in safeguarding adults, promoting well-being, and delivering coordinated services (Care Act 2014). In practice, this requires ensuring that all professionals understand Mr Ahmed’s individual needs, including his language and communication requirements, and that both he and his wife are actively involved in care planning.</w:t>
      </w:r>
    </w:p>
    <w:p w14:paraId="6D5E3E5A" w14:textId="77777777" w:rsidR="003966C3" w:rsidRPr="00C52299" w:rsidRDefault="003966C3" w:rsidP="00C52299">
      <w:pPr>
        <w:jc w:val="both"/>
        <w:rPr>
          <w:rFonts w:ascii="Arial" w:hAnsi="Arial" w:cs="Arial"/>
          <w:sz w:val="22"/>
          <w:szCs w:val="22"/>
        </w:rPr>
      </w:pPr>
    </w:p>
    <w:p w14:paraId="538AE261" w14:textId="77777777" w:rsidR="003966C3" w:rsidRPr="00C52299" w:rsidRDefault="003966C3" w:rsidP="00C52299">
      <w:pPr>
        <w:jc w:val="both"/>
        <w:rPr>
          <w:rFonts w:ascii="Arial" w:hAnsi="Arial" w:cs="Arial"/>
          <w:sz w:val="22"/>
          <w:szCs w:val="22"/>
        </w:rPr>
      </w:pPr>
      <w:r w:rsidRPr="00C52299">
        <w:rPr>
          <w:rFonts w:ascii="Arial" w:hAnsi="Arial" w:cs="Arial"/>
          <w:sz w:val="22"/>
          <w:szCs w:val="22"/>
        </w:rPr>
        <w:t>Despite its benefits, multi-agency working may present challenges such as differing professional priorities, unclear role boundaries, and communication barriers. For example, domiciliary carers may prioritise daily personal care, while therapists focus on rehabilitation outcomes. These challenges can be addressed by clearly defining responsibilities, implementing structured communication protocols, providing joint training, and fostering mutual respect and shared decision-making (CQC, 2023).</w:t>
      </w:r>
    </w:p>
    <w:p w14:paraId="2F24D06C" w14:textId="3FAA139C" w:rsidR="00C475F8" w:rsidRPr="00C52299" w:rsidRDefault="003966C3" w:rsidP="00C52299">
      <w:pPr>
        <w:jc w:val="both"/>
        <w:rPr>
          <w:rFonts w:ascii="Arial" w:hAnsi="Arial" w:cs="Arial"/>
          <w:sz w:val="22"/>
          <w:szCs w:val="22"/>
        </w:rPr>
      </w:pPr>
      <w:r w:rsidRPr="00C52299">
        <w:rPr>
          <w:rFonts w:ascii="Arial" w:hAnsi="Arial" w:cs="Arial"/>
          <w:sz w:val="22"/>
          <w:szCs w:val="22"/>
        </w:rPr>
        <w:t>Overall, effective collaboration promotes patient safety, enhances rehabilitation outcomes, and ensures care delivery coordinate with professional and legal standards.</w:t>
      </w:r>
    </w:p>
    <w:p w14:paraId="3CD7499C" w14:textId="77777777" w:rsidR="00D11916" w:rsidRPr="00C52299" w:rsidRDefault="00D11916" w:rsidP="00C52299">
      <w:pPr>
        <w:jc w:val="both"/>
        <w:rPr>
          <w:rFonts w:ascii="Arial" w:hAnsi="Arial" w:cs="Arial"/>
          <w:b/>
          <w:bCs/>
          <w:sz w:val="22"/>
          <w:szCs w:val="22"/>
        </w:rPr>
      </w:pPr>
    </w:p>
    <w:p w14:paraId="132E70EE" w14:textId="77777777" w:rsidR="00BB73BB" w:rsidRPr="00C52299" w:rsidRDefault="00BB73BB" w:rsidP="00C52299">
      <w:pPr>
        <w:jc w:val="both"/>
        <w:rPr>
          <w:rFonts w:ascii="Arial" w:hAnsi="Arial" w:cs="Arial"/>
          <w:b/>
          <w:bCs/>
          <w:sz w:val="22"/>
          <w:szCs w:val="22"/>
        </w:rPr>
      </w:pPr>
    </w:p>
    <w:p w14:paraId="13B06B1A" w14:textId="77777777" w:rsidR="00BB73BB" w:rsidRPr="00C52299" w:rsidRDefault="00BB73BB" w:rsidP="00C52299">
      <w:pPr>
        <w:jc w:val="both"/>
        <w:rPr>
          <w:rFonts w:ascii="Arial" w:hAnsi="Arial" w:cs="Arial"/>
          <w:b/>
          <w:bCs/>
          <w:sz w:val="22"/>
          <w:szCs w:val="22"/>
        </w:rPr>
      </w:pPr>
    </w:p>
    <w:p w14:paraId="3260CB93" w14:textId="77AF1B1F" w:rsidR="003966C3" w:rsidRPr="00C52299" w:rsidRDefault="003966C3" w:rsidP="00C52299">
      <w:pPr>
        <w:jc w:val="both"/>
        <w:rPr>
          <w:rFonts w:ascii="Arial" w:hAnsi="Arial" w:cs="Arial"/>
          <w:b/>
          <w:bCs/>
          <w:sz w:val="22"/>
          <w:szCs w:val="22"/>
        </w:rPr>
      </w:pPr>
      <w:r w:rsidRPr="00C52299">
        <w:rPr>
          <w:rFonts w:ascii="Arial" w:hAnsi="Arial" w:cs="Arial"/>
          <w:b/>
          <w:bCs/>
          <w:sz w:val="22"/>
          <w:szCs w:val="22"/>
        </w:rPr>
        <w:t>Conclusion:</w:t>
      </w:r>
    </w:p>
    <w:p w14:paraId="0995FC5A" w14:textId="1211BB79" w:rsidR="00BE0944" w:rsidRPr="00C52299" w:rsidRDefault="003966C3" w:rsidP="00C52299">
      <w:pPr>
        <w:jc w:val="both"/>
        <w:rPr>
          <w:rFonts w:ascii="Arial" w:hAnsi="Arial" w:cs="Arial"/>
          <w:sz w:val="22"/>
          <w:szCs w:val="22"/>
        </w:rPr>
      </w:pPr>
      <w:r w:rsidRPr="00C52299">
        <w:rPr>
          <w:rFonts w:ascii="Arial" w:hAnsi="Arial" w:cs="Arial"/>
          <w:sz w:val="22"/>
          <w:szCs w:val="22"/>
        </w:rPr>
        <w:t xml:space="preserve">The case of Mr. Ahmed indicates that blending communication, organisational abilities, and collaborative practice is crucial for providing high-quality care. Enhancing therapeutic relationships and encouraging informed participation are two benefits of adapting communication to his language and post-stroke needs. A secure framework for accountability, risk management, and continuity across healthcare settings is provided by thorough record keeping and lawful information management. Similarly, coordinated involvement from the speech and language therapist, district nurse, domiciliary carers, and general practitioner </w:t>
      </w:r>
      <w:r w:rsidR="001B619C" w:rsidRPr="00C52299">
        <w:rPr>
          <w:rFonts w:ascii="Arial" w:hAnsi="Arial" w:cs="Arial"/>
          <w:sz w:val="22"/>
          <w:szCs w:val="22"/>
        </w:rPr>
        <w:t>demonstrate</w:t>
      </w:r>
      <w:r w:rsidRPr="00C52299">
        <w:rPr>
          <w:rFonts w:ascii="Arial" w:hAnsi="Arial" w:cs="Arial"/>
          <w:sz w:val="22"/>
          <w:szCs w:val="22"/>
        </w:rPr>
        <w:t xml:space="preserve"> how collaboration improves clinical effectiveness and consistency. The case illustrates how care can become fragmented and less responsive to complex needs in the absence of structured teamwork and clearly defined professional responsibilities. Reflecting on this scenario strengthens the understanding that both technical knowledge and interpersonal skills are essential for quality practice. In adult health and social care contexts, coordinated and ethically oriented working practices are ultimately essential to safeguarding dignity, supporting recovery, and promoting sustainable long-term </w:t>
      </w:r>
      <w:r w:rsidR="00B70538" w:rsidRPr="00C52299">
        <w:rPr>
          <w:rFonts w:ascii="Arial" w:hAnsi="Arial" w:cs="Arial"/>
          <w:sz w:val="22"/>
          <w:szCs w:val="22"/>
        </w:rPr>
        <w:t>results.</w:t>
      </w:r>
    </w:p>
    <w:p w14:paraId="18459C79" w14:textId="77777777" w:rsidR="00CA0FEA" w:rsidRPr="00C52299" w:rsidRDefault="00CA0FEA" w:rsidP="00C52299">
      <w:pPr>
        <w:jc w:val="both"/>
        <w:rPr>
          <w:rFonts w:ascii="Arial" w:hAnsi="Arial" w:cs="Arial"/>
          <w:sz w:val="22"/>
          <w:szCs w:val="22"/>
        </w:rPr>
      </w:pPr>
    </w:p>
    <w:p w14:paraId="05B351E9" w14:textId="77777777" w:rsidR="00BD03BA" w:rsidRPr="00C52299" w:rsidRDefault="00BD03BA" w:rsidP="00C52299">
      <w:pPr>
        <w:jc w:val="both"/>
        <w:rPr>
          <w:rFonts w:ascii="Arial" w:hAnsi="Arial" w:cs="Arial"/>
          <w:b/>
          <w:bCs/>
          <w:sz w:val="22"/>
          <w:szCs w:val="22"/>
        </w:rPr>
      </w:pPr>
    </w:p>
    <w:p w14:paraId="62C1CE77" w14:textId="77777777" w:rsidR="00CA0FEA" w:rsidRPr="00C52299" w:rsidRDefault="00CA0FEA" w:rsidP="00C52299">
      <w:pPr>
        <w:jc w:val="both"/>
        <w:rPr>
          <w:rFonts w:ascii="Arial" w:hAnsi="Arial" w:cs="Arial"/>
          <w:b/>
          <w:bCs/>
          <w:sz w:val="22"/>
          <w:szCs w:val="22"/>
        </w:rPr>
      </w:pPr>
    </w:p>
    <w:p w14:paraId="64E74DDB" w14:textId="77777777" w:rsidR="00511AFA" w:rsidRPr="00C52299" w:rsidRDefault="00511AFA" w:rsidP="00C52299">
      <w:pPr>
        <w:jc w:val="both"/>
        <w:rPr>
          <w:rFonts w:ascii="Arial" w:hAnsi="Arial" w:cs="Arial"/>
          <w:b/>
          <w:bCs/>
          <w:sz w:val="22"/>
          <w:szCs w:val="22"/>
        </w:rPr>
      </w:pPr>
    </w:p>
    <w:p w14:paraId="278A45CA" w14:textId="77777777" w:rsidR="000E084B" w:rsidRPr="00C52299" w:rsidRDefault="000E084B" w:rsidP="00C52299">
      <w:pPr>
        <w:jc w:val="both"/>
        <w:rPr>
          <w:rFonts w:ascii="Arial" w:hAnsi="Arial" w:cs="Arial"/>
          <w:b/>
          <w:bCs/>
          <w:sz w:val="22"/>
          <w:szCs w:val="22"/>
        </w:rPr>
      </w:pPr>
    </w:p>
    <w:p w14:paraId="2F383515" w14:textId="42C52E6D" w:rsidR="008E1588" w:rsidRPr="00C52299" w:rsidRDefault="008E1588" w:rsidP="00C52299">
      <w:pPr>
        <w:jc w:val="both"/>
        <w:rPr>
          <w:rFonts w:ascii="Arial" w:hAnsi="Arial" w:cs="Arial"/>
          <w:b/>
          <w:bCs/>
          <w:sz w:val="22"/>
          <w:szCs w:val="22"/>
        </w:rPr>
      </w:pPr>
      <w:r w:rsidRPr="00C52299">
        <w:rPr>
          <w:rFonts w:ascii="Arial" w:hAnsi="Arial" w:cs="Arial"/>
          <w:b/>
          <w:bCs/>
          <w:sz w:val="22"/>
          <w:szCs w:val="22"/>
        </w:rPr>
        <w:lastRenderedPageBreak/>
        <w:t xml:space="preserve">Reference list </w:t>
      </w:r>
    </w:p>
    <w:p w14:paraId="016BD236"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Arnold, E.C. and Boggs, K.U. (2020) Interpersonal Relationships: Professional Communication Skills for Nurses. 8th </w:t>
      </w:r>
      <w:proofErr w:type="spellStart"/>
      <w:r w:rsidRPr="00C52299">
        <w:rPr>
          <w:rFonts w:ascii="Arial" w:hAnsi="Arial" w:cs="Arial"/>
          <w:sz w:val="22"/>
          <w:szCs w:val="22"/>
        </w:rPr>
        <w:t>edn</w:t>
      </w:r>
      <w:proofErr w:type="spellEnd"/>
      <w:r w:rsidRPr="00C52299">
        <w:rPr>
          <w:rFonts w:ascii="Arial" w:hAnsi="Arial" w:cs="Arial"/>
          <w:sz w:val="22"/>
          <w:szCs w:val="22"/>
        </w:rPr>
        <w:t>. St. Louis: Elsevier.</w:t>
      </w:r>
    </w:p>
    <w:p w14:paraId="206C11E0" w14:textId="77777777" w:rsidR="000E7C98" w:rsidRPr="00C52299" w:rsidRDefault="000E7C98" w:rsidP="00C52299">
      <w:pPr>
        <w:jc w:val="both"/>
        <w:rPr>
          <w:rFonts w:ascii="Arial" w:hAnsi="Arial" w:cs="Arial"/>
          <w:sz w:val="22"/>
          <w:szCs w:val="22"/>
        </w:rPr>
      </w:pPr>
    </w:p>
    <w:p w14:paraId="6CF670F3"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Barrett, G., Sellman, D. and Thomas, J. (2019) Interprofessional Working in Health and Social Care: Professional Perspectives. 2nd </w:t>
      </w:r>
      <w:proofErr w:type="spellStart"/>
      <w:r w:rsidRPr="00C52299">
        <w:rPr>
          <w:rFonts w:ascii="Arial" w:hAnsi="Arial" w:cs="Arial"/>
          <w:sz w:val="22"/>
          <w:szCs w:val="22"/>
        </w:rPr>
        <w:t>edn</w:t>
      </w:r>
      <w:proofErr w:type="spellEnd"/>
      <w:r w:rsidRPr="00C52299">
        <w:rPr>
          <w:rFonts w:ascii="Arial" w:hAnsi="Arial" w:cs="Arial"/>
          <w:sz w:val="22"/>
          <w:szCs w:val="22"/>
        </w:rPr>
        <w:t>. London: Palgrave Macmillan.</w:t>
      </w:r>
    </w:p>
    <w:p w14:paraId="455816EC" w14:textId="77777777" w:rsidR="000E7C98" w:rsidRPr="00C52299" w:rsidRDefault="000E7C98" w:rsidP="00C52299">
      <w:pPr>
        <w:jc w:val="both"/>
        <w:rPr>
          <w:rFonts w:ascii="Arial" w:hAnsi="Arial" w:cs="Arial"/>
          <w:sz w:val="22"/>
          <w:szCs w:val="22"/>
        </w:rPr>
      </w:pPr>
    </w:p>
    <w:p w14:paraId="5F742889"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Burton-Hughes, C. (2017) Safeguarding adults and the Care Act 2014. London: Learning Matters.</w:t>
      </w:r>
    </w:p>
    <w:p w14:paraId="0643F095" w14:textId="77777777" w:rsidR="000E7C98" w:rsidRPr="00C52299" w:rsidRDefault="000E7C98" w:rsidP="00C52299">
      <w:pPr>
        <w:jc w:val="both"/>
        <w:rPr>
          <w:rFonts w:ascii="Arial" w:hAnsi="Arial" w:cs="Arial"/>
          <w:sz w:val="22"/>
          <w:szCs w:val="22"/>
        </w:rPr>
      </w:pPr>
    </w:p>
    <w:p w14:paraId="77712B50"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Caldicott, F. (2020) The Caldicott Principles: Eight Principles to Guide the Use of Patient-Identifiable Information. London: National Data Guardian.</w:t>
      </w:r>
    </w:p>
    <w:p w14:paraId="4B979C31" w14:textId="77777777" w:rsidR="000E7C98" w:rsidRPr="00C52299" w:rsidRDefault="000E7C98" w:rsidP="00C52299">
      <w:pPr>
        <w:jc w:val="both"/>
        <w:rPr>
          <w:rFonts w:ascii="Arial" w:hAnsi="Arial" w:cs="Arial"/>
          <w:sz w:val="22"/>
          <w:szCs w:val="22"/>
        </w:rPr>
      </w:pPr>
    </w:p>
    <w:p w14:paraId="041D0CE5" w14:textId="752F5523"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Care Act 2014, c. 23. Available at: </w:t>
      </w:r>
      <w:hyperlink r:id="rId8" w:history="1">
        <w:r w:rsidRPr="00C52299">
          <w:rPr>
            <w:rStyle w:val="Hyperlink"/>
            <w:rFonts w:ascii="Arial" w:hAnsi="Arial" w:cs="Arial"/>
            <w:sz w:val="22"/>
            <w:szCs w:val="22"/>
          </w:rPr>
          <w:t>https://www.legislation.gov.uk/ukpga/2014/23/contents</w:t>
        </w:r>
      </w:hyperlink>
    </w:p>
    <w:p w14:paraId="124FCEA8" w14:textId="2A636C3F" w:rsidR="000E7C98" w:rsidRPr="00C52299" w:rsidRDefault="000E7C98" w:rsidP="00C52299">
      <w:pPr>
        <w:jc w:val="both"/>
        <w:rPr>
          <w:rFonts w:ascii="Arial" w:hAnsi="Arial" w:cs="Arial"/>
          <w:sz w:val="22"/>
          <w:szCs w:val="22"/>
        </w:rPr>
      </w:pPr>
      <w:r w:rsidRPr="00C52299">
        <w:rPr>
          <w:rFonts w:ascii="Arial" w:hAnsi="Arial" w:cs="Arial"/>
          <w:sz w:val="22"/>
          <w:szCs w:val="22"/>
        </w:rPr>
        <w:t>(Accessed: 1 March 2026).</w:t>
      </w:r>
    </w:p>
    <w:p w14:paraId="1AB7C81E" w14:textId="77777777" w:rsidR="000E7C98" w:rsidRPr="00C52299" w:rsidRDefault="000E7C98" w:rsidP="00C52299">
      <w:pPr>
        <w:jc w:val="both"/>
        <w:rPr>
          <w:rFonts w:ascii="Arial" w:hAnsi="Arial" w:cs="Arial"/>
          <w:sz w:val="22"/>
          <w:szCs w:val="22"/>
        </w:rPr>
      </w:pPr>
    </w:p>
    <w:p w14:paraId="39E3B547" w14:textId="678C97B0"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Care Quality Commission (CQC) (2023) The fundamental standards. Available at: </w:t>
      </w:r>
      <w:hyperlink r:id="rId9" w:history="1">
        <w:r w:rsidRPr="00C52299">
          <w:rPr>
            <w:rStyle w:val="Hyperlink"/>
            <w:rFonts w:ascii="Arial" w:hAnsi="Arial" w:cs="Arial"/>
            <w:sz w:val="22"/>
            <w:szCs w:val="22"/>
          </w:rPr>
          <w:t>https://www.cqc.org.uk/about-us/fundamental-standards</w:t>
        </w:r>
      </w:hyperlink>
    </w:p>
    <w:p w14:paraId="1784EC82" w14:textId="5104A2BB"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1 March 2026).</w:t>
      </w:r>
    </w:p>
    <w:p w14:paraId="61720740" w14:textId="77777777" w:rsidR="000E7C98" w:rsidRPr="00C52299" w:rsidRDefault="000E7C98" w:rsidP="00C52299">
      <w:pPr>
        <w:jc w:val="both"/>
        <w:rPr>
          <w:rFonts w:ascii="Arial" w:hAnsi="Arial" w:cs="Arial"/>
          <w:sz w:val="22"/>
          <w:szCs w:val="22"/>
        </w:rPr>
      </w:pPr>
    </w:p>
    <w:p w14:paraId="52E5CE82" w14:textId="62412F02"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Data Protection Act 2018, c. 12. Available at: </w:t>
      </w:r>
      <w:hyperlink r:id="rId10" w:history="1">
        <w:r w:rsidRPr="00C52299">
          <w:rPr>
            <w:rStyle w:val="Hyperlink"/>
            <w:rFonts w:ascii="Arial" w:hAnsi="Arial" w:cs="Arial"/>
            <w:sz w:val="22"/>
            <w:szCs w:val="22"/>
          </w:rPr>
          <w:t>https://www.legislation.gov.uk/ukpga/2018/12/contents</w:t>
        </w:r>
      </w:hyperlink>
    </w:p>
    <w:p w14:paraId="6E8CFBC9" w14:textId="03098AC2"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4 March 2026).</w:t>
      </w:r>
    </w:p>
    <w:p w14:paraId="31A4508C" w14:textId="77777777" w:rsidR="000E7C98" w:rsidRPr="00C52299" w:rsidRDefault="000E7C98" w:rsidP="00C52299">
      <w:pPr>
        <w:jc w:val="both"/>
        <w:rPr>
          <w:rFonts w:ascii="Arial" w:hAnsi="Arial" w:cs="Arial"/>
          <w:sz w:val="22"/>
          <w:szCs w:val="22"/>
        </w:rPr>
      </w:pPr>
    </w:p>
    <w:p w14:paraId="090FAD0C" w14:textId="274DF689"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Equality Act 2010, c. 15. Available at: </w:t>
      </w:r>
      <w:hyperlink r:id="rId11" w:history="1">
        <w:r w:rsidRPr="00C52299">
          <w:rPr>
            <w:rStyle w:val="Hyperlink"/>
            <w:rFonts w:ascii="Arial" w:hAnsi="Arial" w:cs="Arial"/>
            <w:sz w:val="22"/>
            <w:szCs w:val="22"/>
          </w:rPr>
          <w:t>https://www.legislation.gov.uk/ukpga/2010/15/contents</w:t>
        </w:r>
      </w:hyperlink>
    </w:p>
    <w:p w14:paraId="07B2CE86" w14:textId="0D634B31"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4 March 2026).</w:t>
      </w:r>
    </w:p>
    <w:p w14:paraId="71A99EFA" w14:textId="77777777" w:rsidR="000E7C98" w:rsidRPr="00C52299" w:rsidRDefault="000E7C98" w:rsidP="00C52299">
      <w:pPr>
        <w:jc w:val="both"/>
        <w:rPr>
          <w:rFonts w:ascii="Arial" w:hAnsi="Arial" w:cs="Arial"/>
          <w:sz w:val="22"/>
          <w:szCs w:val="22"/>
        </w:rPr>
      </w:pPr>
    </w:p>
    <w:p w14:paraId="4CCA2530" w14:textId="5896B365" w:rsidR="000E7C98" w:rsidRPr="00C52299" w:rsidRDefault="000E7C98" w:rsidP="00C52299">
      <w:pPr>
        <w:jc w:val="both"/>
        <w:rPr>
          <w:rFonts w:ascii="Arial" w:hAnsi="Arial" w:cs="Arial"/>
          <w:sz w:val="22"/>
          <w:szCs w:val="22"/>
        </w:rPr>
      </w:pPr>
      <w:r w:rsidRPr="00C52299">
        <w:rPr>
          <w:rFonts w:ascii="Arial" w:hAnsi="Arial" w:cs="Arial"/>
          <w:sz w:val="22"/>
          <w:szCs w:val="22"/>
        </w:rPr>
        <w:lastRenderedPageBreak/>
        <w:t xml:space="preserve">Health and Care Act 2022, c. 31. Available at: </w:t>
      </w:r>
      <w:hyperlink r:id="rId12" w:history="1">
        <w:r w:rsidRPr="00C52299">
          <w:rPr>
            <w:rStyle w:val="Hyperlink"/>
            <w:rFonts w:ascii="Arial" w:hAnsi="Arial" w:cs="Arial"/>
            <w:sz w:val="22"/>
            <w:szCs w:val="22"/>
          </w:rPr>
          <w:t>https://www.legislation.gov.uk/ukpga/2022/31/contents</w:t>
        </w:r>
      </w:hyperlink>
    </w:p>
    <w:p w14:paraId="1344D4C9" w14:textId="33A67CD3"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7 March 2026).</w:t>
      </w:r>
    </w:p>
    <w:p w14:paraId="52A3CF27" w14:textId="77777777" w:rsidR="000E7C98" w:rsidRPr="00C52299" w:rsidRDefault="000E7C98" w:rsidP="00C52299">
      <w:pPr>
        <w:jc w:val="both"/>
        <w:rPr>
          <w:rFonts w:ascii="Arial" w:hAnsi="Arial" w:cs="Arial"/>
          <w:sz w:val="22"/>
          <w:szCs w:val="22"/>
        </w:rPr>
      </w:pPr>
    </w:p>
    <w:p w14:paraId="7EB8CC38" w14:textId="2C494728"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Health and Social Care Act 2008, c. 14. Available at: </w:t>
      </w:r>
      <w:hyperlink r:id="rId13" w:history="1">
        <w:r w:rsidRPr="00C52299">
          <w:rPr>
            <w:rStyle w:val="Hyperlink"/>
            <w:rFonts w:ascii="Arial" w:hAnsi="Arial" w:cs="Arial"/>
            <w:sz w:val="22"/>
            <w:szCs w:val="22"/>
          </w:rPr>
          <w:t>https://www.legislation.gov.uk/ukpga/2008/14/contents</w:t>
        </w:r>
      </w:hyperlink>
    </w:p>
    <w:p w14:paraId="714EE47B" w14:textId="0D60B377"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w:t>
      </w:r>
      <w:proofErr w:type="gramStart"/>
      <w:r w:rsidRPr="00C52299">
        <w:rPr>
          <w:rFonts w:ascii="Arial" w:hAnsi="Arial" w:cs="Arial"/>
          <w:sz w:val="22"/>
          <w:szCs w:val="22"/>
        </w:rPr>
        <w:t>7,March</w:t>
      </w:r>
      <w:proofErr w:type="gramEnd"/>
      <w:r w:rsidRPr="00C52299">
        <w:rPr>
          <w:rFonts w:ascii="Arial" w:hAnsi="Arial" w:cs="Arial"/>
          <w:sz w:val="22"/>
          <w:szCs w:val="22"/>
        </w:rPr>
        <w:t xml:space="preserve"> 2026).</w:t>
      </w:r>
    </w:p>
    <w:p w14:paraId="7AA0304D" w14:textId="77777777" w:rsidR="000E7C98" w:rsidRPr="00C52299" w:rsidRDefault="000E7C98" w:rsidP="00C52299">
      <w:pPr>
        <w:jc w:val="both"/>
        <w:rPr>
          <w:rFonts w:ascii="Arial" w:hAnsi="Arial" w:cs="Arial"/>
          <w:sz w:val="22"/>
          <w:szCs w:val="22"/>
        </w:rPr>
      </w:pPr>
    </w:p>
    <w:p w14:paraId="6E69F048" w14:textId="77777777" w:rsidR="000E7C98" w:rsidRPr="00C52299" w:rsidRDefault="000E7C98" w:rsidP="00C52299">
      <w:pPr>
        <w:jc w:val="both"/>
        <w:rPr>
          <w:rFonts w:ascii="Arial" w:hAnsi="Arial" w:cs="Arial"/>
          <w:sz w:val="22"/>
          <w:szCs w:val="22"/>
        </w:rPr>
      </w:pPr>
    </w:p>
    <w:p w14:paraId="53E2F589" w14:textId="2E7729DC"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Health and Social Care Act 2008 (Regulated Activities) Regulations 2014. Available at: </w:t>
      </w:r>
      <w:hyperlink r:id="rId14" w:history="1">
        <w:r w:rsidRPr="00C52299">
          <w:rPr>
            <w:rStyle w:val="Hyperlink"/>
            <w:rFonts w:ascii="Arial" w:hAnsi="Arial" w:cs="Arial"/>
            <w:sz w:val="22"/>
            <w:szCs w:val="22"/>
          </w:rPr>
          <w:t>https://www.legislation.gov.uk/uksi/2014/2936/contents</w:t>
        </w:r>
      </w:hyperlink>
    </w:p>
    <w:p w14:paraId="7133F32A" w14:textId="70E75463"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5 March 2026).</w:t>
      </w:r>
    </w:p>
    <w:p w14:paraId="71047995" w14:textId="77777777" w:rsidR="000E7C98" w:rsidRPr="00C52299" w:rsidRDefault="000E7C98" w:rsidP="00C52299">
      <w:pPr>
        <w:jc w:val="both"/>
        <w:rPr>
          <w:rFonts w:ascii="Arial" w:hAnsi="Arial" w:cs="Arial"/>
          <w:sz w:val="22"/>
          <w:szCs w:val="22"/>
        </w:rPr>
      </w:pPr>
    </w:p>
    <w:p w14:paraId="7C1E0160" w14:textId="5C4C106D"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National Institute for Health and Care Excellence (NICE) (2023) Stroke rehabilitation in adults [NG236]. Available at: </w:t>
      </w:r>
      <w:hyperlink r:id="rId15" w:history="1">
        <w:r w:rsidRPr="00C52299">
          <w:rPr>
            <w:rStyle w:val="Hyperlink"/>
            <w:rFonts w:ascii="Arial" w:hAnsi="Arial" w:cs="Arial"/>
            <w:sz w:val="22"/>
            <w:szCs w:val="22"/>
          </w:rPr>
          <w:t>https://www.nice.org.uk/guidance/ng236</w:t>
        </w:r>
      </w:hyperlink>
    </w:p>
    <w:p w14:paraId="53B9358D" w14:textId="492A702B"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1 March 2026).</w:t>
      </w:r>
    </w:p>
    <w:p w14:paraId="034835C6" w14:textId="77777777" w:rsidR="000E7C98" w:rsidRPr="00C52299" w:rsidRDefault="000E7C98" w:rsidP="00C52299">
      <w:pPr>
        <w:jc w:val="both"/>
        <w:rPr>
          <w:rFonts w:ascii="Arial" w:hAnsi="Arial" w:cs="Arial"/>
          <w:sz w:val="22"/>
          <w:szCs w:val="22"/>
        </w:rPr>
      </w:pPr>
    </w:p>
    <w:p w14:paraId="04438E5A"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NHS England (2018) Guidance on the use of interpreters in health and care. Leeds: NHS England.</w:t>
      </w:r>
    </w:p>
    <w:p w14:paraId="2EB8C6A0" w14:textId="77777777" w:rsidR="000E7C98" w:rsidRPr="00C52299" w:rsidRDefault="000E7C98" w:rsidP="00C52299">
      <w:pPr>
        <w:jc w:val="both"/>
        <w:rPr>
          <w:rFonts w:ascii="Arial" w:hAnsi="Arial" w:cs="Arial"/>
          <w:sz w:val="22"/>
          <w:szCs w:val="22"/>
        </w:rPr>
      </w:pPr>
    </w:p>
    <w:p w14:paraId="01A8ADE1"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Nursing and Midwifery Council (NMC) (2018) The Code: Professional standards of practice and behaviour for nurses, midwives and nursing associates. London: NMC.</w:t>
      </w:r>
    </w:p>
    <w:p w14:paraId="3F233916" w14:textId="77777777" w:rsidR="000E7C98" w:rsidRPr="00C52299" w:rsidRDefault="000E7C98" w:rsidP="00C52299">
      <w:pPr>
        <w:jc w:val="both"/>
        <w:rPr>
          <w:rFonts w:ascii="Arial" w:hAnsi="Arial" w:cs="Arial"/>
          <w:sz w:val="22"/>
          <w:szCs w:val="22"/>
        </w:rPr>
      </w:pPr>
    </w:p>
    <w:p w14:paraId="4551E6DC"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Royal College of Speech and Language Therapists (RCSLT) (2021) Inclusive Communication Position Paper. London: RCSLT.</w:t>
      </w:r>
    </w:p>
    <w:p w14:paraId="721255CB" w14:textId="77777777" w:rsidR="000E7C98" w:rsidRPr="00C52299" w:rsidRDefault="000E7C98" w:rsidP="00C52299">
      <w:pPr>
        <w:jc w:val="both"/>
        <w:rPr>
          <w:rFonts w:ascii="Arial" w:hAnsi="Arial" w:cs="Arial"/>
          <w:sz w:val="22"/>
          <w:szCs w:val="22"/>
        </w:rPr>
      </w:pPr>
    </w:p>
    <w:p w14:paraId="44723EB6" w14:textId="77777777" w:rsidR="000E7C98" w:rsidRPr="00C52299" w:rsidRDefault="000E7C98" w:rsidP="00C52299">
      <w:pPr>
        <w:jc w:val="both"/>
        <w:rPr>
          <w:rFonts w:ascii="Arial" w:hAnsi="Arial" w:cs="Arial"/>
          <w:sz w:val="22"/>
          <w:szCs w:val="22"/>
        </w:rPr>
      </w:pPr>
      <w:r w:rsidRPr="00C52299">
        <w:rPr>
          <w:rFonts w:ascii="Arial" w:hAnsi="Arial" w:cs="Arial"/>
          <w:sz w:val="22"/>
          <w:szCs w:val="22"/>
        </w:rPr>
        <w:t>Shannon, C.E. and Weaver, W. (1949) The Mathematical Theory of Communication. Urbana: University of Illinois Press.</w:t>
      </w:r>
    </w:p>
    <w:p w14:paraId="6DDCB098" w14:textId="77777777" w:rsidR="000E7C98" w:rsidRPr="00C52299" w:rsidRDefault="000E7C98" w:rsidP="00C52299">
      <w:pPr>
        <w:jc w:val="both"/>
        <w:rPr>
          <w:rFonts w:ascii="Arial" w:hAnsi="Arial" w:cs="Arial"/>
          <w:sz w:val="22"/>
          <w:szCs w:val="22"/>
        </w:rPr>
      </w:pPr>
    </w:p>
    <w:p w14:paraId="04AAA57B" w14:textId="4065079E"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Social Care Institute for Excellence (SCIE) (2024) Assessment of needs under the Care Act 2014. Available at: </w:t>
      </w:r>
      <w:hyperlink r:id="rId16" w:history="1">
        <w:r w:rsidRPr="00C52299">
          <w:rPr>
            <w:rStyle w:val="Hyperlink"/>
            <w:rFonts w:ascii="Arial" w:hAnsi="Arial" w:cs="Arial"/>
            <w:sz w:val="22"/>
            <w:szCs w:val="22"/>
          </w:rPr>
          <w:t>https://www.scie.org.uk/care-act-2014/assessment-and-eligibility/assessment-needs</w:t>
        </w:r>
      </w:hyperlink>
    </w:p>
    <w:p w14:paraId="466FA750" w14:textId="3398B6D4"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10 March 2026).</w:t>
      </w:r>
    </w:p>
    <w:p w14:paraId="447277B6" w14:textId="77777777" w:rsidR="000E7C98" w:rsidRPr="00C52299" w:rsidRDefault="000E7C98" w:rsidP="00C52299">
      <w:pPr>
        <w:jc w:val="both"/>
        <w:rPr>
          <w:rFonts w:ascii="Arial" w:hAnsi="Arial" w:cs="Arial"/>
          <w:sz w:val="22"/>
          <w:szCs w:val="22"/>
        </w:rPr>
      </w:pPr>
    </w:p>
    <w:p w14:paraId="497FC6BD" w14:textId="3C535EBC"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Stroke Association (2022) Communication problems after stroke. Available at: </w:t>
      </w:r>
      <w:hyperlink r:id="rId17" w:history="1">
        <w:r w:rsidRPr="00C52299">
          <w:rPr>
            <w:rStyle w:val="Hyperlink"/>
            <w:rFonts w:ascii="Arial" w:hAnsi="Arial" w:cs="Arial"/>
            <w:sz w:val="22"/>
            <w:szCs w:val="22"/>
          </w:rPr>
          <w:t>https://www.stroke.org.uk/effects-of-stroke/communication-problems</w:t>
        </w:r>
      </w:hyperlink>
    </w:p>
    <w:p w14:paraId="76675E2D" w14:textId="759D4D6D"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 (Accessed: 1 March 2026).</w:t>
      </w:r>
    </w:p>
    <w:p w14:paraId="7694D51D" w14:textId="77777777" w:rsidR="000E7C98" w:rsidRPr="00C52299" w:rsidRDefault="000E7C98" w:rsidP="00C52299">
      <w:pPr>
        <w:jc w:val="both"/>
        <w:rPr>
          <w:rFonts w:ascii="Arial" w:hAnsi="Arial" w:cs="Arial"/>
          <w:sz w:val="22"/>
          <w:szCs w:val="22"/>
        </w:rPr>
      </w:pPr>
    </w:p>
    <w:p w14:paraId="714640F4" w14:textId="365622F8" w:rsidR="000E7C98" w:rsidRPr="00C52299" w:rsidRDefault="000E7C98" w:rsidP="00C52299">
      <w:pPr>
        <w:jc w:val="both"/>
        <w:rPr>
          <w:rFonts w:ascii="Arial" w:hAnsi="Arial" w:cs="Arial"/>
          <w:sz w:val="22"/>
          <w:szCs w:val="22"/>
        </w:rPr>
      </w:pPr>
      <w:r w:rsidRPr="00C52299">
        <w:rPr>
          <w:rFonts w:ascii="Arial" w:hAnsi="Arial" w:cs="Arial"/>
          <w:sz w:val="22"/>
          <w:szCs w:val="22"/>
        </w:rPr>
        <w:t xml:space="preserve">UK GDPR (2018) UK General Data Protection Regulation. Available at: </w:t>
      </w:r>
      <w:hyperlink r:id="rId18" w:history="1">
        <w:r w:rsidRPr="00C52299">
          <w:rPr>
            <w:rStyle w:val="Hyperlink"/>
            <w:rFonts w:ascii="Arial" w:hAnsi="Arial" w:cs="Arial"/>
            <w:sz w:val="22"/>
            <w:szCs w:val="22"/>
          </w:rPr>
          <w:t>https://www.legislation.gov.uk/eur/2016/679/contents</w:t>
        </w:r>
      </w:hyperlink>
    </w:p>
    <w:p w14:paraId="34A87054" w14:textId="2EB04B5B" w:rsidR="00E40E82" w:rsidRPr="00C52299" w:rsidRDefault="000E7C98" w:rsidP="00C52299">
      <w:pPr>
        <w:jc w:val="both"/>
        <w:rPr>
          <w:rFonts w:ascii="Arial" w:hAnsi="Arial" w:cs="Arial"/>
          <w:sz w:val="22"/>
          <w:szCs w:val="22"/>
        </w:rPr>
      </w:pPr>
      <w:r w:rsidRPr="00C52299">
        <w:rPr>
          <w:rFonts w:ascii="Arial" w:hAnsi="Arial" w:cs="Arial"/>
          <w:sz w:val="22"/>
          <w:szCs w:val="22"/>
        </w:rPr>
        <w:t xml:space="preserve"> (Accessed: 10 March 2026).</w:t>
      </w:r>
    </w:p>
    <w:p w14:paraId="2FF1FDB5" w14:textId="77777777" w:rsidR="00E40E82" w:rsidRPr="00C52299" w:rsidRDefault="00E40E82" w:rsidP="00C52299">
      <w:pPr>
        <w:jc w:val="both"/>
        <w:rPr>
          <w:rFonts w:ascii="Arial" w:hAnsi="Arial" w:cs="Arial"/>
          <w:sz w:val="22"/>
          <w:szCs w:val="22"/>
        </w:rPr>
      </w:pPr>
    </w:p>
    <w:p w14:paraId="40FC3204" w14:textId="77777777" w:rsidR="00FD5560" w:rsidRPr="00C52299" w:rsidRDefault="00FD5560" w:rsidP="00C52299">
      <w:pPr>
        <w:jc w:val="both"/>
        <w:rPr>
          <w:rFonts w:ascii="Arial" w:hAnsi="Arial" w:cs="Arial"/>
          <w:sz w:val="22"/>
          <w:szCs w:val="22"/>
        </w:rPr>
      </w:pPr>
    </w:p>
    <w:p w14:paraId="746FC71A" w14:textId="77777777" w:rsidR="00FD5560" w:rsidRPr="00C52299" w:rsidRDefault="00FD5560" w:rsidP="00C52299">
      <w:pPr>
        <w:jc w:val="both"/>
        <w:rPr>
          <w:rFonts w:ascii="Arial" w:hAnsi="Arial" w:cs="Arial"/>
          <w:sz w:val="22"/>
          <w:szCs w:val="22"/>
        </w:rPr>
      </w:pPr>
    </w:p>
    <w:p w14:paraId="1DF57097" w14:textId="3B890E03" w:rsidR="00D759EC" w:rsidRPr="00C52299" w:rsidRDefault="00D759EC" w:rsidP="00C52299">
      <w:pPr>
        <w:jc w:val="both"/>
        <w:rPr>
          <w:rFonts w:ascii="Arial" w:hAnsi="Arial" w:cs="Arial"/>
          <w:sz w:val="22"/>
          <w:szCs w:val="22"/>
        </w:rPr>
      </w:pPr>
    </w:p>
    <w:sectPr w:rsidR="00D759EC" w:rsidRPr="00C5229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6230" w14:textId="77777777" w:rsidR="0040147C" w:rsidRDefault="0040147C" w:rsidP="008E1588">
      <w:pPr>
        <w:spacing w:after="0" w:line="240" w:lineRule="auto"/>
      </w:pPr>
      <w:r>
        <w:separator/>
      </w:r>
    </w:p>
  </w:endnote>
  <w:endnote w:type="continuationSeparator" w:id="0">
    <w:p w14:paraId="133A39DE" w14:textId="77777777" w:rsidR="0040147C" w:rsidRDefault="0040147C" w:rsidP="008E1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7151946"/>
      <w:docPartObj>
        <w:docPartGallery w:val="Page Numbers (Bottom of Page)"/>
        <w:docPartUnique/>
      </w:docPartObj>
    </w:sdtPr>
    <w:sdtContent>
      <w:p w14:paraId="28112990" w14:textId="4856AB7B" w:rsidR="008E1588" w:rsidRDefault="008E1588">
        <w:pPr>
          <w:pStyle w:val="Footer"/>
          <w:jc w:val="right"/>
        </w:pPr>
        <w:r>
          <w:fldChar w:fldCharType="begin"/>
        </w:r>
        <w:r>
          <w:instrText>PAGE   \* MERGEFORMAT</w:instrText>
        </w:r>
        <w:r>
          <w:fldChar w:fldCharType="separate"/>
        </w:r>
        <w:r>
          <w:t>2</w:t>
        </w:r>
        <w:r>
          <w:fldChar w:fldCharType="end"/>
        </w:r>
      </w:p>
    </w:sdtContent>
  </w:sdt>
  <w:p w14:paraId="33BB1482" w14:textId="77777777" w:rsidR="008E1588" w:rsidRDefault="008E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C01FA" w14:textId="77777777" w:rsidR="0040147C" w:rsidRDefault="0040147C" w:rsidP="008E1588">
      <w:pPr>
        <w:spacing w:after="0" w:line="240" w:lineRule="auto"/>
      </w:pPr>
      <w:r>
        <w:separator/>
      </w:r>
    </w:p>
  </w:footnote>
  <w:footnote w:type="continuationSeparator" w:id="0">
    <w:p w14:paraId="1BE05620" w14:textId="77777777" w:rsidR="0040147C" w:rsidRDefault="0040147C" w:rsidP="008E15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560"/>
    <w:rsid w:val="00011D60"/>
    <w:rsid w:val="00035121"/>
    <w:rsid w:val="000A0319"/>
    <w:rsid w:val="000E084B"/>
    <w:rsid w:val="000E7C98"/>
    <w:rsid w:val="0010039B"/>
    <w:rsid w:val="001004F4"/>
    <w:rsid w:val="00160588"/>
    <w:rsid w:val="00171163"/>
    <w:rsid w:val="001817E1"/>
    <w:rsid w:val="001B619C"/>
    <w:rsid w:val="001E2704"/>
    <w:rsid w:val="001E3F50"/>
    <w:rsid w:val="001F4C49"/>
    <w:rsid w:val="0020601C"/>
    <w:rsid w:val="00277C98"/>
    <w:rsid w:val="002B1FCF"/>
    <w:rsid w:val="002E6D46"/>
    <w:rsid w:val="00331484"/>
    <w:rsid w:val="00372972"/>
    <w:rsid w:val="00394922"/>
    <w:rsid w:val="003966C3"/>
    <w:rsid w:val="003E3917"/>
    <w:rsid w:val="0040147C"/>
    <w:rsid w:val="00405C60"/>
    <w:rsid w:val="00432F64"/>
    <w:rsid w:val="00467795"/>
    <w:rsid w:val="00470BB5"/>
    <w:rsid w:val="004979B0"/>
    <w:rsid w:val="004A0B7D"/>
    <w:rsid w:val="004E0480"/>
    <w:rsid w:val="004E63CE"/>
    <w:rsid w:val="004E7354"/>
    <w:rsid w:val="00502636"/>
    <w:rsid w:val="00511AFA"/>
    <w:rsid w:val="005A5FBE"/>
    <w:rsid w:val="00642BFE"/>
    <w:rsid w:val="00645D98"/>
    <w:rsid w:val="0067174C"/>
    <w:rsid w:val="00684A63"/>
    <w:rsid w:val="006B3A29"/>
    <w:rsid w:val="006C3CD5"/>
    <w:rsid w:val="006F1EF8"/>
    <w:rsid w:val="00747AD4"/>
    <w:rsid w:val="00760E4E"/>
    <w:rsid w:val="007663C1"/>
    <w:rsid w:val="007D1E52"/>
    <w:rsid w:val="007D334E"/>
    <w:rsid w:val="007D6AA0"/>
    <w:rsid w:val="007F0D5F"/>
    <w:rsid w:val="0080518C"/>
    <w:rsid w:val="00866B5A"/>
    <w:rsid w:val="008E1261"/>
    <w:rsid w:val="008E1588"/>
    <w:rsid w:val="008F7CC8"/>
    <w:rsid w:val="009054FE"/>
    <w:rsid w:val="00935649"/>
    <w:rsid w:val="0093617F"/>
    <w:rsid w:val="0094523F"/>
    <w:rsid w:val="009F3219"/>
    <w:rsid w:val="00A274B6"/>
    <w:rsid w:val="00A51046"/>
    <w:rsid w:val="00AA00D0"/>
    <w:rsid w:val="00B70538"/>
    <w:rsid w:val="00B85009"/>
    <w:rsid w:val="00BB73BB"/>
    <w:rsid w:val="00BD03BA"/>
    <w:rsid w:val="00BE0944"/>
    <w:rsid w:val="00C475F8"/>
    <w:rsid w:val="00C52299"/>
    <w:rsid w:val="00C9113C"/>
    <w:rsid w:val="00CA0FEA"/>
    <w:rsid w:val="00CB7F34"/>
    <w:rsid w:val="00CD4398"/>
    <w:rsid w:val="00CE4495"/>
    <w:rsid w:val="00CF114E"/>
    <w:rsid w:val="00CF23B6"/>
    <w:rsid w:val="00D11916"/>
    <w:rsid w:val="00D759EC"/>
    <w:rsid w:val="00D8542C"/>
    <w:rsid w:val="00D946F1"/>
    <w:rsid w:val="00DC1102"/>
    <w:rsid w:val="00DF54E2"/>
    <w:rsid w:val="00E3000B"/>
    <w:rsid w:val="00E40E82"/>
    <w:rsid w:val="00E72D29"/>
    <w:rsid w:val="00E86C89"/>
    <w:rsid w:val="00EE25BC"/>
    <w:rsid w:val="00EE5622"/>
    <w:rsid w:val="00F331F7"/>
    <w:rsid w:val="00F413CC"/>
    <w:rsid w:val="00F429F2"/>
    <w:rsid w:val="00FB375D"/>
    <w:rsid w:val="00FC5B49"/>
    <w:rsid w:val="00FD5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73056"/>
  <w15:chartTrackingRefBased/>
  <w15:docId w15:val="{48DF8D89-3CED-46DE-82AE-667800A07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5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5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5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5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560"/>
    <w:rPr>
      <w:rFonts w:eastAsiaTheme="majorEastAsia" w:cstheme="majorBidi"/>
      <w:color w:val="272727" w:themeColor="text1" w:themeTint="D8"/>
    </w:rPr>
  </w:style>
  <w:style w:type="paragraph" w:styleId="Title">
    <w:name w:val="Title"/>
    <w:basedOn w:val="Normal"/>
    <w:next w:val="Normal"/>
    <w:link w:val="TitleChar"/>
    <w:uiPriority w:val="10"/>
    <w:qFormat/>
    <w:rsid w:val="00FD55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560"/>
    <w:pPr>
      <w:spacing w:before="160"/>
      <w:jc w:val="center"/>
    </w:pPr>
    <w:rPr>
      <w:i/>
      <w:iCs/>
      <w:color w:val="404040" w:themeColor="text1" w:themeTint="BF"/>
    </w:rPr>
  </w:style>
  <w:style w:type="character" w:customStyle="1" w:styleId="QuoteChar">
    <w:name w:val="Quote Char"/>
    <w:basedOn w:val="DefaultParagraphFont"/>
    <w:link w:val="Quote"/>
    <w:uiPriority w:val="29"/>
    <w:rsid w:val="00FD5560"/>
    <w:rPr>
      <w:i/>
      <w:iCs/>
      <w:color w:val="404040" w:themeColor="text1" w:themeTint="BF"/>
    </w:rPr>
  </w:style>
  <w:style w:type="paragraph" w:styleId="ListParagraph">
    <w:name w:val="List Paragraph"/>
    <w:basedOn w:val="Normal"/>
    <w:uiPriority w:val="34"/>
    <w:qFormat/>
    <w:rsid w:val="00FD5560"/>
    <w:pPr>
      <w:ind w:left="720"/>
      <w:contextualSpacing/>
    </w:pPr>
  </w:style>
  <w:style w:type="character" w:styleId="IntenseEmphasis">
    <w:name w:val="Intense Emphasis"/>
    <w:basedOn w:val="DefaultParagraphFont"/>
    <w:uiPriority w:val="21"/>
    <w:qFormat/>
    <w:rsid w:val="00FD5560"/>
    <w:rPr>
      <w:i/>
      <w:iCs/>
      <w:color w:val="0F4761" w:themeColor="accent1" w:themeShade="BF"/>
    </w:rPr>
  </w:style>
  <w:style w:type="paragraph" w:styleId="IntenseQuote">
    <w:name w:val="Intense Quote"/>
    <w:basedOn w:val="Normal"/>
    <w:next w:val="Normal"/>
    <w:link w:val="IntenseQuoteChar"/>
    <w:uiPriority w:val="30"/>
    <w:qFormat/>
    <w:rsid w:val="00FD5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560"/>
    <w:rPr>
      <w:i/>
      <w:iCs/>
      <w:color w:val="0F4761" w:themeColor="accent1" w:themeShade="BF"/>
    </w:rPr>
  </w:style>
  <w:style w:type="character" w:styleId="IntenseReference">
    <w:name w:val="Intense Reference"/>
    <w:basedOn w:val="DefaultParagraphFont"/>
    <w:uiPriority w:val="32"/>
    <w:qFormat/>
    <w:rsid w:val="00FD5560"/>
    <w:rPr>
      <w:b/>
      <w:bCs/>
      <w:smallCaps/>
      <w:color w:val="0F4761" w:themeColor="accent1" w:themeShade="BF"/>
      <w:spacing w:val="5"/>
    </w:rPr>
  </w:style>
  <w:style w:type="character" w:styleId="Hyperlink">
    <w:name w:val="Hyperlink"/>
    <w:basedOn w:val="DefaultParagraphFont"/>
    <w:uiPriority w:val="99"/>
    <w:unhideWhenUsed/>
    <w:rsid w:val="00645D98"/>
    <w:rPr>
      <w:color w:val="467886" w:themeColor="hyperlink"/>
      <w:u w:val="single"/>
    </w:rPr>
  </w:style>
  <w:style w:type="character" w:styleId="UnresolvedMention">
    <w:name w:val="Unresolved Mention"/>
    <w:basedOn w:val="DefaultParagraphFont"/>
    <w:uiPriority w:val="99"/>
    <w:semiHidden/>
    <w:unhideWhenUsed/>
    <w:rsid w:val="00645D98"/>
    <w:rPr>
      <w:color w:val="605E5C"/>
      <w:shd w:val="clear" w:color="auto" w:fill="E1DFDD"/>
    </w:rPr>
  </w:style>
  <w:style w:type="character" w:styleId="FollowedHyperlink">
    <w:name w:val="FollowedHyperlink"/>
    <w:basedOn w:val="DefaultParagraphFont"/>
    <w:uiPriority w:val="99"/>
    <w:semiHidden/>
    <w:unhideWhenUsed/>
    <w:rsid w:val="00645D98"/>
    <w:rPr>
      <w:color w:val="96607D" w:themeColor="followedHyperlink"/>
      <w:u w:val="single"/>
    </w:rPr>
  </w:style>
  <w:style w:type="paragraph" w:styleId="TOCHeading">
    <w:name w:val="TOC Heading"/>
    <w:basedOn w:val="Heading1"/>
    <w:next w:val="Normal"/>
    <w:uiPriority w:val="39"/>
    <w:unhideWhenUsed/>
    <w:qFormat/>
    <w:rsid w:val="008E158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8E1588"/>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8E1588"/>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8E1588"/>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8E1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588"/>
  </w:style>
  <w:style w:type="paragraph" w:styleId="Footer">
    <w:name w:val="footer"/>
    <w:basedOn w:val="Normal"/>
    <w:link w:val="FooterChar"/>
    <w:uiPriority w:val="99"/>
    <w:unhideWhenUsed/>
    <w:rsid w:val="008E1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legislation.gov.uk/ukpga/2008/14/contents" TargetMode="External"/><Relationship Id="rId18" Type="http://schemas.openxmlformats.org/officeDocument/2006/relationships/hyperlink" Target="https://www.legislation.gov.uk/eur/2016/679/conten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egislation.gov.uk/ukpga/2022/31/contents" TargetMode="External"/><Relationship Id="rId17" Type="http://schemas.openxmlformats.org/officeDocument/2006/relationships/hyperlink" Target="https://www.stroke.org.uk/effects-of-stroke/communication-problems" TargetMode="External"/><Relationship Id="rId2" Type="http://schemas.openxmlformats.org/officeDocument/2006/relationships/styles" Target="styles.xml"/><Relationship Id="rId16" Type="http://schemas.openxmlformats.org/officeDocument/2006/relationships/hyperlink" Target="https://www.scie.org.uk/care-act-2014/assessment-and-eligibility/assessment-need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www.nice.org.uk/guidance/ng236" TargetMode="External"/><Relationship Id="rId10" Type="http://schemas.openxmlformats.org/officeDocument/2006/relationships/hyperlink" Target="https://www.legislation.gov.uk/ukpga/2018/12/conten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qc.org.uk/about-us/fundamental-standards" TargetMode="External"/><Relationship Id="rId14" Type="http://schemas.openxmlformats.org/officeDocument/2006/relationships/hyperlink" Target="https://www.legislation.gov.uk/uksi/2014/293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BA677-F6A8-4BD0-9841-E354E791D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7390</TotalTime>
  <Pages>10</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106</cp:revision>
  <dcterms:created xsi:type="dcterms:W3CDTF">2026-02-26T22:57:00Z</dcterms:created>
  <dcterms:modified xsi:type="dcterms:W3CDTF">2026-03-23T00:31:00Z</dcterms:modified>
</cp:coreProperties>
</file>