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748C6" w14:textId="77777777" w:rsidR="007C0F33" w:rsidRPr="000F45C6" w:rsidRDefault="007C0F33" w:rsidP="007C0F33">
      <w:pPr>
        <w:jc w:val="center"/>
        <w:rPr>
          <w:rFonts w:ascii="Arial" w:hAnsi="Arial" w:cs="Arial"/>
          <w:b/>
          <w:bCs/>
        </w:rPr>
      </w:pPr>
    </w:p>
    <w:p w14:paraId="3AAFAFCB" w14:textId="77777777" w:rsidR="007C0F33" w:rsidRPr="000F45C6" w:rsidRDefault="007C0F33" w:rsidP="007C0F33">
      <w:pPr>
        <w:jc w:val="center"/>
        <w:rPr>
          <w:rFonts w:ascii="Arial" w:hAnsi="Arial" w:cs="Arial"/>
          <w:b/>
          <w:bCs/>
        </w:rPr>
      </w:pPr>
    </w:p>
    <w:p w14:paraId="00F7CCC0" w14:textId="77777777" w:rsidR="007C0F33" w:rsidRPr="000F45C6" w:rsidRDefault="007C0F33" w:rsidP="007C0F33">
      <w:pPr>
        <w:jc w:val="center"/>
        <w:rPr>
          <w:rFonts w:ascii="Arial" w:hAnsi="Arial" w:cs="Arial"/>
          <w:b/>
          <w:bCs/>
        </w:rPr>
      </w:pPr>
    </w:p>
    <w:p w14:paraId="3D769899" w14:textId="77777777" w:rsidR="007C0F33" w:rsidRPr="000F45C6" w:rsidRDefault="007C0F33" w:rsidP="007C0F33">
      <w:pPr>
        <w:rPr>
          <w:rFonts w:ascii="Arial" w:hAnsi="Arial" w:cs="Arial"/>
          <w:b/>
          <w:bCs/>
        </w:rPr>
      </w:pPr>
    </w:p>
    <w:p w14:paraId="09C8FDED" w14:textId="77777777" w:rsidR="007C0F33" w:rsidRPr="000F45C6" w:rsidRDefault="007C0F33" w:rsidP="007C0F33">
      <w:pPr>
        <w:jc w:val="center"/>
        <w:rPr>
          <w:rFonts w:ascii="Arial" w:hAnsi="Arial" w:cs="Arial"/>
          <w:b/>
          <w:bCs/>
        </w:rPr>
      </w:pPr>
    </w:p>
    <w:p w14:paraId="7EC231F4" w14:textId="77777777" w:rsidR="007C0F33" w:rsidRPr="000F45C6" w:rsidRDefault="007C0F33" w:rsidP="007C0F33">
      <w:pPr>
        <w:jc w:val="center"/>
        <w:rPr>
          <w:rFonts w:ascii="Arial" w:hAnsi="Arial" w:cs="Arial"/>
          <w:b/>
          <w:bCs/>
        </w:rPr>
      </w:pPr>
    </w:p>
    <w:p w14:paraId="7B035B11" w14:textId="77777777" w:rsidR="007C0F33" w:rsidRPr="000F45C6" w:rsidRDefault="007C0F33" w:rsidP="007C0F33">
      <w:pPr>
        <w:jc w:val="center"/>
        <w:rPr>
          <w:rFonts w:ascii="Arial" w:hAnsi="Arial" w:cs="Arial"/>
        </w:rPr>
      </w:pPr>
      <w:r w:rsidRPr="000F45C6">
        <w:rPr>
          <w:rFonts w:ascii="Arial" w:hAnsi="Arial" w:cs="Arial"/>
        </w:rPr>
        <w:t>Amy Robinson - 30001126</w:t>
      </w:r>
    </w:p>
    <w:p w14:paraId="4AC99E13" w14:textId="77777777" w:rsidR="007C0F33" w:rsidRPr="000F45C6" w:rsidRDefault="007C0F33" w:rsidP="007C0F33">
      <w:pPr>
        <w:spacing w:line="480" w:lineRule="auto"/>
        <w:jc w:val="center"/>
        <w:rPr>
          <w:rFonts w:ascii="Arial" w:hAnsi="Arial" w:cs="Arial"/>
          <w:b/>
          <w:bCs/>
        </w:rPr>
      </w:pPr>
    </w:p>
    <w:p w14:paraId="33C22555" w14:textId="77777777" w:rsidR="007C0F33" w:rsidRPr="000F45C6" w:rsidRDefault="007C0F33" w:rsidP="007C0F33">
      <w:pPr>
        <w:spacing w:line="480" w:lineRule="auto"/>
        <w:jc w:val="center"/>
        <w:rPr>
          <w:rFonts w:ascii="Arial" w:hAnsi="Arial" w:cs="Arial"/>
          <w:b/>
          <w:bCs/>
        </w:rPr>
      </w:pPr>
      <w:r w:rsidRPr="000F45C6">
        <w:rPr>
          <w:rFonts w:ascii="Arial" w:hAnsi="Arial" w:cs="Arial"/>
          <w:b/>
          <w:bCs/>
        </w:rPr>
        <w:t xml:space="preserve">Assignment 6007 – A critical evaluation and the identification of next teaching and learning steps focusing on a case study of an individual learner or a group of learners, based on an observed critical incident. </w:t>
      </w:r>
    </w:p>
    <w:p w14:paraId="3A1EECF8" w14:textId="77777777" w:rsidR="007C0F33" w:rsidRPr="000F45C6" w:rsidRDefault="007C0F33" w:rsidP="007C0F33">
      <w:pPr>
        <w:jc w:val="center"/>
        <w:rPr>
          <w:rFonts w:ascii="Arial" w:hAnsi="Arial" w:cs="Arial"/>
          <w:b/>
          <w:bCs/>
        </w:rPr>
      </w:pPr>
    </w:p>
    <w:p w14:paraId="4F75BDAF" w14:textId="77777777" w:rsidR="007C0F33" w:rsidRPr="000F45C6" w:rsidRDefault="007C0F33" w:rsidP="007C0F33">
      <w:pPr>
        <w:jc w:val="center"/>
        <w:rPr>
          <w:rFonts w:ascii="Arial" w:hAnsi="Arial" w:cs="Arial"/>
        </w:rPr>
      </w:pPr>
      <w:r w:rsidRPr="000F45C6">
        <w:rPr>
          <w:rFonts w:ascii="Arial" w:hAnsi="Arial" w:cs="Arial"/>
        </w:rPr>
        <w:t>Word Count: 40</w:t>
      </w:r>
      <w:r>
        <w:rPr>
          <w:rFonts w:ascii="Arial" w:hAnsi="Arial" w:cs="Arial"/>
        </w:rPr>
        <w:t>54</w:t>
      </w:r>
    </w:p>
    <w:p w14:paraId="72FAC960" w14:textId="77777777" w:rsidR="007C0F33" w:rsidRPr="000F45C6" w:rsidRDefault="007C0F33" w:rsidP="007C0F33">
      <w:pPr>
        <w:jc w:val="center"/>
        <w:rPr>
          <w:rFonts w:ascii="Arial" w:hAnsi="Arial" w:cs="Arial"/>
          <w:b/>
          <w:bCs/>
        </w:rPr>
      </w:pPr>
    </w:p>
    <w:p w14:paraId="1A0C49CF" w14:textId="77777777" w:rsidR="007C0F33" w:rsidRPr="000F45C6" w:rsidRDefault="007C0F33" w:rsidP="007C0F33">
      <w:pPr>
        <w:spacing w:line="480" w:lineRule="auto"/>
        <w:rPr>
          <w:rFonts w:ascii="Arial" w:hAnsi="Arial" w:cs="Arial"/>
        </w:rPr>
      </w:pPr>
      <w:r w:rsidRPr="000F45C6">
        <w:rPr>
          <w:rFonts w:ascii="Arial" w:hAnsi="Arial" w:cs="Arial"/>
        </w:rPr>
        <w:br w:type="page"/>
      </w:r>
      <w:r w:rsidRPr="000F45C6">
        <w:rPr>
          <w:rFonts w:ascii="Arial" w:hAnsi="Arial" w:cs="Arial"/>
          <w:b/>
          <w:bCs/>
        </w:rPr>
        <w:lastRenderedPageBreak/>
        <w:t>Aim, focus and understanding of a critical incident:</w:t>
      </w:r>
    </w:p>
    <w:p w14:paraId="64784D42" w14:textId="77777777" w:rsidR="007C0F33" w:rsidRPr="000F45C6" w:rsidRDefault="007C0F33" w:rsidP="007C0F33">
      <w:pPr>
        <w:spacing w:line="480" w:lineRule="auto"/>
        <w:rPr>
          <w:rFonts w:ascii="Arial" w:hAnsi="Arial" w:cs="Arial"/>
        </w:rPr>
      </w:pPr>
      <w:r w:rsidRPr="000F45C6">
        <w:rPr>
          <w:rFonts w:ascii="Arial" w:hAnsi="Arial" w:cs="Arial"/>
        </w:rPr>
        <w:t xml:space="preserve">The purpose of this essay is to look at a critical incident in depth and to analyse and critically evaluate it, this will be done through research into educational theorists and their learning theories and to identify potential ways in which the critical incident could be best adapted to meet the learners needs. Reflective teaching is defined by Tripp (1993, 2012) as not only looking at what went well and was the intended outcome achieved, but also how it made the student feel and therefore, will they be likely to contribute again. </w:t>
      </w:r>
      <w:proofErr w:type="spellStart"/>
      <w:r w:rsidRPr="000F45C6">
        <w:rPr>
          <w:rFonts w:ascii="Arial" w:hAnsi="Arial" w:cs="Arial"/>
        </w:rPr>
        <w:t>Zwozdiak</w:t>
      </w:r>
      <w:proofErr w:type="spellEnd"/>
      <w:r w:rsidRPr="000F45C6">
        <w:rPr>
          <w:rFonts w:ascii="Arial" w:hAnsi="Arial" w:cs="Arial"/>
        </w:rPr>
        <w:t xml:space="preserve">-Myers (2012) explains that reflective teaching has many benefits including professional development, with regards to being able to analyse and reflect on aspects of teaching that went well and how to improve; raising educational standards and being accountable for ensuring that learners needs are met and furthered; and by improving whole school planning and making this as efficient as possible. </w:t>
      </w:r>
    </w:p>
    <w:p w14:paraId="7638CC9E" w14:textId="77777777" w:rsidR="007C0F33" w:rsidRPr="000F45C6" w:rsidRDefault="007C0F33" w:rsidP="007C0F33">
      <w:pPr>
        <w:spacing w:line="480" w:lineRule="auto"/>
        <w:rPr>
          <w:rFonts w:ascii="Arial" w:hAnsi="Arial" w:cs="Arial"/>
        </w:rPr>
      </w:pPr>
      <w:r w:rsidRPr="000F45C6">
        <w:rPr>
          <w:rFonts w:ascii="Arial" w:hAnsi="Arial" w:cs="Arial"/>
        </w:rPr>
        <w:t xml:space="preserve">Tripp (2012) explains that critical incidents are created by the way the observer looks at a situation, they are not waiting to be discovered, but are produced when the observer notices something significant to them about a situation; a critical incident is given significance by the observer and not by an external source. In simple terms, a critical incident is something that happened, the observer took notice, and it made them stop and think about why it happened and is there a more effective way of doing that. It made them think about something which may be fundamental to their teaching and it’s not always a negative experience. The most important thing to understand about critical incidents is that they are subjective to </w:t>
      </w:r>
      <w:proofErr w:type="gramStart"/>
      <w:r w:rsidRPr="000F45C6">
        <w:rPr>
          <w:rFonts w:ascii="Arial" w:hAnsi="Arial" w:cs="Arial"/>
        </w:rPr>
        <w:t>each individual</w:t>
      </w:r>
      <w:proofErr w:type="gramEnd"/>
      <w:r w:rsidRPr="000F45C6">
        <w:rPr>
          <w:rFonts w:ascii="Arial" w:hAnsi="Arial" w:cs="Arial"/>
        </w:rPr>
        <w:t>.</w:t>
      </w:r>
    </w:p>
    <w:p w14:paraId="7C0EBBF6" w14:textId="77777777" w:rsidR="007C0F33" w:rsidRPr="000F45C6" w:rsidRDefault="007C0F33" w:rsidP="007C0F33">
      <w:pPr>
        <w:spacing w:line="480" w:lineRule="auto"/>
        <w:rPr>
          <w:rFonts w:ascii="Arial" w:hAnsi="Arial" w:cs="Arial"/>
        </w:rPr>
      </w:pPr>
      <w:r w:rsidRPr="000F45C6">
        <w:rPr>
          <w:rFonts w:ascii="Arial" w:hAnsi="Arial" w:cs="Arial"/>
        </w:rPr>
        <w:t>The critical incident explored in this essay has come from an observation made during an immersive room experience, viewed on September 22</w:t>
      </w:r>
      <w:r w:rsidRPr="000F45C6">
        <w:rPr>
          <w:rFonts w:ascii="Arial" w:hAnsi="Arial" w:cs="Arial"/>
          <w:vertAlign w:val="superscript"/>
        </w:rPr>
        <w:t>nd</w:t>
      </w:r>
      <w:r w:rsidRPr="000F45C6">
        <w:rPr>
          <w:rFonts w:ascii="Arial" w:hAnsi="Arial" w:cs="Arial"/>
        </w:rPr>
        <w:t xml:space="preserve">, 2023; the teacher from the video was also in the room and was able to answer questions and give further context to the school, see appendix 1 for observation notes made at the time. To give some context to the critical incident, the class was a Year 4 group, mixed abilities, with 23 learners in total, there’s a teaching assistant supporting the lower abilities, with 10 different nationalities, </w:t>
      </w:r>
      <w:r w:rsidRPr="000F45C6">
        <w:rPr>
          <w:rFonts w:ascii="Arial" w:hAnsi="Arial" w:cs="Arial"/>
        </w:rPr>
        <w:lastRenderedPageBreak/>
        <w:t>working towards progression step 3, in a mainstream school. During this essay, no names will be used to conform with BERA (2018) and to respect individuals and their anonymity.</w:t>
      </w:r>
    </w:p>
    <w:p w14:paraId="5C4DC23A" w14:textId="77777777" w:rsidR="007C0F33" w:rsidRPr="000F45C6" w:rsidRDefault="007C0F33" w:rsidP="007C0F33">
      <w:pPr>
        <w:spacing w:line="480" w:lineRule="auto"/>
        <w:rPr>
          <w:rFonts w:ascii="Arial" w:hAnsi="Arial" w:cs="Arial"/>
        </w:rPr>
      </w:pPr>
      <w:r w:rsidRPr="000F45C6">
        <w:rPr>
          <w:rFonts w:ascii="Arial" w:hAnsi="Arial" w:cs="Arial"/>
        </w:rPr>
        <w:t>The critical incident that will be explored in this essay came from observing several learners with their hands up waiting to contribute; some of the learners held their hands up for extended periods, even when a different question was asked, some of the learners started to disengage and some didn’t hold their hands up in the first place. This led to questions about engagement and disengagement and whether some learners are conditioned to put their hands up as soon as a question is asked. Further to this, the question was raised as to whether the learners were using active listening and how they were demonstrating this.</w:t>
      </w:r>
    </w:p>
    <w:p w14:paraId="2E2120A2" w14:textId="77777777" w:rsidR="007C0F33" w:rsidRPr="000F45C6" w:rsidRDefault="007C0F33" w:rsidP="007C0F33">
      <w:pPr>
        <w:spacing w:line="480" w:lineRule="auto"/>
        <w:rPr>
          <w:rFonts w:ascii="Arial" w:hAnsi="Arial" w:cs="Arial"/>
        </w:rPr>
      </w:pPr>
    </w:p>
    <w:p w14:paraId="47EDC077" w14:textId="77777777" w:rsidR="007C0F33" w:rsidRPr="000F45C6" w:rsidRDefault="007C0F33" w:rsidP="007C0F33">
      <w:pPr>
        <w:spacing w:line="480" w:lineRule="auto"/>
        <w:rPr>
          <w:rFonts w:ascii="Arial" w:hAnsi="Arial" w:cs="Arial"/>
          <w:b/>
          <w:bCs/>
        </w:rPr>
      </w:pPr>
      <w:r w:rsidRPr="000F45C6">
        <w:rPr>
          <w:rFonts w:ascii="Arial" w:hAnsi="Arial" w:cs="Arial"/>
          <w:b/>
          <w:bCs/>
        </w:rPr>
        <w:t>Overview of relevant literature:</w:t>
      </w:r>
    </w:p>
    <w:p w14:paraId="06FD785D" w14:textId="77777777" w:rsidR="007C0F33" w:rsidRPr="000F45C6" w:rsidRDefault="007C0F33" w:rsidP="007C0F33">
      <w:pPr>
        <w:spacing w:line="480" w:lineRule="auto"/>
        <w:rPr>
          <w:rFonts w:ascii="Arial" w:hAnsi="Arial" w:cs="Arial"/>
        </w:rPr>
      </w:pPr>
      <w:r w:rsidRPr="000F45C6">
        <w:rPr>
          <w:rFonts w:ascii="Arial" w:hAnsi="Arial" w:cs="Arial"/>
        </w:rPr>
        <w:t xml:space="preserve">Through looking at the critical incident, several possible theories have been identified that could be explored, the first being looked at is conditioning and that of operant and classical conditioning and whether the learners are conditioned to raise their hands when the teacher asks a question. The theories that underpin conditioning were developed under the ‘behaviourism’ approach to learning, which began with the work of Pavlov (1927) who introduced a neutral stimulus to dogs, being a bell, and then introduced food straight after the bell was rung; the dogs eventually came to expect food when the bell rang as they were conditioned to it; this came to be known as ‘classical conditioning’. In contrast, Skinner (1966) developed his theory of operant conditioning, which differs from that of classical conditioning, as it suggests that learners have the option to decide how they will respond to stimulus, whereas Pavlov (1927) suggests that the responses are involuntary. In agreement with Skinner, Cherry (2019) believes that operant conditioning can be summarised simply, by stating that any action which is followed by reinforcement can be strengthened and is therefore more likely to happen again in the future; this can happen with both positive and negative reinforcements. It must be noted that Pavlov’s experiments were mainly on </w:t>
      </w:r>
      <w:r w:rsidRPr="000F45C6">
        <w:rPr>
          <w:rFonts w:ascii="Arial" w:hAnsi="Arial" w:cs="Arial"/>
        </w:rPr>
        <w:lastRenderedPageBreak/>
        <w:t xml:space="preserve">animals, namely dogs, and that Skinner took this concept and applied it to psychology and education, which would make Skinner’s research more applicable when looking at a classroom setting. Skinner (1966) and other behaviourists believed that behaviour is learned from watching those around us, and that behaviour can be shaped and moulded through rewards and punishment systems and the consequences that these have on the individual. Skinner, at the time, was heavily influenced by the work of Thorndike (1920) who developed the ‘Law of Effect’ which determined that behaviour which led to positive consequences would be more likely to be repeated, whereas behaviour which led to negative consequences would be less likely to be repeated. </w:t>
      </w:r>
      <w:proofErr w:type="spellStart"/>
      <w:r w:rsidRPr="000F45C6">
        <w:rPr>
          <w:rFonts w:ascii="Arial" w:hAnsi="Arial" w:cs="Arial"/>
        </w:rPr>
        <w:t>Wheldall</w:t>
      </w:r>
      <w:proofErr w:type="spellEnd"/>
      <w:r w:rsidRPr="000F45C6">
        <w:rPr>
          <w:rFonts w:ascii="Arial" w:hAnsi="Arial" w:cs="Arial"/>
        </w:rPr>
        <w:t xml:space="preserve"> (2012) claims that more recently, the behaviourist approach has re-emerged in the classroom, with an emphasis now being put on teachers who adopt a positive approach to classroom management and pupil engagement. Watson (1928), another behaviourist around the time of Skinner and Pavlov, famously proclaimed that he could take any individual, regardless of their race, gender, or background, and train them in whichever field he wished, through the principles of classical conditioning. </w:t>
      </w:r>
    </w:p>
    <w:p w14:paraId="44FF472D" w14:textId="77777777" w:rsidR="007C0F33" w:rsidRPr="000F45C6" w:rsidRDefault="007C0F33" w:rsidP="007C0F33">
      <w:pPr>
        <w:spacing w:line="480" w:lineRule="auto"/>
        <w:rPr>
          <w:rFonts w:ascii="Arial" w:hAnsi="Arial" w:cs="Arial"/>
        </w:rPr>
      </w:pPr>
      <w:r w:rsidRPr="000F45C6">
        <w:rPr>
          <w:rFonts w:ascii="Arial" w:hAnsi="Arial" w:cs="Arial"/>
        </w:rPr>
        <w:t xml:space="preserve">Whilst these theorists argue that learners are likely to change their behaviour based on what they see, whether that’s a voluntary or involuntary act, Bandura (1977) developed his theory of ‘Social Learning’. This theory determines that learners can observe other learners without their own behaviour changing </w:t>
      </w:r>
      <w:proofErr w:type="gramStart"/>
      <w:r w:rsidRPr="000F45C6">
        <w:rPr>
          <w:rFonts w:ascii="Arial" w:hAnsi="Arial" w:cs="Arial"/>
        </w:rPr>
        <w:t>as a result of</w:t>
      </w:r>
      <w:proofErr w:type="gramEnd"/>
      <w:r w:rsidRPr="000F45C6">
        <w:rPr>
          <w:rFonts w:ascii="Arial" w:hAnsi="Arial" w:cs="Arial"/>
        </w:rPr>
        <w:t xml:space="preserve"> the observation and that, crucially, it is motivation that plays a key part in whether learners adapt their behaviour. Bandura (1977) goes on to explain that there are two other key factors in whether a learner will adapt the behaviours they see, and these are imitation and identification. If educators continue to label a ‘busy’ child as disruptive and defiant, then eventually they will internalise these feelings and identify themselves as the ‘naughty’ child of the class. Bronfenbrenner (1979) takes this idea one step further and argues that as individuals grow there are several factors which have an influence on them and determines how they will be behave, and that educators mustn’t simply look at a standalone interaction but must look at the wider picture to </w:t>
      </w:r>
      <w:r w:rsidRPr="000F45C6">
        <w:rPr>
          <w:rFonts w:ascii="Arial" w:hAnsi="Arial" w:cs="Arial"/>
        </w:rPr>
        <w:lastRenderedPageBreak/>
        <w:t xml:space="preserve">determine how and why learners are behaving that way. It must be noted that even though the research by Bandura and Bronfenbrenner is from 40-50 years ago, the validity of their arguments still stands, this is due to the amount of research they conducted on individuals as they developed, and the fact that their work is still highly regarded in the education field. When looking for a more contemporary writer, Deaton (2015) echoes that social learning theory is still as prevalent today as it was when it was first written; however, Deaton (2015) argues that a key difference between the time of Bandura and now is the major influence that social media now has on the behaviour of individuals and that the two are now intertwined. “Educators can no longer remain on the fence concerning the use of social media and its enhancement of learning applications through Social learning theory” – Deaton (2015, page 5). </w:t>
      </w:r>
    </w:p>
    <w:p w14:paraId="105A5674" w14:textId="77777777" w:rsidR="007C0F33" w:rsidRPr="000F45C6" w:rsidRDefault="007C0F33" w:rsidP="007C0F33">
      <w:pPr>
        <w:spacing w:line="480" w:lineRule="auto"/>
        <w:rPr>
          <w:rFonts w:ascii="Arial" w:hAnsi="Arial" w:cs="Arial"/>
          <w:color w:val="111111"/>
          <w:shd w:val="clear" w:color="auto" w:fill="F9F9F9"/>
        </w:rPr>
      </w:pPr>
      <w:r w:rsidRPr="000F45C6">
        <w:rPr>
          <w:rFonts w:ascii="Arial" w:hAnsi="Arial" w:cs="Arial"/>
        </w:rPr>
        <w:t>Following on from conditioning, and whether learners are simply raising their hand as it’s a taught reflex, the question is raised: how can educators measure whether learners are conditioned to raise their hand or whether the learners have a good comprehension of the work? To answer this question, we can explore a technique called ‘active listening’, defined as a communication skill which requires more than simply hearing the words that someone is speaking, but also attempting to understand the intent and the meaning of the words (</w:t>
      </w:r>
      <w:proofErr w:type="spellStart"/>
      <w:r w:rsidRPr="000F45C6">
        <w:rPr>
          <w:rFonts w:ascii="Arial" w:hAnsi="Arial" w:cs="Arial"/>
        </w:rPr>
        <w:t>Cuncic</w:t>
      </w:r>
      <w:proofErr w:type="spellEnd"/>
      <w:r w:rsidRPr="000F45C6">
        <w:rPr>
          <w:rFonts w:ascii="Arial" w:hAnsi="Arial" w:cs="Arial"/>
        </w:rPr>
        <w:t xml:space="preserve">, 2022). According to </w:t>
      </w:r>
      <w:proofErr w:type="spellStart"/>
      <w:r w:rsidRPr="000F45C6">
        <w:rPr>
          <w:rFonts w:ascii="Arial" w:hAnsi="Arial" w:cs="Arial"/>
        </w:rPr>
        <w:t>Cuncic</w:t>
      </w:r>
      <w:proofErr w:type="spellEnd"/>
      <w:r w:rsidRPr="000F45C6">
        <w:rPr>
          <w:rFonts w:ascii="Arial" w:hAnsi="Arial" w:cs="Arial"/>
        </w:rPr>
        <w:t xml:space="preserve"> (2022) there are several active listening techniques that can be demonstrated, including: use of strong eye contact to demonstrate interest, reflecting on what’s been said and paraphrasing, and asking open-ended questions in response to what’s said, </w:t>
      </w:r>
      <w:proofErr w:type="gramStart"/>
      <w:r w:rsidRPr="000F45C6">
        <w:rPr>
          <w:rFonts w:ascii="Arial" w:hAnsi="Arial" w:cs="Arial"/>
        </w:rPr>
        <w:t>in order to</w:t>
      </w:r>
      <w:proofErr w:type="gramEnd"/>
      <w:r w:rsidRPr="000F45C6">
        <w:rPr>
          <w:rFonts w:ascii="Arial" w:hAnsi="Arial" w:cs="Arial"/>
        </w:rPr>
        <w:t xml:space="preserve"> encourage further conversation. According to Edwards-Groves &amp; Davidson (2020) the purpose of listening in a classroom setting can seem simple: to gain understanding of a topic, to take in instructions, and to receive information. However, they also argued that this indicates that listening is simply for responding and contributing, even if that response is minimal (Edwards-Groves &amp; Davidson 2017). In contrast, </w:t>
      </w:r>
      <w:proofErr w:type="spellStart"/>
      <w:r w:rsidRPr="000F45C6">
        <w:rPr>
          <w:rFonts w:ascii="Arial" w:hAnsi="Arial" w:cs="Arial"/>
        </w:rPr>
        <w:t>Pellowe</w:t>
      </w:r>
      <w:proofErr w:type="spellEnd"/>
      <w:r w:rsidRPr="000F45C6">
        <w:rPr>
          <w:rFonts w:ascii="Arial" w:hAnsi="Arial" w:cs="Arial"/>
        </w:rPr>
        <w:t xml:space="preserve"> (1986) suggests that being the listener adds more worth than being the speaker, and that listeners are active participants in the communication process, as opposed to being passive receivers </w:t>
      </w:r>
      <w:r w:rsidRPr="000F45C6">
        <w:rPr>
          <w:rFonts w:ascii="Arial" w:hAnsi="Arial" w:cs="Arial"/>
        </w:rPr>
        <w:lastRenderedPageBreak/>
        <w:t xml:space="preserve">in conversation. </w:t>
      </w:r>
      <w:proofErr w:type="spellStart"/>
      <w:r w:rsidRPr="000F45C6">
        <w:rPr>
          <w:rFonts w:ascii="Arial" w:hAnsi="Arial" w:cs="Arial"/>
        </w:rPr>
        <w:t>Jalongo</w:t>
      </w:r>
      <w:proofErr w:type="spellEnd"/>
      <w:r w:rsidRPr="000F45C6">
        <w:rPr>
          <w:rFonts w:ascii="Arial" w:hAnsi="Arial" w:cs="Arial"/>
        </w:rPr>
        <w:t xml:space="preserve"> (1995) believes that good listeners are active listeners, and that learners and teachers need to be as equally competent at speaking and listening, rather than the traditional way of teachers speaking and learners listening.</w:t>
      </w:r>
    </w:p>
    <w:p w14:paraId="74B35018" w14:textId="77777777" w:rsidR="007C0F33" w:rsidRPr="000F45C6" w:rsidRDefault="007C0F33" w:rsidP="007C0F33">
      <w:pPr>
        <w:spacing w:line="480" w:lineRule="auto"/>
        <w:rPr>
          <w:rFonts w:ascii="Arial" w:hAnsi="Arial" w:cs="Arial"/>
        </w:rPr>
      </w:pPr>
    </w:p>
    <w:p w14:paraId="1E148C27" w14:textId="77777777" w:rsidR="007C0F33" w:rsidRPr="000F45C6" w:rsidRDefault="007C0F33" w:rsidP="007C0F33">
      <w:pPr>
        <w:spacing w:line="480" w:lineRule="auto"/>
        <w:rPr>
          <w:rFonts w:ascii="Arial" w:hAnsi="Arial" w:cs="Arial"/>
          <w:b/>
          <w:bCs/>
        </w:rPr>
      </w:pPr>
      <w:r w:rsidRPr="000F45C6">
        <w:rPr>
          <w:rFonts w:ascii="Arial" w:hAnsi="Arial" w:cs="Arial"/>
          <w:b/>
          <w:bCs/>
        </w:rPr>
        <w:t>Explanation of Case Study:</w:t>
      </w:r>
    </w:p>
    <w:p w14:paraId="15516925" w14:textId="77777777" w:rsidR="007C0F33" w:rsidRPr="000F45C6" w:rsidRDefault="007C0F33" w:rsidP="007C0F33">
      <w:pPr>
        <w:spacing w:line="480" w:lineRule="auto"/>
        <w:rPr>
          <w:rFonts w:ascii="Arial" w:hAnsi="Arial" w:cs="Arial"/>
        </w:rPr>
      </w:pPr>
      <w:r w:rsidRPr="000F45C6">
        <w:rPr>
          <w:rFonts w:ascii="Arial" w:hAnsi="Arial" w:cs="Arial"/>
        </w:rPr>
        <w:t xml:space="preserve">As initially outlined, the case study being looked at during this assignment comes from an immersive room experience of an English-medium primary school which was recorded at 9.30am. The area of learning and experience was ‘Language, Literature and Communication’ and the learners were studying ‘inferences.’ The classroom was set out with 5 separate tables, all mixed ability and mixed gender, the teacher had an interactive whiteboard at the front of the classroom which had a picture on it and the learners were making inferences about the picture by saying phrases such as: “I infer that they are underground because I see dirt” and “I infer that the animals are moles because the title is Mole Town”. Pupil A had his hand up during the entire lesson, waiting to be chosen to contribute his answer, however other learners were chosen instead. The teacher proceeded to ask the learners if they could read out the instructions from the board for the main part of the task, and before the teacher had even finished asking the question, Pupil A had his hand straight back up in the air again. This led to the thought of whether this learner is conditioned to put their hands up when a question is asked and, if so, what do they gain from doing this? As explained by Cherry (2019) in the literature review, learners that have reinforcement after an experience, are more likely to repeat it; this could mean that Pupil A has had previous positive feedback, and they want to get the same reaction again. On the other hand, it could mean that Pupil A has seen </w:t>
      </w:r>
      <w:proofErr w:type="gramStart"/>
      <w:r w:rsidRPr="000F45C6">
        <w:rPr>
          <w:rFonts w:ascii="Arial" w:hAnsi="Arial" w:cs="Arial"/>
        </w:rPr>
        <w:t>another</w:t>
      </w:r>
      <w:proofErr w:type="gramEnd"/>
      <w:r w:rsidRPr="000F45C6">
        <w:rPr>
          <w:rFonts w:ascii="Arial" w:hAnsi="Arial" w:cs="Arial"/>
        </w:rPr>
        <w:t xml:space="preserve"> learners receive positive feedback and they want to imitate that behaviour (Bandura 1977). As described by Skinner (1966) operant conditioning leads learners to contribute, they get rewards, they want to contribute again because they got positive praise.</w:t>
      </w:r>
    </w:p>
    <w:p w14:paraId="6F3B7406" w14:textId="77777777" w:rsidR="007C0F33" w:rsidRPr="000F45C6" w:rsidRDefault="007C0F33" w:rsidP="007C0F33">
      <w:pPr>
        <w:spacing w:line="480" w:lineRule="auto"/>
        <w:rPr>
          <w:rFonts w:ascii="Arial" w:hAnsi="Arial" w:cs="Arial"/>
        </w:rPr>
      </w:pPr>
      <w:r w:rsidRPr="000F45C6">
        <w:rPr>
          <w:rFonts w:ascii="Arial" w:hAnsi="Arial" w:cs="Arial"/>
        </w:rPr>
        <w:lastRenderedPageBreak/>
        <w:t>Looking at social learning theory, if a learner sees another learner putting their hand up and getting the answer right, what’s their motivation for wanting to do the same thing? What does Pupil A get out of the interaction? This is what Bandura (1977) suggests we should be looking at and it leads to the question of whether some of the learners don’t contribute because they’ve already identified themselves as not being worthy of contributing. The teacher uses ‘dojo’ points as a rewards system and states that the class gained a point at the end of the interaction for their participation, however it’s unclear whether this had a positive or neutral impact on the learners desire to repeat their actions, because the points system isn’t an instant reward, it builds up to a reward, which learners may have forgotten their reason for winning the point in the first place. While Pupil A had his hand up the entire time, Pupil B, who was sat at the opposite side of the room, didn’t put his hand up once when questions were asked. Pupil B looked as if he was starting to disengage, he was lying on his arm on the table and he had his chin in his hand at one point. At this point it’s worth noting that according to Bronfenbrenner (1979) school only plays a small part in the influences surrounding how and why that learner will behave, and we must look at Bronfenbrenner’s ‘Ecological Model of Individual Development’ (see appendix 2) to build up a picture of the influences that learners have in their lives; these include the ‘Microsystem’, the ‘Mesosystem’, the ‘</w:t>
      </w:r>
      <w:proofErr w:type="spellStart"/>
      <w:r w:rsidRPr="000F45C6">
        <w:rPr>
          <w:rFonts w:ascii="Arial" w:hAnsi="Arial" w:cs="Arial"/>
        </w:rPr>
        <w:t>Exosystem</w:t>
      </w:r>
      <w:proofErr w:type="spellEnd"/>
      <w:r w:rsidRPr="000F45C6">
        <w:rPr>
          <w:rFonts w:ascii="Arial" w:hAnsi="Arial" w:cs="Arial"/>
        </w:rPr>
        <w:t xml:space="preserve">’ and the ‘Macrosystem’. </w:t>
      </w:r>
    </w:p>
    <w:p w14:paraId="56DF043D" w14:textId="77777777" w:rsidR="007C0F33" w:rsidRPr="000F45C6" w:rsidRDefault="007C0F33" w:rsidP="007C0F33">
      <w:pPr>
        <w:spacing w:line="480" w:lineRule="auto"/>
        <w:rPr>
          <w:rFonts w:ascii="Arial" w:hAnsi="Arial" w:cs="Arial"/>
        </w:rPr>
      </w:pPr>
      <w:r w:rsidRPr="000F45C6">
        <w:rPr>
          <w:rFonts w:ascii="Arial" w:hAnsi="Arial" w:cs="Arial"/>
        </w:rPr>
        <w:t xml:space="preserve">As we move on, we can ask the question: were learners showing or not showing active listening in the video? Pupil A demonstrated excellent active listening skills, as he maintained eye contact with the teacher throughout, his body language was engaged, and when it eventually came to his opportunity to contribute, he knew exactly what was being asked of him and was able to respond promptly and correctly. A pupil who wasn’t demonstrating active listening skills and was simply conditioned to raise their hand wouldn’t have known what answer to give when they were eventually given the opportunity. Pupil B could have been using active listening skills even though he didn’t raise his hand, however this wasn’t </w:t>
      </w:r>
      <w:r w:rsidRPr="000F45C6">
        <w:rPr>
          <w:rFonts w:ascii="Arial" w:hAnsi="Arial" w:cs="Arial"/>
        </w:rPr>
        <w:lastRenderedPageBreak/>
        <w:t xml:space="preserve">demonstrated at the time, as he didn’t demonstrate the same skills that pupil A did in the same situation. </w:t>
      </w:r>
    </w:p>
    <w:p w14:paraId="44B26DF4" w14:textId="77777777" w:rsidR="007C0F33" w:rsidRPr="000F45C6" w:rsidRDefault="007C0F33" w:rsidP="007C0F33">
      <w:pPr>
        <w:spacing w:line="480" w:lineRule="auto"/>
        <w:rPr>
          <w:rFonts w:ascii="Arial" w:hAnsi="Arial" w:cs="Arial"/>
        </w:rPr>
      </w:pPr>
      <w:r w:rsidRPr="000F45C6">
        <w:rPr>
          <w:rFonts w:ascii="Arial" w:hAnsi="Arial" w:cs="Arial"/>
        </w:rPr>
        <w:t>To gain a wider understanding of the critical incident that was observed, it’s important to look at this in relation to the 2022 reform for Curriculum in Wales. Donaldson (2015) was asked to review the curriculum by the Welsh Government to ensure that the curriculum was meeting the needs of learners and equipping them fully for their futures. In doing so, he put forward his notion of having four set purposes that should be at the heart of what educators should be striving for (Donaldson, 2015). The new curriculum will equip learners with the highest standards of numeracy, literacy and digital competence and will assist learners in being “confident, capable and compassionate citizens” of Wales and the World (Welsh Government, 2022). Pupil A is demonstrating one</w:t>
      </w:r>
      <w:proofErr w:type="gramStart"/>
      <w:r w:rsidRPr="000F45C6">
        <w:rPr>
          <w:rFonts w:ascii="Arial" w:hAnsi="Arial" w:cs="Arial"/>
        </w:rPr>
        <w:t>, in particular, of</w:t>
      </w:r>
      <w:proofErr w:type="gramEnd"/>
      <w:r w:rsidRPr="000F45C6">
        <w:rPr>
          <w:rFonts w:ascii="Arial" w:hAnsi="Arial" w:cs="Arial"/>
        </w:rPr>
        <w:t xml:space="preserve"> the four purposes, that of becoming ambitious and capable learners who is able to explain their ideas. The teacher is also demonstrating how they are scaffolding this idea, by encouraging learners to answer questions and by giving feedback in both Welsh and English; the teacher used phrases such as ‘da </w:t>
      </w:r>
      <w:proofErr w:type="spellStart"/>
      <w:r w:rsidRPr="000F45C6">
        <w:rPr>
          <w:rFonts w:ascii="Arial" w:hAnsi="Arial" w:cs="Arial"/>
        </w:rPr>
        <w:t>iawn</w:t>
      </w:r>
      <w:proofErr w:type="spellEnd"/>
      <w:r w:rsidRPr="000F45C6">
        <w:rPr>
          <w:rFonts w:ascii="Arial" w:hAnsi="Arial" w:cs="Arial"/>
        </w:rPr>
        <w:t xml:space="preserve">’. </w:t>
      </w:r>
    </w:p>
    <w:p w14:paraId="0C3102A9" w14:textId="77777777" w:rsidR="007C0F33" w:rsidRPr="000F45C6" w:rsidRDefault="007C0F33" w:rsidP="007C0F33">
      <w:pPr>
        <w:spacing w:line="480" w:lineRule="auto"/>
        <w:rPr>
          <w:rFonts w:ascii="Arial" w:hAnsi="Arial" w:cs="Arial"/>
        </w:rPr>
      </w:pPr>
    </w:p>
    <w:p w14:paraId="4F3FB8C7" w14:textId="77777777" w:rsidR="007C0F33" w:rsidRPr="000F45C6" w:rsidRDefault="007C0F33" w:rsidP="007C0F33">
      <w:pPr>
        <w:spacing w:line="480" w:lineRule="auto"/>
        <w:rPr>
          <w:rFonts w:ascii="Arial" w:hAnsi="Arial" w:cs="Arial"/>
          <w:b/>
          <w:bCs/>
        </w:rPr>
      </w:pPr>
      <w:r w:rsidRPr="000F45C6">
        <w:rPr>
          <w:rFonts w:ascii="Arial" w:hAnsi="Arial" w:cs="Arial"/>
          <w:b/>
          <w:bCs/>
        </w:rPr>
        <w:t>Teaching and Learning Methods:</w:t>
      </w:r>
    </w:p>
    <w:p w14:paraId="5AA08AA6" w14:textId="77777777" w:rsidR="007C0F33" w:rsidRPr="000F45C6" w:rsidRDefault="007C0F33" w:rsidP="007C0F33">
      <w:pPr>
        <w:spacing w:line="480" w:lineRule="auto"/>
        <w:rPr>
          <w:rFonts w:ascii="Arial" w:hAnsi="Arial" w:cs="Arial"/>
        </w:rPr>
      </w:pPr>
      <w:r w:rsidRPr="000F45C6">
        <w:rPr>
          <w:rFonts w:ascii="Arial" w:hAnsi="Arial" w:cs="Arial"/>
        </w:rPr>
        <w:t xml:space="preserve">Although there’s no definitive creator of formative assessment, otherwise known as assessment for learning, Black &amp; Wiliam (1998) are considered influential in this field. In the case study, the learners may not be demonstrating active listening in the usual way, but they may have understood the work, and the teacher is able to demonstrate how he’s adopted assessment for learning techniques through the fact that all the learners have mini whiteboards out on the table in front of them. The learners were encouraged to write their answer down on the whiteboard and the teacher was able to walk around the classroom and see if they were on the right track with their learning. This meant that even if a learner didn’t want to contribute their answer, for whatever reason, the teacher was still able to grasp an </w:t>
      </w:r>
      <w:r w:rsidRPr="000F45C6">
        <w:rPr>
          <w:rFonts w:ascii="Arial" w:hAnsi="Arial" w:cs="Arial"/>
        </w:rPr>
        <w:lastRenderedPageBreak/>
        <w:t xml:space="preserve">understanding of the learner’s comprehension. This teaching method was explored by </w:t>
      </w:r>
      <w:proofErr w:type="spellStart"/>
      <w:r w:rsidRPr="000F45C6">
        <w:rPr>
          <w:rFonts w:ascii="Arial" w:hAnsi="Arial" w:cs="Arial"/>
        </w:rPr>
        <w:t>Gambutas</w:t>
      </w:r>
      <w:proofErr w:type="spellEnd"/>
      <w:r w:rsidRPr="000F45C6">
        <w:rPr>
          <w:rFonts w:ascii="Arial" w:hAnsi="Arial" w:cs="Arial"/>
        </w:rPr>
        <w:t xml:space="preserve"> (2019) who carried out research on a group of students and found that the “use of mini whiteboards is an effective strategy for improving student engagement and participation” (</w:t>
      </w:r>
      <w:proofErr w:type="spellStart"/>
      <w:r w:rsidRPr="000F45C6">
        <w:rPr>
          <w:rFonts w:ascii="Arial" w:hAnsi="Arial" w:cs="Arial"/>
        </w:rPr>
        <w:t>Gambutas</w:t>
      </w:r>
      <w:proofErr w:type="spellEnd"/>
      <w:r w:rsidRPr="000F45C6">
        <w:rPr>
          <w:rFonts w:ascii="Arial" w:hAnsi="Arial" w:cs="Arial"/>
        </w:rPr>
        <w:t>, 2019, page 89) and that students felt more comfortable with sharing their answers when they’d written it down on a mini whiteboard first. This could be because learners are given an opportunity to think and reflect on their answer and possibly speak with a neighbour, before giving their answer, instead of being put on the spot to answer immediately. The limitations of mini-whiteboard use could be that some learners simply copy answers from their classmates, instead of coming up with their own answer. However, this could also be seen as a positive, as learners who are unsure of the answer could discuss with neighbours and hopefully scaffold (Bruner, 1996) their understanding through a more knowledgeable other (Vygotsky, 1978).</w:t>
      </w:r>
    </w:p>
    <w:p w14:paraId="5BF3F2C5" w14:textId="77777777" w:rsidR="007C0F33" w:rsidRPr="000F45C6" w:rsidRDefault="007C0F33" w:rsidP="007C0F33">
      <w:pPr>
        <w:spacing w:line="480" w:lineRule="auto"/>
        <w:rPr>
          <w:rFonts w:ascii="Arial" w:hAnsi="Arial" w:cs="Arial"/>
        </w:rPr>
      </w:pPr>
      <w:r w:rsidRPr="000F45C6">
        <w:rPr>
          <w:rFonts w:ascii="Arial" w:hAnsi="Arial" w:cs="Arial"/>
        </w:rPr>
        <w:t xml:space="preserve">Another assessment for learning technique which ensures that ‘hands up’ isn’t used, is that of using a lolly-pop stick method, where learners’ names are written on the stick and the teacher pulls out a stick at random and that learner must answer the question. The </w:t>
      </w:r>
      <w:proofErr w:type="spellStart"/>
      <w:r w:rsidRPr="000F45C6">
        <w:rPr>
          <w:rFonts w:ascii="Arial" w:hAnsi="Arial" w:cs="Arial"/>
        </w:rPr>
        <w:t>draw back</w:t>
      </w:r>
      <w:proofErr w:type="spellEnd"/>
      <w:r w:rsidRPr="000F45C6">
        <w:rPr>
          <w:rFonts w:ascii="Arial" w:hAnsi="Arial" w:cs="Arial"/>
        </w:rPr>
        <w:t xml:space="preserve"> to this technique is that the same learners name could be called out multiple times and therefore, doesn’t give an opportunity for others in the classroom to contribute their answer. A solution to this could be to compartmentalise the cup so that once a stick has been drawn, it goes into a separate section of the cup, meaning that learners aren’t aware of the separation, but everyone gets an opportunity to contribute. Another drawback is that often in a classroom, the same students like to contribute their answer, possibly due to Thorndike’s (1920) Law of Effect. A compromise to this could be to use the lolly-pop stick method to choose two pupils names to answer, and then ask if any of the other pupils have anything further to add; this gives the learners who always want to answer, the opportunity to do this, while still checking on the progress of the other pupils who sometimes fall below the radar. </w:t>
      </w:r>
    </w:p>
    <w:p w14:paraId="38B5620F"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rPr>
        <w:t xml:space="preserve">According to Wiliam (2017) the no hands up approach isn’t intended to embarrass or shame pupils, it’s simply to remind learners that their participation is compulsory and not optional. </w:t>
      </w:r>
      <w:r w:rsidRPr="000F45C6">
        <w:rPr>
          <w:rFonts w:ascii="Arial" w:hAnsi="Arial" w:cs="Arial"/>
        </w:rPr>
        <w:lastRenderedPageBreak/>
        <w:t xml:space="preserve">Wiliam (2017) goes on to explain that giving learners the opportunity to think about their answers for a few minutes and speak with a partner, will make them a lot less nervous and they will be able to formulate their answer </w:t>
      </w:r>
      <w:r w:rsidRPr="000F45C6">
        <w:rPr>
          <w:rFonts w:ascii="Arial" w:hAnsi="Arial" w:cs="Arial"/>
          <w:shd w:val="clear" w:color="auto" w:fill="FFFFFF"/>
        </w:rPr>
        <w:t xml:space="preserve">easier. Thompson (2022) suggests that the hands up method can be counter-productive; he suggests that hands up was developed to encourage turn taking and limit distractions, however he suggests that this can sometime have the opposite effect as some students will use the hands up method alongside shouting out, which then distracts from the students who are waiting patiently with their hand up. By putting learners into groups or pairs, this gives them </w:t>
      </w:r>
      <w:r w:rsidRPr="000F45C6">
        <w:rPr>
          <w:rFonts w:ascii="Arial" w:hAnsi="Arial" w:cs="Arial"/>
          <w:i/>
          <w:iCs/>
          <w:shd w:val="clear" w:color="auto" w:fill="FFFFFF"/>
        </w:rPr>
        <w:t>all</w:t>
      </w:r>
      <w:r w:rsidRPr="000F45C6">
        <w:rPr>
          <w:rFonts w:ascii="Arial" w:hAnsi="Arial" w:cs="Arial"/>
          <w:shd w:val="clear" w:color="auto" w:fill="FFFFFF"/>
        </w:rPr>
        <w:t xml:space="preserve"> the opportunity to discuss the topic. </w:t>
      </w:r>
    </w:p>
    <w:p w14:paraId="217FA1E8" w14:textId="77777777" w:rsidR="007C0F33" w:rsidRPr="000F45C6" w:rsidRDefault="007C0F33" w:rsidP="007C0F33">
      <w:pPr>
        <w:spacing w:line="480" w:lineRule="auto"/>
        <w:rPr>
          <w:rFonts w:ascii="Arial" w:hAnsi="Arial" w:cs="Arial"/>
          <w:b/>
          <w:bCs/>
        </w:rPr>
      </w:pPr>
      <w:r w:rsidRPr="000F45C6">
        <w:rPr>
          <w:rFonts w:ascii="Arial" w:hAnsi="Arial" w:cs="Arial"/>
          <w:shd w:val="clear" w:color="auto" w:fill="FFFFFF"/>
        </w:rPr>
        <w:t xml:space="preserve">One way in which school and teachers try to encourage desired behaviour is through implementing rewards systems. According to Gray &amp; </w:t>
      </w:r>
      <w:proofErr w:type="spellStart"/>
      <w:r w:rsidRPr="000F45C6">
        <w:rPr>
          <w:rFonts w:ascii="Arial" w:hAnsi="Arial" w:cs="Arial"/>
          <w:shd w:val="clear" w:color="auto" w:fill="FFFFFF"/>
        </w:rPr>
        <w:t>MacBlain</w:t>
      </w:r>
      <w:proofErr w:type="spellEnd"/>
      <w:r w:rsidRPr="000F45C6">
        <w:rPr>
          <w:rFonts w:ascii="Arial" w:hAnsi="Arial" w:cs="Arial"/>
          <w:shd w:val="clear" w:color="auto" w:fill="FFFFFF"/>
        </w:rPr>
        <w:t xml:space="preserve"> (2015) positive reinforcements strengthen behaviour </w:t>
      </w:r>
      <w:proofErr w:type="gramStart"/>
      <w:r w:rsidRPr="000F45C6">
        <w:rPr>
          <w:rFonts w:ascii="Arial" w:hAnsi="Arial" w:cs="Arial"/>
          <w:shd w:val="clear" w:color="auto" w:fill="FFFFFF"/>
        </w:rPr>
        <w:t>through the use of</w:t>
      </w:r>
      <w:proofErr w:type="gramEnd"/>
      <w:r w:rsidRPr="000F45C6">
        <w:rPr>
          <w:rFonts w:ascii="Arial" w:hAnsi="Arial" w:cs="Arial"/>
          <w:shd w:val="clear" w:color="auto" w:fill="FFFFFF"/>
        </w:rPr>
        <w:t xml:space="preserve"> class charts, stickers and praise etc. and negative reinforcements weaken and hopefully dispels behaviour, for example students losing time at playtime, or having to sit separately from the rest of their classmates. This method of using positive reinforcements can be used alongside assessment for learning techniques to give teachers the best toolkit to create “healthy, confident individuals who are ready to lead fulfilling lives as valued members of society” (Donaldson, 2015, page 30).</w:t>
      </w:r>
    </w:p>
    <w:p w14:paraId="38730D8F" w14:textId="77777777" w:rsidR="007C0F33" w:rsidRPr="000F45C6" w:rsidRDefault="007C0F33" w:rsidP="007C0F33">
      <w:pPr>
        <w:spacing w:line="480" w:lineRule="auto"/>
        <w:rPr>
          <w:rFonts w:ascii="Arial" w:hAnsi="Arial" w:cs="Arial"/>
          <w:b/>
          <w:bCs/>
        </w:rPr>
      </w:pPr>
    </w:p>
    <w:p w14:paraId="30DBFD58" w14:textId="77777777" w:rsidR="007C0F33" w:rsidRPr="000F45C6" w:rsidRDefault="007C0F33" w:rsidP="007C0F33">
      <w:pPr>
        <w:spacing w:line="480" w:lineRule="auto"/>
        <w:rPr>
          <w:rFonts w:ascii="Arial" w:hAnsi="Arial" w:cs="Arial"/>
          <w:b/>
          <w:bCs/>
        </w:rPr>
      </w:pPr>
      <w:r w:rsidRPr="000F45C6">
        <w:rPr>
          <w:rFonts w:ascii="Arial" w:hAnsi="Arial" w:cs="Arial"/>
          <w:b/>
          <w:bCs/>
        </w:rPr>
        <w:t>Discussion:</w:t>
      </w:r>
    </w:p>
    <w:p w14:paraId="0292DD02" w14:textId="77777777" w:rsidR="007C0F33" w:rsidRPr="000F45C6" w:rsidRDefault="007C0F33" w:rsidP="007C0F33">
      <w:pPr>
        <w:spacing w:line="480" w:lineRule="auto"/>
        <w:rPr>
          <w:rFonts w:ascii="Arial" w:hAnsi="Arial" w:cs="Arial"/>
        </w:rPr>
      </w:pPr>
      <w:r w:rsidRPr="000F45C6">
        <w:rPr>
          <w:rFonts w:ascii="Arial" w:hAnsi="Arial" w:cs="Arial"/>
        </w:rPr>
        <w:t xml:space="preserve">Ultimately, schools should be trying to create a safe learning environment, where every student feels comfortable contributing and will engage with the material given to them, regardless of how they choose to encourage participation. The benchmark should be teachers who make learners feel that they can contribute an answer, even if it’s not the answer the teacher had originally envisaged; learners should feel safe that even if their answer is “wrong” they will continue to contribute to classroom discussions because they know their opinion is valued, respected, and appreciated. Teachers should also be able to quickly adapt their lesson to whichever ways it’s led by the learners, as the learners may </w:t>
      </w:r>
      <w:r w:rsidRPr="000F45C6">
        <w:rPr>
          <w:rFonts w:ascii="Arial" w:hAnsi="Arial" w:cs="Arial"/>
        </w:rPr>
        <w:lastRenderedPageBreak/>
        <w:t xml:space="preserve">have come up with a new idea or way of thinking and the teacher needs to be open minded to their responses and appreciate the different ways of thinking that learners can present. It’s easy to slip into a way of thinking that we, as teachers, need to rush around all day, hitting the targets and jumping from one subject to another, but if we slow down, help learners see the bigger picture and get them thinking and feeling, and understand what they want to learn about, then that’s a massive achievement (Dawes &amp; Breeze, 2011). </w:t>
      </w:r>
    </w:p>
    <w:p w14:paraId="57354681" w14:textId="77777777" w:rsidR="007C0F33" w:rsidRPr="000F45C6" w:rsidRDefault="007C0F33" w:rsidP="007C0F33">
      <w:pPr>
        <w:spacing w:line="480" w:lineRule="auto"/>
        <w:rPr>
          <w:rFonts w:ascii="Arial" w:hAnsi="Arial" w:cs="Arial"/>
        </w:rPr>
      </w:pPr>
      <w:r w:rsidRPr="000F45C6">
        <w:rPr>
          <w:rFonts w:ascii="Arial" w:hAnsi="Arial" w:cs="Arial"/>
        </w:rPr>
        <w:t xml:space="preserve">According to data published in 2022 by ‘Statista’, adults in the UK spend an average of four hours and fourteen minutes per day on their mobile devices, so perhaps the issue isn’t that learners aren’t very good at listening, but rather they’re not being modelled ‘good listening’ techniques by their elders. It’s our job, therefore, as teachers, to spend time engaging with learners, get down on their level, show them how to use eye contact and make sure that each interaction is meaningful and valuable. This modelling doesn’t have to only be done on a one-to-one basis, teacher to student, but can also be modelled effectively in a large group discussion, by ensuring that other learners are being respectful when someone is speaking and adopting active listening techniques. </w:t>
      </w:r>
    </w:p>
    <w:p w14:paraId="31DEA639" w14:textId="77777777" w:rsidR="007C0F33" w:rsidRPr="000F45C6" w:rsidRDefault="007C0F33" w:rsidP="007C0F33">
      <w:pPr>
        <w:spacing w:line="480" w:lineRule="auto"/>
        <w:rPr>
          <w:rFonts w:ascii="Arial" w:hAnsi="Arial" w:cs="Arial"/>
        </w:rPr>
      </w:pPr>
      <w:r w:rsidRPr="000F45C6">
        <w:rPr>
          <w:rFonts w:ascii="Arial" w:hAnsi="Arial" w:cs="Arial"/>
        </w:rPr>
        <w:t xml:space="preserve">Dylan Wiliam (2007), Deputy Director of the Institute of Education, at the time, was interviewed as saying a good teacher is about finding ways of continuously examining their practice of rejuvenating themselves professionally, so that their work can continue to be stimulating intellectually. It’s important therefore, to continuously reflect and find new ways of developing formative assessment techniques and only adopting one of these teaching and learning methods mentioned. </w:t>
      </w:r>
    </w:p>
    <w:p w14:paraId="459B9DA4" w14:textId="77777777" w:rsidR="007C0F33" w:rsidRPr="000F45C6" w:rsidRDefault="007C0F33" w:rsidP="007C0F33">
      <w:pPr>
        <w:spacing w:line="480" w:lineRule="auto"/>
        <w:rPr>
          <w:rFonts w:ascii="Arial" w:hAnsi="Arial" w:cs="Arial"/>
        </w:rPr>
      </w:pPr>
      <w:r w:rsidRPr="000F45C6">
        <w:rPr>
          <w:rFonts w:ascii="Arial" w:hAnsi="Arial" w:cs="Arial"/>
        </w:rPr>
        <w:t>Out of the twelve pedagogical principles, set by the Welsh Government, there are three</w:t>
      </w:r>
      <w:proofErr w:type="gramStart"/>
      <w:r w:rsidRPr="000F45C6">
        <w:rPr>
          <w:rFonts w:ascii="Arial" w:hAnsi="Arial" w:cs="Arial"/>
        </w:rPr>
        <w:t>, in particular, that</w:t>
      </w:r>
      <w:proofErr w:type="gramEnd"/>
      <w:r w:rsidRPr="000F45C6">
        <w:rPr>
          <w:rFonts w:ascii="Arial" w:hAnsi="Arial" w:cs="Arial"/>
        </w:rPr>
        <w:t xml:space="preserve"> I feel strongly about, after conducting this case study, the first of which is: “</w:t>
      </w:r>
      <w:r w:rsidRPr="000F45C6">
        <w:rPr>
          <w:rFonts w:ascii="Arial" w:hAnsi="Arial" w:cs="Arial"/>
          <w:color w:val="1F1F1F"/>
        </w:rPr>
        <w:t xml:space="preserve">employing a blend of approaches including those that promote problem-solving, creative and critical thinking” which links closely with “means employing assessment for learning principles” and “encourages collaboration” (Welsh Government, 2023). All of these, I feel, assist in making the learner as confident as possible in being able to contribute to classroom </w:t>
      </w:r>
      <w:r w:rsidRPr="000F45C6">
        <w:rPr>
          <w:rFonts w:ascii="Arial" w:hAnsi="Arial" w:cs="Arial"/>
          <w:color w:val="1F1F1F"/>
        </w:rPr>
        <w:lastRenderedPageBreak/>
        <w:t>discussions, and they should be kept in mind when reflecting and coming up with new ways of encouraging interaction.</w:t>
      </w:r>
    </w:p>
    <w:p w14:paraId="7DFB7A9C" w14:textId="77777777" w:rsidR="007C0F33" w:rsidRPr="000F45C6" w:rsidRDefault="007C0F33" w:rsidP="007C0F33">
      <w:pPr>
        <w:spacing w:line="480" w:lineRule="auto"/>
        <w:rPr>
          <w:rFonts w:ascii="Arial" w:hAnsi="Arial" w:cs="Arial"/>
        </w:rPr>
      </w:pPr>
    </w:p>
    <w:p w14:paraId="339BB14D" w14:textId="77777777" w:rsidR="007C0F33" w:rsidRPr="000F45C6" w:rsidRDefault="007C0F33" w:rsidP="007C0F33">
      <w:pPr>
        <w:spacing w:line="480" w:lineRule="auto"/>
        <w:rPr>
          <w:rFonts w:ascii="Arial" w:hAnsi="Arial" w:cs="Arial"/>
          <w:b/>
          <w:bCs/>
        </w:rPr>
      </w:pPr>
      <w:r w:rsidRPr="000F45C6">
        <w:rPr>
          <w:rFonts w:ascii="Arial" w:hAnsi="Arial" w:cs="Arial"/>
          <w:b/>
          <w:bCs/>
        </w:rPr>
        <w:t>Conclusion and Recommendations:</w:t>
      </w:r>
    </w:p>
    <w:p w14:paraId="76EDAFE9" w14:textId="77777777" w:rsidR="007C0F33" w:rsidRPr="000F45C6" w:rsidRDefault="007C0F33" w:rsidP="007C0F33">
      <w:pPr>
        <w:spacing w:line="480" w:lineRule="auto"/>
        <w:rPr>
          <w:rFonts w:ascii="Arial" w:hAnsi="Arial" w:cs="Arial"/>
        </w:rPr>
      </w:pPr>
      <w:r w:rsidRPr="000F45C6">
        <w:rPr>
          <w:rFonts w:ascii="Arial" w:hAnsi="Arial" w:cs="Arial"/>
        </w:rPr>
        <w:t xml:space="preserve">Ultimately, from looking at a small clip of a learner, it’s not possible to determine how well they’ve understood that lesson, how well they can recall it, or how well they demonstrated active listening skills. The work needs to be visited and revisited </w:t>
      </w:r>
      <w:proofErr w:type="gramStart"/>
      <w:r w:rsidRPr="000F45C6">
        <w:rPr>
          <w:rFonts w:ascii="Arial" w:hAnsi="Arial" w:cs="Arial"/>
        </w:rPr>
        <w:t>in order to</w:t>
      </w:r>
      <w:proofErr w:type="gramEnd"/>
      <w:r w:rsidRPr="000F45C6">
        <w:rPr>
          <w:rFonts w:ascii="Arial" w:hAnsi="Arial" w:cs="Arial"/>
        </w:rPr>
        <w:t xml:space="preserve"> ensure understanding. This has been a very interesting case study to look at how learners behave the way they do, and how educators can identify active listening techniques, but ultimately it comes down to building a relationship with that learner, understanding what makes them operate and how we can help them achieve to the best of their ability. As demonstrated in appendix 3, which shows a cartoon about different animals trying to climb a tree, not everyone will learn the same way or at the same pace and educators have a responsibility to learners to find their way.</w:t>
      </w:r>
    </w:p>
    <w:p w14:paraId="17826ECA" w14:textId="77777777" w:rsidR="007C0F33" w:rsidRPr="000F45C6" w:rsidRDefault="007C0F33" w:rsidP="007C0F33">
      <w:pPr>
        <w:spacing w:line="480" w:lineRule="auto"/>
        <w:rPr>
          <w:rFonts w:ascii="Arial" w:hAnsi="Arial" w:cs="Arial"/>
        </w:rPr>
      </w:pPr>
      <w:r w:rsidRPr="000F45C6">
        <w:rPr>
          <w:rFonts w:ascii="Arial" w:hAnsi="Arial" w:cs="Arial"/>
        </w:rPr>
        <w:t xml:space="preserve">From the research undertaken in this essay, hands up works to a certain extent, in that the goal is to ensure all learners wait patiently and don’t cut across other learners. However, does it show understanding of the work or is it simply a conditioned response? From the research it appears that often hands up can be a conditioned response and that it doesn’t always demonstrate comprehension of the work. It appears that there can be other, more effective ways of participation, including mini-whiteboards, and use of lolly-pop sticks. </w:t>
      </w:r>
    </w:p>
    <w:p w14:paraId="01E0F9A7" w14:textId="77777777" w:rsidR="007C0F33" w:rsidRPr="000F45C6" w:rsidRDefault="007C0F33" w:rsidP="007C0F33">
      <w:pPr>
        <w:spacing w:line="480" w:lineRule="auto"/>
        <w:rPr>
          <w:rFonts w:ascii="Arial" w:hAnsi="Arial" w:cs="Arial"/>
        </w:rPr>
      </w:pPr>
      <w:r w:rsidRPr="000F45C6">
        <w:rPr>
          <w:rFonts w:ascii="Arial" w:hAnsi="Arial" w:cs="Arial"/>
        </w:rPr>
        <w:t xml:space="preserve">It must be noted that learner’s ability to comprehend and understand the work can fluctuate from day to day, and is dependent on several factors, including the time of day; friends, family, and the wider community that learners may be imitating; and adverse incidents that may have occurred earlier in the day. By using methods other than hands up, it ensures that teachers can identify students who are not understanding the work, or who may have had a negative start to the day and offer them further assistance. If hands up is used solely, then </w:t>
      </w:r>
      <w:r w:rsidRPr="000F45C6">
        <w:rPr>
          <w:rFonts w:ascii="Arial" w:hAnsi="Arial" w:cs="Arial"/>
        </w:rPr>
        <w:lastRenderedPageBreak/>
        <w:t>learners who naturally don’t want to participate, may fall under the teacher’s radar, and could be missed. The goal should be teachers who are carrying out their role well and create an environment where learners don’t have a fear of failure and are happy to contribute to classroom discussion.</w:t>
      </w:r>
      <w:r w:rsidRPr="000F45C6">
        <w:rPr>
          <w:rFonts w:ascii="Arial" w:hAnsi="Arial" w:cs="Arial"/>
          <w:b/>
          <w:bCs/>
        </w:rPr>
        <w:br w:type="page"/>
      </w:r>
    </w:p>
    <w:p w14:paraId="2ED62CF9" w14:textId="77777777" w:rsidR="007C0F33" w:rsidRPr="000F45C6" w:rsidRDefault="007C0F33" w:rsidP="007C0F33">
      <w:pPr>
        <w:spacing w:line="480" w:lineRule="auto"/>
        <w:rPr>
          <w:rFonts w:ascii="Arial" w:hAnsi="Arial" w:cs="Arial"/>
          <w:u w:val="single"/>
        </w:rPr>
      </w:pPr>
      <w:r w:rsidRPr="000F45C6">
        <w:rPr>
          <w:rFonts w:ascii="Arial" w:hAnsi="Arial" w:cs="Arial"/>
          <w:u w:val="single"/>
        </w:rPr>
        <w:lastRenderedPageBreak/>
        <w:t>References</w:t>
      </w:r>
    </w:p>
    <w:p w14:paraId="698813DD"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Bandura, A. (1977) </w:t>
      </w:r>
      <w:r w:rsidRPr="000F45C6">
        <w:rPr>
          <w:rFonts w:ascii="Arial" w:hAnsi="Arial" w:cs="Arial"/>
          <w:i/>
          <w:iCs/>
          <w:shd w:val="clear" w:color="auto" w:fill="FFFFFF"/>
        </w:rPr>
        <w:t xml:space="preserve">Social Learning Theory. </w:t>
      </w:r>
      <w:r w:rsidRPr="000F45C6">
        <w:rPr>
          <w:rFonts w:ascii="Arial" w:hAnsi="Arial" w:cs="Arial"/>
          <w:shd w:val="clear" w:color="auto" w:fill="FFFFFF"/>
        </w:rPr>
        <w:t>Englewood Cliffs, NJ: Prentice Hall</w:t>
      </w:r>
    </w:p>
    <w:p w14:paraId="246EFA1A"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British Educational Research Association BERA (2018). </w:t>
      </w:r>
      <w:r w:rsidRPr="000F45C6">
        <w:rPr>
          <w:rFonts w:ascii="Arial" w:hAnsi="Arial" w:cs="Arial"/>
          <w:i/>
          <w:shd w:val="clear" w:color="auto" w:fill="FFFFFF"/>
        </w:rPr>
        <w:t xml:space="preserve">Ethical Guidelines for Educational Research, fourth edition (2018). </w:t>
      </w:r>
      <w:r w:rsidRPr="000F45C6">
        <w:rPr>
          <w:rFonts w:ascii="Arial" w:hAnsi="Arial" w:cs="Arial"/>
          <w:iCs/>
          <w:shd w:val="clear" w:color="auto" w:fill="FFFFFF"/>
        </w:rPr>
        <w:t xml:space="preserve">[online] Bera.ac.uk. Available at: </w:t>
      </w:r>
      <w:hyperlink r:id="rId6" w:history="1">
        <w:r w:rsidRPr="000F45C6">
          <w:rPr>
            <w:rStyle w:val="Hyperlink"/>
            <w:rFonts w:ascii="Arial" w:hAnsi="Arial" w:cs="Arial"/>
            <w:iCs/>
            <w:shd w:val="clear" w:color="auto" w:fill="FFFFFF"/>
          </w:rPr>
          <w:t>https://www.bera.ac.uk/publication/ethical-guidelines-for-educational-research-2018</w:t>
        </w:r>
      </w:hyperlink>
      <w:r w:rsidRPr="000F45C6">
        <w:rPr>
          <w:rFonts w:ascii="Arial" w:hAnsi="Arial" w:cs="Arial"/>
          <w:iCs/>
          <w:shd w:val="clear" w:color="auto" w:fill="FFFFFF"/>
        </w:rPr>
        <w:t>. [Accessed 30 Oct. 2023]</w:t>
      </w:r>
    </w:p>
    <w:p w14:paraId="507D71BD"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Bronfenbrenner, U. (1979). </w:t>
      </w:r>
      <w:r w:rsidRPr="000F45C6">
        <w:rPr>
          <w:rFonts w:ascii="Arial" w:hAnsi="Arial" w:cs="Arial"/>
          <w:i/>
          <w:iCs/>
          <w:shd w:val="clear" w:color="auto" w:fill="FFFFFF"/>
        </w:rPr>
        <w:t xml:space="preserve">The Ecology of Human Development. </w:t>
      </w:r>
      <w:r w:rsidRPr="000F45C6">
        <w:rPr>
          <w:rFonts w:ascii="Arial" w:hAnsi="Arial" w:cs="Arial"/>
          <w:shd w:val="clear" w:color="auto" w:fill="FFFFFF"/>
        </w:rPr>
        <w:t>Cambridge, MA: Harvard University Press</w:t>
      </w:r>
    </w:p>
    <w:p w14:paraId="778145A2"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Bruner, J.S. (1996). </w:t>
      </w:r>
      <w:r w:rsidRPr="000F45C6">
        <w:rPr>
          <w:rFonts w:ascii="Arial" w:hAnsi="Arial" w:cs="Arial"/>
          <w:i/>
          <w:iCs/>
          <w:shd w:val="clear" w:color="auto" w:fill="FFFFFF"/>
        </w:rPr>
        <w:t xml:space="preserve">The Culture of Education. </w:t>
      </w:r>
      <w:r w:rsidRPr="000F45C6">
        <w:rPr>
          <w:rFonts w:ascii="Arial" w:hAnsi="Arial" w:cs="Arial"/>
          <w:shd w:val="clear" w:color="auto" w:fill="FFFFFF"/>
        </w:rPr>
        <w:t>Cambridge, MA: Harvard University Press.</w:t>
      </w:r>
    </w:p>
    <w:p w14:paraId="35596039"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Cherry, K., (2019). What is operant conditioning and how does it work. </w:t>
      </w:r>
      <w:r w:rsidRPr="000F45C6">
        <w:rPr>
          <w:rFonts w:ascii="Arial" w:hAnsi="Arial" w:cs="Arial"/>
          <w:i/>
          <w:iCs/>
          <w:shd w:val="clear" w:color="auto" w:fill="FFFFFF"/>
        </w:rPr>
        <w:t xml:space="preserve">How reinforcement and punishment modify </w:t>
      </w:r>
      <w:proofErr w:type="spellStart"/>
      <w:r w:rsidRPr="000F45C6">
        <w:rPr>
          <w:rFonts w:ascii="Arial" w:hAnsi="Arial" w:cs="Arial"/>
          <w:i/>
          <w:iCs/>
          <w:shd w:val="clear" w:color="auto" w:fill="FFFFFF"/>
        </w:rPr>
        <w:t>behavior</w:t>
      </w:r>
      <w:proofErr w:type="spellEnd"/>
      <w:r w:rsidRPr="000F45C6">
        <w:rPr>
          <w:rFonts w:ascii="Arial" w:hAnsi="Arial" w:cs="Arial"/>
          <w:i/>
          <w:iCs/>
          <w:shd w:val="clear" w:color="auto" w:fill="FFFFFF"/>
        </w:rPr>
        <w:t xml:space="preserve">. </w:t>
      </w:r>
      <w:proofErr w:type="spellStart"/>
      <w:r w:rsidRPr="000F45C6">
        <w:rPr>
          <w:rFonts w:ascii="Arial" w:hAnsi="Arial" w:cs="Arial"/>
          <w:i/>
          <w:iCs/>
          <w:shd w:val="clear" w:color="auto" w:fill="FFFFFF"/>
        </w:rPr>
        <w:t>Verywell</w:t>
      </w:r>
      <w:proofErr w:type="spellEnd"/>
      <w:r w:rsidRPr="000F45C6">
        <w:rPr>
          <w:rFonts w:ascii="Arial" w:hAnsi="Arial" w:cs="Arial"/>
          <w:i/>
          <w:iCs/>
          <w:shd w:val="clear" w:color="auto" w:fill="FFFFFF"/>
        </w:rPr>
        <w:t xml:space="preserve"> Mind</w:t>
      </w:r>
      <w:r w:rsidRPr="000F45C6">
        <w:rPr>
          <w:rFonts w:ascii="Arial" w:hAnsi="Arial" w:cs="Arial"/>
          <w:shd w:val="clear" w:color="auto" w:fill="FFFFFF"/>
        </w:rPr>
        <w:t xml:space="preserve">. </w:t>
      </w:r>
    </w:p>
    <w:p w14:paraId="40CD34A9" w14:textId="77777777" w:rsidR="007C0F33" w:rsidRPr="000F45C6" w:rsidRDefault="007C0F33" w:rsidP="007C0F33">
      <w:pPr>
        <w:spacing w:line="480" w:lineRule="auto"/>
        <w:rPr>
          <w:rFonts w:ascii="Arial" w:hAnsi="Arial" w:cs="Arial"/>
          <w:iCs/>
        </w:rPr>
      </w:pPr>
      <w:proofErr w:type="spellStart"/>
      <w:r w:rsidRPr="000F45C6">
        <w:rPr>
          <w:rFonts w:ascii="Arial" w:hAnsi="Arial" w:cs="Arial"/>
        </w:rPr>
        <w:t>Cuncic</w:t>
      </w:r>
      <w:proofErr w:type="spellEnd"/>
      <w:r w:rsidRPr="000F45C6">
        <w:rPr>
          <w:rFonts w:ascii="Arial" w:hAnsi="Arial" w:cs="Arial"/>
        </w:rPr>
        <w:t xml:space="preserve">, A. (2022). </w:t>
      </w:r>
      <w:r w:rsidRPr="000F45C6">
        <w:rPr>
          <w:rFonts w:ascii="Arial" w:hAnsi="Arial" w:cs="Arial"/>
          <w:i/>
        </w:rPr>
        <w:t xml:space="preserve">What is Active Listening? </w:t>
      </w:r>
      <w:r w:rsidRPr="000F45C6">
        <w:rPr>
          <w:rFonts w:ascii="Arial" w:hAnsi="Arial" w:cs="Arial"/>
          <w:iCs/>
        </w:rPr>
        <w:t xml:space="preserve">[online] </w:t>
      </w:r>
      <w:proofErr w:type="spellStart"/>
      <w:r w:rsidRPr="000F45C6">
        <w:rPr>
          <w:rFonts w:ascii="Arial" w:hAnsi="Arial" w:cs="Arial"/>
          <w:iCs/>
        </w:rPr>
        <w:t>Verywell</w:t>
      </w:r>
      <w:proofErr w:type="spellEnd"/>
      <w:r w:rsidRPr="000F45C6">
        <w:rPr>
          <w:rFonts w:ascii="Arial" w:hAnsi="Arial" w:cs="Arial"/>
          <w:iCs/>
        </w:rPr>
        <w:t xml:space="preserve"> Mind. Available at: </w:t>
      </w:r>
      <w:hyperlink r:id="rId7" w:history="1">
        <w:r w:rsidRPr="000F45C6">
          <w:rPr>
            <w:rStyle w:val="Hyperlink"/>
            <w:rFonts w:ascii="Arial" w:hAnsi="Arial" w:cs="Arial"/>
            <w:iCs/>
          </w:rPr>
          <w:t>https://www.verywellmind.com/what-is-active-listening-30234343</w:t>
        </w:r>
      </w:hyperlink>
      <w:r w:rsidRPr="000F45C6">
        <w:rPr>
          <w:rStyle w:val="Hyperlink"/>
          <w:rFonts w:ascii="Arial" w:hAnsi="Arial" w:cs="Arial"/>
          <w:iCs/>
        </w:rPr>
        <w:t xml:space="preserve"> </w:t>
      </w:r>
      <w:r w:rsidRPr="000F45C6">
        <w:rPr>
          <w:rFonts w:ascii="Arial" w:hAnsi="Arial" w:cs="Arial"/>
          <w:iCs/>
          <w:shd w:val="clear" w:color="auto" w:fill="FFFFFF"/>
        </w:rPr>
        <w:t>[Accessed 31 Oct. 2023]</w:t>
      </w:r>
    </w:p>
    <w:p w14:paraId="1B6A1BF3"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Dawes, L. and Breeze, L. (2011) </w:t>
      </w:r>
      <w:r w:rsidRPr="000F45C6">
        <w:rPr>
          <w:rFonts w:ascii="Arial" w:hAnsi="Arial" w:cs="Arial"/>
          <w:i/>
          <w:iCs/>
          <w:shd w:val="clear" w:color="auto" w:fill="FFFFFF"/>
        </w:rPr>
        <w:t xml:space="preserve">Creating a speaking and listening </w:t>
      </w:r>
      <w:proofErr w:type="gramStart"/>
      <w:r w:rsidRPr="000F45C6">
        <w:rPr>
          <w:rFonts w:ascii="Arial" w:hAnsi="Arial" w:cs="Arial"/>
          <w:i/>
          <w:iCs/>
          <w:shd w:val="clear" w:color="auto" w:fill="FFFFFF"/>
        </w:rPr>
        <w:t>classroom :</w:t>
      </w:r>
      <w:proofErr w:type="gramEnd"/>
      <w:r w:rsidRPr="000F45C6">
        <w:rPr>
          <w:rFonts w:ascii="Arial" w:hAnsi="Arial" w:cs="Arial"/>
          <w:i/>
          <w:iCs/>
          <w:shd w:val="clear" w:color="auto" w:fill="FFFFFF"/>
        </w:rPr>
        <w:t xml:space="preserve"> integrating talk for learning at key stage 2</w:t>
      </w:r>
      <w:r w:rsidRPr="000F45C6">
        <w:rPr>
          <w:rFonts w:ascii="Arial" w:hAnsi="Arial" w:cs="Arial"/>
          <w:shd w:val="clear" w:color="auto" w:fill="FFFFFF"/>
        </w:rPr>
        <w:t xml:space="preserve">. </w:t>
      </w:r>
      <w:proofErr w:type="gramStart"/>
      <w:r w:rsidRPr="000F45C6">
        <w:rPr>
          <w:rFonts w:ascii="Arial" w:hAnsi="Arial" w:cs="Arial"/>
          <w:shd w:val="clear" w:color="auto" w:fill="FFFFFF"/>
        </w:rPr>
        <w:t>London ;</w:t>
      </w:r>
      <w:proofErr w:type="gramEnd"/>
      <w:r w:rsidRPr="000F45C6">
        <w:rPr>
          <w:rFonts w:ascii="Arial" w:hAnsi="Arial" w:cs="Arial"/>
          <w:shd w:val="clear" w:color="auto" w:fill="FFFFFF"/>
        </w:rPr>
        <w:t>: Routledge.</w:t>
      </w:r>
    </w:p>
    <w:p w14:paraId="50BF09F9"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Deaton, S. (2015) ‘Social Learning Theory in the Age of </w:t>
      </w:r>
      <w:proofErr w:type="gramStart"/>
      <w:r w:rsidRPr="000F45C6">
        <w:rPr>
          <w:rFonts w:ascii="Arial" w:hAnsi="Arial" w:cs="Arial"/>
          <w:shd w:val="clear" w:color="auto" w:fill="FFFFFF"/>
        </w:rPr>
        <w:t>Social Media</w:t>
      </w:r>
      <w:proofErr w:type="gramEnd"/>
      <w:r w:rsidRPr="000F45C6">
        <w:rPr>
          <w:rFonts w:ascii="Arial" w:hAnsi="Arial" w:cs="Arial"/>
          <w:shd w:val="clear" w:color="auto" w:fill="FFFFFF"/>
        </w:rPr>
        <w:t>: Implications for Educational Practitioners’, </w:t>
      </w:r>
      <w:proofErr w:type="spellStart"/>
      <w:r w:rsidRPr="000F45C6">
        <w:rPr>
          <w:rFonts w:ascii="Arial" w:hAnsi="Arial" w:cs="Arial"/>
          <w:i/>
          <w:iCs/>
          <w:shd w:val="clear" w:color="auto" w:fill="FFFFFF"/>
        </w:rPr>
        <w:t>i</w:t>
      </w:r>
      <w:proofErr w:type="spellEnd"/>
      <w:r w:rsidRPr="000F45C6">
        <w:rPr>
          <w:rFonts w:ascii="Arial" w:hAnsi="Arial" w:cs="Arial"/>
          <w:i/>
          <w:iCs/>
          <w:shd w:val="clear" w:color="auto" w:fill="FFFFFF"/>
        </w:rPr>
        <w:t>-Manager’s Journal of Educational Technology</w:t>
      </w:r>
      <w:r w:rsidRPr="000F45C6">
        <w:rPr>
          <w:rFonts w:ascii="Arial" w:hAnsi="Arial" w:cs="Arial"/>
          <w:shd w:val="clear" w:color="auto" w:fill="FFFFFF"/>
        </w:rPr>
        <w:t xml:space="preserve">, 12(1), pp. 1–6. Available at: </w:t>
      </w:r>
      <w:hyperlink r:id="rId8" w:history="1">
        <w:r w:rsidRPr="000F45C6">
          <w:rPr>
            <w:rStyle w:val="Hyperlink"/>
            <w:rFonts w:ascii="Arial" w:hAnsi="Arial" w:cs="Arial"/>
            <w:shd w:val="clear" w:color="auto" w:fill="FFFFFF"/>
          </w:rPr>
          <w:t>https://doi.org/10.26634/jet.12.1.3430</w:t>
        </w:r>
      </w:hyperlink>
      <w:r w:rsidRPr="000F45C6">
        <w:rPr>
          <w:rFonts w:ascii="Arial" w:hAnsi="Arial" w:cs="Arial"/>
          <w:shd w:val="clear" w:color="auto" w:fill="FFFFFF"/>
        </w:rPr>
        <w:t xml:space="preserve">. </w:t>
      </w:r>
      <w:r w:rsidRPr="000F45C6">
        <w:rPr>
          <w:rFonts w:ascii="Arial" w:hAnsi="Arial" w:cs="Arial"/>
          <w:iCs/>
          <w:shd w:val="clear" w:color="auto" w:fill="FFFFFF"/>
        </w:rPr>
        <w:t>[Accessed 1 Nov. 2023]</w:t>
      </w:r>
    </w:p>
    <w:p w14:paraId="4BEE8759" w14:textId="77777777" w:rsidR="007C0F33" w:rsidRPr="000F45C6" w:rsidRDefault="007C0F33" w:rsidP="007C0F33">
      <w:pPr>
        <w:spacing w:line="480" w:lineRule="auto"/>
        <w:rPr>
          <w:rFonts w:ascii="Arial" w:hAnsi="Arial" w:cs="Arial"/>
          <w:i/>
          <w:iCs/>
        </w:rPr>
      </w:pPr>
      <w:r w:rsidRPr="000F45C6">
        <w:rPr>
          <w:rFonts w:ascii="Arial" w:hAnsi="Arial" w:cs="Arial"/>
        </w:rPr>
        <w:t xml:space="preserve">Donaldson, G. (2015). </w:t>
      </w:r>
      <w:r w:rsidRPr="000F45C6">
        <w:rPr>
          <w:rFonts w:ascii="Arial" w:hAnsi="Arial" w:cs="Arial"/>
          <w:i/>
          <w:iCs/>
        </w:rPr>
        <w:t>Successful Futures Independent Review of Curriculum and Assessment Arrangements in Wales.</w:t>
      </w:r>
    </w:p>
    <w:p w14:paraId="18CB3EC5" w14:textId="77777777" w:rsidR="007C0F33" w:rsidRPr="000F45C6" w:rsidRDefault="007C0F33" w:rsidP="007C0F33">
      <w:pPr>
        <w:spacing w:line="480" w:lineRule="auto"/>
        <w:rPr>
          <w:rFonts w:ascii="Arial" w:hAnsi="Arial" w:cs="Arial"/>
        </w:rPr>
      </w:pPr>
      <w:r w:rsidRPr="000F45C6">
        <w:rPr>
          <w:rFonts w:ascii="Arial" w:hAnsi="Arial" w:cs="Arial"/>
        </w:rPr>
        <w:t xml:space="preserve">Edwards-Groves, C. &amp; Davidson, C. (2017). </w:t>
      </w:r>
      <w:r w:rsidRPr="000F45C6">
        <w:rPr>
          <w:rFonts w:ascii="Arial" w:hAnsi="Arial" w:cs="Arial"/>
          <w:i/>
          <w:iCs/>
        </w:rPr>
        <w:t>Becoming a meaning maker: Talk and interaction in the dialogic classroom</w:t>
      </w:r>
      <w:r w:rsidRPr="000F45C6">
        <w:rPr>
          <w:rFonts w:ascii="Arial" w:hAnsi="Arial" w:cs="Arial"/>
        </w:rPr>
        <w:t>. Primary English Teachers Association Australia.</w:t>
      </w:r>
    </w:p>
    <w:p w14:paraId="4833D273"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lastRenderedPageBreak/>
        <w:t>Edwards-Groves, C. and Davidson, C. (2020) ‘Noticing the multidimensionality of active listening in a dialogic classroom’, </w:t>
      </w:r>
      <w:r w:rsidRPr="000F45C6">
        <w:rPr>
          <w:rFonts w:ascii="Arial" w:hAnsi="Arial" w:cs="Arial"/>
          <w:i/>
          <w:iCs/>
          <w:shd w:val="clear" w:color="auto" w:fill="FFFFFF"/>
        </w:rPr>
        <w:t>The Australian journal of language and literacy</w:t>
      </w:r>
      <w:r w:rsidRPr="000F45C6">
        <w:rPr>
          <w:rFonts w:ascii="Arial" w:hAnsi="Arial" w:cs="Arial"/>
          <w:shd w:val="clear" w:color="auto" w:fill="FFFFFF"/>
        </w:rPr>
        <w:t xml:space="preserve">, 43(1), pp. 83–94. Available at: </w:t>
      </w:r>
      <w:hyperlink r:id="rId9" w:history="1">
        <w:r w:rsidRPr="000F45C6">
          <w:rPr>
            <w:rStyle w:val="Hyperlink"/>
            <w:rFonts w:ascii="Arial" w:hAnsi="Arial" w:cs="Arial"/>
            <w:shd w:val="clear" w:color="auto" w:fill="FFFFFF"/>
          </w:rPr>
          <w:t>https://doi.org/10.1007/BF03652045</w:t>
        </w:r>
      </w:hyperlink>
      <w:r w:rsidRPr="000F45C6">
        <w:rPr>
          <w:rFonts w:ascii="Arial" w:hAnsi="Arial" w:cs="Arial"/>
          <w:shd w:val="clear" w:color="auto" w:fill="FFFFFF"/>
        </w:rPr>
        <w:t xml:space="preserve">. </w:t>
      </w:r>
      <w:r w:rsidRPr="000F45C6">
        <w:rPr>
          <w:rFonts w:ascii="Arial" w:hAnsi="Arial" w:cs="Arial"/>
          <w:iCs/>
          <w:shd w:val="clear" w:color="auto" w:fill="FFFFFF"/>
        </w:rPr>
        <w:t>[Accessed 30 Oct. 2023]</w:t>
      </w:r>
    </w:p>
    <w:p w14:paraId="071D592D"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Gimbutas, E.C., (2019). </w:t>
      </w:r>
      <w:r w:rsidRPr="000F45C6">
        <w:rPr>
          <w:rFonts w:ascii="Arial" w:hAnsi="Arial" w:cs="Arial"/>
          <w:i/>
          <w:iCs/>
          <w:shd w:val="clear" w:color="auto" w:fill="FFFFFF"/>
        </w:rPr>
        <w:t xml:space="preserve">The effects of using mini whiteboards on the academic performance and engagement of students in a </w:t>
      </w:r>
      <w:proofErr w:type="gramStart"/>
      <w:r w:rsidRPr="000F45C6">
        <w:rPr>
          <w:rFonts w:ascii="Arial" w:hAnsi="Arial" w:cs="Arial"/>
          <w:i/>
          <w:iCs/>
          <w:shd w:val="clear" w:color="auto" w:fill="FFFFFF"/>
        </w:rPr>
        <w:t>tenth grade</w:t>
      </w:r>
      <w:proofErr w:type="gramEnd"/>
      <w:r w:rsidRPr="000F45C6">
        <w:rPr>
          <w:rFonts w:ascii="Arial" w:hAnsi="Arial" w:cs="Arial"/>
          <w:i/>
          <w:iCs/>
          <w:shd w:val="clear" w:color="auto" w:fill="FFFFFF"/>
        </w:rPr>
        <w:t xml:space="preserve"> resource English/Language Arts classroom</w:t>
      </w:r>
      <w:r w:rsidRPr="000F45C6">
        <w:rPr>
          <w:rFonts w:ascii="Arial" w:hAnsi="Arial" w:cs="Arial"/>
          <w:shd w:val="clear" w:color="auto" w:fill="FFFFFF"/>
        </w:rPr>
        <w:t>. Rowan University.</w:t>
      </w:r>
    </w:p>
    <w:p w14:paraId="0BF2CD32"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Gray, C. and </w:t>
      </w:r>
      <w:proofErr w:type="spellStart"/>
      <w:r w:rsidRPr="000F45C6">
        <w:rPr>
          <w:rFonts w:ascii="Arial" w:hAnsi="Arial" w:cs="Arial"/>
          <w:shd w:val="clear" w:color="auto" w:fill="FFFFFF"/>
        </w:rPr>
        <w:t>MacBlain</w:t>
      </w:r>
      <w:proofErr w:type="spellEnd"/>
      <w:r w:rsidRPr="000F45C6">
        <w:rPr>
          <w:rFonts w:ascii="Arial" w:hAnsi="Arial" w:cs="Arial"/>
          <w:shd w:val="clear" w:color="auto" w:fill="FFFFFF"/>
        </w:rPr>
        <w:t>, S. (2015) </w:t>
      </w:r>
      <w:r w:rsidRPr="000F45C6">
        <w:rPr>
          <w:rFonts w:ascii="Arial" w:hAnsi="Arial" w:cs="Arial"/>
          <w:i/>
          <w:iCs/>
          <w:shd w:val="clear" w:color="auto" w:fill="FFFFFF"/>
        </w:rPr>
        <w:t>Learning theories in childhood</w:t>
      </w:r>
      <w:r w:rsidRPr="000F45C6">
        <w:rPr>
          <w:rFonts w:ascii="Arial" w:hAnsi="Arial" w:cs="Arial"/>
          <w:shd w:val="clear" w:color="auto" w:fill="FFFFFF"/>
        </w:rPr>
        <w:t>. Second edition. Los Angeles: SAGE.</w:t>
      </w:r>
    </w:p>
    <w:p w14:paraId="7CB6B354"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Guy-Evans, O. (2023). </w:t>
      </w:r>
      <w:r w:rsidRPr="000F45C6">
        <w:rPr>
          <w:rFonts w:ascii="Arial" w:hAnsi="Arial" w:cs="Arial"/>
          <w:i/>
          <w:iCs/>
          <w:shd w:val="clear" w:color="auto" w:fill="FFFFFF"/>
        </w:rPr>
        <w:t xml:space="preserve">Bronfenbrenner’s ecological systems theory. </w:t>
      </w:r>
      <w:r w:rsidRPr="000F45C6">
        <w:rPr>
          <w:rFonts w:ascii="Arial" w:hAnsi="Arial" w:cs="Arial"/>
          <w:shd w:val="clear" w:color="auto" w:fill="FFFFFF"/>
        </w:rPr>
        <w:t xml:space="preserve">[online] Simply Psychology. Available at: </w:t>
      </w:r>
      <w:hyperlink r:id="rId10" w:history="1">
        <w:r w:rsidRPr="000F45C6">
          <w:rPr>
            <w:rStyle w:val="Hyperlink"/>
            <w:rFonts w:ascii="Arial" w:hAnsi="Arial" w:cs="Arial"/>
            <w:shd w:val="clear" w:color="auto" w:fill="FFFFFF"/>
          </w:rPr>
          <w:t>https://www.simplypsychology.org/Bronfenbrenner.html</w:t>
        </w:r>
      </w:hyperlink>
      <w:r w:rsidRPr="000F45C6">
        <w:rPr>
          <w:rFonts w:ascii="Arial" w:hAnsi="Arial" w:cs="Arial"/>
          <w:shd w:val="clear" w:color="auto" w:fill="FFFFFF"/>
        </w:rPr>
        <w:t xml:space="preserve"> </w:t>
      </w:r>
      <w:r w:rsidRPr="000F45C6">
        <w:rPr>
          <w:rFonts w:ascii="Arial" w:hAnsi="Arial" w:cs="Arial"/>
          <w:iCs/>
          <w:shd w:val="clear" w:color="auto" w:fill="FFFFFF"/>
        </w:rPr>
        <w:t>[Accessed 31 Oct. 2023]</w:t>
      </w:r>
    </w:p>
    <w:p w14:paraId="080A9840"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Immersive Learning Space Primary </w:t>
      </w:r>
      <w:r w:rsidRPr="000F45C6">
        <w:rPr>
          <w:rFonts w:ascii="Arial" w:hAnsi="Arial" w:cs="Arial"/>
          <w:iCs/>
          <w:shd w:val="clear" w:color="auto" w:fill="FFFFFF"/>
        </w:rPr>
        <w:t>[Accessed 22 Sept. 2023]</w:t>
      </w:r>
    </w:p>
    <w:p w14:paraId="197F971C" w14:textId="77777777" w:rsidR="007C0F33" w:rsidRPr="000F45C6" w:rsidRDefault="007C0F33" w:rsidP="007C0F33">
      <w:pPr>
        <w:spacing w:line="480" w:lineRule="auto"/>
        <w:rPr>
          <w:rFonts w:ascii="Arial" w:hAnsi="Arial" w:cs="Arial"/>
          <w:shd w:val="clear" w:color="auto" w:fill="FFFFFF"/>
        </w:rPr>
      </w:pPr>
      <w:proofErr w:type="spellStart"/>
      <w:r w:rsidRPr="000F45C6">
        <w:rPr>
          <w:rFonts w:ascii="Arial" w:hAnsi="Arial" w:cs="Arial"/>
          <w:shd w:val="clear" w:color="auto" w:fill="FFFFFF"/>
        </w:rPr>
        <w:t>Jalongo</w:t>
      </w:r>
      <w:proofErr w:type="spellEnd"/>
      <w:r w:rsidRPr="000F45C6">
        <w:rPr>
          <w:rFonts w:ascii="Arial" w:hAnsi="Arial" w:cs="Arial"/>
          <w:shd w:val="clear" w:color="auto" w:fill="FFFFFF"/>
        </w:rPr>
        <w:t>, M.R., (1995). Promoting active listening in the classroom. </w:t>
      </w:r>
      <w:r w:rsidRPr="000F45C6">
        <w:rPr>
          <w:rFonts w:ascii="Arial" w:hAnsi="Arial" w:cs="Arial"/>
          <w:i/>
          <w:iCs/>
          <w:shd w:val="clear" w:color="auto" w:fill="FFFFFF"/>
        </w:rPr>
        <w:t>Childhood education</w:t>
      </w:r>
      <w:r w:rsidRPr="000F45C6">
        <w:rPr>
          <w:rFonts w:ascii="Arial" w:hAnsi="Arial" w:cs="Arial"/>
          <w:shd w:val="clear" w:color="auto" w:fill="FFFFFF"/>
        </w:rPr>
        <w:t>, </w:t>
      </w:r>
      <w:r w:rsidRPr="000F45C6">
        <w:rPr>
          <w:rFonts w:ascii="Arial" w:hAnsi="Arial" w:cs="Arial"/>
          <w:i/>
          <w:iCs/>
          <w:shd w:val="clear" w:color="auto" w:fill="FFFFFF"/>
        </w:rPr>
        <w:t>72</w:t>
      </w:r>
      <w:r w:rsidRPr="000F45C6">
        <w:rPr>
          <w:rFonts w:ascii="Arial" w:hAnsi="Arial" w:cs="Arial"/>
          <w:shd w:val="clear" w:color="auto" w:fill="FFFFFF"/>
        </w:rPr>
        <w:t>(1), pp.13-18.</w:t>
      </w:r>
    </w:p>
    <w:p w14:paraId="4ED4C811"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Pavlov, P.I. (2010) ‘Conditioned reflexes: An investigation of the physiological activity of the cerebral cortex’, </w:t>
      </w:r>
      <w:r w:rsidRPr="000F45C6">
        <w:rPr>
          <w:rFonts w:ascii="Arial" w:hAnsi="Arial" w:cs="Arial"/>
          <w:i/>
          <w:iCs/>
          <w:shd w:val="clear" w:color="auto" w:fill="FFFFFF"/>
        </w:rPr>
        <w:t>Annals of Neurosciences</w:t>
      </w:r>
      <w:r w:rsidRPr="000F45C6">
        <w:rPr>
          <w:rFonts w:ascii="Arial" w:hAnsi="Arial" w:cs="Arial"/>
          <w:shd w:val="clear" w:color="auto" w:fill="FFFFFF"/>
        </w:rPr>
        <w:t xml:space="preserve">, 17(3), pp. 136–141. Available at: </w:t>
      </w:r>
      <w:hyperlink r:id="rId11" w:history="1">
        <w:r w:rsidRPr="000F45C6">
          <w:rPr>
            <w:rStyle w:val="Hyperlink"/>
            <w:rFonts w:ascii="Arial" w:hAnsi="Arial" w:cs="Arial"/>
            <w:shd w:val="clear" w:color="auto" w:fill="FFFFFF"/>
          </w:rPr>
          <w:t>https://doi.org/10.5214/ans.0972-7531.1017309</w:t>
        </w:r>
      </w:hyperlink>
      <w:r w:rsidRPr="000F45C6">
        <w:rPr>
          <w:rFonts w:ascii="Arial" w:hAnsi="Arial" w:cs="Arial"/>
          <w:shd w:val="clear" w:color="auto" w:fill="FFFFFF"/>
        </w:rPr>
        <w:t xml:space="preserve"> </w:t>
      </w:r>
      <w:r w:rsidRPr="000F45C6">
        <w:rPr>
          <w:rFonts w:ascii="Arial" w:hAnsi="Arial" w:cs="Arial"/>
          <w:iCs/>
          <w:shd w:val="clear" w:color="auto" w:fill="FFFFFF"/>
        </w:rPr>
        <w:t>[Accessed 1 Nov. 2023]</w:t>
      </w:r>
    </w:p>
    <w:p w14:paraId="540C052C" w14:textId="77777777" w:rsidR="007C0F33" w:rsidRPr="000F45C6" w:rsidRDefault="007C0F33" w:rsidP="007C0F33">
      <w:pPr>
        <w:spacing w:line="480" w:lineRule="auto"/>
        <w:rPr>
          <w:rFonts w:ascii="Arial" w:hAnsi="Arial" w:cs="Arial"/>
        </w:rPr>
      </w:pPr>
      <w:proofErr w:type="spellStart"/>
      <w:r w:rsidRPr="000F45C6">
        <w:rPr>
          <w:rFonts w:ascii="Arial" w:hAnsi="Arial" w:cs="Arial"/>
        </w:rPr>
        <w:t>Pellowe</w:t>
      </w:r>
      <w:proofErr w:type="spellEnd"/>
      <w:r w:rsidRPr="000F45C6">
        <w:rPr>
          <w:rFonts w:ascii="Arial" w:hAnsi="Arial" w:cs="Arial"/>
        </w:rPr>
        <w:t xml:space="preserve">, J. (1986). </w:t>
      </w:r>
      <w:r w:rsidRPr="000F45C6">
        <w:rPr>
          <w:rFonts w:ascii="Arial" w:hAnsi="Arial" w:cs="Arial"/>
          <w:i/>
          <w:iCs/>
        </w:rPr>
        <w:t>The art of listening</w:t>
      </w:r>
      <w:r w:rsidRPr="000F45C6">
        <w:rPr>
          <w:rFonts w:ascii="Arial" w:hAnsi="Arial" w:cs="Arial"/>
        </w:rPr>
        <w:t>. London, UK: Croom Helm.</w:t>
      </w:r>
    </w:p>
    <w:p w14:paraId="6C2F5062"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Petrosyan, A. (2023). </w:t>
      </w:r>
      <w:r w:rsidRPr="000F45C6">
        <w:rPr>
          <w:rFonts w:ascii="Arial" w:hAnsi="Arial" w:cs="Arial"/>
          <w:i/>
          <w:iCs/>
          <w:shd w:val="clear" w:color="auto" w:fill="FFFFFF"/>
        </w:rPr>
        <w:t>UK daily time spent on mobile 2021</w:t>
      </w:r>
      <w:r w:rsidRPr="000F45C6">
        <w:rPr>
          <w:rFonts w:ascii="Arial" w:hAnsi="Arial" w:cs="Arial"/>
          <w:shd w:val="clear" w:color="auto" w:fill="FFFFFF"/>
        </w:rPr>
        <w:t xml:space="preserve">. [online] Statista. Available at: </w:t>
      </w:r>
      <w:hyperlink r:id="rId12" w:history="1">
        <w:r w:rsidRPr="000F45C6">
          <w:rPr>
            <w:rStyle w:val="Hyperlink"/>
            <w:rFonts w:ascii="Arial" w:hAnsi="Arial" w:cs="Arial"/>
            <w:shd w:val="clear" w:color="auto" w:fill="FFFFFF"/>
          </w:rPr>
          <w:t>https://www.statista.com/statistics/1285042/uk-daily-time-spent-mobile-usage/</w:t>
        </w:r>
      </w:hyperlink>
      <w:r w:rsidRPr="000F45C6">
        <w:rPr>
          <w:rFonts w:ascii="Arial" w:hAnsi="Arial" w:cs="Arial"/>
          <w:shd w:val="clear" w:color="auto" w:fill="FFFFFF"/>
        </w:rPr>
        <w:t xml:space="preserve">. </w:t>
      </w:r>
      <w:r w:rsidRPr="000F45C6">
        <w:rPr>
          <w:rFonts w:ascii="Arial" w:hAnsi="Arial" w:cs="Arial"/>
          <w:iCs/>
          <w:shd w:val="clear" w:color="auto" w:fill="FFFFFF"/>
        </w:rPr>
        <w:t>[Accessed 2 Nov. 2023]</w:t>
      </w:r>
    </w:p>
    <w:p w14:paraId="6E2BB2EA" w14:textId="77777777" w:rsidR="007C0F33" w:rsidRPr="000F45C6" w:rsidRDefault="007C0F33" w:rsidP="007C0F33">
      <w:pPr>
        <w:spacing w:line="480" w:lineRule="auto"/>
        <w:rPr>
          <w:rFonts w:ascii="Arial" w:hAnsi="Arial" w:cs="Arial"/>
          <w:b/>
          <w:bCs/>
        </w:rPr>
      </w:pPr>
      <w:r w:rsidRPr="000F45C6">
        <w:rPr>
          <w:rFonts w:ascii="Arial" w:hAnsi="Arial" w:cs="Arial"/>
        </w:rPr>
        <w:t xml:space="preserve">Russo, A. (2012). </w:t>
      </w:r>
      <w:r w:rsidRPr="000F45C6">
        <w:rPr>
          <w:rFonts w:ascii="Arial" w:hAnsi="Arial" w:cs="Arial"/>
          <w:i/>
          <w:iCs/>
        </w:rPr>
        <w:t xml:space="preserve">Cartoons: Climb That Tree’. </w:t>
      </w:r>
      <w:r w:rsidRPr="000F45C6">
        <w:rPr>
          <w:rFonts w:ascii="Arial" w:hAnsi="Arial" w:cs="Arial"/>
        </w:rPr>
        <w:t xml:space="preserve">[online] This Week in Education. Available at: </w:t>
      </w:r>
      <w:hyperlink r:id="rId13" w:history="1">
        <w:r w:rsidRPr="000F45C6">
          <w:rPr>
            <w:rStyle w:val="Hyperlink"/>
            <w:rFonts w:ascii="Arial" w:hAnsi="Arial" w:cs="Arial"/>
          </w:rPr>
          <w:t>https://scholasticadministrator.typepad.com/thisweekineducation/2012/08/cartoons-climb-that-tree.html</w:t>
        </w:r>
      </w:hyperlink>
      <w:r w:rsidRPr="000F45C6">
        <w:rPr>
          <w:rFonts w:ascii="Arial" w:hAnsi="Arial" w:cs="Arial"/>
        </w:rPr>
        <w:t xml:space="preserve"> [Accessed 2 Nov. 2023]. </w:t>
      </w:r>
    </w:p>
    <w:p w14:paraId="1D7BA9D4" w14:textId="77777777" w:rsidR="007C0F33" w:rsidRPr="000F45C6" w:rsidRDefault="007C0F33" w:rsidP="007C0F33">
      <w:pPr>
        <w:spacing w:line="480" w:lineRule="auto"/>
        <w:rPr>
          <w:rFonts w:ascii="Arial" w:hAnsi="Arial" w:cs="Arial"/>
          <w:iCs/>
          <w:shd w:val="clear" w:color="auto" w:fill="FFFFFF"/>
        </w:rPr>
      </w:pPr>
      <w:r w:rsidRPr="000F45C6">
        <w:rPr>
          <w:rFonts w:ascii="Arial" w:hAnsi="Arial" w:cs="Arial"/>
          <w:iCs/>
          <w:shd w:val="clear" w:color="auto" w:fill="FFFFFF"/>
        </w:rPr>
        <w:lastRenderedPageBreak/>
        <w:t xml:space="preserve">Skinner, B.F. (1966). </w:t>
      </w:r>
      <w:r w:rsidRPr="000F45C6">
        <w:rPr>
          <w:rFonts w:ascii="Arial" w:hAnsi="Arial" w:cs="Arial"/>
          <w:i/>
          <w:shd w:val="clear" w:color="auto" w:fill="FFFFFF"/>
        </w:rPr>
        <w:t xml:space="preserve">Preface. In the </w:t>
      </w:r>
      <w:proofErr w:type="spellStart"/>
      <w:r w:rsidRPr="000F45C6">
        <w:rPr>
          <w:rFonts w:ascii="Arial" w:hAnsi="Arial" w:cs="Arial"/>
          <w:i/>
          <w:shd w:val="clear" w:color="auto" w:fill="FFFFFF"/>
        </w:rPr>
        <w:t>behavior</w:t>
      </w:r>
      <w:proofErr w:type="spellEnd"/>
      <w:r w:rsidRPr="000F45C6">
        <w:rPr>
          <w:rFonts w:ascii="Arial" w:hAnsi="Arial" w:cs="Arial"/>
          <w:i/>
          <w:shd w:val="clear" w:color="auto" w:fill="FFFFFF"/>
        </w:rPr>
        <w:t xml:space="preserve"> of organisms: An experimental analysis </w:t>
      </w:r>
      <w:r w:rsidRPr="000F45C6">
        <w:rPr>
          <w:rFonts w:ascii="Arial" w:hAnsi="Arial" w:cs="Arial"/>
          <w:iCs/>
          <w:shd w:val="clear" w:color="auto" w:fill="FFFFFF"/>
        </w:rPr>
        <w:t>(7</w:t>
      </w:r>
      <w:r w:rsidRPr="000F45C6">
        <w:rPr>
          <w:rFonts w:ascii="Arial" w:hAnsi="Arial" w:cs="Arial"/>
          <w:iCs/>
          <w:shd w:val="clear" w:color="auto" w:fill="FFFFFF"/>
          <w:vertAlign w:val="superscript"/>
        </w:rPr>
        <w:t>th</w:t>
      </w:r>
      <w:r w:rsidRPr="000F45C6">
        <w:rPr>
          <w:rFonts w:ascii="Arial" w:hAnsi="Arial" w:cs="Arial"/>
          <w:iCs/>
          <w:shd w:val="clear" w:color="auto" w:fill="FFFFFF"/>
        </w:rPr>
        <w:t xml:space="preserve"> printing). New York: Appleton-Century-Crofts.</w:t>
      </w:r>
    </w:p>
    <w:p w14:paraId="2C2EF65E"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Thompson, V. (2022). </w:t>
      </w:r>
      <w:r w:rsidRPr="000F45C6">
        <w:rPr>
          <w:rFonts w:ascii="Arial" w:hAnsi="Arial" w:cs="Arial"/>
          <w:i/>
          <w:iCs/>
          <w:shd w:val="clear" w:color="auto" w:fill="FFFFFF"/>
        </w:rPr>
        <w:t xml:space="preserve">Challenges for a High School Teacher. </w:t>
      </w:r>
      <w:r w:rsidRPr="000F45C6">
        <w:rPr>
          <w:rFonts w:ascii="Arial" w:hAnsi="Arial" w:cs="Arial"/>
          <w:shd w:val="clear" w:color="auto" w:fill="FFFFFF"/>
        </w:rPr>
        <w:t xml:space="preserve">[online] The Classroom, Empowering Students in their College Journey. Available at: </w:t>
      </w:r>
      <w:hyperlink r:id="rId14" w:history="1">
        <w:r w:rsidRPr="000F45C6">
          <w:rPr>
            <w:rStyle w:val="Hyperlink"/>
            <w:rFonts w:ascii="Arial" w:hAnsi="Arial" w:cs="Arial"/>
            <w:shd w:val="clear" w:color="auto" w:fill="FFFFFF"/>
          </w:rPr>
          <w:t>https://www.theclasstoom.com/info-12266158-challenges-high-school-teacher.html</w:t>
        </w:r>
      </w:hyperlink>
      <w:r w:rsidRPr="000F45C6">
        <w:rPr>
          <w:rFonts w:ascii="Arial" w:hAnsi="Arial" w:cs="Arial"/>
          <w:shd w:val="clear" w:color="auto" w:fill="FFFFFF"/>
        </w:rPr>
        <w:t xml:space="preserve">. </w:t>
      </w:r>
      <w:r w:rsidRPr="000F45C6">
        <w:rPr>
          <w:rFonts w:ascii="Arial" w:hAnsi="Arial" w:cs="Arial"/>
          <w:iCs/>
          <w:shd w:val="clear" w:color="auto" w:fill="FFFFFF"/>
        </w:rPr>
        <w:t>[Accessed 31 Oct. 2023]</w:t>
      </w:r>
    </w:p>
    <w:p w14:paraId="20AE5183"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Thorndike, E.L. (1920). A constant error in psychological ratings. </w:t>
      </w:r>
      <w:r w:rsidRPr="000F45C6">
        <w:rPr>
          <w:rFonts w:ascii="Arial" w:hAnsi="Arial" w:cs="Arial"/>
          <w:i/>
          <w:iCs/>
          <w:shd w:val="clear" w:color="auto" w:fill="FFFFFF"/>
        </w:rPr>
        <w:t xml:space="preserve">Journal of Applied Psychology, 4, </w:t>
      </w:r>
      <w:r w:rsidRPr="000F45C6">
        <w:rPr>
          <w:rFonts w:ascii="Arial" w:hAnsi="Arial" w:cs="Arial"/>
          <w:shd w:val="clear" w:color="auto" w:fill="FFFFFF"/>
        </w:rPr>
        <w:t>467-77</w:t>
      </w:r>
    </w:p>
    <w:p w14:paraId="5A79CE81"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Tripp, D. (2012) </w:t>
      </w:r>
      <w:r w:rsidRPr="000F45C6">
        <w:rPr>
          <w:rFonts w:ascii="Arial" w:hAnsi="Arial" w:cs="Arial"/>
          <w:i/>
          <w:iCs/>
          <w:shd w:val="clear" w:color="auto" w:fill="FFFFFF"/>
        </w:rPr>
        <w:t>Critical incidents in teaching: developing professional judgement</w:t>
      </w:r>
      <w:r w:rsidRPr="000F45C6">
        <w:rPr>
          <w:rFonts w:ascii="Arial" w:hAnsi="Arial" w:cs="Arial"/>
          <w:shd w:val="clear" w:color="auto" w:fill="FFFFFF"/>
        </w:rPr>
        <w:t>. Classic ed. London: Routledge.</w:t>
      </w:r>
    </w:p>
    <w:p w14:paraId="0DF40262"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Vygotsky, L.S. (1978). </w:t>
      </w:r>
      <w:r w:rsidRPr="000F45C6">
        <w:rPr>
          <w:rFonts w:ascii="Arial" w:hAnsi="Arial" w:cs="Arial"/>
          <w:i/>
          <w:iCs/>
          <w:shd w:val="clear" w:color="auto" w:fill="FFFFFF"/>
        </w:rPr>
        <w:t xml:space="preserve">The Psychology of Art. </w:t>
      </w:r>
      <w:r w:rsidRPr="000F45C6">
        <w:rPr>
          <w:rFonts w:ascii="Arial" w:hAnsi="Arial" w:cs="Arial"/>
          <w:shd w:val="clear" w:color="auto" w:fill="FFFFFF"/>
        </w:rPr>
        <w:t>Cambridge, MA: MIT.</w:t>
      </w:r>
    </w:p>
    <w:p w14:paraId="650C2312" w14:textId="77777777" w:rsidR="007C0F33" w:rsidRPr="000F45C6" w:rsidRDefault="007C0F33" w:rsidP="007C0F33">
      <w:pPr>
        <w:spacing w:line="480" w:lineRule="auto"/>
        <w:rPr>
          <w:rFonts w:ascii="Arial" w:hAnsi="Arial" w:cs="Arial"/>
          <w:iCs/>
          <w:shd w:val="clear" w:color="auto" w:fill="FFFFFF"/>
        </w:rPr>
      </w:pPr>
      <w:r w:rsidRPr="000F45C6">
        <w:rPr>
          <w:rFonts w:ascii="Arial" w:hAnsi="Arial" w:cs="Arial"/>
          <w:shd w:val="clear" w:color="auto" w:fill="FFFFFF"/>
        </w:rPr>
        <w:t xml:space="preserve">Watson, J.B. (1928). </w:t>
      </w:r>
      <w:r w:rsidRPr="000F45C6">
        <w:rPr>
          <w:rFonts w:ascii="Arial" w:hAnsi="Arial" w:cs="Arial"/>
          <w:i/>
          <w:iCs/>
          <w:shd w:val="clear" w:color="auto" w:fill="FFFFFF"/>
        </w:rPr>
        <w:t xml:space="preserve">Psychological Care of Infant and Child. </w:t>
      </w:r>
      <w:r w:rsidRPr="000F45C6">
        <w:rPr>
          <w:rFonts w:ascii="Arial" w:hAnsi="Arial" w:cs="Arial"/>
          <w:iCs/>
          <w:shd w:val="clear" w:color="auto" w:fill="FFFFFF"/>
        </w:rPr>
        <w:t>New York: Norton</w:t>
      </w:r>
    </w:p>
    <w:p w14:paraId="1DAA4F98" w14:textId="77777777" w:rsidR="007C0F33" w:rsidRPr="000F45C6" w:rsidRDefault="007C0F33" w:rsidP="007C0F33">
      <w:pPr>
        <w:spacing w:line="480" w:lineRule="auto"/>
        <w:rPr>
          <w:rFonts w:ascii="Arial" w:hAnsi="Arial" w:cs="Arial"/>
        </w:rPr>
      </w:pPr>
      <w:r w:rsidRPr="000F45C6">
        <w:rPr>
          <w:rFonts w:ascii="Arial" w:hAnsi="Arial" w:cs="Arial"/>
        </w:rPr>
        <w:t xml:space="preserve">Welsh Government (2022). </w:t>
      </w:r>
      <w:r w:rsidRPr="000F45C6">
        <w:rPr>
          <w:rFonts w:ascii="Arial" w:hAnsi="Arial" w:cs="Arial"/>
          <w:i/>
          <w:iCs/>
        </w:rPr>
        <w:t xml:space="preserve">Education is Changing. </w:t>
      </w:r>
      <w:r w:rsidRPr="000F45C6">
        <w:rPr>
          <w:rFonts w:ascii="Arial" w:hAnsi="Arial" w:cs="Arial"/>
        </w:rPr>
        <w:t xml:space="preserve">[online] GOV.WALES. Available at: </w:t>
      </w:r>
      <w:hyperlink r:id="rId15" w:history="1">
        <w:r w:rsidRPr="000F45C6">
          <w:rPr>
            <w:rStyle w:val="Hyperlink"/>
            <w:rFonts w:ascii="Arial" w:hAnsi="Arial" w:cs="Arial"/>
          </w:rPr>
          <w:t>https://www.gov.wales/education-changing</w:t>
        </w:r>
      </w:hyperlink>
      <w:r w:rsidRPr="000F45C6">
        <w:rPr>
          <w:rStyle w:val="Hyperlink"/>
          <w:rFonts w:ascii="Arial" w:hAnsi="Arial" w:cs="Arial"/>
        </w:rPr>
        <w:t xml:space="preserve"> </w:t>
      </w:r>
      <w:r w:rsidRPr="000F45C6">
        <w:rPr>
          <w:rFonts w:ascii="Arial" w:hAnsi="Arial" w:cs="Arial"/>
          <w:iCs/>
          <w:shd w:val="clear" w:color="auto" w:fill="FFFFFF"/>
        </w:rPr>
        <w:t>[Accessed 1 Nov. 2023]</w:t>
      </w:r>
    </w:p>
    <w:p w14:paraId="29BC3CD5"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rPr>
        <w:t xml:space="preserve">Welsh Government (2023). </w:t>
      </w:r>
      <w:r w:rsidRPr="000F45C6">
        <w:rPr>
          <w:rFonts w:ascii="Arial" w:hAnsi="Arial" w:cs="Arial"/>
          <w:i/>
          <w:iCs/>
        </w:rPr>
        <w:t xml:space="preserve">Pedagogy – Hwb. </w:t>
      </w:r>
      <w:r w:rsidRPr="000F45C6">
        <w:rPr>
          <w:rFonts w:ascii="Arial" w:hAnsi="Arial" w:cs="Arial"/>
        </w:rPr>
        <w:t xml:space="preserve">[online] </w:t>
      </w:r>
      <w:proofErr w:type="spellStart"/>
      <w:proofErr w:type="gramStart"/>
      <w:r w:rsidRPr="000F45C6">
        <w:rPr>
          <w:rFonts w:ascii="Arial" w:hAnsi="Arial" w:cs="Arial"/>
        </w:rPr>
        <w:t>hwb.gov.wales</w:t>
      </w:r>
      <w:proofErr w:type="spellEnd"/>
      <w:proofErr w:type="gramEnd"/>
      <w:r w:rsidRPr="000F45C6">
        <w:rPr>
          <w:rFonts w:ascii="Arial" w:hAnsi="Arial" w:cs="Arial"/>
        </w:rPr>
        <w:t xml:space="preserve">. Available at: </w:t>
      </w:r>
      <w:hyperlink r:id="rId16" w:anchor=":~:text=Curriculum%20design%20for%20all%20learners%20is%20underpinned%20by" w:history="1">
        <w:r w:rsidRPr="000F45C6">
          <w:rPr>
            <w:rStyle w:val="Hyperlink"/>
            <w:rFonts w:ascii="Arial" w:hAnsi="Arial" w:cs="Arial"/>
          </w:rPr>
          <w:t>https://hwb.gov.wales/curriculum-for-wales/designing-your-curriculum/pedagogy/#:~:text=Curriculum%20design%20for%20all%20learners%20is%20underpinned%20by</w:t>
        </w:r>
      </w:hyperlink>
      <w:r w:rsidRPr="000F45C6">
        <w:rPr>
          <w:rFonts w:ascii="Arial" w:hAnsi="Arial" w:cs="Arial"/>
        </w:rPr>
        <w:t xml:space="preserve">. </w:t>
      </w:r>
      <w:r w:rsidRPr="000F45C6">
        <w:rPr>
          <w:rFonts w:ascii="Arial" w:hAnsi="Arial" w:cs="Arial"/>
          <w:iCs/>
          <w:shd w:val="clear" w:color="auto" w:fill="FFFFFF"/>
        </w:rPr>
        <w:t>[Accessed 30 Oct. 2023]</w:t>
      </w:r>
    </w:p>
    <w:p w14:paraId="35767D37" w14:textId="77777777" w:rsidR="007C0F33" w:rsidRPr="000F45C6" w:rsidRDefault="007C0F33" w:rsidP="007C0F33">
      <w:pPr>
        <w:spacing w:line="480" w:lineRule="auto"/>
        <w:rPr>
          <w:rFonts w:ascii="Arial" w:hAnsi="Arial" w:cs="Arial"/>
          <w:iCs/>
        </w:rPr>
      </w:pPr>
      <w:r w:rsidRPr="000F45C6">
        <w:rPr>
          <w:rFonts w:ascii="Arial" w:hAnsi="Arial" w:cs="Arial"/>
          <w:iCs/>
        </w:rPr>
        <w:t xml:space="preserve">Wiliam, D (2007). Brook Lapping Productions (Producer), [Video/DVD] Teachers TV/UK Department of Education. Retrieved from </w:t>
      </w:r>
      <w:hyperlink r:id="rId17" w:history="1">
        <w:r w:rsidRPr="000F45C6">
          <w:rPr>
            <w:rStyle w:val="Hyperlink"/>
            <w:rFonts w:ascii="Arial" w:hAnsi="Arial" w:cs="Arial"/>
            <w:iCs/>
          </w:rPr>
          <w:t>https://video.alexanderstreet.com/watch/dylan-wiliam</w:t>
        </w:r>
      </w:hyperlink>
      <w:r w:rsidRPr="000F45C6">
        <w:rPr>
          <w:rStyle w:val="Hyperlink"/>
          <w:rFonts w:ascii="Arial" w:hAnsi="Arial" w:cs="Arial"/>
          <w:iCs/>
        </w:rPr>
        <w:t xml:space="preserve"> </w:t>
      </w:r>
      <w:r w:rsidRPr="000F45C6">
        <w:rPr>
          <w:rFonts w:ascii="Arial" w:hAnsi="Arial" w:cs="Arial"/>
          <w:iCs/>
          <w:shd w:val="clear" w:color="auto" w:fill="FFFFFF"/>
        </w:rPr>
        <w:t>[Accessed 31 Oct. 2023]</w:t>
      </w:r>
    </w:p>
    <w:p w14:paraId="1DAE658C" w14:textId="77777777" w:rsidR="007C0F33" w:rsidRPr="000F45C6" w:rsidRDefault="007C0F33" w:rsidP="007C0F33">
      <w:pPr>
        <w:spacing w:line="480" w:lineRule="auto"/>
        <w:rPr>
          <w:rFonts w:ascii="Arial" w:hAnsi="Arial" w:cs="Arial"/>
        </w:rPr>
      </w:pPr>
      <w:proofErr w:type="spellStart"/>
      <w:r w:rsidRPr="000F45C6">
        <w:rPr>
          <w:rFonts w:ascii="Arial" w:hAnsi="Arial" w:cs="Arial"/>
        </w:rPr>
        <w:t>Wheldall</w:t>
      </w:r>
      <w:proofErr w:type="spellEnd"/>
      <w:r w:rsidRPr="000F45C6">
        <w:rPr>
          <w:rFonts w:ascii="Arial" w:hAnsi="Arial" w:cs="Arial"/>
        </w:rPr>
        <w:t xml:space="preserve">, K. (ed) (2012). </w:t>
      </w:r>
      <w:r w:rsidRPr="000F45C6">
        <w:rPr>
          <w:rFonts w:ascii="Arial" w:hAnsi="Arial" w:cs="Arial"/>
          <w:i/>
          <w:iCs/>
        </w:rPr>
        <w:t xml:space="preserve">The Behaviourist in the Classroom. </w:t>
      </w:r>
      <w:r w:rsidRPr="000F45C6">
        <w:rPr>
          <w:rFonts w:ascii="Arial" w:hAnsi="Arial" w:cs="Arial"/>
        </w:rPr>
        <w:t>Oxford: Routledge</w:t>
      </w:r>
    </w:p>
    <w:p w14:paraId="467A7909" w14:textId="77777777" w:rsidR="007C0F33" w:rsidRPr="000F45C6" w:rsidRDefault="007C0F33" w:rsidP="007C0F33">
      <w:pPr>
        <w:spacing w:line="480" w:lineRule="auto"/>
        <w:rPr>
          <w:rFonts w:ascii="Arial" w:hAnsi="Arial" w:cs="Arial"/>
          <w:shd w:val="clear" w:color="auto" w:fill="FFFFFF"/>
        </w:rPr>
      </w:pPr>
      <w:r w:rsidRPr="000F45C6">
        <w:rPr>
          <w:rFonts w:ascii="Arial" w:hAnsi="Arial" w:cs="Arial"/>
          <w:shd w:val="clear" w:color="auto" w:fill="FFFFFF"/>
        </w:rPr>
        <w:t xml:space="preserve">Wiliam, D (2017). </w:t>
      </w:r>
      <w:r w:rsidRPr="000F45C6">
        <w:rPr>
          <w:rFonts w:ascii="Arial" w:hAnsi="Arial" w:cs="Arial"/>
          <w:i/>
          <w:iCs/>
          <w:shd w:val="clear" w:color="auto" w:fill="FFFFFF"/>
        </w:rPr>
        <w:t>Embedded Formative Assessment: (Strategies for Classroom Assessment That Drives Student Engagement and Learning)</w:t>
      </w:r>
      <w:r w:rsidRPr="000F45C6">
        <w:rPr>
          <w:rFonts w:ascii="Arial" w:hAnsi="Arial" w:cs="Arial"/>
          <w:shd w:val="clear" w:color="auto" w:fill="FFFFFF"/>
        </w:rPr>
        <w:t>, Solution Tree: Bloomington, Indiana</w:t>
      </w:r>
    </w:p>
    <w:p w14:paraId="63822B8E" w14:textId="77777777" w:rsidR="007C0F33" w:rsidRPr="000F45C6" w:rsidRDefault="007C0F33" w:rsidP="007C0F33">
      <w:pPr>
        <w:spacing w:line="480" w:lineRule="auto"/>
        <w:rPr>
          <w:rFonts w:ascii="Arial" w:hAnsi="Arial" w:cs="Arial"/>
          <w:shd w:val="clear" w:color="auto" w:fill="FFFFFF"/>
        </w:rPr>
      </w:pPr>
      <w:proofErr w:type="spellStart"/>
      <w:r w:rsidRPr="000F45C6">
        <w:rPr>
          <w:rFonts w:ascii="Arial" w:hAnsi="Arial" w:cs="Arial"/>
          <w:shd w:val="clear" w:color="auto" w:fill="FFFFFF"/>
        </w:rPr>
        <w:lastRenderedPageBreak/>
        <w:t>Zwozdiak</w:t>
      </w:r>
      <w:proofErr w:type="spellEnd"/>
      <w:r w:rsidRPr="000F45C6">
        <w:rPr>
          <w:rFonts w:ascii="Arial" w:hAnsi="Arial" w:cs="Arial"/>
          <w:shd w:val="clear" w:color="auto" w:fill="FFFFFF"/>
        </w:rPr>
        <w:t>-Myers, P. (2012) </w:t>
      </w:r>
      <w:r w:rsidRPr="000F45C6">
        <w:rPr>
          <w:rFonts w:ascii="Arial" w:hAnsi="Arial" w:cs="Arial"/>
          <w:i/>
          <w:iCs/>
          <w:shd w:val="clear" w:color="auto" w:fill="FFFFFF"/>
        </w:rPr>
        <w:t>The teacher’s reflective practice handbook: becoming an extended professional through capturing evidence-informed practice</w:t>
      </w:r>
      <w:r w:rsidRPr="000F45C6">
        <w:rPr>
          <w:rFonts w:ascii="Arial" w:hAnsi="Arial" w:cs="Arial"/>
          <w:shd w:val="clear" w:color="auto" w:fill="FFFFFF"/>
        </w:rPr>
        <w:t>. London: Routledge.</w:t>
      </w:r>
    </w:p>
    <w:p w14:paraId="42CE4225" w14:textId="77777777" w:rsidR="00DD5071" w:rsidRDefault="00DD5071"/>
    <w:sectPr w:rsidR="00DD507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A4153" w14:textId="77777777" w:rsidR="00D6546F" w:rsidRDefault="00D6546F" w:rsidP="007C0F33">
      <w:pPr>
        <w:spacing w:after="0" w:line="240" w:lineRule="auto"/>
      </w:pPr>
      <w:r>
        <w:separator/>
      </w:r>
    </w:p>
  </w:endnote>
  <w:endnote w:type="continuationSeparator" w:id="0">
    <w:p w14:paraId="6936BEE0" w14:textId="77777777" w:rsidR="00D6546F" w:rsidRDefault="00D6546F" w:rsidP="007C0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860398"/>
      <w:docPartObj>
        <w:docPartGallery w:val="Page Numbers (Bottom of Page)"/>
        <w:docPartUnique/>
      </w:docPartObj>
    </w:sdtPr>
    <w:sdtEndPr>
      <w:rPr>
        <w:rFonts w:ascii="Arial" w:hAnsi="Arial" w:cs="Arial"/>
        <w:noProof/>
      </w:rPr>
    </w:sdtEndPr>
    <w:sdtContent>
      <w:p w14:paraId="3F29B426" w14:textId="60121402" w:rsidR="007C0F33" w:rsidRPr="007C0F33" w:rsidRDefault="007C0F33">
        <w:pPr>
          <w:pStyle w:val="Footer"/>
          <w:jc w:val="right"/>
          <w:rPr>
            <w:rFonts w:ascii="Arial" w:hAnsi="Arial" w:cs="Arial"/>
          </w:rPr>
        </w:pPr>
        <w:r w:rsidRPr="007C0F33">
          <w:rPr>
            <w:rFonts w:ascii="Arial" w:hAnsi="Arial" w:cs="Arial"/>
          </w:rPr>
          <w:fldChar w:fldCharType="begin"/>
        </w:r>
        <w:r w:rsidRPr="007C0F33">
          <w:rPr>
            <w:rFonts w:ascii="Arial" w:hAnsi="Arial" w:cs="Arial"/>
          </w:rPr>
          <w:instrText xml:space="preserve"> PAGE   \* MERGEFORMAT </w:instrText>
        </w:r>
        <w:r w:rsidRPr="007C0F33">
          <w:rPr>
            <w:rFonts w:ascii="Arial" w:hAnsi="Arial" w:cs="Arial"/>
          </w:rPr>
          <w:fldChar w:fldCharType="separate"/>
        </w:r>
        <w:r w:rsidRPr="007C0F33">
          <w:rPr>
            <w:rFonts w:ascii="Arial" w:hAnsi="Arial" w:cs="Arial"/>
            <w:noProof/>
          </w:rPr>
          <w:t>2</w:t>
        </w:r>
        <w:r w:rsidRPr="007C0F33">
          <w:rPr>
            <w:rFonts w:ascii="Arial" w:hAnsi="Arial" w:cs="Arial"/>
            <w:noProof/>
          </w:rPr>
          <w:fldChar w:fldCharType="end"/>
        </w:r>
      </w:p>
    </w:sdtContent>
  </w:sdt>
  <w:p w14:paraId="785F5ECB" w14:textId="77777777" w:rsidR="007C0F33" w:rsidRDefault="007C0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639B8" w14:textId="77777777" w:rsidR="00D6546F" w:rsidRDefault="00D6546F" w:rsidP="007C0F33">
      <w:pPr>
        <w:spacing w:after="0" w:line="240" w:lineRule="auto"/>
      </w:pPr>
      <w:r>
        <w:separator/>
      </w:r>
    </w:p>
  </w:footnote>
  <w:footnote w:type="continuationSeparator" w:id="0">
    <w:p w14:paraId="5F26F073" w14:textId="77777777" w:rsidR="00D6546F" w:rsidRDefault="00D6546F" w:rsidP="007C0F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F33"/>
    <w:rsid w:val="007C0F33"/>
    <w:rsid w:val="00D6546F"/>
    <w:rsid w:val="00DD5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DA60"/>
  <w15:chartTrackingRefBased/>
  <w15:docId w15:val="{7EC49143-6767-4015-94AA-7629899E1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F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F33"/>
    <w:rPr>
      <w:color w:val="0563C1" w:themeColor="hyperlink"/>
      <w:u w:val="single"/>
    </w:rPr>
  </w:style>
  <w:style w:type="paragraph" w:styleId="Header">
    <w:name w:val="header"/>
    <w:basedOn w:val="Normal"/>
    <w:link w:val="HeaderChar"/>
    <w:uiPriority w:val="99"/>
    <w:unhideWhenUsed/>
    <w:rsid w:val="007C0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F33"/>
  </w:style>
  <w:style w:type="paragraph" w:styleId="Footer">
    <w:name w:val="footer"/>
    <w:basedOn w:val="Normal"/>
    <w:link w:val="FooterChar"/>
    <w:uiPriority w:val="99"/>
    <w:unhideWhenUsed/>
    <w:rsid w:val="007C0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F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6634/jet.12.1.3430" TargetMode="External"/><Relationship Id="rId13" Type="http://schemas.openxmlformats.org/officeDocument/2006/relationships/hyperlink" Target="https://scholasticadministrator.typepad.com/thisweekineducation/2012/08/cartoons-climb-that-tree.htm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verywellmind.com/what-is-active-listening-30234343" TargetMode="External"/><Relationship Id="rId12" Type="http://schemas.openxmlformats.org/officeDocument/2006/relationships/hyperlink" Target="https://www.statista.com/statistics/1285042/uk-daily-time-spent-mobile-usage/" TargetMode="External"/><Relationship Id="rId17" Type="http://schemas.openxmlformats.org/officeDocument/2006/relationships/hyperlink" Target="https://video.alexanderstreet.com/watch/dylan-wiliam" TargetMode="External"/><Relationship Id="rId2" Type="http://schemas.openxmlformats.org/officeDocument/2006/relationships/settings" Target="settings.xml"/><Relationship Id="rId16" Type="http://schemas.openxmlformats.org/officeDocument/2006/relationships/hyperlink" Target="https://hwb.gov.wales/curriculum-for-wales/designing-your-curriculum/pedagog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doi.org/10.5214/ans.0972-7531.1017309" TargetMode="External"/><Relationship Id="rId5" Type="http://schemas.openxmlformats.org/officeDocument/2006/relationships/endnotes" Target="endnotes.xml"/><Relationship Id="rId15" Type="http://schemas.openxmlformats.org/officeDocument/2006/relationships/hyperlink" Target="https://www.gov.wales/education-changing" TargetMode="External"/><Relationship Id="rId10" Type="http://schemas.openxmlformats.org/officeDocument/2006/relationships/hyperlink" Target="https://www.simplypsychology.org/Bronfenbrenner.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07/BF03652045" TargetMode="External"/><Relationship Id="rId14" Type="http://schemas.openxmlformats.org/officeDocument/2006/relationships/hyperlink" Target="https://www.theclasstoom.com/info-12266158-challenges-high-school-teach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4641</Words>
  <Characters>26459</Characters>
  <Application>Microsoft Office Word</Application>
  <DocSecurity>0</DocSecurity>
  <Lines>220</Lines>
  <Paragraphs>62</Paragraphs>
  <ScaleCrop>false</ScaleCrop>
  <Company/>
  <LinksUpToDate>false</LinksUpToDate>
  <CharactersWithSpaces>31038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Robinson (30001126)</dc:creator>
  <cp:keywords/>
  <dc:description/>
  <cp:lastModifiedBy>Amy Robinson (30001126)</cp:lastModifiedBy>
  <cp:revision>1</cp:revision>
  <dcterms:created xsi:type="dcterms:W3CDTF">2023-11-02T17:22:00Z</dcterms:created>
  <dcterms:modified xsi:type="dcterms:W3CDTF">2023-11-02T17:24:00Z</dcterms:modified>
</cp:coreProperties>
</file>