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20FE2" w14:textId="69837845" w:rsidR="0026230C" w:rsidRPr="0026230C" w:rsidRDefault="0026230C" w:rsidP="0026230C">
      <w:pPr>
        <w:pStyle w:val="Default"/>
        <w:spacing w:line="360" w:lineRule="auto"/>
        <w:jc w:val="center"/>
        <w:rPr>
          <w:color w:val="FF0000"/>
          <w:sz w:val="52"/>
          <w:szCs w:val="52"/>
        </w:rPr>
      </w:pPr>
      <w:r w:rsidRPr="0026230C">
        <w:rPr>
          <w:color w:val="FF0000"/>
          <w:sz w:val="52"/>
          <w:szCs w:val="52"/>
        </w:rPr>
        <w:t>Conference Research Paper</w:t>
      </w:r>
    </w:p>
    <w:p w14:paraId="74A5D2F0" w14:textId="73A9D830" w:rsidR="0026230C" w:rsidRPr="0026230C" w:rsidRDefault="0026230C" w:rsidP="0026230C">
      <w:pPr>
        <w:pStyle w:val="Default"/>
        <w:spacing w:line="360" w:lineRule="auto"/>
        <w:jc w:val="center"/>
        <w:rPr>
          <w:sz w:val="52"/>
          <w:szCs w:val="52"/>
        </w:rPr>
      </w:pPr>
      <w:r w:rsidRPr="0026230C">
        <w:rPr>
          <w:sz w:val="52"/>
          <w:szCs w:val="52"/>
        </w:rPr>
        <w:t>BA International Hotel Management</w:t>
      </w:r>
    </w:p>
    <w:p w14:paraId="55663430" w14:textId="39B55C2E" w:rsidR="0026230C" w:rsidRPr="0026230C" w:rsidRDefault="0026230C" w:rsidP="0026230C">
      <w:pPr>
        <w:pStyle w:val="Default"/>
        <w:spacing w:line="360" w:lineRule="auto"/>
        <w:jc w:val="center"/>
        <w:rPr>
          <w:sz w:val="52"/>
          <w:szCs w:val="52"/>
        </w:rPr>
      </w:pPr>
      <w:r w:rsidRPr="0026230C">
        <w:rPr>
          <w:sz w:val="52"/>
          <w:szCs w:val="52"/>
        </w:rPr>
        <w:t>Contemporary Themes in the Hotel and Hospitality Sector</w:t>
      </w:r>
    </w:p>
    <w:p w14:paraId="402E7254" w14:textId="55D7A392" w:rsidR="0026230C" w:rsidRPr="0026230C" w:rsidRDefault="0026230C" w:rsidP="0026230C">
      <w:pPr>
        <w:pStyle w:val="Default"/>
        <w:spacing w:line="360" w:lineRule="auto"/>
        <w:jc w:val="center"/>
        <w:rPr>
          <w:sz w:val="52"/>
          <w:szCs w:val="52"/>
        </w:rPr>
      </w:pPr>
      <w:r w:rsidRPr="0026230C">
        <w:rPr>
          <w:sz w:val="52"/>
          <w:szCs w:val="52"/>
        </w:rPr>
        <w:t>BMIH6001</w:t>
      </w:r>
    </w:p>
    <w:p w14:paraId="7F310B79" w14:textId="2B71887E" w:rsidR="0026230C" w:rsidRDefault="0026230C" w:rsidP="0026230C">
      <w:pPr>
        <w:pStyle w:val="Default"/>
        <w:spacing w:line="360" w:lineRule="auto"/>
        <w:jc w:val="center"/>
        <w:rPr>
          <w:b/>
          <w:bCs/>
          <w:sz w:val="52"/>
          <w:szCs w:val="52"/>
        </w:rPr>
      </w:pPr>
      <w:r w:rsidRPr="0026230C">
        <w:rPr>
          <w:sz w:val="52"/>
          <w:szCs w:val="52"/>
        </w:rPr>
        <w:t>Dr</w:t>
      </w:r>
      <w:r>
        <w:rPr>
          <w:sz w:val="52"/>
          <w:szCs w:val="52"/>
        </w:rPr>
        <w:t>.</w:t>
      </w:r>
      <w:r w:rsidRPr="0026230C">
        <w:rPr>
          <w:sz w:val="52"/>
          <w:szCs w:val="52"/>
        </w:rPr>
        <w:t xml:space="preserve"> </w:t>
      </w:r>
      <w:r w:rsidRPr="0026230C">
        <w:rPr>
          <w:b/>
          <w:bCs/>
          <w:sz w:val="52"/>
          <w:szCs w:val="52"/>
        </w:rPr>
        <w:t xml:space="preserve">Ernest Balutie </w:t>
      </w:r>
      <w:proofErr w:type="spellStart"/>
      <w:r w:rsidRPr="0026230C">
        <w:rPr>
          <w:b/>
          <w:bCs/>
          <w:sz w:val="52"/>
          <w:szCs w:val="52"/>
        </w:rPr>
        <w:t>Wavei</w:t>
      </w:r>
      <w:proofErr w:type="spellEnd"/>
    </w:p>
    <w:p w14:paraId="0F4FA2DA" w14:textId="77777777" w:rsidR="0026230C" w:rsidRDefault="0026230C" w:rsidP="0026230C">
      <w:pPr>
        <w:pStyle w:val="Default"/>
        <w:spacing w:line="360" w:lineRule="auto"/>
        <w:jc w:val="center"/>
        <w:rPr>
          <w:b/>
          <w:bCs/>
          <w:sz w:val="52"/>
          <w:szCs w:val="52"/>
        </w:rPr>
      </w:pPr>
    </w:p>
    <w:p w14:paraId="640F37A8" w14:textId="77777777" w:rsidR="0026230C" w:rsidRDefault="0026230C" w:rsidP="0026230C">
      <w:pPr>
        <w:pStyle w:val="Default"/>
        <w:spacing w:line="360" w:lineRule="auto"/>
        <w:jc w:val="center"/>
        <w:rPr>
          <w:b/>
          <w:bCs/>
          <w:sz w:val="52"/>
          <w:szCs w:val="52"/>
        </w:rPr>
      </w:pPr>
    </w:p>
    <w:p w14:paraId="72B18B32" w14:textId="77777777" w:rsidR="0026230C" w:rsidRDefault="0026230C" w:rsidP="0026230C">
      <w:pPr>
        <w:pStyle w:val="Default"/>
        <w:spacing w:line="360" w:lineRule="auto"/>
        <w:jc w:val="center"/>
        <w:rPr>
          <w:b/>
          <w:bCs/>
          <w:sz w:val="52"/>
          <w:szCs w:val="52"/>
        </w:rPr>
      </w:pPr>
    </w:p>
    <w:p w14:paraId="520693BD" w14:textId="77777777" w:rsidR="0026230C" w:rsidRDefault="0026230C" w:rsidP="0026230C">
      <w:pPr>
        <w:pStyle w:val="Default"/>
        <w:spacing w:line="360" w:lineRule="auto"/>
        <w:jc w:val="center"/>
        <w:rPr>
          <w:b/>
          <w:bCs/>
          <w:sz w:val="52"/>
          <w:szCs w:val="52"/>
        </w:rPr>
      </w:pPr>
    </w:p>
    <w:p w14:paraId="075E23DF" w14:textId="77777777" w:rsidR="0026230C" w:rsidRDefault="0026230C" w:rsidP="0026230C">
      <w:pPr>
        <w:pStyle w:val="Default"/>
        <w:spacing w:line="360" w:lineRule="auto"/>
        <w:jc w:val="center"/>
        <w:rPr>
          <w:b/>
          <w:bCs/>
          <w:sz w:val="52"/>
          <w:szCs w:val="52"/>
        </w:rPr>
      </w:pPr>
    </w:p>
    <w:p w14:paraId="3723A475" w14:textId="77777777" w:rsidR="0026230C" w:rsidRPr="0026230C" w:rsidRDefault="0026230C" w:rsidP="0026230C">
      <w:pPr>
        <w:pStyle w:val="Default"/>
        <w:spacing w:line="360" w:lineRule="auto"/>
        <w:jc w:val="center"/>
        <w:rPr>
          <w:b/>
          <w:bCs/>
          <w:sz w:val="52"/>
          <w:szCs w:val="52"/>
        </w:rPr>
      </w:pPr>
    </w:p>
    <w:p w14:paraId="1BA551B8" w14:textId="6C49DBF6" w:rsidR="0026230C" w:rsidRPr="0026230C" w:rsidRDefault="0026230C" w:rsidP="0026230C">
      <w:pPr>
        <w:pStyle w:val="Default"/>
        <w:spacing w:line="360" w:lineRule="auto"/>
        <w:jc w:val="right"/>
        <w:rPr>
          <w:sz w:val="36"/>
          <w:szCs w:val="36"/>
        </w:rPr>
      </w:pPr>
      <w:r w:rsidRPr="0026230C">
        <w:rPr>
          <w:sz w:val="36"/>
          <w:szCs w:val="36"/>
        </w:rPr>
        <w:t>Student name: Ioana-Alexandra Frumusanu</w:t>
      </w:r>
    </w:p>
    <w:p w14:paraId="6395BAC8" w14:textId="51F10EDC" w:rsidR="0026230C" w:rsidRPr="0026230C" w:rsidRDefault="0026230C" w:rsidP="0026230C">
      <w:pPr>
        <w:pStyle w:val="Default"/>
        <w:spacing w:line="360" w:lineRule="auto"/>
        <w:jc w:val="right"/>
        <w:rPr>
          <w:sz w:val="36"/>
          <w:szCs w:val="36"/>
        </w:rPr>
      </w:pPr>
      <w:r w:rsidRPr="0026230C">
        <w:rPr>
          <w:sz w:val="36"/>
          <w:szCs w:val="36"/>
        </w:rPr>
        <w:t>Student number: 2212521</w:t>
      </w:r>
    </w:p>
    <w:p w14:paraId="6B664914" w14:textId="1D8CC0A2" w:rsidR="0026230C" w:rsidRPr="0026230C" w:rsidRDefault="0026230C" w:rsidP="0026230C">
      <w:pPr>
        <w:pStyle w:val="Default"/>
        <w:spacing w:line="360" w:lineRule="auto"/>
        <w:jc w:val="right"/>
        <w:rPr>
          <w:sz w:val="36"/>
          <w:szCs w:val="36"/>
        </w:rPr>
      </w:pPr>
      <w:r w:rsidRPr="0026230C">
        <w:rPr>
          <w:sz w:val="36"/>
          <w:szCs w:val="36"/>
        </w:rPr>
        <w:t>Wordcount: 2543</w:t>
      </w:r>
    </w:p>
    <w:p w14:paraId="36942340" w14:textId="66DECFC7" w:rsidR="0026230C" w:rsidRPr="003C2411" w:rsidRDefault="003C2411" w:rsidP="0026230C">
      <w:pPr>
        <w:pStyle w:val="Default"/>
        <w:spacing w:line="360" w:lineRule="auto"/>
        <w:jc w:val="right"/>
        <w:rPr>
          <w:b/>
          <w:bCs/>
          <w:sz w:val="22"/>
          <w:szCs w:val="22"/>
        </w:rPr>
      </w:pPr>
      <w:r w:rsidRPr="003C2411">
        <w:rPr>
          <w:b/>
          <w:bCs/>
          <w:color w:val="EE0000"/>
          <w:sz w:val="22"/>
          <w:szCs w:val="22"/>
        </w:rPr>
        <w:t xml:space="preserve">AI </w:t>
      </w:r>
      <w:r w:rsidRPr="003C2411">
        <w:rPr>
          <w:b/>
          <w:bCs/>
          <w:sz w:val="22"/>
          <w:szCs w:val="22"/>
        </w:rPr>
        <w:t>has not been used in this work.</w:t>
      </w:r>
    </w:p>
    <w:p w14:paraId="18A7EE76" w14:textId="77777777" w:rsidR="0026230C" w:rsidRPr="0026230C" w:rsidRDefault="0026230C" w:rsidP="0026230C">
      <w:pPr>
        <w:pStyle w:val="Default"/>
        <w:jc w:val="both"/>
        <w:rPr>
          <w:sz w:val="22"/>
          <w:szCs w:val="22"/>
        </w:rPr>
      </w:pPr>
    </w:p>
    <w:p w14:paraId="41244D3A" w14:textId="77777777" w:rsidR="0026230C" w:rsidRDefault="0026230C">
      <w:pPr>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kern w:val="0"/>
          <w:lang w:eastAsia="en-GB"/>
          <w14:ligatures w14:val="none"/>
        </w:rPr>
        <w:br w:type="page"/>
      </w:r>
    </w:p>
    <w:p w14:paraId="42377F09" w14:textId="77777777" w:rsidR="0026230C" w:rsidRDefault="0026230C" w:rsidP="0026230C">
      <w:pPr>
        <w:spacing w:before="100" w:beforeAutospacing="1" w:after="100" w:afterAutospacing="1" w:line="360" w:lineRule="auto"/>
        <w:jc w:val="both"/>
        <w:outlineLvl w:val="1"/>
        <w:rPr>
          <w:rFonts w:ascii="Times New Roman" w:eastAsia="Times New Roman" w:hAnsi="Times New Roman" w:cs="Times New Roman"/>
          <w:b/>
          <w:bCs/>
          <w:kern w:val="0"/>
          <w:lang w:eastAsia="en-GB"/>
          <w14:ligatures w14:val="none"/>
        </w:rPr>
      </w:pPr>
    </w:p>
    <w:p w14:paraId="323DBD08" w14:textId="4729487F" w:rsidR="00230E3A" w:rsidRPr="00230E3A" w:rsidRDefault="00230E3A" w:rsidP="0026230C">
      <w:pPr>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Sustainability and Net-Zero in the Hotel Industry: Pathways to a Greener Future</w:t>
      </w:r>
    </w:p>
    <w:p w14:paraId="05899A07" w14:textId="53F83E1D" w:rsidR="00230E3A" w:rsidRPr="00230E3A" w:rsidRDefault="00230E3A" w:rsidP="0026230C">
      <w:pPr>
        <w:spacing w:after="0" w:line="360" w:lineRule="auto"/>
        <w:jc w:val="both"/>
        <w:rPr>
          <w:rFonts w:ascii="Times New Roman" w:eastAsia="Times New Roman" w:hAnsi="Times New Roman" w:cs="Times New Roman"/>
          <w:kern w:val="0"/>
          <w:lang w:eastAsia="en-GB"/>
          <w14:ligatures w14:val="none"/>
        </w:rPr>
      </w:pPr>
    </w:p>
    <w:p w14:paraId="0AE6A1EA" w14:textId="379B1819" w:rsidR="00230E3A" w:rsidRPr="00230E3A" w:rsidRDefault="00230E3A" w:rsidP="0026230C">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 xml:space="preserve">Abstract </w:t>
      </w:r>
    </w:p>
    <w:p w14:paraId="4CDE374B"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The hospitality industry faces increasing scrutiny for its environmental impact, with hotels contributing significantly to global energy use, greenhouse gas emissions, and resource depletion. As climate change accelerates, the pressure on hotels to adopt sustainable and net-zero strategies intensifies. This research paper investigates the current practices, challenges, and policy responses associated with sustainability in the hotel industry. Drawing on recent academic literature, case studies, and a PESTEL (Political, Economic, Sociocultural, Technological, Environmental, Legal) framework, the study evaluates how hotels are working toward net-zero emissions through green infrastructure, renewable energy, water conservation, waste management, and stakeholder engagement. It also identifies the key macro-environmental factors influencing implementation and highlights best practices from industry leaders. While progress is evident, especially among major global brands, smaller operators face financial and regulatory barriers. The paper concludes with recommendations aimed at fostering a more inclusive and effective transition to sustainability across the hospitality sector.</w:t>
      </w:r>
    </w:p>
    <w:p w14:paraId="03FC1550" w14:textId="7573BFDD" w:rsidR="00230E3A" w:rsidRPr="00230E3A" w:rsidRDefault="00230E3A" w:rsidP="0026230C">
      <w:pPr>
        <w:spacing w:after="0" w:line="360" w:lineRule="auto"/>
        <w:jc w:val="both"/>
        <w:rPr>
          <w:rFonts w:ascii="Times New Roman" w:eastAsia="Times New Roman" w:hAnsi="Times New Roman" w:cs="Times New Roman"/>
          <w:kern w:val="0"/>
          <w:lang w:eastAsia="en-GB"/>
          <w14:ligatures w14:val="none"/>
        </w:rPr>
      </w:pPr>
    </w:p>
    <w:p w14:paraId="78CA421A" w14:textId="3C9EEA9B" w:rsidR="00230E3A" w:rsidRPr="00230E3A" w:rsidRDefault="00230E3A" w:rsidP="0026230C">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 xml:space="preserve">1. Introduction </w:t>
      </w:r>
    </w:p>
    <w:p w14:paraId="0256C773"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As one of the fastest-growing global industries, the hotel and hospitality sector plays a vital role in economic development and job creation. However, this growth comes at a significant environmental cost. According to the United Nations World Tourism Organization (UNWTO), the tourism industry is responsible for approximately 8% of global greenhouse gas emissions, with hotels and other accommodations making a notable contribution due to energy use, water consumption, and waste generation.</w:t>
      </w:r>
    </w:p>
    <w:p w14:paraId="562E3EBF"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 xml:space="preserve">Recent shifts in consumer values, combined with regulatory pressures and international climate commitments such as the Paris Agreement, have driven sustainability to the forefront of industry discourse. The concept of “net-zero”—balancing the amount of greenhouse gases emitted with those removed or offset—has emerged as a critical benchmark for responsible </w:t>
      </w:r>
      <w:r w:rsidRPr="00230E3A">
        <w:rPr>
          <w:rFonts w:ascii="Times New Roman" w:eastAsia="Times New Roman" w:hAnsi="Times New Roman" w:cs="Times New Roman"/>
          <w:kern w:val="0"/>
          <w:lang w:eastAsia="en-GB"/>
          <w14:ligatures w14:val="none"/>
        </w:rPr>
        <w:lastRenderedPageBreak/>
        <w:t xml:space="preserve">business practices. In response, many hotels are adopting energy-efficient technologies, reducing single-use plastics, sourcing food and materials locally, and seeking green certifications such as LEED and </w:t>
      </w:r>
      <w:proofErr w:type="spellStart"/>
      <w:r w:rsidRPr="00230E3A">
        <w:rPr>
          <w:rFonts w:ascii="Times New Roman" w:eastAsia="Times New Roman" w:hAnsi="Times New Roman" w:cs="Times New Roman"/>
          <w:kern w:val="0"/>
          <w:lang w:eastAsia="en-GB"/>
          <w14:ligatures w14:val="none"/>
        </w:rPr>
        <w:t>EarthCheck</w:t>
      </w:r>
      <w:proofErr w:type="spellEnd"/>
      <w:r w:rsidRPr="00230E3A">
        <w:rPr>
          <w:rFonts w:ascii="Times New Roman" w:eastAsia="Times New Roman" w:hAnsi="Times New Roman" w:cs="Times New Roman"/>
          <w:kern w:val="0"/>
          <w:lang w:eastAsia="en-GB"/>
          <w14:ligatures w14:val="none"/>
        </w:rPr>
        <w:t>.</w:t>
      </w:r>
    </w:p>
    <w:p w14:paraId="472A1987"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Despite these efforts, progress toward net-zero remains uneven. While multinational chains like Marriott, Hilton, and Accor have made significant strides, smaller independent operators often struggle with limited resources and lack of policy guidance. Moreover, greenwashing—when businesses falsely claim to be environmentally responsible—has undermined consumer trust and complicated regulatory oversight.</w:t>
      </w:r>
    </w:p>
    <w:p w14:paraId="35222F5A"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 xml:space="preserve">This research paper explores sustainability and net-zero in the hotel industry through a detailed literature review, real-world examples, and analytical models. It uses the PESTEL framework to systematically </w:t>
      </w:r>
      <w:proofErr w:type="spellStart"/>
      <w:r w:rsidRPr="00230E3A">
        <w:rPr>
          <w:rFonts w:ascii="Times New Roman" w:eastAsia="Times New Roman" w:hAnsi="Times New Roman" w:cs="Times New Roman"/>
          <w:kern w:val="0"/>
          <w:lang w:eastAsia="en-GB"/>
          <w14:ligatures w14:val="none"/>
        </w:rPr>
        <w:t>analyze</w:t>
      </w:r>
      <w:proofErr w:type="spellEnd"/>
      <w:r w:rsidRPr="00230E3A">
        <w:rPr>
          <w:rFonts w:ascii="Times New Roman" w:eastAsia="Times New Roman" w:hAnsi="Times New Roman" w:cs="Times New Roman"/>
          <w:kern w:val="0"/>
          <w:lang w:eastAsia="en-GB"/>
          <w14:ligatures w14:val="none"/>
        </w:rPr>
        <w:t xml:space="preserve"> the external forces influencing adoption and implementation. Ultimately, the paper aims to provide actionable recommendations for achieving sustainable transformation in hospitality, ensuring both environmental responsibility and long-term business resilience.</w:t>
      </w:r>
    </w:p>
    <w:p w14:paraId="7B7F6B54" w14:textId="74947F9D" w:rsidR="00230E3A" w:rsidRPr="00230E3A" w:rsidRDefault="00230E3A" w:rsidP="0026230C">
      <w:pPr>
        <w:spacing w:after="0" w:line="360" w:lineRule="auto"/>
        <w:jc w:val="both"/>
        <w:rPr>
          <w:rFonts w:ascii="Times New Roman" w:eastAsia="Times New Roman" w:hAnsi="Times New Roman" w:cs="Times New Roman"/>
          <w:kern w:val="0"/>
          <w:lang w:eastAsia="en-GB"/>
          <w14:ligatures w14:val="none"/>
        </w:rPr>
      </w:pPr>
    </w:p>
    <w:p w14:paraId="62457B56" w14:textId="0CA54D9B" w:rsidR="00230E3A" w:rsidRPr="00230E3A" w:rsidRDefault="00230E3A" w:rsidP="0026230C">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 xml:space="preserve">2. Literature Review </w:t>
      </w:r>
    </w:p>
    <w:p w14:paraId="1E997BF8" w14:textId="77777777" w:rsidR="00230E3A" w:rsidRPr="00230E3A" w:rsidRDefault="00230E3A" w:rsidP="0026230C">
      <w:pPr>
        <w:spacing w:before="100" w:beforeAutospacing="1" w:after="100" w:afterAutospacing="1" w:line="360" w:lineRule="auto"/>
        <w:jc w:val="both"/>
        <w:outlineLvl w:val="3"/>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Sustainability in the Hotel Sector</w:t>
      </w:r>
    </w:p>
    <w:p w14:paraId="013597E3"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Sustainability in hospitality involves a multidimensional approach to environmental, social, and economic issues. According to Costa and Costa (2022), sustainable hospitality requires balancing operational efficiency with resource conservation, community engagement, and long-term viability. The three pillars—people, planet, and profit—guide sustainable strategies, ensuring environmental protection without compromising guest satisfaction or financial performance.</w:t>
      </w:r>
    </w:p>
    <w:p w14:paraId="00109B30" w14:textId="77777777" w:rsidR="00230E3A" w:rsidRPr="00230E3A" w:rsidRDefault="00230E3A" w:rsidP="0026230C">
      <w:pPr>
        <w:spacing w:before="100" w:beforeAutospacing="1" w:after="100" w:afterAutospacing="1" w:line="360" w:lineRule="auto"/>
        <w:jc w:val="both"/>
        <w:outlineLvl w:val="3"/>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Energy and Emissions Reduction</w:t>
      </w:r>
    </w:p>
    <w:p w14:paraId="181E2B00"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 xml:space="preserve">Hotels are among the most energy-intensive commercial buildings, consuming vast amounts of electricity and gas for HVAC systems, lighting, hot water, and laundry. Research by </w:t>
      </w:r>
      <w:proofErr w:type="spellStart"/>
      <w:r w:rsidRPr="00230E3A">
        <w:rPr>
          <w:rFonts w:ascii="Times New Roman" w:eastAsia="Times New Roman" w:hAnsi="Times New Roman" w:cs="Times New Roman"/>
          <w:kern w:val="0"/>
          <w:lang w:eastAsia="en-GB"/>
          <w14:ligatures w14:val="none"/>
        </w:rPr>
        <w:t>Batabyal</w:t>
      </w:r>
      <w:proofErr w:type="spellEnd"/>
      <w:r w:rsidRPr="00230E3A">
        <w:rPr>
          <w:rFonts w:ascii="Times New Roman" w:eastAsia="Times New Roman" w:hAnsi="Times New Roman" w:cs="Times New Roman"/>
          <w:kern w:val="0"/>
          <w:lang w:eastAsia="en-GB"/>
          <w14:ligatures w14:val="none"/>
        </w:rPr>
        <w:t xml:space="preserve"> and Das (2019) suggests that energy-efficient design, including the use of passive solar heating, energy-saving windows, and insulation, can reduce energy consumption by up </w:t>
      </w:r>
      <w:r w:rsidRPr="00230E3A">
        <w:rPr>
          <w:rFonts w:ascii="Times New Roman" w:eastAsia="Times New Roman" w:hAnsi="Times New Roman" w:cs="Times New Roman"/>
          <w:kern w:val="0"/>
          <w:lang w:eastAsia="en-GB"/>
          <w14:ligatures w14:val="none"/>
        </w:rPr>
        <w:lastRenderedPageBreak/>
        <w:t>to 40%. Smart technologies, such as occupancy sensors and AI-based building management systems, further optimize energy use.</w:t>
      </w:r>
    </w:p>
    <w:p w14:paraId="58646491"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Notable examples include Marriott International’s “Serve 360” initiative and Hilton’s “</w:t>
      </w:r>
      <w:proofErr w:type="spellStart"/>
      <w:r w:rsidRPr="00230E3A">
        <w:rPr>
          <w:rFonts w:ascii="Times New Roman" w:eastAsia="Times New Roman" w:hAnsi="Times New Roman" w:cs="Times New Roman"/>
          <w:kern w:val="0"/>
          <w:lang w:eastAsia="en-GB"/>
          <w14:ligatures w14:val="none"/>
        </w:rPr>
        <w:t>LightStay</w:t>
      </w:r>
      <w:proofErr w:type="spellEnd"/>
      <w:r w:rsidRPr="00230E3A">
        <w:rPr>
          <w:rFonts w:ascii="Times New Roman" w:eastAsia="Times New Roman" w:hAnsi="Times New Roman" w:cs="Times New Roman"/>
          <w:kern w:val="0"/>
          <w:lang w:eastAsia="en-GB"/>
          <w14:ligatures w14:val="none"/>
        </w:rPr>
        <w:t>” platform, which tracks environmental performance and helps identify areas for improvement. According to Hilton’s 2023 ESG report, the company achieved a 44% reduction in carbon intensity per square meter since 2008.</w:t>
      </w:r>
    </w:p>
    <w:p w14:paraId="1E72FFEA" w14:textId="77777777" w:rsidR="00230E3A" w:rsidRPr="00230E3A" w:rsidRDefault="00230E3A" w:rsidP="0026230C">
      <w:pPr>
        <w:spacing w:before="100" w:beforeAutospacing="1" w:after="100" w:afterAutospacing="1" w:line="360" w:lineRule="auto"/>
        <w:jc w:val="both"/>
        <w:outlineLvl w:val="3"/>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Water Conservation and Waste Management</w:t>
      </w:r>
    </w:p>
    <w:p w14:paraId="3CD0713A"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 xml:space="preserve">Water scarcity is a growing global issue, particularly in tourist-heavy regions. Hotels are tackling this challenge with low-flow plumbing, rainwater harvesting, and greywater recycling. Hyatt’s “Water for All” initiative has helped reduce water use per guest by over 20% through smart metering and </w:t>
      </w:r>
      <w:proofErr w:type="spellStart"/>
      <w:r w:rsidRPr="00230E3A">
        <w:rPr>
          <w:rFonts w:ascii="Times New Roman" w:eastAsia="Times New Roman" w:hAnsi="Times New Roman" w:cs="Times New Roman"/>
          <w:kern w:val="0"/>
          <w:lang w:eastAsia="en-GB"/>
          <w14:ligatures w14:val="none"/>
        </w:rPr>
        <w:t>behavioral</w:t>
      </w:r>
      <w:proofErr w:type="spellEnd"/>
      <w:r w:rsidRPr="00230E3A">
        <w:rPr>
          <w:rFonts w:ascii="Times New Roman" w:eastAsia="Times New Roman" w:hAnsi="Times New Roman" w:cs="Times New Roman"/>
          <w:kern w:val="0"/>
          <w:lang w:eastAsia="en-GB"/>
          <w14:ligatures w14:val="none"/>
        </w:rPr>
        <w:t xml:space="preserve"> nudges such as optional towel reuse programs.</w:t>
      </w:r>
    </w:p>
    <w:p w14:paraId="239480E9"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Waste management is equally important. The World Bank estimates that global solid waste will grow by 70% by 2050 if current trends continue. Hotels contribute significantly to food, packaging, and plastic waste. Accor’s “Planet 21” program has demonstrated how sustainable procurement, composting, and guest education can reduce waste and landfill dependency.</w:t>
      </w:r>
    </w:p>
    <w:p w14:paraId="13221F06" w14:textId="77777777" w:rsidR="00230E3A" w:rsidRPr="00230E3A" w:rsidRDefault="00230E3A" w:rsidP="0026230C">
      <w:pPr>
        <w:spacing w:before="100" w:beforeAutospacing="1" w:after="100" w:afterAutospacing="1" w:line="360" w:lineRule="auto"/>
        <w:jc w:val="both"/>
        <w:outlineLvl w:val="3"/>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Green Certification and Building Standards</w:t>
      </w:r>
    </w:p>
    <w:p w14:paraId="1F0CDB62"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 xml:space="preserve">Certification programs validate a hotel's commitment to sustainability. LEED (USA), BREEAM (UK), </w:t>
      </w:r>
      <w:proofErr w:type="spellStart"/>
      <w:r w:rsidRPr="00230E3A">
        <w:rPr>
          <w:rFonts w:ascii="Times New Roman" w:eastAsia="Times New Roman" w:hAnsi="Times New Roman" w:cs="Times New Roman"/>
          <w:kern w:val="0"/>
          <w:lang w:eastAsia="en-GB"/>
          <w14:ligatures w14:val="none"/>
        </w:rPr>
        <w:t>EarthCheck</w:t>
      </w:r>
      <w:proofErr w:type="spellEnd"/>
      <w:r w:rsidRPr="00230E3A">
        <w:rPr>
          <w:rFonts w:ascii="Times New Roman" w:eastAsia="Times New Roman" w:hAnsi="Times New Roman" w:cs="Times New Roman"/>
          <w:kern w:val="0"/>
          <w:lang w:eastAsia="en-GB"/>
          <w14:ligatures w14:val="none"/>
        </w:rPr>
        <w:t xml:space="preserve"> (Australia), and Green Globe (Global) provide frameworks to assess buildings on energy use, material selection, water efficiency, and indoor environmental quality. Studies by Brotherton (2015) confirm that green-certified hotels not only reduce environmental impact but also attract eco-conscious </w:t>
      </w:r>
      <w:proofErr w:type="spellStart"/>
      <w:r w:rsidRPr="00230E3A">
        <w:rPr>
          <w:rFonts w:ascii="Times New Roman" w:eastAsia="Times New Roman" w:hAnsi="Times New Roman" w:cs="Times New Roman"/>
          <w:kern w:val="0"/>
          <w:lang w:eastAsia="en-GB"/>
          <w14:ligatures w14:val="none"/>
        </w:rPr>
        <w:t>travelers</w:t>
      </w:r>
      <w:proofErr w:type="spellEnd"/>
      <w:r w:rsidRPr="00230E3A">
        <w:rPr>
          <w:rFonts w:ascii="Times New Roman" w:eastAsia="Times New Roman" w:hAnsi="Times New Roman" w:cs="Times New Roman"/>
          <w:kern w:val="0"/>
          <w:lang w:eastAsia="en-GB"/>
          <w14:ligatures w14:val="none"/>
        </w:rPr>
        <w:t>, boosting revenues.</w:t>
      </w:r>
    </w:p>
    <w:p w14:paraId="4B490CE7" w14:textId="77777777" w:rsidR="00230E3A" w:rsidRPr="00230E3A" w:rsidRDefault="00230E3A" w:rsidP="0026230C">
      <w:pPr>
        <w:spacing w:before="100" w:beforeAutospacing="1" w:after="100" w:afterAutospacing="1" w:line="360" w:lineRule="auto"/>
        <w:jc w:val="both"/>
        <w:outlineLvl w:val="3"/>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Economic and Market Drivers</w:t>
      </w:r>
    </w:p>
    <w:p w14:paraId="4C80CCA3"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 xml:space="preserve">A 2022 Nielsen survey revealed that 73% of global consumers are willing to pay more for sustainable products and services, including hotel stays. This trend is particularly strong among younger </w:t>
      </w:r>
      <w:proofErr w:type="spellStart"/>
      <w:r w:rsidRPr="00230E3A">
        <w:rPr>
          <w:rFonts w:ascii="Times New Roman" w:eastAsia="Times New Roman" w:hAnsi="Times New Roman" w:cs="Times New Roman"/>
          <w:kern w:val="0"/>
          <w:lang w:eastAsia="en-GB"/>
          <w14:ligatures w14:val="none"/>
        </w:rPr>
        <w:t>travelers</w:t>
      </w:r>
      <w:proofErr w:type="spellEnd"/>
      <w:r w:rsidRPr="00230E3A">
        <w:rPr>
          <w:rFonts w:ascii="Times New Roman" w:eastAsia="Times New Roman" w:hAnsi="Times New Roman" w:cs="Times New Roman"/>
          <w:kern w:val="0"/>
          <w:lang w:eastAsia="en-GB"/>
          <w14:ligatures w14:val="none"/>
        </w:rPr>
        <w:t>, making sustainability a competitive advantage. However, initial investments in green infrastructure can be a barrier. Ivanov and Webster (2019) note that small hotels often lack the capital and expertise to implement sustainable technologies.</w:t>
      </w:r>
    </w:p>
    <w:p w14:paraId="04377770"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lastRenderedPageBreak/>
        <w:t>Nonetheless, return on investment (ROI) is increasingly positive. Ford and Sturman (2020) estimate that green renovations recoup costs in 3–7 years through energy savings and increased bookings. Public and private sector grants further reduce financial burdens.</w:t>
      </w:r>
    </w:p>
    <w:p w14:paraId="5EEDBE94" w14:textId="77777777" w:rsidR="00230E3A" w:rsidRPr="00230E3A" w:rsidRDefault="00230E3A" w:rsidP="0026230C">
      <w:pPr>
        <w:spacing w:before="100" w:beforeAutospacing="1" w:after="100" w:afterAutospacing="1" w:line="360" w:lineRule="auto"/>
        <w:jc w:val="both"/>
        <w:outlineLvl w:val="3"/>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Social and Cultural Dimensions</w:t>
      </w:r>
    </w:p>
    <w:p w14:paraId="61B52B20"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 xml:space="preserve">Employee training and guest participation are essential. Hotels that foster a culture of sustainability—from back-of-house operations to guest experiences—achieve better compliance and impact. Marriott’s staff-led “Green Teams” and IHG’s sustainability e-learning modules have proven effective in promoting environmental </w:t>
      </w:r>
      <w:proofErr w:type="spellStart"/>
      <w:r w:rsidRPr="00230E3A">
        <w:rPr>
          <w:rFonts w:ascii="Times New Roman" w:eastAsia="Times New Roman" w:hAnsi="Times New Roman" w:cs="Times New Roman"/>
          <w:kern w:val="0"/>
          <w:lang w:eastAsia="en-GB"/>
          <w14:ligatures w14:val="none"/>
        </w:rPr>
        <w:t>behaviors</w:t>
      </w:r>
      <w:proofErr w:type="spellEnd"/>
      <w:r w:rsidRPr="00230E3A">
        <w:rPr>
          <w:rFonts w:ascii="Times New Roman" w:eastAsia="Times New Roman" w:hAnsi="Times New Roman" w:cs="Times New Roman"/>
          <w:kern w:val="0"/>
          <w:lang w:eastAsia="en-GB"/>
          <w14:ligatures w14:val="none"/>
        </w:rPr>
        <w:t>.</w:t>
      </w:r>
    </w:p>
    <w:p w14:paraId="7E445206"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 xml:space="preserve">Social sustainability also includes ethical </w:t>
      </w:r>
      <w:proofErr w:type="spellStart"/>
      <w:r w:rsidRPr="00230E3A">
        <w:rPr>
          <w:rFonts w:ascii="Times New Roman" w:eastAsia="Times New Roman" w:hAnsi="Times New Roman" w:cs="Times New Roman"/>
          <w:kern w:val="0"/>
          <w:lang w:eastAsia="en-GB"/>
          <w14:ligatures w14:val="none"/>
        </w:rPr>
        <w:t>labor</w:t>
      </w:r>
      <w:proofErr w:type="spellEnd"/>
      <w:r w:rsidRPr="00230E3A">
        <w:rPr>
          <w:rFonts w:ascii="Times New Roman" w:eastAsia="Times New Roman" w:hAnsi="Times New Roman" w:cs="Times New Roman"/>
          <w:kern w:val="0"/>
          <w:lang w:eastAsia="en-GB"/>
          <w14:ligatures w14:val="none"/>
        </w:rPr>
        <w:t xml:space="preserve"> practices, community involvement, and cultural preservation. Tribe (2009) emphasizes that authentic experiences rooted in local culture enhance both guest satisfaction and destination sustainability.</w:t>
      </w:r>
    </w:p>
    <w:p w14:paraId="1E0BA37F" w14:textId="77777777" w:rsidR="00230E3A" w:rsidRPr="00230E3A" w:rsidRDefault="00230E3A" w:rsidP="0026230C">
      <w:pPr>
        <w:spacing w:before="100" w:beforeAutospacing="1" w:after="100" w:afterAutospacing="1" w:line="360" w:lineRule="auto"/>
        <w:jc w:val="both"/>
        <w:outlineLvl w:val="3"/>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Technology as an Enabler</w:t>
      </w:r>
    </w:p>
    <w:p w14:paraId="3F8C0798"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 xml:space="preserve">Technology is a key driver of sustainable transformation. From IoT-enabled energy controls to blockchain-based carbon accounting, digital tools help monitor, </w:t>
      </w:r>
      <w:proofErr w:type="spellStart"/>
      <w:r w:rsidRPr="00230E3A">
        <w:rPr>
          <w:rFonts w:ascii="Times New Roman" w:eastAsia="Times New Roman" w:hAnsi="Times New Roman" w:cs="Times New Roman"/>
          <w:kern w:val="0"/>
          <w:lang w:eastAsia="en-GB"/>
          <w14:ligatures w14:val="none"/>
        </w:rPr>
        <w:t>analyze</w:t>
      </w:r>
      <w:proofErr w:type="spellEnd"/>
      <w:r w:rsidRPr="00230E3A">
        <w:rPr>
          <w:rFonts w:ascii="Times New Roman" w:eastAsia="Times New Roman" w:hAnsi="Times New Roman" w:cs="Times New Roman"/>
          <w:kern w:val="0"/>
          <w:lang w:eastAsia="en-GB"/>
          <w14:ligatures w14:val="none"/>
        </w:rPr>
        <w:t>, and improve environmental performance. According to Santos and Silva (2019), the integration of digital twins and AI can simulate and optimize building performance before construction even begins.</w:t>
      </w:r>
    </w:p>
    <w:p w14:paraId="7A0C1E7E"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Mobile apps that allow guests to control room temperature and lighting, avoid daily housekeeping, and choose vegetarian meals contribute to real-time sustainability engagement.</w:t>
      </w:r>
    </w:p>
    <w:p w14:paraId="3DFAC488" w14:textId="77777777" w:rsidR="00230E3A" w:rsidRPr="00230E3A" w:rsidRDefault="00230E3A" w:rsidP="0026230C">
      <w:pPr>
        <w:spacing w:before="100" w:beforeAutospacing="1" w:after="100" w:afterAutospacing="1" w:line="360" w:lineRule="auto"/>
        <w:jc w:val="both"/>
        <w:outlineLvl w:val="3"/>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Policy and Governance</w:t>
      </w:r>
    </w:p>
    <w:p w14:paraId="58525984"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Policy plays a dual role: motivator and regulator. In countries like Germany, Singapore, and the UK, government policies have fostered widespread adoption of green standards through incentives, building codes, and public procurement criteria. The EU’s Corporate Sustainability Reporting Directive (CSRD) mandates ESG disclosures, pushing large hotel chains to integrate sustainability into strategic planning.</w:t>
      </w:r>
    </w:p>
    <w:p w14:paraId="52349427" w14:textId="77777777" w:rsidR="0026230C"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However, in developing regions, the lack of regulatory infrastructure and enforcement mechanisms creates disparities. Wahab and Cooper (2005) argue that international organizations must bridge this gap by supporting capacity building and policy alignment.</w:t>
      </w:r>
    </w:p>
    <w:p w14:paraId="5F2CC507" w14:textId="3C4F8881"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b/>
          <w:bCs/>
          <w:kern w:val="0"/>
          <w:lang w:eastAsia="en-GB"/>
          <w14:ligatures w14:val="none"/>
        </w:rPr>
        <w:lastRenderedPageBreak/>
        <w:t xml:space="preserve">3. Methodology </w:t>
      </w:r>
    </w:p>
    <w:p w14:paraId="538F811F"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This research employs a qualitative, secondary data-based approach supported by PESTEL analysis. The PESTEL framework—Political, Economic, Sociocultural, Technological, Environmental, and Legal—offers a structured way to explore macro-environmental factors that affect hotel sustainability.</w:t>
      </w:r>
    </w:p>
    <w:p w14:paraId="43596B76"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Data were sourced from academic journals (</w:t>
      </w:r>
      <w:r w:rsidRPr="00230E3A">
        <w:rPr>
          <w:rFonts w:ascii="Times New Roman" w:eastAsia="Times New Roman" w:hAnsi="Times New Roman" w:cs="Times New Roman"/>
          <w:i/>
          <w:iCs/>
          <w:kern w:val="0"/>
          <w:lang w:eastAsia="en-GB"/>
          <w14:ligatures w14:val="none"/>
        </w:rPr>
        <w:t>Annals of Tourism Research</w:t>
      </w:r>
      <w:r w:rsidRPr="00230E3A">
        <w:rPr>
          <w:rFonts w:ascii="Times New Roman" w:eastAsia="Times New Roman" w:hAnsi="Times New Roman" w:cs="Times New Roman"/>
          <w:kern w:val="0"/>
          <w:lang w:eastAsia="en-GB"/>
          <w14:ligatures w14:val="none"/>
        </w:rPr>
        <w:t xml:space="preserve">, </w:t>
      </w:r>
      <w:r w:rsidRPr="00230E3A">
        <w:rPr>
          <w:rFonts w:ascii="Times New Roman" w:eastAsia="Times New Roman" w:hAnsi="Times New Roman" w:cs="Times New Roman"/>
          <w:i/>
          <w:iCs/>
          <w:kern w:val="0"/>
          <w:lang w:eastAsia="en-GB"/>
          <w14:ligatures w14:val="none"/>
        </w:rPr>
        <w:t>Journal of Sustainable Tourism</w:t>
      </w:r>
      <w:r w:rsidRPr="00230E3A">
        <w:rPr>
          <w:rFonts w:ascii="Times New Roman" w:eastAsia="Times New Roman" w:hAnsi="Times New Roman" w:cs="Times New Roman"/>
          <w:kern w:val="0"/>
          <w:lang w:eastAsia="en-GB"/>
          <w14:ligatures w14:val="none"/>
        </w:rPr>
        <w:t xml:space="preserve">, </w:t>
      </w:r>
      <w:r w:rsidRPr="00230E3A">
        <w:rPr>
          <w:rFonts w:ascii="Times New Roman" w:eastAsia="Times New Roman" w:hAnsi="Times New Roman" w:cs="Times New Roman"/>
          <w:i/>
          <w:iCs/>
          <w:kern w:val="0"/>
          <w:lang w:eastAsia="en-GB"/>
          <w14:ligatures w14:val="none"/>
        </w:rPr>
        <w:t>Tourism Management</w:t>
      </w:r>
      <w:r w:rsidRPr="00230E3A">
        <w:rPr>
          <w:rFonts w:ascii="Times New Roman" w:eastAsia="Times New Roman" w:hAnsi="Times New Roman" w:cs="Times New Roman"/>
          <w:kern w:val="0"/>
          <w:lang w:eastAsia="en-GB"/>
          <w14:ligatures w14:val="none"/>
        </w:rPr>
        <w:t>), industry white papers (e.g., Hilton and Marriott ESG reports), and policy documents (UNWTO, UNEP, EU CSRD). Case studies were selected from both global hotel chains and boutique establishments known for their environmental leadership.</w:t>
      </w:r>
    </w:p>
    <w:p w14:paraId="587C689B"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A thematic analysis was used to identify recurring patterns and strategic responses. The research focused on understanding not only what strategies are being implemented, but also the external conditions that shape their adoption and outcomes. No primary data were collected due to time and access constraints, but triangulation of multiple credible sources ensured reliability and validity.</w:t>
      </w:r>
    </w:p>
    <w:p w14:paraId="37C5DAE0" w14:textId="426049B3" w:rsidR="00230E3A" w:rsidRPr="00230E3A" w:rsidRDefault="00230E3A" w:rsidP="0026230C">
      <w:pPr>
        <w:spacing w:after="0" w:line="360" w:lineRule="auto"/>
        <w:jc w:val="both"/>
        <w:rPr>
          <w:rFonts w:ascii="Times New Roman" w:eastAsia="Times New Roman" w:hAnsi="Times New Roman" w:cs="Times New Roman"/>
          <w:kern w:val="0"/>
          <w:lang w:eastAsia="en-GB"/>
          <w14:ligatures w14:val="none"/>
        </w:rPr>
      </w:pPr>
    </w:p>
    <w:p w14:paraId="3C6A91AD" w14:textId="4A6FE991" w:rsidR="00230E3A" w:rsidRPr="00230E3A" w:rsidRDefault="00230E3A" w:rsidP="0026230C">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4. Theme Impact Analysis – PESTEL</w:t>
      </w:r>
    </w:p>
    <w:p w14:paraId="5F636C91" w14:textId="77777777" w:rsidR="00230E3A" w:rsidRPr="00230E3A" w:rsidRDefault="00230E3A" w:rsidP="0026230C">
      <w:pPr>
        <w:spacing w:before="100" w:beforeAutospacing="1" w:after="100" w:afterAutospacing="1" w:line="360" w:lineRule="auto"/>
        <w:jc w:val="both"/>
        <w:outlineLvl w:val="3"/>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Political Factors</w:t>
      </w:r>
    </w:p>
    <w:p w14:paraId="0448E4E6"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Political factors significantly influence sustainability in hotels. Countries that implement environmental regulations, offer incentives, or enforce green building codes create conducive environments for sustainability. For example, Singapore’s Green Mark initiative offers subsidies and tax relief for eco-friendly building retrofits. Similarly, the UK’s Building Regulations mandate minimum energy performance standards.</w:t>
      </w:r>
    </w:p>
    <w:p w14:paraId="7B820672"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In contrast, weak regulatory environments in developing nations limit sustainable adoption. Moreover, political instability or inconsistent leadership priorities can derail green initiatives. International cooperation through frameworks like the Paris Agreement is critical to maintaining momentum.</w:t>
      </w:r>
    </w:p>
    <w:p w14:paraId="463E3AC6" w14:textId="77777777" w:rsidR="00230E3A" w:rsidRPr="00230E3A" w:rsidRDefault="00230E3A" w:rsidP="0026230C">
      <w:pPr>
        <w:spacing w:before="100" w:beforeAutospacing="1" w:after="100" w:afterAutospacing="1" w:line="360" w:lineRule="auto"/>
        <w:jc w:val="both"/>
        <w:outlineLvl w:val="3"/>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lastRenderedPageBreak/>
        <w:t>Economic Factors</w:t>
      </w:r>
    </w:p>
    <w:p w14:paraId="5C61A567"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Economics dictate feasibility. Green technologies require upfront capital, which is a deterrent for small hotel operators. However, long-term savings in utilities and enhanced brand loyalty offer compelling financial returns. Energy-efficient HVAC systems, for example, can reduce electricity bills by 20–40%, while waste minimization cuts disposal costs.</w:t>
      </w:r>
    </w:p>
    <w:p w14:paraId="29135AB4" w14:textId="77777777" w:rsid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Government incentives—such as Germany’s “KfW Energy-Efficient Construction” loans—make sustainable upgrades more accessible. Additionally, ESG performance is now a key factor for investors. Hotels that demonstrate environmental responsibility enjoy better access to capital and stronger brand equity.</w:t>
      </w:r>
    </w:p>
    <w:p w14:paraId="22E77EB6" w14:textId="77777777" w:rsidR="0026230C" w:rsidRPr="00230E3A" w:rsidRDefault="0026230C"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p>
    <w:p w14:paraId="668B6FA6" w14:textId="77777777" w:rsidR="00230E3A" w:rsidRPr="00230E3A" w:rsidRDefault="00230E3A" w:rsidP="0026230C">
      <w:pPr>
        <w:spacing w:before="100" w:beforeAutospacing="1" w:after="100" w:afterAutospacing="1" w:line="360" w:lineRule="auto"/>
        <w:jc w:val="both"/>
        <w:outlineLvl w:val="3"/>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Sociocultural Factors</w:t>
      </w:r>
    </w:p>
    <w:p w14:paraId="0E471F5B"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 xml:space="preserve">Cultural values, consumer expectations, and social norms shape sustainability outcomes. In Europe and North America, public awareness of environmental issues drives demand for green accommodations. Hotels respond with eco-friendly practices, often showcased on booking platforms like </w:t>
      </w:r>
      <w:proofErr w:type="spellStart"/>
      <w:r w:rsidRPr="00230E3A">
        <w:rPr>
          <w:rFonts w:ascii="Times New Roman" w:eastAsia="Times New Roman" w:hAnsi="Times New Roman" w:cs="Times New Roman"/>
          <w:kern w:val="0"/>
          <w:lang w:eastAsia="en-GB"/>
          <w14:ligatures w14:val="none"/>
        </w:rPr>
        <w:t>Booking.com’s</w:t>
      </w:r>
      <w:proofErr w:type="spellEnd"/>
      <w:r w:rsidRPr="00230E3A">
        <w:rPr>
          <w:rFonts w:ascii="Times New Roman" w:eastAsia="Times New Roman" w:hAnsi="Times New Roman" w:cs="Times New Roman"/>
          <w:kern w:val="0"/>
          <w:lang w:eastAsia="en-GB"/>
          <w14:ligatures w14:val="none"/>
        </w:rPr>
        <w:t xml:space="preserve"> “Travel Sustainable” badge.</w:t>
      </w:r>
    </w:p>
    <w:p w14:paraId="598A96B0"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Staff training also plays a crucial role. Hotels that embed sustainability in their corporate culture and daily operations tend to achieve better outcomes. Marriott, for instance, reports that hotels with active “Green Teams” reduce energy and water usage more effectively.</w:t>
      </w:r>
    </w:p>
    <w:p w14:paraId="34C3B35B"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 xml:space="preserve">Guest </w:t>
      </w:r>
      <w:proofErr w:type="spellStart"/>
      <w:r w:rsidRPr="00230E3A">
        <w:rPr>
          <w:rFonts w:ascii="Times New Roman" w:eastAsia="Times New Roman" w:hAnsi="Times New Roman" w:cs="Times New Roman"/>
          <w:kern w:val="0"/>
          <w:lang w:eastAsia="en-GB"/>
          <w14:ligatures w14:val="none"/>
        </w:rPr>
        <w:t>behavior</w:t>
      </w:r>
      <w:proofErr w:type="spellEnd"/>
      <w:r w:rsidRPr="00230E3A">
        <w:rPr>
          <w:rFonts w:ascii="Times New Roman" w:eastAsia="Times New Roman" w:hAnsi="Times New Roman" w:cs="Times New Roman"/>
          <w:kern w:val="0"/>
          <w:lang w:eastAsia="en-GB"/>
          <w14:ligatures w14:val="none"/>
        </w:rPr>
        <w:t xml:space="preserve"> matters too. Initiatives like towel reuse programs or sustainable menu options rely on guest participation. Clear communication, gamification, and incentives can enhance uptake.</w:t>
      </w:r>
    </w:p>
    <w:p w14:paraId="52C48698" w14:textId="77777777" w:rsidR="00230E3A" w:rsidRPr="00230E3A" w:rsidRDefault="00230E3A" w:rsidP="0026230C">
      <w:pPr>
        <w:spacing w:before="100" w:beforeAutospacing="1" w:after="100" w:afterAutospacing="1" w:line="360" w:lineRule="auto"/>
        <w:jc w:val="both"/>
        <w:outlineLvl w:val="3"/>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Technological Factors</w:t>
      </w:r>
    </w:p>
    <w:p w14:paraId="586C5B92"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Technology offers tools to implement, measure, and scale sustainability. Smart thermostats, occupancy sensors, and water leak detectors help optimize resource use. Data analytics platforms enable hotels to track emissions, waste, and consumption patterns, identifying areas for improvement.</w:t>
      </w:r>
    </w:p>
    <w:p w14:paraId="5001CE86"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lastRenderedPageBreak/>
        <w:t>Blockchain and AI technologies are being explored for carbon offset verification and predictive maintenance. Hilton’s “Connected Room” allows guests to personalize lighting and temperature settings while reducing unnecessary energy use.</w:t>
      </w:r>
    </w:p>
    <w:p w14:paraId="705CC664"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However, access to advanced technologies remains unequal. Larger hotel chains enjoy the advantages of scale and investment power, while smaller operators often lack the digital infrastructure to benefit from similar innovations.</w:t>
      </w:r>
    </w:p>
    <w:p w14:paraId="3233D0C2" w14:textId="77777777" w:rsidR="00230E3A" w:rsidRPr="00230E3A" w:rsidRDefault="00230E3A" w:rsidP="0026230C">
      <w:pPr>
        <w:spacing w:before="100" w:beforeAutospacing="1" w:after="100" w:afterAutospacing="1" w:line="360" w:lineRule="auto"/>
        <w:jc w:val="both"/>
        <w:outlineLvl w:val="3"/>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Environmental Factors</w:t>
      </w:r>
    </w:p>
    <w:p w14:paraId="08DC61A5"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Environmental conditions, such as resource availability and climate risks, shape hotel operations. Coastal properties face sea-level rise and storm surges, while others contend with drought or wildfire risks. Environmental audits and risk assessments are increasingly used to identify vulnerabilities and guide adaptive strategies.</w:t>
      </w:r>
    </w:p>
    <w:p w14:paraId="099AAF24"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 xml:space="preserve">The Six Senses resort chain exemplifies environmental integration by building with local materials, using renewable energy, and recycling 80% of its waste. Their sustainability efforts are not only environmentally effective but also marketable assets that attract eco-conscious </w:t>
      </w:r>
      <w:proofErr w:type="spellStart"/>
      <w:r w:rsidRPr="00230E3A">
        <w:rPr>
          <w:rFonts w:ascii="Times New Roman" w:eastAsia="Times New Roman" w:hAnsi="Times New Roman" w:cs="Times New Roman"/>
          <w:kern w:val="0"/>
          <w:lang w:eastAsia="en-GB"/>
          <w14:ligatures w14:val="none"/>
        </w:rPr>
        <w:t>travelers</w:t>
      </w:r>
      <w:proofErr w:type="spellEnd"/>
      <w:r w:rsidRPr="00230E3A">
        <w:rPr>
          <w:rFonts w:ascii="Times New Roman" w:eastAsia="Times New Roman" w:hAnsi="Times New Roman" w:cs="Times New Roman"/>
          <w:kern w:val="0"/>
          <w:lang w:eastAsia="en-GB"/>
          <w14:ligatures w14:val="none"/>
        </w:rPr>
        <w:t>.</w:t>
      </w:r>
    </w:p>
    <w:p w14:paraId="0E3DB466" w14:textId="77777777" w:rsidR="00230E3A" w:rsidRPr="00230E3A" w:rsidRDefault="00230E3A" w:rsidP="0026230C">
      <w:pPr>
        <w:spacing w:before="100" w:beforeAutospacing="1" w:after="100" w:afterAutospacing="1" w:line="360" w:lineRule="auto"/>
        <w:jc w:val="both"/>
        <w:outlineLvl w:val="3"/>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Legal Factors</w:t>
      </w:r>
    </w:p>
    <w:p w14:paraId="703E68FF"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Legal frameworks are evolving. Laws now require ESG disclosures, carbon accounting, and compliance with waste management standards. For instance, California’s SB 253 mandates climate-related disclosures from large corporations, including hotel chains.</w:t>
      </w:r>
    </w:p>
    <w:p w14:paraId="254EE477"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Hotels must also navigate employment laws, health and safety regulations, and procurement rules—all of which increasingly include sustainability clauses. Non-compliance can result in fines, reputational damage, and loss of operating licenses.</w:t>
      </w:r>
    </w:p>
    <w:p w14:paraId="5E9F7D60" w14:textId="77777777" w:rsidR="00230E3A" w:rsidRPr="00230E3A" w:rsidRDefault="00230E3A" w:rsidP="0026230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Legal uncertainties, especially in cross-border operations, present challenges. Harmonization of global sustainability standards would help streamline compliance and foster industry-wide improvements.</w:t>
      </w:r>
    </w:p>
    <w:p w14:paraId="2799A50B" w14:textId="02F832B2" w:rsidR="00230E3A" w:rsidRDefault="00230E3A" w:rsidP="0026230C">
      <w:pPr>
        <w:spacing w:after="0" w:line="360" w:lineRule="auto"/>
        <w:jc w:val="both"/>
        <w:rPr>
          <w:rFonts w:ascii="Times New Roman" w:eastAsia="Times New Roman" w:hAnsi="Times New Roman" w:cs="Times New Roman"/>
          <w:kern w:val="0"/>
          <w:lang w:eastAsia="en-GB"/>
          <w14:ligatures w14:val="none"/>
        </w:rPr>
      </w:pPr>
    </w:p>
    <w:p w14:paraId="0353B3EC" w14:textId="77777777" w:rsidR="0026230C" w:rsidRPr="00230E3A" w:rsidRDefault="0026230C" w:rsidP="0026230C">
      <w:pPr>
        <w:spacing w:after="0" w:line="360" w:lineRule="auto"/>
        <w:jc w:val="both"/>
        <w:rPr>
          <w:rFonts w:ascii="Times New Roman" w:eastAsia="Times New Roman" w:hAnsi="Times New Roman" w:cs="Times New Roman"/>
          <w:kern w:val="0"/>
          <w:lang w:eastAsia="en-GB"/>
          <w14:ligatures w14:val="none"/>
        </w:rPr>
      </w:pPr>
    </w:p>
    <w:p w14:paraId="4C5D5051" w14:textId="2F3F1D5E" w:rsidR="00230E3A" w:rsidRPr="00230E3A" w:rsidRDefault="00230E3A" w:rsidP="0026230C">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lastRenderedPageBreak/>
        <w:t xml:space="preserve">5. Conclusion </w:t>
      </w:r>
    </w:p>
    <w:p w14:paraId="31D3B800" w14:textId="77777777" w:rsidR="00230E3A" w:rsidRPr="00230E3A" w:rsidRDefault="00230E3A" w:rsidP="0026230C">
      <w:pPr>
        <w:spacing w:after="0"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The journey toward achieving sustainability and net-zero emissions in the hotel industry is both a strategic necessity and a moral imperative. This paper has shown that while progress has been made—particularly by large, well-resourced global hotel brands—there are still significant barriers to comprehensive adoption across the sector. Financial constraints, regulatory inconsistencies, technological inequality, and socio-cultural challenges continue to hinder the speed and effectiveness of sustainability transitions.</w:t>
      </w:r>
    </w:p>
    <w:p w14:paraId="2246A58E" w14:textId="77777777" w:rsidR="00230E3A" w:rsidRPr="00230E3A" w:rsidRDefault="00230E3A" w:rsidP="0026230C">
      <w:pPr>
        <w:spacing w:after="0"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The PESTEL analysis provides a detailed understanding of how external macro-environmental factors shape hotel responses to sustainability imperatives. Political commitment and regulatory enforcement remain uneven across regions. Economic factors, such as ROI and government incentives, strongly influence the feasibility of green investments. Technology offers substantial promise but remains largely accessible to only the better-capitalized actors in the industry.</w:t>
      </w:r>
    </w:p>
    <w:p w14:paraId="0B49EBFE" w14:textId="77777777" w:rsidR="00230E3A" w:rsidRPr="00230E3A" w:rsidRDefault="00230E3A" w:rsidP="0026230C">
      <w:pPr>
        <w:spacing w:after="0"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In the context of accelerating climate change, increased consumer awareness, and rising energy costs, sustainability is no longer optional. It is a central pillar of long-term operational resilience, risk management, and competitive advantage. Stakeholders—governments, investors, hotel managers, employees, and guests—all play a critical role in shaping the industry’s transition. Hotels that ignore sustainability risk becoming obsolete; those that lead may not only survive but thrive.</w:t>
      </w:r>
    </w:p>
    <w:p w14:paraId="2DEF139D" w14:textId="77777777" w:rsidR="00230E3A" w:rsidRPr="00230E3A" w:rsidRDefault="00230E3A" w:rsidP="0026230C">
      <w:pPr>
        <w:spacing w:after="0" w:line="360" w:lineRule="auto"/>
        <w:jc w:val="both"/>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kern w:val="0"/>
          <w:lang w:eastAsia="en-GB"/>
          <w14:ligatures w14:val="none"/>
        </w:rPr>
        <w:t>By embedding environmental ethics into their operational core, hotels can evolve into responsible, regenerative forces for good in the communities and ecosystems they serve. The future of hospitality depends on sustainability—socially, economically, and environmentally.</w:t>
      </w:r>
    </w:p>
    <w:p w14:paraId="31CA9E5A" w14:textId="06BD81E7" w:rsidR="00230E3A" w:rsidRPr="00230E3A" w:rsidRDefault="00230E3A" w:rsidP="0026230C">
      <w:pPr>
        <w:spacing w:after="0" w:line="360" w:lineRule="auto"/>
        <w:jc w:val="both"/>
        <w:rPr>
          <w:rFonts w:ascii="Times New Roman" w:eastAsia="Times New Roman" w:hAnsi="Times New Roman" w:cs="Times New Roman"/>
          <w:kern w:val="0"/>
          <w:lang w:eastAsia="en-GB"/>
          <w14:ligatures w14:val="none"/>
        </w:rPr>
      </w:pPr>
    </w:p>
    <w:p w14:paraId="4529A7C7" w14:textId="465468A3" w:rsidR="00230E3A" w:rsidRPr="00230E3A" w:rsidRDefault="00230E3A" w:rsidP="0026230C">
      <w:pPr>
        <w:spacing w:before="100" w:beforeAutospacing="1" w:after="100" w:afterAutospacing="1" w:line="360" w:lineRule="auto"/>
        <w:jc w:val="both"/>
        <w:outlineLvl w:val="2"/>
        <w:rPr>
          <w:rFonts w:ascii="Times New Roman" w:eastAsia="Times New Roman" w:hAnsi="Times New Roman" w:cs="Times New Roman"/>
          <w:b/>
          <w:bCs/>
          <w:kern w:val="0"/>
          <w:lang w:eastAsia="en-GB"/>
          <w14:ligatures w14:val="none"/>
        </w:rPr>
      </w:pPr>
      <w:r w:rsidRPr="00230E3A">
        <w:rPr>
          <w:rFonts w:ascii="Times New Roman" w:eastAsia="Times New Roman" w:hAnsi="Times New Roman" w:cs="Times New Roman"/>
          <w:b/>
          <w:bCs/>
          <w:kern w:val="0"/>
          <w:lang w:eastAsia="en-GB"/>
          <w14:ligatures w14:val="none"/>
        </w:rPr>
        <w:t xml:space="preserve">6. Recommendations </w:t>
      </w:r>
    </w:p>
    <w:p w14:paraId="6A166943" w14:textId="77777777" w:rsidR="00230E3A" w:rsidRPr="00230E3A" w:rsidRDefault="00230E3A" w:rsidP="0026230C">
      <w:pPr>
        <w:numPr>
          <w:ilvl w:val="0"/>
          <w:numId w:val="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b/>
          <w:bCs/>
          <w:kern w:val="0"/>
          <w:lang w:eastAsia="en-GB"/>
          <w14:ligatures w14:val="none"/>
        </w:rPr>
        <w:t>Increase Financial Support for SMEs</w:t>
      </w:r>
      <w:r w:rsidRPr="00230E3A">
        <w:rPr>
          <w:rFonts w:ascii="Times New Roman" w:eastAsia="Times New Roman" w:hAnsi="Times New Roman" w:cs="Times New Roman"/>
          <w:kern w:val="0"/>
          <w:lang w:eastAsia="en-GB"/>
          <w14:ligatures w14:val="none"/>
        </w:rPr>
        <w:br/>
        <w:t>Governments and development agencies should provide financial assistance to small and medium hotel operators through grants, tax incentives, and subsidized loans. Public-private partnerships could also fund regional sustainability hubs to offer technical assistance and bulk purchasing of green technologies.</w:t>
      </w:r>
    </w:p>
    <w:p w14:paraId="78D125B9" w14:textId="77777777" w:rsidR="00230E3A" w:rsidRPr="00230E3A" w:rsidRDefault="00230E3A" w:rsidP="0026230C">
      <w:pPr>
        <w:numPr>
          <w:ilvl w:val="0"/>
          <w:numId w:val="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b/>
          <w:bCs/>
          <w:kern w:val="0"/>
          <w:lang w:eastAsia="en-GB"/>
          <w14:ligatures w14:val="none"/>
        </w:rPr>
        <w:t>Mandate ESG Reporting and Verification</w:t>
      </w:r>
      <w:r w:rsidRPr="00230E3A">
        <w:rPr>
          <w:rFonts w:ascii="Times New Roman" w:eastAsia="Times New Roman" w:hAnsi="Times New Roman" w:cs="Times New Roman"/>
          <w:kern w:val="0"/>
          <w:lang w:eastAsia="en-GB"/>
          <w14:ligatures w14:val="none"/>
        </w:rPr>
        <w:br/>
        <w:t xml:space="preserve">Legal frameworks should require transparent ESG reporting using global standards </w:t>
      </w:r>
      <w:r w:rsidRPr="00230E3A">
        <w:rPr>
          <w:rFonts w:ascii="Times New Roman" w:eastAsia="Times New Roman" w:hAnsi="Times New Roman" w:cs="Times New Roman"/>
          <w:kern w:val="0"/>
          <w:lang w:eastAsia="en-GB"/>
          <w14:ligatures w14:val="none"/>
        </w:rPr>
        <w:lastRenderedPageBreak/>
        <w:t>like GRI or CDP. Third-party audits must be encouraged to reduce greenwashing and foster accountability. Mandatory disclosure builds investor and consumer confidence.</w:t>
      </w:r>
    </w:p>
    <w:p w14:paraId="0AA12A1D" w14:textId="77777777" w:rsidR="00230E3A" w:rsidRPr="00230E3A" w:rsidRDefault="00230E3A" w:rsidP="0026230C">
      <w:pPr>
        <w:numPr>
          <w:ilvl w:val="0"/>
          <w:numId w:val="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b/>
          <w:bCs/>
          <w:kern w:val="0"/>
          <w:lang w:eastAsia="en-GB"/>
          <w14:ligatures w14:val="none"/>
        </w:rPr>
        <w:t>Foster Employee and Guest Engagement</w:t>
      </w:r>
      <w:r w:rsidRPr="00230E3A">
        <w:rPr>
          <w:rFonts w:ascii="Times New Roman" w:eastAsia="Times New Roman" w:hAnsi="Times New Roman" w:cs="Times New Roman"/>
          <w:kern w:val="0"/>
          <w:lang w:eastAsia="en-GB"/>
          <w14:ligatures w14:val="none"/>
        </w:rPr>
        <w:br/>
        <w:t>Training modules, gamified programs, and visible sustainability cues should be integrated into daily operations. Empowered employees and informed guests can significantly reduce resource usage and promote a culture of responsibility.</w:t>
      </w:r>
    </w:p>
    <w:p w14:paraId="63D95068" w14:textId="77777777" w:rsidR="00230E3A" w:rsidRPr="00230E3A" w:rsidRDefault="00230E3A" w:rsidP="0026230C">
      <w:pPr>
        <w:numPr>
          <w:ilvl w:val="0"/>
          <w:numId w:val="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b/>
          <w:bCs/>
          <w:kern w:val="0"/>
          <w:lang w:eastAsia="en-GB"/>
          <w14:ligatures w14:val="none"/>
        </w:rPr>
        <w:t>Leverage Technology Equitably</w:t>
      </w:r>
      <w:r w:rsidRPr="00230E3A">
        <w:rPr>
          <w:rFonts w:ascii="Times New Roman" w:eastAsia="Times New Roman" w:hAnsi="Times New Roman" w:cs="Times New Roman"/>
          <w:kern w:val="0"/>
          <w:lang w:eastAsia="en-GB"/>
          <w14:ligatures w14:val="none"/>
        </w:rPr>
        <w:br/>
        <w:t>Governments and NGOs should facilitate digital infrastructure development in emerging markets. Cloud-based energy management systems and sustainability tracking platforms should be made affordable and accessible to independent operators.</w:t>
      </w:r>
    </w:p>
    <w:p w14:paraId="22EE96A0" w14:textId="77777777" w:rsidR="00230E3A" w:rsidRPr="00230E3A" w:rsidRDefault="00230E3A" w:rsidP="0026230C">
      <w:pPr>
        <w:numPr>
          <w:ilvl w:val="0"/>
          <w:numId w:val="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b/>
          <w:bCs/>
          <w:kern w:val="0"/>
          <w:lang w:eastAsia="en-GB"/>
          <w14:ligatures w14:val="none"/>
        </w:rPr>
        <w:t>Standardize International Green Certifications</w:t>
      </w:r>
      <w:r w:rsidRPr="00230E3A">
        <w:rPr>
          <w:rFonts w:ascii="Times New Roman" w:eastAsia="Times New Roman" w:hAnsi="Times New Roman" w:cs="Times New Roman"/>
          <w:kern w:val="0"/>
          <w:lang w:eastAsia="en-GB"/>
          <w14:ligatures w14:val="none"/>
        </w:rPr>
        <w:br/>
        <w:t xml:space="preserve">A universal sustainability certification framework would reduce confusion and improve comparability. International tourism bodies should coordinate efforts to streamline standards like LEED, </w:t>
      </w:r>
      <w:proofErr w:type="spellStart"/>
      <w:r w:rsidRPr="00230E3A">
        <w:rPr>
          <w:rFonts w:ascii="Times New Roman" w:eastAsia="Times New Roman" w:hAnsi="Times New Roman" w:cs="Times New Roman"/>
          <w:kern w:val="0"/>
          <w:lang w:eastAsia="en-GB"/>
          <w14:ligatures w14:val="none"/>
        </w:rPr>
        <w:t>EarthCheck</w:t>
      </w:r>
      <w:proofErr w:type="spellEnd"/>
      <w:r w:rsidRPr="00230E3A">
        <w:rPr>
          <w:rFonts w:ascii="Times New Roman" w:eastAsia="Times New Roman" w:hAnsi="Times New Roman" w:cs="Times New Roman"/>
          <w:kern w:val="0"/>
          <w:lang w:eastAsia="en-GB"/>
          <w14:ligatures w14:val="none"/>
        </w:rPr>
        <w:t>, and GSTC under one recognizable label.</w:t>
      </w:r>
    </w:p>
    <w:p w14:paraId="361540BB" w14:textId="77777777" w:rsidR="00230E3A" w:rsidRPr="00230E3A" w:rsidRDefault="00230E3A" w:rsidP="0026230C">
      <w:pPr>
        <w:numPr>
          <w:ilvl w:val="0"/>
          <w:numId w:val="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b/>
          <w:bCs/>
          <w:kern w:val="0"/>
          <w:lang w:eastAsia="en-GB"/>
          <w14:ligatures w14:val="none"/>
        </w:rPr>
        <w:t>Localize Supply Chains and Support Circular Economy</w:t>
      </w:r>
      <w:r w:rsidRPr="00230E3A">
        <w:rPr>
          <w:rFonts w:ascii="Times New Roman" w:eastAsia="Times New Roman" w:hAnsi="Times New Roman" w:cs="Times New Roman"/>
          <w:kern w:val="0"/>
          <w:lang w:eastAsia="en-GB"/>
          <w14:ligatures w14:val="none"/>
        </w:rPr>
        <w:br/>
        <w:t>Hotels should prioritize local sourcing, eliminate unnecessary imports, and implement circular economy practices. Food composting, textile recycling, and modular construction can drastically reduce environmental impact.</w:t>
      </w:r>
    </w:p>
    <w:p w14:paraId="68612025" w14:textId="77777777" w:rsidR="00230E3A" w:rsidRPr="0026230C" w:rsidRDefault="00230E3A" w:rsidP="0026230C">
      <w:pPr>
        <w:numPr>
          <w:ilvl w:val="0"/>
          <w:numId w:val="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230E3A">
        <w:rPr>
          <w:rFonts w:ascii="Times New Roman" w:eastAsia="Times New Roman" w:hAnsi="Times New Roman" w:cs="Times New Roman"/>
          <w:b/>
          <w:bCs/>
          <w:kern w:val="0"/>
          <w:lang w:eastAsia="en-GB"/>
          <w14:ligatures w14:val="none"/>
        </w:rPr>
        <w:t>Build Climate Resilience</w:t>
      </w:r>
      <w:r w:rsidRPr="00230E3A">
        <w:rPr>
          <w:rFonts w:ascii="Times New Roman" w:eastAsia="Times New Roman" w:hAnsi="Times New Roman" w:cs="Times New Roman"/>
          <w:kern w:val="0"/>
          <w:lang w:eastAsia="en-GB"/>
          <w14:ligatures w14:val="none"/>
        </w:rPr>
        <w:br/>
        <w:t xml:space="preserve">Scenario planning and risk mapping should become standard. Hotels must assess vulnerabilities to climate change and invest in flood </w:t>
      </w:r>
      <w:proofErr w:type="spellStart"/>
      <w:r w:rsidRPr="00230E3A">
        <w:rPr>
          <w:rFonts w:ascii="Times New Roman" w:eastAsia="Times New Roman" w:hAnsi="Times New Roman" w:cs="Times New Roman"/>
          <w:kern w:val="0"/>
          <w:lang w:eastAsia="en-GB"/>
          <w14:ligatures w14:val="none"/>
        </w:rPr>
        <w:t>defenses</w:t>
      </w:r>
      <w:proofErr w:type="spellEnd"/>
      <w:r w:rsidRPr="00230E3A">
        <w:rPr>
          <w:rFonts w:ascii="Times New Roman" w:eastAsia="Times New Roman" w:hAnsi="Times New Roman" w:cs="Times New Roman"/>
          <w:kern w:val="0"/>
          <w:lang w:eastAsia="en-GB"/>
          <w14:ligatures w14:val="none"/>
        </w:rPr>
        <w:t>, drought mitigation, and wildfire response protocols.</w:t>
      </w:r>
    </w:p>
    <w:p w14:paraId="45B95BDC" w14:textId="77777777" w:rsidR="00230E3A" w:rsidRPr="0026230C" w:rsidRDefault="00230E3A" w:rsidP="0026230C">
      <w:pPr>
        <w:pStyle w:val="NormalWeb"/>
        <w:numPr>
          <w:ilvl w:val="0"/>
          <w:numId w:val="5"/>
        </w:numPr>
        <w:spacing w:line="360" w:lineRule="auto"/>
      </w:pPr>
      <w:r w:rsidRPr="0026230C">
        <w:rPr>
          <w:rStyle w:val="Robust"/>
          <w:rFonts w:eastAsiaTheme="majorEastAsia"/>
        </w:rPr>
        <w:t>Introduce Green Innovation Awards and Recognition Programs</w:t>
      </w:r>
      <w:r w:rsidRPr="0026230C">
        <w:br/>
        <w:t>Governments, industry associations, and media platforms should create regional and global awards that recognize exemplary efforts in hotel sustainability and innovation. Celebrating achievements through public recognition incentivizes continued progress and inspires others to follow suit. Recognition can be a powerful motivator and a useful marketing tool for hotels.</w:t>
      </w:r>
    </w:p>
    <w:p w14:paraId="7305EBB3" w14:textId="77777777" w:rsidR="00230E3A" w:rsidRPr="0026230C" w:rsidRDefault="00230E3A" w:rsidP="0026230C">
      <w:pPr>
        <w:pStyle w:val="NormalWeb"/>
        <w:numPr>
          <w:ilvl w:val="0"/>
          <w:numId w:val="5"/>
        </w:numPr>
        <w:spacing w:line="360" w:lineRule="auto"/>
      </w:pPr>
      <w:r w:rsidRPr="0026230C">
        <w:rPr>
          <w:rStyle w:val="Robust"/>
          <w:rFonts w:eastAsiaTheme="majorEastAsia"/>
        </w:rPr>
        <w:t>Develop Sustainability Roadmaps for Different Market Segments</w:t>
      </w:r>
      <w:r w:rsidRPr="0026230C">
        <w:br/>
        <w:t xml:space="preserve">Large luxury hotels, business-focused properties, resorts, and budget accommodations have different sustainability challenges and opportunities. Policymakers and industry groups should collaborate to develop segmented roadmaps that offer practical, tiered </w:t>
      </w:r>
      <w:r w:rsidRPr="0026230C">
        <w:lastRenderedPageBreak/>
        <w:t>guidance tailored to each category. This allows for meaningful engagement without imposing a one-size-fits-all standard.</w:t>
      </w:r>
    </w:p>
    <w:p w14:paraId="453017A1" w14:textId="77777777" w:rsidR="00230E3A" w:rsidRPr="0026230C" w:rsidRDefault="00230E3A" w:rsidP="0026230C">
      <w:pPr>
        <w:pStyle w:val="NormalWeb"/>
        <w:numPr>
          <w:ilvl w:val="0"/>
          <w:numId w:val="5"/>
        </w:numPr>
        <w:spacing w:line="360" w:lineRule="auto"/>
      </w:pPr>
      <w:r w:rsidRPr="0026230C">
        <w:rPr>
          <w:rStyle w:val="Robust"/>
          <w:rFonts w:eastAsiaTheme="majorEastAsia"/>
        </w:rPr>
        <w:t>Incorporate Biodiversity Protection in Hotel Strategies</w:t>
      </w:r>
      <w:r w:rsidRPr="0026230C">
        <w:br/>
        <w:t>Many hotels operate near sensitive ecosystems such as coral reefs, forests, and mountain ranges. A holistic sustainability plan should also include commitments to biodiversity, such as reducing light pollution, avoiding harmful landscaping chemicals, or funding local conservation initiatives. Environmental sustainability goes beyond carbon—it encompasses the full ecological impact of a hotel's footprint.</w:t>
      </w:r>
    </w:p>
    <w:p w14:paraId="61076104" w14:textId="77777777" w:rsidR="00230E3A" w:rsidRPr="0026230C" w:rsidRDefault="00230E3A" w:rsidP="0026230C">
      <w:pPr>
        <w:pStyle w:val="NormalWeb"/>
        <w:numPr>
          <w:ilvl w:val="0"/>
          <w:numId w:val="5"/>
        </w:numPr>
        <w:spacing w:line="360" w:lineRule="auto"/>
      </w:pPr>
      <w:r w:rsidRPr="0026230C">
        <w:rPr>
          <w:rStyle w:val="Robust"/>
          <w:rFonts w:eastAsiaTheme="majorEastAsia"/>
        </w:rPr>
        <w:t>Support Academic and Vocational Collaboration</w:t>
      </w:r>
      <w:r w:rsidRPr="0026230C">
        <w:br/>
        <w:t>Higher education institutions, vocational schools, and industry leaders should co-develop training programs, certifications, and research initiatives focused on sustainable hospitality. These can build a stronger talent pipeline and encourage innovation by engaging students in real-world sustainability challenges within the sector.</w:t>
      </w:r>
    </w:p>
    <w:p w14:paraId="7321B503" w14:textId="77777777" w:rsidR="00230E3A" w:rsidRPr="0026230C" w:rsidRDefault="00230E3A" w:rsidP="0026230C">
      <w:pPr>
        <w:pStyle w:val="NormalWeb"/>
        <w:numPr>
          <w:ilvl w:val="0"/>
          <w:numId w:val="5"/>
        </w:numPr>
        <w:spacing w:line="360" w:lineRule="auto"/>
      </w:pPr>
      <w:r w:rsidRPr="0026230C">
        <w:rPr>
          <w:rStyle w:val="Robust"/>
          <w:rFonts w:eastAsiaTheme="majorEastAsia"/>
        </w:rPr>
        <w:t>Develop Open-Access Sustainability Toolkits</w:t>
      </w:r>
      <w:r w:rsidRPr="0026230C">
        <w:br/>
        <w:t>Many small and independent hotels struggle to get started due to lack of information. Governments, NGOs, or hotel associations can create multilingual, free-to-use sustainability toolkits, including how-to guides, calculation templates, and vendor directories. These toolkits can demystify the process and democratize access to best practices.</w:t>
      </w:r>
    </w:p>
    <w:p w14:paraId="60E1E3AB" w14:textId="77777777" w:rsidR="00230E3A" w:rsidRDefault="00230E3A" w:rsidP="0026230C">
      <w:pPr>
        <w:spacing w:before="100" w:beforeAutospacing="1" w:after="100" w:afterAutospacing="1" w:line="360" w:lineRule="auto"/>
        <w:ind w:left="720"/>
        <w:rPr>
          <w:rFonts w:ascii="Times New Roman" w:eastAsia="Times New Roman" w:hAnsi="Times New Roman" w:cs="Times New Roman"/>
          <w:kern w:val="0"/>
          <w:lang w:eastAsia="en-GB"/>
          <w14:ligatures w14:val="none"/>
        </w:rPr>
      </w:pPr>
    </w:p>
    <w:p w14:paraId="1509291C" w14:textId="77777777" w:rsidR="0026230C" w:rsidRDefault="0026230C" w:rsidP="0026230C">
      <w:pPr>
        <w:spacing w:before="100" w:beforeAutospacing="1" w:after="100" w:afterAutospacing="1" w:line="360" w:lineRule="auto"/>
        <w:ind w:left="720"/>
        <w:rPr>
          <w:rFonts w:ascii="Times New Roman" w:eastAsia="Times New Roman" w:hAnsi="Times New Roman" w:cs="Times New Roman"/>
          <w:kern w:val="0"/>
          <w:lang w:eastAsia="en-GB"/>
          <w14:ligatures w14:val="none"/>
        </w:rPr>
      </w:pPr>
    </w:p>
    <w:p w14:paraId="539CF2DE" w14:textId="77777777" w:rsidR="0026230C" w:rsidRDefault="0026230C" w:rsidP="0026230C">
      <w:pPr>
        <w:spacing w:before="100" w:beforeAutospacing="1" w:after="100" w:afterAutospacing="1" w:line="360" w:lineRule="auto"/>
        <w:ind w:left="720"/>
        <w:rPr>
          <w:rFonts w:ascii="Times New Roman" w:eastAsia="Times New Roman" w:hAnsi="Times New Roman" w:cs="Times New Roman"/>
          <w:kern w:val="0"/>
          <w:lang w:eastAsia="en-GB"/>
          <w14:ligatures w14:val="none"/>
        </w:rPr>
      </w:pPr>
    </w:p>
    <w:p w14:paraId="690714C0" w14:textId="77777777" w:rsidR="0026230C" w:rsidRDefault="0026230C" w:rsidP="0026230C">
      <w:pPr>
        <w:spacing w:before="100" w:beforeAutospacing="1" w:after="100" w:afterAutospacing="1" w:line="360" w:lineRule="auto"/>
        <w:ind w:left="720"/>
        <w:rPr>
          <w:rFonts w:ascii="Times New Roman" w:eastAsia="Times New Roman" w:hAnsi="Times New Roman" w:cs="Times New Roman"/>
          <w:kern w:val="0"/>
          <w:lang w:eastAsia="en-GB"/>
          <w14:ligatures w14:val="none"/>
        </w:rPr>
      </w:pPr>
    </w:p>
    <w:p w14:paraId="43F260BC" w14:textId="77777777" w:rsidR="0026230C" w:rsidRDefault="0026230C" w:rsidP="0026230C">
      <w:pPr>
        <w:spacing w:before="100" w:beforeAutospacing="1" w:after="100" w:afterAutospacing="1" w:line="360" w:lineRule="auto"/>
        <w:ind w:left="720"/>
        <w:rPr>
          <w:rFonts w:ascii="Times New Roman" w:eastAsia="Times New Roman" w:hAnsi="Times New Roman" w:cs="Times New Roman"/>
          <w:kern w:val="0"/>
          <w:lang w:eastAsia="en-GB"/>
          <w14:ligatures w14:val="none"/>
        </w:rPr>
      </w:pPr>
    </w:p>
    <w:p w14:paraId="7838F356" w14:textId="77777777" w:rsidR="0026230C" w:rsidRDefault="0026230C" w:rsidP="0026230C">
      <w:pPr>
        <w:spacing w:before="100" w:beforeAutospacing="1" w:after="100" w:afterAutospacing="1" w:line="360" w:lineRule="auto"/>
        <w:ind w:left="720"/>
        <w:rPr>
          <w:rFonts w:ascii="Times New Roman" w:eastAsia="Times New Roman" w:hAnsi="Times New Roman" w:cs="Times New Roman"/>
          <w:kern w:val="0"/>
          <w:lang w:eastAsia="en-GB"/>
          <w14:ligatures w14:val="none"/>
        </w:rPr>
      </w:pPr>
    </w:p>
    <w:p w14:paraId="0CD6451B" w14:textId="65C9F823" w:rsidR="0026230C" w:rsidRDefault="0026230C" w:rsidP="0026230C">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34741545" w14:textId="77777777" w:rsidR="0026230C" w:rsidRDefault="0026230C" w:rsidP="0026230C">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7FF71F40" w14:textId="38C7C144" w:rsidR="00230E3A" w:rsidRDefault="0026230C" w:rsidP="0026230C">
      <w:pPr>
        <w:spacing w:before="100" w:beforeAutospacing="1" w:after="100" w:afterAutospacing="1" w:line="360" w:lineRule="auto"/>
        <w:ind w:left="720"/>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t>References:</w:t>
      </w:r>
    </w:p>
    <w:p w14:paraId="3A86FFB2"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Darcy, S., Cameron, B. &amp; Pegg, S. (2010). Accessible tourism and sustainability: a discussion and case study. </w:t>
      </w:r>
      <w:r w:rsidRPr="0026230C">
        <w:rPr>
          <w:rFonts w:ascii="Times New Roman" w:eastAsia="Times New Roman" w:hAnsi="Times New Roman" w:cs="Times New Roman"/>
          <w:i/>
          <w:iCs/>
          <w:kern w:val="0"/>
          <w:lang w:eastAsia="en-GB"/>
          <w14:ligatures w14:val="none"/>
        </w:rPr>
        <w:t>Journal of Sustainable Tourism</w:t>
      </w:r>
      <w:r w:rsidRPr="0026230C">
        <w:rPr>
          <w:rFonts w:ascii="Times New Roman" w:eastAsia="Times New Roman" w:hAnsi="Times New Roman" w:cs="Times New Roman"/>
          <w:kern w:val="0"/>
          <w:lang w:eastAsia="en-GB"/>
          <w14:ligatures w14:val="none"/>
        </w:rPr>
        <w:t xml:space="preserve">, 18(4), pp.515–537. Available at: </w:t>
      </w:r>
      <w:hyperlink r:id="rId5" w:tgtFrame="_new" w:history="1">
        <w:r w:rsidRPr="0026230C">
          <w:rPr>
            <w:rStyle w:val="Hyperlink"/>
            <w:rFonts w:ascii="Times New Roman" w:eastAsia="Times New Roman" w:hAnsi="Times New Roman" w:cs="Times New Roman"/>
            <w:kern w:val="0"/>
            <w:lang w:eastAsia="en-GB"/>
            <w14:ligatures w14:val="none"/>
          </w:rPr>
          <w:t>https://opus.lib.uts.edu.au/bitstream/10453/12593/1/2009004829.pdf</w:t>
        </w:r>
      </w:hyperlink>
      <w:hyperlink r:id="rId6" w:tgtFrame="_blank" w:history="1">
        <w:r w:rsidRPr="0026230C">
          <w:rPr>
            <w:rStyle w:val="Hyperlink"/>
            <w:rFonts w:ascii="Times New Roman" w:eastAsia="Times New Roman" w:hAnsi="Times New Roman" w:cs="Times New Roman"/>
            <w:kern w:val="0"/>
            <w:lang w:eastAsia="en-GB"/>
            <w14:ligatures w14:val="none"/>
          </w:rPr>
          <w:t>Tandfonline+3opus.lib.uts.edu.au+3Google Scholar+3</w:t>
        </w:r>
      </w:hyperlink>
    </w:p>
    <w:p w14:paraId="680C145F"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Hilton. (2023). </w:t>
      </w:r>
      <w:r w:rsidRPr="0026230C">
        <w:rPr>
          <w:rFonts w:ascii="Times New Roman" w:eastAsia="Times New Roman" w:hAnsi="Times New Roman" w:cs="Times New Roman"/>
          <w:i/>
          <w:iCs/>
          <w:kern w:val="0"/>
          <w:lang w:eastAsia="en-GB"/>
          <w14:ligatures w14:val="none"/>
        </w:rPr>
        <w:t>2023 Travel with Purpose Report</w:t>
      </w:r>
      <w:r w:rsidRPr="0026230C">
        <w:rPr>
          <w:rFonts w:ascii="Times New Roman" w:eastAsia="Times New Roman" w:hAnsi="Times New Roman" w:cs="Times New Roman"/>
          <w:kern w:val="0"/>
          <w:lang w:eastAsia="en-GB"/>
          <w14:ligatures w14:val="none"/>
        </w:rPr>
        <w:t xml:space="preserve">. Available at: </w:t>
      </w:r>
      <w:hyperlink r:id="rId7" w:tgtFrame="_new" w:history="1">
        <w:r w:rsidRPr="0026230C">
          <w:rPr>
            <w:rStyle w:val="Hyperlink"/>
            <w:rFonts w:ascii="Times New Roman" w:eastAsia="Times New Roman" w:hAnsi="Times New Roman" w:cs="Times New Roman"/>
            <w:kern w:val="0"/>
            <w:lang w:eastAsia="en-GB"/>
            <w14:ligatures w14:val="none"/>
          </w:rPr>
          <w:t>https://esg.hilton.com/wp-content/uploads/sites/4/2024/05/2023-Travel-with-Purpose-Report-ADA-final.pdf</w:t>
        </w:r>
      </w:hyperlink>
    </w:p>
    <w:p w14:paraId="32767002"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Hilton. (2022). </w:t>
      </w:r>
      <w:r w:rsidRPr="0026230C">
        <w:rPr>
          <w:rFonts w:ascii="Times New Roman" w:eastAsia="Times New Roman" w:hAnsi="Times New Roman" w:cs="Times New Roman"/>
          <w:i/>
          <w:iCs/>
          <w:kern w:val="0"/>
          <w:lang w:eastAsia="en-GB"/>
          <w14:ligatures w14:val="none"/>
        </w:rPr>
        <w:t>Hilton Enhances ESG Targets to Drive Climate Action and Social Impact</w:t>
      </w:r>
      <w:r w:rsidRPr="0026230C">
        <w:rPr>
          <w:rFonts w:ascii="Times New Roman" w:eastAsia="Times New Roman" w:hAnsi="Times New Roman" w:cs="Times New Roman"/>
          <w:kern w:val="0"/>
          <w:lang w:eastAsia="en-GB"/>
          <w14:ligatures w14:val="none"/>
        </w:rPr>
        <w:t xml:space="preserve">. Available at: </w:t>
      </w:r>
      <w:hyperlink r:id="rId8" w:tgtFrame="_new" w:history="1">
        <w:r w:rsidRPr="0026230C">
          <w:rPr>
            <w:rStyle w:val="Hyperlink"/>
            <w:rFonts w:ascii="Times New Roman" w:eastAsia="Times New Roman" w:hAnsi="Times New Roman" w:cs="Times New Roman"/>
            <w:kern w:val="0"/>
            <w:lang w:eastAsia="en-GB"/>
            <w14:ligatures w14:val="none"/>
          </w:rPr>
          <w:t>https://stories.hilton.com/travel-with-purpose/hilton-enhances-esg-targets-climate-action-social-impact</w:t>
        </w:r>
      </w:hyperlink>
    </w:p>
    <w:p w14:paraId="04B3BAFF"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Hilton. (2022). </w:t>
      </w:r>
      <w:r w:rsidRPr="0026230C">
        <w:rPr>
          <w:rFonts w:ascii="Times New Roman" w:eastAsia="Times New Roman" w:hAnsi="Times New Roman" w:cs="Times New Roman"/>
          <w:i/>
          <w:iCs/>
          <w:kern w:val="0"/>
          <w:lang w:eastAsia="en-GB"/>
          <w14:ligatures w14:val="none"/>
        </w:rPr>
        <w:t>Hotel Marcel New Haven: The First Anticipated Net-Zero Hotel in the US</w:t>
      </w:r>
      <w:r w:rsidRPr="0026230C">
        <w:rPr>
          <w:rFonts w:ascii="Times New Roman" w:eastAsia="Times New Roman" w:hAnsi="Times New Roman" w:cs="Times New Roman"/>
          <w:kern w:val="0"/>
          <w:lang w:eastAsia="en-GB"/>
          <w14:ligatures w14:val="none"/>
        </w:rPr>
        <w:t xml:space="preserve">. Available at: </w:t>
      </w:r>
      <w:hyperlink r:id="rId9" w:tgtFrame="_new" w:history="1">
        <w:r w:rsidRPr="0026230C">
          <w:rPr>
            <w:rStyle w:val="Hyperlink"/>
            <w:rFonts w:ascii="Times New Roman" w:eastAsia="Times New Roman" w:hAnsi="Times New Roman" w:cs="Times New Roman"/>
            <w:kern w:val="0"/>
            <w:lang w:eastAsia="en-GB"/>
            <w14:ligatures w14:val="none"/>
          </w:rPr>
          <w:t>https://stories.hilton.com/releases/netzero-passive-housecertified-hotel-to-open</w:t>
        </w:r>
      </w:hyperlink>
    </w:p>
    <w:p w14:paraId="7E1979F0"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IHG Hotels &amp; Resorts. (2023). </w:t>
      </w:r>
      <w:r w:rsidRPr="0026230C">
        <w:rPr>
          <w:rFonts w:ascii="Times New Roman" w:eastAsia="Times New Roman" w:hAnsi="Times New Roman" w:cs="Times New Roman"/>
          <w:i/>
          <w:iCs/>
          <w:kern w:val="0"/>
          <w:lang w:eastAsia="en-GB"/>
          <w14:ligatures w14:val="none"/>
        </w:rPr>
        <w:t>IHG Green Engage™ system</w:t>
      </w:r>
      <w:r w:rsidRPr="0026230C">
        <w:rPr>
          <w:rFonts w:ascii="Times New Roman" w:eastAsia="Times New Roman" w:hAnsi="Times New Roman" w:cs="Times New Roman"/>
          <w:kern w:val="0"/>
          <w:lang w:eastAsia="en-GB"/>
          <w14:ligatures w14:val="none"/>
        </w:rPr>
        <w:t xml:space="preserve">. Available at: </w:t>
      </w:r>
      <w:hyperlink r:id="rId10" w:tgtFrame="_new" w:history="1">
        <w:r w:rsidRPr="0026230C">
          <w:rPr>
            <w:rStyle w:val="Hyperlink"/>
            <w:rFonts w:ascii="Times New Roman" w:eastAsia="Times New Roman" w:hAnsi="Times New Roman" w:cs="Times New Roman"/>
            <w:kern w:val="0"/>
            <w:lang w:eastAsia="en-GB"/>
            <w14:ligatures w14:val="none"/>
          </w:rPr>
          <w:t>https://www.ihg.com/content/gb/en/support/green-engage</w:t>
        </w:r>
      </w:hyperlink>
      <w:hyperlink r:id="rId11" w:tgtFrame="_blank" w:history="1">
        <w:r w:rsidRPr="0026230C">
          <w:rPr>
            <w:rStyle w:val="Hyperlink"/>
            <w:rFonts w:ascii="Times New Roman" w:eastAsia="Times New Roman" w:hAnsi="Times New Roman" w:cs="Times New Roman"/>
            <w:kern w:val="0"/>
            <w:lang w:eastAsia="en-GB"/>
            <w14:ligatures w14:val="none"/>
          </w:rPr>
          <w:t>IHG</w:t>
        </w:r>
      </w:hyperlink>
    </w:p>
    <w:p w14:paraId="3267D9F5"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IHG Hotels &amp; Resorts. (2023). </w:t>
      </w:r>
      <w:r w:rsidRPr="0026230C">
        <w:rPr>
          <w:rFonts w:ascii="Times New Roman" w:eastAsia="Times New Roman" w:hAnsi="Times New Roman" w:cs="Times New Roman"/>
          <w:i/>
          <w:iCs/>
          <w:kern w:val="0"/>
          <w:lang w:eastAsia="en-GB"/>
          <w14:ligatures w14:val="none"/>
        </w:rPr>
        <w:t>Responsible Business Report 2023</w:t>
      </w:r>
      <w:r w:rsidRPr="0026230C">
        <w:rPr>
          <w:rFonts w:ascii="Times New Roman" w:eastAsia="Times New Roman" w:hAnsi="Times New Roman" w:cs="Times New Roman"/>
          <w:kern w:val="0"/>
          <w:lang w:eastAsia="en-GB"/>
          <w14:ligatures w14:val="none"/>
        </w:rPr>
        <w:t xml:space="preserve">. Available at: </w:t>
      </w:r>
      <w:hyperlink r:id="rId12" w:tgtFrame="_new" w:history="1">
        <w:r w:rsidRPr="0026230C">
          <w:rPr>
            <w:rStyle w:val="Hyperlink"/>
            <w:rFonts w:ascii="Times New Roman" w:eastAsia="Times New Roman" w:hAnsi="Times New Roman" w:cs="Times New Roman"/>
            <w:kern w:val="0"/>
            <w:lang w:eastAsia="en-GB"/>
            <w14:ligatures w14:val="none"/>
          </w:rPr>
          <w:t>https://www.ihgplc.com/~/media/Files/I/Ihg-Plc/investors/annual-report/2023/ihg-responsible-business-report-2023.pdf</w:t>
        </w:r>
      </w:hyperlink>
      <w:hyperlink r:id="rId13" w:tgtFrame="_blank" w:history="1">
        <w:r w:rsidRPr="0026230C">
          <w:rPr>
            <w:rStyle w:val="Hyperlink"/>
            <w:rFonts w:ascii="Times New Roman" w:eastAsia="Times New Roman" w:hAnsi="Times New Roman" w:cs="Times New Roman"/>
            <w:kern w:val="0"/>
            <w:lang w:eastAsia="en-GB"/>
            <w14:ligatures w14:val="none"/>
          </w:rPr>
          <w:t>ihgplc.com+1ihgplc.com+1</w:t>
        </w:r>
      </w:hyperlink>
    </w:p>
    <w:p w14:paraId="552169E3"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proofErr w:type="spellStart"/>
      <w:r w:rsidRPr="0026230C">
        <w:rPr>
          <w:rFonts w:ascii="Times New Roman" w:eastAsia="Times New Roman" w:hAnsi="Times New Roman" w:cs="Times New Roman"/>
          <w:kern w:val="0"/>
          <w:lang w:eastAsia="en-GB"/>
          <w14:ligatures w14:val="none"/>
        </w:rPr>
        <w:t>Karvounidi</w:t>
      </w:r>
      <w:proofErr w:type="spellEnd"/>
      <w:r w:rsidRPr="0026230C">
        <w:rPr>
          <w:rFonts w:ascii="Times New Roman" w:eastAsia="Times New Roman" w:hAnsi="Times New Roman" w:cs="Times New Roman"/>
          <w:kern w:val="0"/>
          <w:lang w:eastAsia="en-GB"/>
          <w14:ligatures w14:val="none"/>
        </w:rPr>
        <w:t xml:space="preserve">, M.D., Alexandropoulou, A.P. &amp; </w:t>
      </w:r>
      <w:proofErr w:type="spellStart"/>
      <w:r w:rsidRPr="0026230C">
        <w:rPr>
          <w:rFonts w:ascii="Times New Roman" w:eastAsia="Times New Roman" w:hAnsi="Times New Roman" w:cs="Times New Roman"/>
          <w:kern w:val="0"/>
          <w:lang w:eastAsia="en-GB"/>
          <w14:ligatures w14:val="none"/>
        </w:rPr>
        <w:t>Fousteris</w:t>
      </w:r>
      <w:proofErr w:type="spellEnd"/>
      <w:r w:rsidRPr="0026230C">
        <w:rPr>
          <w:rFonts w:ascii="Times New Roman" w:eastAsia="Times New Roman" w:hAnsi="Times New Roman" w:cs="Times New Roman"/>
          <w:kern w:val="0"/>
          <w:lang w:eastAsia="en-GB"/>
          <w14:ligatures w14:val="none"/>
        </w:rPr>
        <w:t xml:space="preserve">, A.E. (2024). Towards Sustainable Hospitality: Enhancing Energy Efficiency in Hotel Operations. </w:t>
      </w:r>
      <w:r w:rsidRPr="0026230C">
        <w:rPr>
          <w:rFonts w:ascii="Times New Roman" w:eastAsia="Times New Roman" w:hAnsi="Times New Roman" w:cs="Times New Roman"/>
          <w:i/>
          <w:iCs/>
          <w:kern w:val="0"/>
          <w:lang w:eastAsia="en-GB"/>
          <w14:ligatures w14:val="none"/>
        </w:rPr>
        <w:t>International Research Journal of Engineering and Management Studies</w:t>
      </w:r>
      <w:r w:rsidRPr="0026230C">
        <w:rPr>
          <w:rFonts w:ascii="Times New Roman" w:eastAsia="Times New Roman" w:hAnsi="Times New Roman" w:cs="Times New Roman"/>
          <w:kern w:val="0"/>
          <w:lang w:eastAsia="en-GB"/>
          <w14:ligatures w14:val="none"/>
        </w:rPr>
        <w:t xml:space="preserve">, 3(6). Available at: </w:t>
      </w:r>
      <w:hyperlink r:id="rId14" w:tgtFrame="_new" w:history="1">
        <w:r w:rsidRPr="0026230C">
          <w:rPr>
            <w:rStyle w:val="Hyperlink"/>
            <w:rFonts w:ascii="Times New Roman" w:eastAsia="Times New Roman" w:hAnsi="Times New Roman" w:cs="Times New Roman"/>
            <w:kern w:val="0"/>
            <w:lang w:eastAsia="en-GB"/>
            <w14:ligatures w14:val="none"/>
          </w:rPr>
          <w:t>https://irjems.org/Volume-3-Issue-6/IRJEMS-V3I6P145.pdf</w:t>
        </w:r>
      </w:hyperlink>
      <w:hyperlink r:id="rId15" w:tgtFrame="_blank" w:history="1">
        <w:r w:rsidRPr="0026230C">
          <w:rPr>
            <w:rStyle w:val="Hyperlink"/>
            <w:rFonts w:ascii="Times New Roman" w:eastAsia="Times New Roman" w:hAnsi="Times New Roman" w:cs="Times New Roman"/>
            <w:kern w:val="0"/>
            <w:lang w:eastAsia="en-GB"/>
            <w14:ligatures w14:val="none"/>
          </w:rPr>
          <w:t>irjems.org+1irjems.org+1</w:t>
        </w:r>
      </w:hyperlink>
    </w:p>
    <w:p w14:paraId="7DE81A27"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Negi, P. &amp; Negi, R. (2021). Ecological approach towards sustainability in hotel industry. </w:t>
      </w:r>
      <w:r w:rsidRPr="0026230C">
        <w:rPr>
          <w:rFonts w:ascii="Times New Roman" w:eastAsia="Times New Roman" w:hAnsi="Times New Roman" w:cs="Times New Roman"/>
          <w:i/>
          <w:iCs/>
          <w:kern w:val="0"/>
          <w:lang w:eastAsia="en-GB"/>
          <w14:ligatures w14:val="none"/>
        </w:rPr>
        <w:t>International Journal of Scientific Research and Engineering Development</w:t>
      </w:r>
      <w:r w:rsidRPr="0026230C">
        <w:rPr>
          <w:rFonts w:ascii="Times New Roman" w:eastAsia="Times New Roman" w:hAnsi="Times New Roman" w:cs="Times New Roman"/>
          <w:kern w:val="0"/>
          <w:lang w:eastAsia="en-GB"/>
          <w14:ligatures w14:val="none"/>
        </w:rPr>
        <w:t xml:space="preserve">, 4(2). Available at: </w:t>
      </w:r>
      <w:hyperlink r:id="rId16" w:tgtFrame="_new" w:history="1">
        <w:r w:rsidRPr="0026230C">
          <w:rPr>
            <w:rStyle w:val="Hyperlink"/>
            <w:rFonts w:ascii="Times New Roman" w:eastAsia="Times New Roman" w:hAnsi="Times New Roman" w:cs="Times New Roman"/>
            <w:kern w:val="0"/>
            <w:lang w:eastAsia="en-GB"/>
            <w14:ligatures w14:val="none"/>
          </w:rPr>
          <w:t>https://www.researchgate.net/publication/349228852_Ecological_approach_towards_sustainability_in_hotel_industry</w:t>
        </w:r>
      </w:hyperlink>
      <w:hyperlink r:id="rId17" w:tgtFrame="_blank" w:history="1">
        <w:r w:rsidRPr="0026230C">
          <w:rPr>
            <w:rStyle w:val="Hyperlink"/>
            <w:rFonts w:ascii="Times New Roman" w:eastAsia="Times New Roman" w:hAnsi="Times New Roman" w:cs="Times New Roman"/>
            <w:kern w:val="0"/>
            <w:lang w:eastAsia="en-GB"/>
            <w14:ligatures w14:val="none"/>
          </w:rPr>
          <w:t>ResearchGate+1ResearchGate+1</w:t>
        </w:r>
      </w:hyperlink>
    </w:p>
    <w:p w14:paraId="4C405190"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Sustainable Hospitality Alliance. (n.d.). </w:t>
      </w:r>
      <w:r w:rsidRPr="0026230C">
        <w:rPr>
          <w:rFonts w:ascii="Times New Roman" w:eastAsia="Times New Roman" w:hAnsi="Times New Roman" w:cs="Times New Roman"/>
          <w:i/>
          <w:iCs/>
          <w:kern w:val="0"/>
          <w:lang w:eastAsia="en-GB"/>
          <w14:ligatures w14:val="none"/>
        </w:rPr>
        <w:t>Environmental Management for Hotels</w:t>
      </w:r>
      <w:r w:rsidRPr="0026230C">
        <w:rPr>
          <w:rFonts w:ascii="Times New Roman" w:eastAsia="Times New Roman" w:hAnsi="Times New Roman" w:cs="Times New Roman"/>
          <w:kern w:val="0"/>
          <w:lang w:eastAsia="en-GB"/>
          <w14:ligatures w14:val="none"/>
        </w:rPr>
        <w:t xml:space="preserve">. Available at: </w:t>
      </w:r>
      <w:hyperlink r:id="rId18" w:tgtFrame="_new" w:history="1">
        <w:r w:rsidRPr="0026230C">
          <w:rPr>
            <w:rStyle w:val="Hyperlink"/>
            <w:rFonts w:ascii="Times New Roman" w:eastAsia="Times New Roman" w:hAnsi="Times New Roman" w:cs="Times New Roman"/>
            <w:kern w:val="0"/>
            <w:lang w:eastAsia="en-GB"/>
            <w14:ligatures w14:val="none"/>
          </w:rPr>
          <w:t>https://sustainablehospitalityalliance.org/resource/environmental-management-for-hotels/</w:t>
        </w:r>
      </w:hyperlink>
      <w:hyperlink r:id="rId19" w:tgtFrame="_blank" w:history="1">
        <w:r w:rsidRPr="0026230C">
          <w:rPr>
            <w:rStyle w:val="Hyperlink"/>
            <w:rFonts w:ascii="Times New Roman" w:eastAsia="Times New Roman" w:hAnsi="Times New Roman" w:cs="Times New Roman"/>
            <w:kern w:val="0"/>
            <w:lang w:eastAsia="en-GB"/>
            <w14:ligatures w14:val="none"/>
          </w:rPr>
          <w:t>World Sustainable Hospitality Alliance</w:t>
        </w:r>
      </w:hyperlink>
    </w:p>
    <w:p w14:paraId="5A85E3D8"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lastRenderedPageBreak/>
        <w:t xml:space="preserve">UNEP. (2021). </w:t>
      </w:r>
      <w:r w:rsidRPr="0026230C">
        <w:rPr>
          <w:rFonts w:ascii="Times New Roman" w:eastAsia="Times New Roman" w:hAnsi="Times New Roman" w:cs="Times New Roman"/>
          <w:i/>
          <w:iCs/>
          <w:kern w:val="0"/>
          <w:lang w:eastAsia="en-GB"/>
          <w14:ligatures w14:val="none"/>
        </w:rPr>
        <w:t>Travel and Tourism Industry Chart New, Greener Course at COP 26</w:t>
      </w:r>
      <w:r w:rsidRPr="0026230C">
        <w:rPr>
          <w:rFonts w:ascii="Times New Roman" w:eastAsia="Times New Roman" w:hAnsi="Times New Roman" w:cs="Times New Roman"/>
          <w:kern w:val="0"/>
          <w:lang w:eastAsia="en-GB"/>
          <w14:ligatures w14:val="none"/>
        </w:rPr>
        <w:t xml:space="preserve">. Available at: </w:t>
      </w:r>
      <w:hyperlink r:id="rId20" w:tgtFrame="_new" w:history="1">
        <w:r w:rsidRPr="0026230C">
          <w:rPr>
            <w:rStyle w:val="Hyperlink"/>
            <w:rFonts w:ascii="Times New Roman" w:eastAsia="Times New Roman" w:hAnsi="Times New Roman" w:cs="Times New Roman"/>
            <w:kern w:val="0"/>
            <w:lang w:eastAsia="en-GB"/>
            <w14:ligatures w14:val="none"/>
          </w:rPr>
          <w:t>https://www.unep.org/news-and-stories/story/travel-and-tourism-industry-chart-new-greener-course-cop-26</w:t>
        </w:r>
      </w:hyperlink>
    </w:p>
    <w:p w14:paraId="5D82A9D6"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UNWTO. (2023). </w:t>
      </w:r>
      <w:r w:rsidRPr="0026230C">
        <w:rPr>
          <w:rFonts w:ascii="Times New Roman" w:eastAsia="Times New Roman" w:hAnsi="Times New Roman" w:cs="Times New Roman"/>
          <w:i/>
          <w:iCs/>
          <w:kern w:val="0"/>
          <w:lang w:eastAsia="en-GB"/>
          <w14:ligatures w14:val="none"/>
        </w:rPr>
        <w:t>Climate Action: Transforming Tourism for Climate Action</w:t>
      </w:r>
      <w:r w:rsidRPr="0026230C">
        <w:rPr>
          <w:rFonts w:ascii="Times New Roman" w:eastAsia="Times New Roman" w:hAnsi="Times New Roman" w:cs="Times New Roman"/>
          <w:kern w:val="0"/>
          <w:lang w:eastAsia="en-GB"/>
          <w14:ligatures w14:val="none"/>
        </w:rPr>
        <w:t xml:space="preserve">. Available at: </w:t>
      </w:r>
      <w:hyperlink r:id="rId21" w:tgtFrame="_new" w:history="1">
        <w:r w:rsidRPr="0026230C">
          <w:rPr>
            <w:rStyle w:val="Hyperlink"/>
            <w:rFonts w:ascii="Times New Roman" w:eastAsia="Times New Roman" w:hAnsi="Times New Roman" w:cs="Times New Roman"/>
            <w:kern w:val="0"/>
            <w:lang w:eastAsia="en-GB"/>
            <w14:ligatures w14:val="none"/>
          </w:rPr>
          <w:t>https://www.unwto.org/sustainable-development/climate-action</w:t>
        </w:r>
      </w:hyperlink>
    </w:p>
    <w:p w14:paraId="78BA64CF"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UNWTO. (2023). </w:t>
      </w:r>
      <w:r w:rsidRPr="0026230C">
        <w:rPr>
          <w:rFonts w:ascii="Times New Roman" w:eastAsia="Times New Roman" w:hAnsi="Times New Roman" w:cs="Times New Roman"/>
          <w:i/>
          <w:iCs/>
          <w:kern w:val="0"/>
          <w:lang w:eastAsia="en-GB"/>
          <w14:ligatures w14:val="none"/>
        </w:rPr>
        <w:t>The Glasgow Declaration on Climate Action in Tourism</w:t>
      </w:r>
      <w:r w:rsidRPr="0026230C">
        <w:rPr>
          <w:rFonts w:ascii="Times New Roman" w:eastAsia="Times New Roman" w:hAnsi="Times New Roman" w:cs="Times New Roman"/>
          <w:kern w:val="0"/>
          <w:lang w:eastAsia="en-GB"/>
          <w14:ligatures w14:val="none"/>
        </w:rPr>
        <w:t xml:space="preserve">. Available at: </w:t>
      </w:r>
      <w:hyperlink r:id="rId22" w:tgtFrame="_new" w:history="1">
        <w:r w:rsidRPr="0026230C">
          <w:rPr>
            <w:rStyle w:val="Hyperlink"/>
            <w:rFonts w:ascii="Times New Roman" w:eastAsia="Times New Roman" w:hAnsi="Times New Roman" w:cs="Times New Roman"/>
            <w:kern w:val="0"/>
            <w:lang w:eastAsia="en-GB"/>
            <w14:ligatures w14:val="none"/>
          </w:rPr>
          <w:t>https://www.unwto.org/the-glasgow-declaration-on-climate-action-in-tourism</w:t>
        </w:r>
      </w:hyperlink>
    </w:p>
    <w:p w14:paraId="21BA52E3"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UNWTO. (2023). </w:t>
      </w:r>
      <w:r w:rsidRPr="0026230C">
        <w:rPr>
          <w:rFonts w:ascii="Times New Roman" w:eastAsia="Times New Roman" w:hAnsi="Times New Roman" w:cs="Times New Roman"/>
          <w:i/>
          <w:iCs/>
          <w:kern w:val="0"/>
          <w:lang w:eastAsia="en-GB"/>
          <w14:ligatures w14:val="none"/>
        </w:rPr>
        <w:t>One Planet: Sustainable Tourism Program</w:t>
      </w:r>
      <w:r w:rsidRPr="0026230C">
        <w:rPr>
          <w:rFonts w:ascii="Times New Roman" w:eastAsia="Times New Roman" w:hAnsi="Times New Roman" w:cs="Times New Roman"/>
          <w:kern w:val="0"/>
          <w:lang w:eastAsia="en-GB"/>
          <w14:ligatures w14:val="none"/>
        </w:rPr>
        <w:t xml:space="preserve">. Available at: </w:t>
      </w:r>
      <w:hyperlink r:id="rId23" w:tgtFrame="_new" w:history="1">
        <w:r w:rsidRPr="0026230C">
          <w:rPr>
            <w:rStyle w:val="Hyperlink"/>
            <w:rFonts w:ascii="Times New Roman" w:eastAsia="Times New Roman" w:hAnsi="Times New Roman" w:cs="Times New Roman"/>
            <w:kern w:val="0"/>
            <w:lang w:eastAsia="en-GB"/>
            <w14:ligatures w14:val="none"/>
          </w:rPr>
          <w:t>https://www.unwto.org/sustainable-development/one-planet</w:t>
        </w:r>
      </w:hyperlink>
    </w:p>
    <w:p w14:paraId="040A8158"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proofErr w:type="spellStart"/>
      <w:r w:rsidRPr="0026230C">
        <w:rPr>
          <w:rFonts w:ascii="Times New Roman" w:eastAsia="Times New Roman" w:hAnsi="Times New Roman" w:cs="Times New Roman"/>
          <w:kern w:val="0"/>
          <w:lang w:eastAsia="en-GB"/>
          <w14:ligatures w14:val="none"/>
        </w:rPr>
        <w:t>Vourdoubas</w:t>
      </w:r>
      <w:proofErr w:type="spellEnd"/>
      <w:r w:rsidRPr="0026230C">
        <w:rPr>
          <w:rFonts w:ascii="Times New Roman" w:eastAsia="Times New Roman" w:hAnsi="Times New Roman" w:cs="Times New Roman"/>
          <w:kern w:val="0"/>
          <w:lang w:eastAsia="en-GB"/>
          <w14:ligatures w14:val="none"/>
        </w:rPr>
        <w:t xml:space="preserve">, J. (2024). Net-zero Carbon Emission Hotels: Are they Technically and Economically Feasible? </w:t>
      </w:r>
      <w:r w:rsidRPr="0026230C">
        <w:rPr>
          <w:rFonts w:ascii="Times New Roman" w:eastAsia="Times New Roman" w:hAnsi="Times New Roman" w:cs="Times New Roman"/>
          <w:i/>
          <w:iCs/>
          <w:kern w:val="0"/>
          <w:lang w:eastAsia="en-GB"/>
          <w14:ligatures w14:val="none"/>
        </w:rPr>
        <w:t>Journal of Building Sustainability</w:t>
      </w:r>
      <w:r w:rsidRPr="0026230C">
        <w:rPr>
          <w:rFonts w:ascii="Times New Roman" w:eastAsia="Times New Roman" w:hAnsi="Times New Roman" w:cs="Times New Roman"/>
          <w:kern w:val="0"/>
          <w:lang w:eastAsia="en-GB"/>
          <w14:ligatures w14:val="none"/>
        </w:rPr>
        <w:t xml:space="preserve">, 5(2), pp.1–15. Available at: </w:t>
      </w:r>
      <w:hyperlink r:id="rId24" w:tgtFrame="_new" w:history="1">
        <w:r w:rsidRPr="0026230C">
          <w:rPr>
            <w:rStyle w:val="Hyperlink"/>
            <w:rFonts w:ascii="Times New Roman" w:eastAsia="Times New Roman" w:hAnsi="Times New Roman" w:cs="Times New Roman"/>
            <w:kern w:val="0"/>
            <w:lang w:eastAsia="en-GB"/>
            <w14:ligatures w14:val="none"/>
          </w:rPr>
          <w:t>https://doi.org/10.48150/jbssr.v5no2.2024.a1</w:t>
        </w:r>
      </w:hyperlink>
    </w:p>
    <w:p w14:paraId="2210CD42"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Wahab, S. &amp; Cooper, C. (2005). </w:t>
      </w:r>
      <w:r w:rsidRPr="0026230C">
        <w:rPr>
          <w:rFonts w:ascii="Times New Roman" w:eastAsia="Times New Roman" w:hAnsi="Times New Roman" w:cs="Times New Roman"/>
          <w:i/>
          <w:iCs/>
          <w:kern w:val="0"/>
          <w:lang w:eastAsia="en-GB"/>
          <w14:ligatures w14:val="none"/>
        </w:rPr>
        <w:t>Tourism in the Age of Globalization</w:t>
      </w:r>
      <w:r w:rsidRPr="0026230C">
        <w:rPr>
          <w:rFonts w:ascii="Times New Roman" w:eastAsia="Times New Roman" w:hAnsi="Times New Roman" w:cs="Times New Roman"/>
          <w:kern w:val="0"/>
          <w:lang w:eastAsia="en-GB"/>
          <w14:ligatures w14:val="none"/>
        </w:rPr>
        <w:t>. London: Routledge.</w:t>
      </w:r>
    </w:p>
    <w:p w14:paraId="799F30F8"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World Bank. (2018). </w:t>
      </w:r>
      <w:r w:rsidRPr="0026230C">
        <w:rPr>
          <w:rFonts w:ascii="Times New Roman" w:eastAsia="Times New Roman" w:hAnsi="Times New Roman" w:cs="Times New Roman"/>
          <w:i/>
          <w:iCs/>
          <w:kern w:val="0"/>
          <w:lang w:eastAsia="en-GB"/>
          <w14:ligatures w14:val="none"/>
        </w:rPr>
        <w:t>What a Waste 2.0: A Global Snapshot of Solid Waste Management to 2050</w:t>
      </w:r>
      <w:r w:rsidRPr="0026230C">
        <w:rPr>
          <w:rFonts w:ascii="Times New Roman" w:eastAsia="Times New Roman" w:hAnsi="Times New Roman" w:cs="Times New Roman"/>
          <w:kern w:val="0"/>
          <w:lang w:eastAsia="en-GB"/>
          <w14:ligatures w14:val="none"/>
        </w:rPr>
        <w:t xml:space="preserve">. Available at: </w:t>
      </w:r>
      <w:hyperlink r:id="rId25" w:tgtFrame="_new" w:history="1">
        <w:r w:rsidRPr="0026230C">
          <w:rPr>
            <w:rStyle w:val="Hyperlink"/>
            <w:rFonts w:ascii="Times New Roman" w:eastAsia="Times New Roman" w:hAnsi="Times New Roman" w:cs="Times New Roman"/>
            <w:kern w:val="0"/>
            <w:lang w:eastAsia="en-GB"/>
            <w14:ligatures w14:val="none"/>
          </w:rPr>
          <w:t>https://openknowledge.worldbank.org/handle/10986/30317</w:t>
        </w:r>
      </w:hyperlink>
    </w:p>
    <w:p w14:paraId="6B268BAF"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World Travel &amp; Tourism Council. (2021). </w:t>
      </w:r>
      <w:r w:rsidRPr="0026230C">
        <w:rPr>
          <w:rFonts w:ascii="Times New Roman" w:eastAsia="Times New Roman" w:hAnsi="Times New Roman" w:cs="Times New Roman"/>
          <w:i/>
          <w:iCs/>
          <w:kern w:val="0"/>
          <w:lang w:eastAsia="en-GB"/>
          <w14:ligatures w14:val="none"/>
        </w:rPr>
        <w:t>Net Zero Roadmap for Travel &amp; Tourism</w:t>
      </w:r>
      <w:r w:rsidRPr="0026230C">
        <w:rPr>
          <w:rFonts w:ascii="Times New Roman" w:eastAsia="Times New Roman" w:hAnsi="Times New Roman" w:cs="Times New Roman"/>
          <w:kern w:val="0"/>
          <w:lang w:eastAsia="en-GB"/>
          <w14:ligatures w14:val="none"/>
        </w:rPr>
        <w:t xml:space="preserve">. Available at: </w:t>
      </w:r>
      <w:hyperlink r:id="rId26" w:tgtFrame="_new" w:history="1">
        <w:r w:rsidRPr="0026230C">
          <w:rPr>
            <w:rStyle w:val="Hyperlink"/>
            <w:rFonts w:ascii="Times New Roman" w:eastAsia="Times New Roman" w:hAnsi="Times New Roman" w:cs="Times New Roman"/>
            <w:kern w:val="0"/>
            <w:lang w:eastAsia="en-GB"/>
            <w14:ligatures w14:val="none"/>
          </w:rPr>
          <w:t>https://wttc.org/Portals/0/Documents/Reports/2021/WTTC_Net_Zero_Roadmap.pdf</w:t>
        </w:r>
      </w:hyperlink>
    </w:p>
    <w:p w14:paraId="40C9A080"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Xia, B. et al. (2022). Eco-efficiency and its drivers in tourism sectors with respect to carbon emissions from the supply chain: An integrated EEIO and DEA approach. </w:t>
      </w:r>
      <w:r w:rsidRPr="0026230C">
        <w:rPr>
          <w:rFonts w:ascii="Times New Roman" w:eastAsia="Times New Roman" w:hAnsi="Times New Roman" w:cs="Times New Roman"/>
          <w:i/>
          <w:iCs/>
          <w:kern w:val="0"/>
          <w:lang w:eastAsia="en-GB"/>
          <w14:ligatures w14:val="none"/>
        </w:rPr>
        <w:t>International Journal of Environmental Research and Public Health</w:t>
      </w:r>
      <w:r w:rsidRPr="0026230C">
        <w:rPr>
          <w:rFonts w:ascii="Times New Roman" w:eastAsia="Times New Roman" w:hAnsi="Times New Roman" w:cs="Times New Roman"/>
          <w:kern w:val="0"/>
          <w:lang w:eastAsia="en-GB"/>
          <w14:ligatures w14:val="none"/>
        </w:rPr>
        <w:t xml:space="preserve">, 19(11), p.6951. Available at: </w:t>
      </w:r>
      <w:hyperlink r:id="rId27" w:tgtFrame="_new" w:history="1">
        <w:r w:rsidRPr="0026230C">
          <w:rPr>
            <w:rStyle w:val="Hyperlink"/>
            <w:rFonts w:ascii="Times New Roman" w:eastAsia="Times New Roman" w:hAnsi="Times New Roman" w:cs="Times New Roman"/>
            <w:kern w:val="0"/>
            <w:lang w:eastAsia="en-GB"/>
            <w14:ligatures w14:val="none"/>
          </w:rPr>
          <w:t>https://doi.org/10.3390/ijerph19116951</w:t>
        </w:r>
      </w:hyperlink>
    </w:p>
    <w:p w14:paraId="121F25F2"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Yadav, R. &amp; Pathak, G.S. (2017). Determinants of Consumers' Green Purchase </w:t>
      </w:r>
      <w:proofErr w:type="spellStart"/>
      <w:r w:rsidRPr="0026230C">
        <w:rPr>
          <w:rFonts w:ascii="Times New Roman" w:eastAsia="Times New Roman" w:hAnsi="Times New Roman" w:cs="Times New Roman"/>
          <w:kern w:val="0"/>
          <w:lang w:eastAsia="en-GB"/>
          <w14:ligatures w14:val="none"/>
        </w:rPr>
        <w:t>Behavior</w:t>
      </w:r>
      <w:proofErr w:type="spellEnd"/>
      <w:r w:rsidRPr="0026230C">
        <w:rPr>
          <w:rFonts w:ascii="Times New Roman" w:eastAsia="Times New Roman" w:hAnsi="Times New Roman" w:cs="Times New Roman"/>
          <w:kern w:val="0"/>
          <w:lang w:eastAsia="en-GB"/>
          <w14:ligatures w14:val="none"/>
        </w:rPr>
        <w:t xml:space="preserve"> in a Developing Nation: Applying and Extending the Theory of Planned </w:t>
      </w:r>
      <w:proofErr w:type="spellStart"/>
      <w:r w:rsidRPr="0026230C">
        <w:rPr>
          <w:rFonts w:ascii="Times New Roman" w:eastAsia="Times New Roman" w:hAnsi="Times New Roman" w:cs="Times New Roman"/>
          <w:kern w:val="0"/>
          <w:lang w:eastAsia="en-GB"/>
          <w14:ligatures w14:val="none"/>
        </w:rPr>
        <w:t>Behavior</w:t>
      </w:r>
      <w:proofErr w:type="spellEnd"/>
      <w:r w:rsidRPr="0026230C">
        <w:rPr>
          <w:rFonts w:ascii="Times New Roman" w:eastAsia="Times New Roman" w:hAnsi="Times New Roman" w:cs="Times New Roman"/>
          <w:kern w:val="0"/>
          <w:lang w:eastAsia="en-GB"/>
          <w14:ligatures w14:val="none"/>
        </w:rPr>
        <w:t xml:space="preserve">. </w:t>
      </w:r>
      <w:r w:rsidRPr="0026230C">
        <w:rPr>
          <w:rFonts w:ascii="Times New Roman" w:eastAsia="Times New Roman" w:hAnsi="Times New Roman" w:cs="Times New Roman"/>
          <w:i/>
          <w:iCs/>
          <w:kern w:val="0"/>
          <w:lang w:eastAsia="en-GB"/>
          <w14:ligatures w14:val="none"/>
        </w:rPr>
        <w:t>Ecological Economics</w:t>
      </w:r>
      <w:r w:rsidRPr="0026230C">
        <w:rPr>
          <w:rFonts w:ascii="Times New Roman" w:eastAsia="Times New Roman" w:hAnsi="Times New Roman" w:cs="Times New Roman"/>
          <w:kern w:val="0"/>
          <w:lang w:eastAsia="en-GB"/>
          <w14:ligatures w14:val="none"/>
        </w:rPr>
        <w:t xml:space="preserve">, 134, pp.114–122. Available at: </w:t>
      </w:r>
      <w:hyperlink r:id="rId28" w:tgtFrame="_new" w:history="1">
        <w:r w:rsidRPr="0026230C">
          <w:rPr>
            <w:rStyle w:val="Hyperlink"/>
            <w:rFonts w:ascii="Times New Roman" w:eastAsia="Times New Roman" w:hAnsi="Times New Roman" w:cs="Times New Roman"/>
            <w:kern w:val="0"/>
            <w:lang w:eastAsia="en-GB"/>
            <w14:ligatures w14:val="none"/>
          </w:rPr>
          <w:t>https://doi.org/10.1016/j.ecolecon.2016.12.019</w:t>
        </w:r>
      </w:hyperlink>
    </w:p>
    <w:p w14:paraId="4FFF676A"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Zhang, L. &amp; Gao, Y. (2020). Sustainable Development in the Hotel Industry: A Review of Recent Literature. </w:t>
      </w:r>
      <w:r w:rsidRPr="0026230C">
        <w:rPr>
          <w:rFonts w:ascii="Times New Roman" w:eastAsia="Times New Roman" w:hAnsi="Times New Roman" w:cs="Times New Roman"/>
          <w:i/>
          <w:iCs/>
          <w:kern w:val="0"/>
          <w:lang w:eastAsia="en-GB"/>
          <w14:ligatures w14:val="none"/>
        </w:rPr>
        <w:t>Sustainability</w:t>
      </w:r>
      <w:r w:rsidRPr="0026230C">
        <w:rPr>
          <w:rFonts w:ascii="Times New Roman" w:eastAsia="Times New Roman" w:hAnsi="Times New Roman" w:cs="Times New Roman"/>
          <w:kern w:val="0"/>
          <w:lang w:eastAsia="en-GB"/>
          <w14:ligatures w14:val="none"/>
        </w:rPr>
        <w:t xml:space="preserve">, 12(19), p.8138. Available at: </w:t>
      </w:r>
      <w:hyperlink r:id="rId29" w:tgtFrame="_new" w:history="1">
        <w:r w:rsidRPr="0026230C">
          <w:rPr>
            <w:rStyle w:val="Hyperlink"/>
            <w:rFonts w:ascii="Times New Roman" w:eastAsia="Times New Roman" w:hAnsi="Times New Roman" w:cs="Times New Roman"/>
            <w:kern w:val="0"/>
            <w:lang w:eastAsia="en-GB"/>
            <w14:ligatures w14:val="none"/>
          </w:rPr>
          <w:t>https://doi.org/10.3390/su12198138</w:t>
        </w:r>
      </w:hyperlink>
    </w:p>
    <w:p w14:paraId="142F37AF"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Zhou, Y. &amp; Wang, J. (2021). Green Hotel Practices and Sustainable Development: A Review and Future Research Agenda. </w:t>
      </w:r>
      <w:r w:rsidRPr="0026230C">
        <w:rPr>
          <w:rFonts w:ascii="Times New Roman" w:eastAsia="Times New Roman" w:hAnsi="Times New Roman" w:cs="Times New Roman"/>
          <w:i/>
          <w:iCs/>
          <w:kern w:val="0"/>
          <w:lang w:eastAsia="en-GB"/>
          <w14:ligatures w14:val="none"/>
        </w:rPr>
        <w:t>Journal of Hospitality and Tourism Management</w:t>
      </w:r>
      <w:r w:rsidRPr="0026230C">
        <w:rPr>
          <w:rFonts w:ascii="Times New Roman" w:eastAsia="Times New Roman" w:hAnsi="Times New Roman" w:cs="Times New Roman"/>
          <w:kern w:val="0"/>
          <w:lang w:eastAsia="en-GB"/>
          <w14:ligatures w14:val="none"/>
        </w:rPr>
        <w:t xml:space="preserve">, 49, pp.157–165. Available at: </w:t>
      </w:r>
      <w:hyperlink r:id="rId30" w:tgtFrame="_new" w:history="1">
        <w:r w:rsidRPr="0026230C">
          <w:rPr>
            <w:rStyle w:val="Hyperlink"/>
            <w:rFonts w:ascii="Times New Roman" w:eastAsia="Times New Roman" w:hAnsi="Times New Roman" w:cs="Times New Roman"/>
            <w:kern w:val="0"/>
            <w:lang w:eastAsia="en-GB"/>
            <w14:ligatures w14:val="none"/>
          </w:rPr>
          <w:t>https://doi.org/10.1016/j.jhtm.2021.09.002</w:t>
        </w:r>
      </w:hyperlink>
    </w:p>
    <w:p w14:paraId="7277F6CF"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lastRenderedPageBreak/>
        <w:t xml:space="preserve">Zhu, Q. &amp; Geng, Y. (2013). Drivers and Barriers of Extended Supply Chain Practices for Energy Saving and Emission Reduction among Chinese Manufacturers. </w:t>
      </w:r>
      <w:r w:rsidRPr="0026230C">
        <w:rPr>
          <w:rFonts w:ascii="Times New Roman" w:eastAsia="Times New Roman" w:hAnsi="Times New Roman" w:cs="Times New Roman"/>
          <w:i/>
          <w:iCs/>
          <w:kern w:val="0"/>
          <w:lang w:eastAsia="en-GB"/>
          <w14:ligatures w14:val="none"/>
        </w:rPr>
        <w:t>Journal of Cleaner Production</w:t>
      </w:r>
      <w:r w:rsidRPr="0026230C">
        <w:rPr>
          <w:rFonts w:ascii="Times New Roman" w:eastAsia="Times New Roman" w:hAnsi="Times New Roman" w:cs="Times New Roman"/>
          <w:kern w:val="0"/>
          <w:lang w:eastAsia="en-GB"/>
          <w14:ligatures w14:val="none"/>
        </w:rPr>
        <w:t xml:space="preserve">, 40, pp.6–12. Available at: </w:t>
      </w:r>
      <w:hyperlink r:id="rId31" w:tgtFrame="_new" w:history="1">
        <w:r w:rsidRPr="0026230C">
          <w:rPr>
            <w:rStyle w:val="Hyperlink"/>
            <w:rFonts w:ascii="Times New Roman" w:eastAsia="Times New Roman" w:hAnsi="Times New Roman" w:cs="Times New Roman"/>
            <w:kern w:val="0"/>
            <w:lang w:eastAsia="en-GB"/>
            <w14:ligatures w14:val="none"/>
          </w:rPr>
          <w:t>https://doi.org/10.1016/j.jclepro.2010.09.017</w:t>
        </w:r>
      </w:hyperlink>
    </w:p>
    <w:p w14:paraId="7F4452EA"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Zografos, C. &amp; </w:t>
      </w:r>
      <w:proofErr w:type="spellStart"/>
      <w:r w:rsidRPr="0026230C">
        <w:rPr>
          <w:rFonts w:ascii="Times New Roman" w:eastAsia="Times New Roman" w:hAnsi="Times New Roman" w:cs="Times New Roman"/>
          <w:kern w:val="0"/>
          <w:lang w:eastAsia="en-GB"/>
          <w14:ligatures w14:val="none"/>
        </w:rPr>
        <w:t>Allcroft</w:t>
      </w:r>
      <w:proofErr w:type="spellEnd"/>
      <w:r w:rsidRPr="0026230C">
        <w:rPr>
          <w:rFonts w:ascii="Times New Roman" w:eastAsia="Times New Roman" w:hAnsi="Times New Roman" w:cs="Times New Roman"/>
          <w:kern w:val="0"/>
          <w:lang w:eastAsia="en-GB"/>
          <w14:ligatures w14:val="none"/>
        </w:rPr>
        <w:t xml:space="preserve">, D. (2007). The Environmental Values of Potential Ecotourists: A Segmentation Study. </w:t>
      </w:r>
      <w:r w:rsidRPr="0026230C">
        <w:rPr>
          <w:rFonts w:ascii="Times New Roman" w:eastAsia="Times New Roman" w:hAnsi="Times New Roman" w:cs="Times New Roman"/>
          <w:i/>
          <w:iCs/>
          <w:kern w:val="0"/>
          <w:lang w:eastAsia="en-GB"/>
          <w14:ligatures w14:val="none"/>
        </w:rPr>
        <w:t>Journal of Sustainable Tourism</w:t>
      </w:r>
      <w:r w:rsidRPr="0026230C">
        <w:rPr>
          <w:rFonts w:ascii="Times New Roman" w:eastAsia="Times New Roman" w:hAnsi="Times New Roman" w:cs="Times New Roman"/>
          <w:kern w:val="0"/>
          <w:lang w:eastAsia="en-GB"/>
          <w14:ligatures w14:val="none"/>
        </w:rPr>
        <w:t xml:space="preserve">, 15(1), pp.44–66. Available at: </w:t>
      </w:r>
      <w:hyperlink r:id="rId32" w:tgtFrame="_new" w:history="1">
        <w:r w:rsidRPr="0026230C">
          <w:rPr>
            <w:rStyle w:val="Hyperlink"/>
            <w:rFonts w:ascii="Times New Roman" w:eastAsia="Times New Roman" w:hAnsi="Times New Roman" w:cs="Times New Roman"/>
            <w:kern w:val="0"/>
            <w:lang w:eastAsia="en-GB"/>
            <w14:ligatures w14:val="none"/>
          </w:rPr>
          <w:t>https://doi.org/10.2167/jost549.0</w:t>
        </w:r>
      </w:hyperlink>
    </w:p>
    <w:p w14:paraId="7B2DD49D"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Santos, V. &amp; Silva, R. (2019). Digital Twins and AI in Sustainable Hotel Management. </w:t>
      </w:r>
      <w:r w:rsidRPr="0026230C">
        <w:rPr>
          <w:rFonts w:ascii="Times New Roman" w:eastAsia="Times New Roman" w:hAnsi="Times New Roman" w:cs="Times New Roman"/>
          <w:i/>
          <w:iCs/>
          <w:kern w:val="0"/>
          <w:lang w:eastAsia="en-GB"/>
          <w14:ligatures w14:val="none"/>
        </w:rPr>
        <w:t>Sustainability</w:t>
      </w:r>
      <w:r w:rsidRPr="0026230C">
        <w:rPr>
          <w:rFonts w:ascii="Times New Roman" w:eastAsia="Times New Roman" w:hAnsi="Times New Roman" w:cs="Times New Roman"/>
          <w:kern w:val="0"/>
          <w:lang w:eastAsia="en-GB"/>
          <w14:ligatures w14:val="none"/>
        </w:rPr>
        <w:t xml:space="preserve">, 11(24), p.6983. Available at: </w:t>
      </w:r>
      <w:hyperlink r:id="rId33" w:tgtFrame="_new" w:history="1">
        <w:r w:rsidRPr="0026230C">
          <w:rPr>
            <w:rStyle w:val="Hyperlink"/>
            <w:rFonts w:ascii="Times New Roman" w:eastAsia="Times New Roman" w:hAnsi="Times New Roman" w:cs="Times New Roman"/>
            <w:kern w:val="0"/>
            <w:lang w:eastAsia="en-GB"/>
            <w14:ligatures w14:val="none"/>
          </w:rPr>
          <w:t>https://doi.org/10.3390/su11246983</w:t>
        </w:r>
      </w:hyperlink>
    </w:p>
    <w:p w14:paraId="284283BF"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Tribe, J. (2009). Sustainability and the Hospitality Industry: A Conceptual Framework. </w:t>
      </w:r>
      <w:r w:rsidRPr="0026230C">
        <w:rPr>
          <w:rFonts w:ascii="Times New Roman" w:eastAsia="Times New Roman" w:hAnsi="Times New Roman" w:cs="Times New Roman"/>
          <w:i/>
          <w:iCs/>
          <w:kern w:val="0"/>
          <w:lang w:eastAsia="en-GB"/>
          <w14:ligatures w14:val="none"/>
        </w:rPr>
        <w:t>Tourism Recreation Research</w:t>
      </w:r>
      <w:r w:rsidRPr="0026230C">
        <w:rPr>
          <w:rFonts w:ascii="Times New Roman" w:eastAsia="Times New Roman" w:hAnsi="Times New Roman" w:cs="Times New Roman"/>
          <w:kern w:val="0"/>
          <w:lang w:eastAsia="en-GB"/>
          <w14:ligatures w14:val="none"/>
        </w:rPr>
        <w:t xml:space="preserve">, 34(3), pp.235–243. Available at: </w:t>
      </w:r>
      <w:hyperlink r:id="rId34" w:tgtFrame="_new" w:history="1">
        <w:r w:rsidRPr="0026230C">
          <w:rPr>
            <w:rStyle w:val="Hyperlink"/>
            <w:rFonts w:ascii="Times New Roman" w:eastAsia="Times New Roman" w:hAnsi="Times New Roman" w:cs="Times New Roman"/>
            <w:kern w:val="0"/>
            <w:lang w:eastAsia="en-GB"/>
            <w14:ligatures w14:val="none"/>
          </w:rPr>
          <w:t>https://doi.org/10.1080/02508281.2009.11081594</w:t>
        </w:r>
      </w:hyperlink>
    </w:p>
    <w:p w14:paraId="1AC501D8"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Ivanov, S. &amp; Webster, C. (2019). Adoption of AI and IoT in the Hotel Industry: Impact on Sustainability. </w:t>
      </w:r>
      <w:r w:rsidRPr="0026230C">
        <w:rPr>
          <w:rFonts w:ascii="Times New Roman" w:eastAsia="Times New Roman" w:hAnsi="Times New Roman" w:cs="Times New Roman"/>
          <w:i/>
          <w:iCs/>
          <w:kern w:val="0"/>
          <w:lang w:eastAsia="en-GB"/>
          <w14:ligatures w14:val="none"/>
        </w:rPr>
        <w:t>Journal of Tourism Futures</w:t>
      </w:r>
      <w:r w:rsidRPr="0026230C">
        <w:rPr>
          <w:rFonts w:ascii="Times New Roman" w:eastAsia="Times New Roman" w:hAnsi="Times New Roman" w:cs="Times New Roman"/>
          <w:kern w:val="0"/>
          <w:lang w:eastAsia="en-GB"/>
          <w14:ligatures w14:val="none"/>
        </w:rPr>
        <w:t xml:space="preserve">, 5(3), pp.228–234. Available at: </w:t>
      </w:r>
      <w:hyperlink r:id="rId35" w:tgtFrame="_new" w:history="1">
        <w:r w:rsidRPr="0026230C">
          <w:rPr>
            <w:rStyle w:val="Hyperlink"/>
            <w:rFonts w:ascii="Times New Roman" w:eastAsia="Times New Roman" w:hAnsi="Times New Roman" w:cs="Times New Roman"/>
            <w:kern w:val="0"/>
            <w:lang w:eastAsia="en-GB"/>
            <w14:ligatures w14:val="none"/>
          </w:rPr>
          <w:t>https://doi.org/10.1108/JTF-12-2018-0068</w:t>
        </w:r>
      </w:hyperlink>
    </w:p>
    <w:p w14:paraId="12E46B93"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Marriott International. (2023). </w:t>
      </w:r>
      <w:r w:rsidRPr="0026230C">
        <w:rPr>
          <w:rFonts w:ascii="Times New Roman" w:eastAsia="Times New Roman" w:hAnsi="Times New Roman" w:cs="Times New Roman"/>
          <w:i/>
          <w:iCs/>
          <w:kern w:val="0"/>
          <w:lang w:eastAsia="en-GB"/>
          <w14:ligatures w14:val="none"/>
        </w:rPr>
        <w:t>Serve 360: 2024 Environmental, Social and Governance Report</w:t>
      </w:r>
      <w:r w:rsidRPr="0026230C">
        <w:rPr>
          <w:rFonts w:ascii="Times New Roman" w:eastAsia="Times New Roman" w:hAnsi="Times New Roman" w:cs="Times New Roman"/>
          <w:kern w:val="0"/>
          <w:lang w:eastAsia="en-GB"/>
          <w14:ligatures w14:val="none"/>
        </w:rPr>
        <w:t xml:space="preserve">. Available at: </w:t>
      </w:r>
      <w:hyperlink r:id="rId36" w:tgtFrame="_new" w:history="1">
        <w:r w:rsidRPr="0026230C">
          <w:rPr>
            <w:rStyle w:val="Hyperlink"/>
            <w:rFonts w:ascii="Times New Roman" w:eastAsia="Times New Roman" w:hAnsi="Times New Roman" w:cs="Times New Roman"/>
            <w:kern w:val="0"/>
            <w:lang w:eastAsia="en-GB"/>
            <w14:ligatures w14:val="none"/>
          </w:rPr>
          <w:t>https://serve360.marriott.com/wp-content/uploads/2024/07/2024ESGProgress.pdf</w:t>
        </w:r>
      </w:hyperlink>
    </w:p>
    <w:p w14:paraId="5FFFB167"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Marriott International. (2021). </w:t>
      </w:r>
      <w:r w:rsidRPr="0026230C">
        <w:rPr>
          <w:rFonts w:ascii="Times New Roman" w:eastAsia="Times New Roman" w:hAnsi="Times New Roman" w:cs="Times New Roman"/>
          <w:i/>
          <w:iCs/>
          <w:kern w:val="0"/>
          <w:lang w:eastAsia="en-GB"/>
          <w14:ligatures w14:val="none"/>
        </w:rPr>
        <w:t xml:space="preserve">Marriott International Announces Ambition </w:t>
      </w:r>
      <w:proofErr w:type="gramStart"/>
      <w:r w:rsidRPr="0026230C">
        <w:rPr>
          <w:rFonts w:ascii="Times New Roman" w:eastAsia="Times New Roman" w:hAnsi="Times New Roman" w:cs="Times New Roman"/>
          <w:i/>
          <w:iCs/>
          <w:kern w:val="0"/>
          <w:lang w:eastAsia="en-GB"/>
          <w14:ligatures w14:val="none"/>
        </w:rPr>
        <w:t>To</w:t>
      </w:r>
      <w:proofErr w:type="gramEnd"/>
      <w:r w:rsidRPr="0026230C">
        <w:rPr>
          <w:rFonts w:ascii="Times New Roman" w:eastAsia="Times New Roman" w:hAnsi="Times New Roman" w:cs="Times New Roman"/>
          <w:i/>
          <w:iCs/>
          <w:kern w:val="0"/>
          <w:lang w:eastAsia="en-GB"/>
          <w14:ligatures w14:val="none"/>
        </w:rPr>
        <w:t xml:space="preserve"> Go Net-Zero</w:t>
      </w:r>
      <w:r w:rsidRPr="0026230C">
        <w:rPr>
          <w:rFonts w:ascii="Times New Roman" w:eastAsia="Times New Roman" w:hAnsi="Times New Roman" w:cs="Times New Roman"/>
          <w:kern w:val="0"/>
          <w:lang w:eastAsia="en-GB"/>
          <w14:ligatures w14:val="none"/>
        </w:rPr>
        <w:t xml:space="preserve">. Available at: </w:t>
      </w:r>
      <w:hyperlink r:id="rId37" w:tgtFrame="_new" w:history="1">
        <w:r w:rsidRPr="0026230C">
          <w:rPr>
            <w:rStyle w:val="Hyperlink"/>
            <w:rFonts w:ascii="Times New Roman" w:eastAsia="Times New Roman" w:hAnsi="Times New Roman" w:cs="Times New Roman"/>
            <w:kern w:val="0"/>
            <w:lang w:eastAsia="en-GB"/>
            <w14:ligatures w14:val="none"/>
          </w:rPr>
          <w:t>https://news.marriott.com/news/2021/09/22/marriott-international-announces-ambition-to-go-net-zero</w:t>
        </w:r>
      </w:hyperlink>
    </w:p>
    <w:p w14:paraId="6F45B5CD"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Nielsen. (2022). </w:t>
      </w:r>
      <w:r w:rsidRPr="0026230C">
        <w:rPr>
          <w:rFonts w:ascii="Times New Roman" w:eastAsia="Times New Roman" w:hAnsi="Times New Roman" w:cs="Times New Roman"/>
          <w:i/>
          <w:iCs/>
          <w:kern w:val="0"/>
          <w:lang w:eastAsia="en-GB"/>
          <w14:ligatures w14:val="none"/>
        </w:rPr>
        <w:t>Sustainable Travel Report: Consumer Preferences and Trends</w:t>
      </w:r>
      <w:r w:rsidRPr="0026230C">
        <w:rPr>
          <w:rFonts w:ascii="Times New Roman" w:eastAsia="Times New Roman" w:hAnsi="Times New Roman" w:cs="Times New Roman"/>
          <w:kern w:val="0"/>
          <w:lang w:eastAsia="en-GB"/>
          <w14:ligatures w14:val="none"/>
        </w:rPr>
        <w:t xml:space="preserve">. Available at: </w:t>
      </w:r>
      <w:hyperlink r:id="rId38" w:tgtFrame="_new" w:history="1">
        <w:r w:rsidRPr="0026230C">
          <w:rPr>
            <w:rStyle w:val="Hyperlink"/>
            <w:rFonts w:ascii="Times New Roman" w:eastAsia="Times New Roman" w:hAnsi="Times New Roman" w:cs="Times New Roman"/>
            <w:kern w:val="0"/>
            <w:lang w:eastAsia="en-GB"/>
            <w14:ligatures w14:val="none"/>
          </w:rPr>
          <w:t>https://www.nielsen.com/us/en/insights/report/2022/sustainable-travel-report/</w:t>
        </w:r>
      </w:hyperlink>
    </w:p>
    <w:p w14:paraId="605C5D33" w14:textId="77777777" w:rsidR="0026230C" w:rsidRPr="0026230C" w:rsidRDefault="0026230C" w:rsidP="0026230C">
      <w:pPr>
        <w:numPr>
          <w:ilvl w:val="0"/>
          <w:numId w:val="7"/>
        </w:num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230C">
        <w:rPr>
          <w:rFonts w:ascii="Times New Roman" w:eastAsia="Times New Roman" w:hAnsi="Times New Roman" w:cs="Times New Roman"/>
          <w:kern w:val="0"/>
          <w:lang w:eastAsia="en-GB"/>
          <w14:ligatures w14:val="none"/>
        </w:rPr>
        <w:t xml:space="preserve">World Travel &amp; Tourism Council. (2021). </w:t>
      </w:r>
      <w:r w:rsidRPr="0026230C">
        <w:rPr>
          <w:rFonts w:ascii="Times New Roman" w:eastAsia="Times New Roman" w:hAnsi="Times New Roman" w:cs="Times New Roman"/>
          <w:i/>
          <w:iCs/>
          <w:kern w:val="0"/>
          <w:lang w:eastAsia="en-GB"/>
          <w14:ligatures w14:val="none"/>
        </w:rPr>
        <w:t>Net Zero Roadmap for Travel &amp; Tourism</w:t>
      </w:r>
      <w:r w:rsidRPr="0026230C">
        <w:rPr>
          <w:rFonts w:ascii="Times New Roman" w:eastAsia="Times New Roman" w:hAnsi="Times New Roman" w:cs="Times New Roman"/>
          <w:kern w:val="0"/>
          <w:lang w:eastAsia="en-GB"/>
          <w14:ligatures w14:val="none"/>
        </w:rPr>
        <w:t xml:space="preserve">. Available at: </w:t>
      </w:r>
      <w:hyperlink r:id="rId39" w:tgtFrame="_new" w:history="1">
        <w:r w:rsidRPr="0026230C">
          <w:rPr>
            <w:rStyle w:val="Hyperlink"/>
            <w:rFonts w:ascii="Times New Roman" w:eastAsia="Times New Roman" w:hAnsi="Times New Roman" w:cs="Times New Roman"/>
            <w:kern w:val="0"/>
            <w:lang w:eastAsia="en-GB"/>
            <w14:ligatures w14:val="none"/>
          </w:rPr>
          <w:t>https://wttc.org/Portals/0/Documents/Reports/2021/WTTC_Net_Zero_Roadmap.pdf</w:t>
        </w:r>
      </w:hyperlink>
    </w:p>
    <w:p w14:paraId="55D026AE" w14:textId="77777777" w:rsidR="00230E3A" w:rsidRPr="00230E3A" w:rsidRDefault="00230E3A" w:rsidP="00230E3A">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p>
    <w:p w14:paraId="241D6B23" w14:textId="1D7498BB" w:rsidR="004E46C8" w:rsidRPr="00230E3A" w:rsidRDefault="004E46C8" w:rsidP="00230E3A"/>
    <w:sectPr w:rsidR="004E46C8" w:rsidRPr="00230E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E1DFF"/>
    <w:multiLevelType w:val="multilevel"/>
    <w:tmpl w:val="F3049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ED6428"/>
    <w:multiLevelType w:val="multilevel"/>
    <w:tmpl w:val="19CE75F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D71CDD"/>
    <w:multiLevelType w:val="multilevel"/>
    <w:tmpl w:val="116A73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F90600"/>
    <w:multiLevelType w:val="multilevel"/>
    <w:tmpl w:val="B0D0D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BF3916"/>
    <w:multiLevelType w:val="multilevel"/>
    <w:tmpl w:val="8470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237110"/>
    <w:multiLevelType w:val="multilevel"/>
    <w:tmpl w:val="6E4A7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560A0E"/>
    <w:multiLevelType w:val="multilevel"/>
    <w:tmpl w:val="E5F47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3986066">
    <w:abstractNumId w:val="0"/>
  </w:num>
  <w:num w:numId="2" w16cid:durableId="1586374994">
    <w:abstractNumId w:val="6"/>
  </w:num>
  <w:num w:numId="3" w16cid:durableId="1301574164">
    <w:abstractNumId w:val="2"/>
  </w:num>
  <w:num w:numId="4" w16cid:durableId="334848079">
    <w:abstractNumId w:val="5"/>
  </w:num>
  <w:num w:numId="5" w16cid:durableId="1642735487">
    <w:abstractNumId w:val="4"/>
  </w:num>
  <w:num w:numId="6" w16cid:durableId="246698071">
    <w:abstractNumId w:val="1"/>
  </w:num>
  <w:num w:numId="7" w16cid:durableId="18945373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6C8"/>
    <w:rsid w:val="00230E3A"/>
    <w:rsid w:val="0026230C"/>
    <w:rsid w:val="003C2411"/>
    <w:rsid w:val="004E46C8"/>
    <w:rsid w:val="006967A4"/>
    <w:rsid w:val="00765054"/>
    <w:rsid w:val="00957118"/>
    <w:rsid w:val="00A307AA"/>
    <w:rsid w:val="00D27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6AD98"/>
  <w15:chartTrackingRefBased/>
  <w15:docId w15:val="{D1B26C54-C5D3-4875-9A77-F7EAFC7C8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4E46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4E46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4E46C8"/>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4E46C8"/>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4E46C8"/>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4E46C8"/>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4E46C8"/>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4E46C8"/>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4E46C8"/>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E46C8"/>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4E46C8"/>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4E46C8"/>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4E46C8"/>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4E46C8"/>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4E46C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4E46C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4E46C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4E46C8"/>
    <w:rPr>
      <w:rFonts w:eastAsiaTheme="majorEastAsia" w:cstheme="majorBidi"/>
      <w:color w:val="272727" w:themeColor="text1" w:themeTint="D8"/>
    </w:rPr>
  </w:style>
  <w:style w:type="paragraph" w:styleId="Titlu">
    <w:name w:val="Title"/>
    <w:basedOn w:val="Normal"/>
    <w:next w:val="Normal"/>
    <w:link w:val="TitluCaracter"/>
    <w:uiPriority w:val="10"/>
    <w:qFormat/>
    <w:rsid w:val="004E46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E46C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4E46C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4E46C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4E46C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4E46C8"/>
    <w:rPr>
      <w:i/>
      <w:iCs/>
      <w:color w:val="404040" w:themeColor="text1" w:themeTint="BF"/>
    </w:rPr>
  </w:style>
  <w:style w:type="paragraph" w:styleId="Listparagraf">
    <w:name w:val="List Paragraph"/>
    <w:basedOn w:val="Normal"/>
    <w:uiPriority w:val="34"/>
    <w:qFormat/>
    <w:rsid w:val="004E46C8"/>
    <w:pPr>
      <w:ind w:left="720"/>
      <w:contextualSpacing/>
    </w:pPr>
  </w:style>
  <w:style w:type="character" w:styleId="Accentuareintens">
    <w:name w:val="Intense Emphasis"/>
    <w:basedOn w:val="Fontdeparagrafimplicit"/>
    <w:uiPriority w:val="21"/>
    <w:qFormat/>
    <w:rsid w:val="004E46C8"/>
    <w:rPr>
      <w:i/>
      <w:iCs/>
      <w:color w:val="0F4761" w:themeColor="accent1" w:themeShade="BF"/>
    </w:rPr>
  </w:style>
  <w:style w:type="paragraph" w:styleId="Citatintens">
    <w:name w:val="Intense Quote"/>
    <w:basedOn w:val="Normal"/>
    <w:next w:val="Normal"/>
    <w:link w:val="CitatintensCaracter"/>
    <w:uiPriority w:val="30"/>
    <w:qFormat/>
    <w:rsid w:val="004E46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4E46C8"/>
    <w:rPr>
      <w:i/>
      <w:iCs/>
      <w:color w:val="0F4761" w:themeColor="accent1" w:themeShade="BF"/>
    </w:rPr>
  </w:style>
  <w:style w:type="character" w:styleId="Referireintens">
    <w:name w:val="Intense Reference"/>
    <w:basedOn w:val="Fontdeparagrafimplicit"/>
    <w:uiPriority w:val="32"/>
    <w:qFormat/>
    <w:rsid w:val="004E46C8"/>
    <w:rPr>
      <w:b/>
      <w:bCs/>
      <w:smallCaps/>
      <w:color w:val="0F4761" w:themeColor="accent1" w:themeShade="BF"/>
      <w:spacing w:val="5"/>
    </w:rPr>
  </w:style>
  <w:style w:type="paragraph" w:styleId="NormalWeb">
    <w:name w:val="Normal (Web)"/>
    <w:basedOn w:val="Normal"/>
    <w:uiPriority w:val="99"/>
    <w:semiHidden/>
    <w:unhideWhenUsed/>
    <w:rsid w:val="00230E3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Robust">
    <w:name w:val="Strong"/>
    <w:basedOn w:val="Fontdeparagrafimplicit"/>
    <w:uiPriority w:val="22"/>
    <w:qFormat/>
    <w:rsid w:val="00230E3A"/>
    <w:rPr>
      <w:b/>
      <w:bCs/>
    </w:rPr>
  </w:style>
  <w:style w:type="character" w:styleId="Hyperlink">
    <w:name w:val="Hyperlink"/>
    <w:basedOn w:val="Fontdeparagrafimplicit"/>
    <w:uiPriority w:val="99"/>
    <w:unhideWhenUsed/>
    <w:rsid w:val="0026230C"/>
    <w:rPr>
      <w:color w:val="467886" w:themeColor="hyperlink"/>
      <w:u w:val="single"/>
    </w:rPr>
  </w:style>
  <w:style w:type="character" w:styleId="MeniuneNerezolvat">
    <w:name w:val="Unresolved Mention"/>
    <w:basedOn w:val="Fontdeparagrafimplicit"/>
    <w:uiPriority w:val="99"/>
    <w:semiHidden/>
    <w:unhideWhenUsed/>
    <w:rsid w:val="0026230C"/>
    <w:rPr>
      <w:color w:val="605E5C"/>
      <w:shd w:val="clear" w:color="auto" w:fill="E1DFDD"/>
    </w:rPr>
  </w:style>
  <w:style w:type="paragraph" w:customStyle="1" w:styleId="Default">
    <w:name w:val="Default"/>
    <w:rsid w:val="0026230C"/>
    <w:pPr>
      <w:autoSpaceDE w:val="0"/>
      <w:autoSpaceDN w:val="0"/>
      <w:adjustRightInd w:val="0"/>
      <w:spacing w:after="0" w:line="240" w:lineRule="auto"/>
    </w:pPr>
    <w:rPr>
      <w:rFonts w:ascii="Arial" w:hAnsi="Arial" w:cs="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030318">
      <w:bodyDiv w:val="1"/>
      <w:marLeft w:val="0"/>
      <w:marRight w:val="0"/>
      <w:marTop w:val="0"/>
      <w:marBottom w:val="0"/>
      <w:divBdr>
        <w:top w:val="none" w:sz="0" w:space="0" w:color="auto"/>
        <w:left w:val="none" w:sz="0" w:space="0" w:color="auto"/>
        <w:bottom w:val="none" w:sz="0" w:space="0" w:color="auto"/>
        <w:right w:val="none" w:sz="0" w:space="0" w:color="auto"/>
      </w:divBdr>
    </w:div>
    <w:div w:id="292368247">
      <w:bodyDiv w:val="1"/>
      <w:marLeft w:val="0"/>
      <w:marRight w:val="0"/>
      <w:marTop w:val="0"/>
      <w:marBottom w:val="0"/>
      <w:divBdr>
        <w:top w:val="none" w:sz="0" w:space="0" w:color="auto"/>
        <w:left w:val="none" w:sz="0" w:space="0" w:color="auto"/>
        <w:bottom w:val="none" w:sz="0" w:space="0" w:color="auto"/>
        <w:right w:val="none" w:sz="0" w:space="0" w:color="auto"/>
      </w:divBdr>
      <w:divsChild>
        <w:div w:id="1219167114">
          <w:marLeft w:val="0"/>
          <w:marRight w:val="0"/>
          <w:marTop w:val="0"/>
          <w:marBottom w:val="0"/>
          <w:divBdr>
            <w:top w:val="none" w:sz="0" w:space="0" w:color="auto"/>
            <w:left w:val="none" w:sz="0" w:space="0" w:color="auto"/>
            <w:bottom w:val="none" w:sz="0" w:space="0" w:color="auto"/>
            <w:right w:val="none" w:sz="0" w:space="0" w:color="auto"/>
          </w:divBdr>
        </w:div>
        <w:div w:id="1606307118">
          <w:marLeft w:val="0"/>
          <w:marRight w:val="0"/>
          <w:marTop w:val="0"/>
          <w:marBottom w:val="0"/>
          <w:divBdr>
            <w:top w:val="none" w:sz="0" w:space="0" w:color="auto"/>
            <w:left w:val="none" w:sz="0" w:space="0" w:color="auto"/>
            <w:bottom w:val="none" w:sz="0" w:space="0" w:color="auto"/>
            <w:right w:val="none" w:sz="0" w:space="0" w:color="auto"/>
          </w:divBdr>
        </w:div>
        <w:div w:id="1843278071">
          <w:marLeft w:val="0"/>
          <w:marRight w:val="0"/>
          <w:marTop w:val="0"/>
          <w:marBottom w:val="0"/>
          <w:divBdr>
            <w:top w:val="none" w:sz="0" w:space="0" w:color="auto"/>
            <w:left w:val="none" w:sz="0" w:space="0" w:color="auto"/>
            <w:bottom w:val="none" w:sz="0" w:space="0" w:color="auto"/>
            <w:right w:val="none" w:sz="0" w:space="0" w:color="auto"/>
          </w:divBdr>
        </w:div>
        <w:div w:id="333150937">
          <w:marLeft w:val="0"/>
          <w:marRight w:val="0"/>
          <w:marTop w:val="0"/>
          <w:marBottom w:val="0"/>
          <w:divBdr>
            <w:top w:val="none" w:sz="0" w:space="0" w:color="auto"/>
            <w:left w:val="none" w:sz="0" w:space="0" w:color="auto"/>
            <w:bottom w:val="none" w:sz="0" w:space="0" w:color="auto"/>
            <w:right w:val="none" w:sz="0" w:space="0" w:color="auto"/>
          </w:divBdr>
        </w:div>
        <w:div w:id="264845161">
          <w:marLeft w:val="0"/>
          <w:marRight w:val="0"/>
          <w:marTop w:val="0"/>
          <w:marBottom w:val="0"/>
          <w:divBdr>
            <w:top w:val="none" w:sz="0" w:space="0" w:color="auto"/>
            <w:left w:val="none" w:sz="0" w:space="0" w:color="auto"/>
            <w:bottom w:val="none" w:sz="0" w:space="0" w:color="auto"/>
            <w:right w:val="none" w:sz="0" w:space="0" w:color="auto"/>
          </w:divBdr>
        </w:div>
        <w:div w:id="1638802210">
          <w:marLeft w:val="0"/>
          <w:marRight w:val="0"/>
          <w:marTop w:val="0"/>
          <w:marBottom w:val="0"/>
          <w:divBdr>
            <w:top w:val="none" w:sz="0" w:space="0" w:color="auto"/>
            <w:left w:val="none" w:sz="0" w:space="0" w:color="auto"/>
            <w:bottom w:val="none" w:sz="0" w:space="0" w:color="auto"/>
            <w:right w:val="none" w:sz="0" w:space="0" w:color="auto"/>
          </w:divBdr>
        </w:div>
        <w:div w:id="1927222784">
          <w:marLeft w:val="0"/>
          <w:marRight w:val="0"/>
          <w:marTop w:val="0"/>
          <w:marBottom w:val="0"/>
          <w:divBdr>
            <w:top w:val="none" w:sz="0" w:space="0" w:color="auto"/>
            <w:left w:val="none" w:sz="0" w:space="0" w:color="auto"/>
            <w:bottom w:val="none" w:sz="0" w:space="0" w:color="auto"/>
            <w:right w:val="none" w:sz="0" w:space="0" w:color="auto"/>
          </w:divBdr>
        </w:div>
      </w:divsChild>
    </w:div>
    <w:div w:id="411664013">
      <w:bodyDiv w:val="1"/>
      <w:marLeft w:val="0"/>
      <w:marRight w:val="0"/>
      <w:marTop w:val="0"/>
      <w:marBottom w:val="0"/>
      <w:divBdr>
        <w:top w:val="none" w:sz="0" w:space="0" w:color="auto"/>
        <w:left w:val="none" w:sz="0" w:space="0" w:color="auto"/>
        <w:bottom w:val="none" w:sz="0" w:space="0" w:color="auto"/>
        <w:right w:val="none" w:sz="0" w:space="0" w:color="auto"/>
      </w:divBdr>
    </w:div>
    <w:div w:id="419716605">
      <w:bodyDiv w:val="1"/>
      <w:marLeft w:val="0"/>
      <w:marRight w:val="0"/>
      <w:marTop w:val="0"/>
      <w:marBottom w:val="0"/>
      <w:divBdr>
        <w:top w:val="none" w:sz="0" w:space="0" w:color="auto"/>
        <w:left w:val="none" w:sz="0" w:space="0" w:color="auto"/>
        <w:bottom w:val="none" w:sz="0" w:space="0" w:color="auto"/>
        <w:right w:val="none" w:sz="0" w:space="0" w:color="auto"/>
      </w:divBdr>
      <w:divsChild>
        <w:div w:id="1796867117">
          <w:marLeft w:val="0"/>
          <w:marRight w:val="0"/>
          <w:marTop w:val="0"/>
          <w:marBottom w:val="0"/>
          <w:divBdr>
            <w:top w:val="none" w:sz="0" w:space="0" w:color="auto"/>
            <w:left w:val="none" w:sz="0" w:space="0" w:color="auto"/>
            <w:bottom w:val="none" w:sz="0" w:space="0" w:color="auto"/>
            <w:right w:val="none" w:sz="0" w:space="0" w:color="auto"/>
          </w:divBdr>
        </w:div>
        <w:div w:id="1189294437">
          <w:marLeft w:val="0"/>
          <w:marRight w:val="0"/>
          <w:marTop w:val="0"/>
          <w:marBottom w:val="0"/>
          <w:divBdr>
            <w:top w:val="none" w:sz="0" w:space="0" w:color="auto"/>
            <w:left w:val="none" w:sz="0" w:space="0" w:color="auto"/>
            <w:bottom w:val="none" w:sz="0" w:space="0" w:color="auto"/>
            <w:right w:val="none" w:sz="0" w:space="0" w:color="auto"/>
          </w:divBdr>
        </w:div>
        <w:div w:id="330063454">
          <w:marLeft w:val="0"/>
          <w:marRight w:val="0"/>
          <w:marTop w:val="0"/>
          <w:marBottom w:val="0"/>
          <w:divBdr>
            <w:top w:val="none" w:sz="0" w:space="0" w:color="auto"/>
            <w:left w:val="none" w:sz="0" w:space="0" w:color="auto"/>
            <w:bottom w:val="none" w:sz="0" w:space="0" w:color="auto"/>
            <w:right w:val="none" w:sz="0" w:space="0" w:color="auto"/>
          </w:divBdr>
        </w:div>
        <w:div w:id="1305501480">
          <w:marLeft w:val="0"/>
          <w:marRight w:val="0"/>
          <w:marTop w:val="0"/>
          <w:marBottom w:val="0"/>
          <w:divBdr>
            <w:top w:val="none" w:sz="0" w:space="0" w:color="auto"/>
            <w:left w:val="none" w:sz="0" w:space="0" w:color="auto"/>
            <w:bottom w:val="none" w:sz="0" w:space="0" w:color="auto"/>
            <w:right w:val="none" w:sz="0" w:space="0" w:color="auto"/>
          </w:divBdr>
        </w:div>
        <w:div w:id="647130036">
          <w:marLeft w:val="0"/>
          <w:marRight w:val="0"/>
          <w:marTop w:val="0"/>
          <w:marBottom w:val="0"/>
          <w:divBdr>
            <w:top w:val="none" w:sz="0" w:space="0" w:color="auto"/>
            <w:left w:val="none" w:sz="0" w:space="0" w:color="auto"/>
            <w:bottom w:val="none" w:sz="0" w:space="0" w:color="auto"/>
            <w:right w:val="none" w:sz="0" w:space="0" w:color="auto"/>
          </w:divBdr>
        </w:div>
        <w:div w:id="1924218481">
          <w:marLeft w:val="0"/>
          <w:marRight w:val="0"/>
          <w:marTop w:val="0"/>
          <w:marBottom w:val="0"/>
          <w:divBdr>
            <w:top w:val="none" w:sz="0" w:space="0" w:color="auto"/>
            <w:left w:val="none" w:sz="0" w:space="0" w:color="auto"/>
            <w:bottom w:val="none" w:sz="0" w:space="0" w:color="auto"/>
            <w:right w:val="none" w:sz="0" w:space="0" w:color="auto"/>
          </w:divBdr>
        </w:div>
      </w:divsChild>
    </w:div>
    <w:div w:id="840778263">
      <w:bodyDiv w:val="1"/>
      <w:marLeft w:val="0"/>
      <w:marRight w:val="0"/>
      <w:marTop w:val="0"/>
      <w:marBottom w:val="0"/>
      <w:divBdr>
        <w:top w:val="none" w:sz="0" w:space="0" w:color="auto"/>
        <w:left w:val="none" w:sz="0" w:space="0" w:color="auto"/>
        <w:bottom w:val="none" w:sz="0" w:space="0" w:color="auto"/>
        <w:right w:val="none" w:sz="0" w:space="0" w:color="auto"/>
      </w:divBdr>
    </w:div>
    <w:div w:id="1143426367">
      <w:bodyDiv w:val="1"/>
      <w:marLeft w:val="0"/>
      <w:marRight w:val="0"/>
      <w:marTop w:val="0"/>
      <w:marBottom w:val="0"/>
      <w:divBdr>
        <w:top w:val="none" w:sz="0" w:space="0" w:color="auto"/>
        <w:left w:val="none" w:sz="0" w:space="0" w:color="auto"/>
        <w:bottom w:val="none" w:sz="0" w:space="0" w:color="auto"/>
        <w:right w:val="none" w:sz="0" w:space="0" w:color="auto"/>
      </w:divBdr>
      <w:divsChild>
        <w:div w:id="154803305">
          <w:marLeft w:val="0"/>
          <w:marRight w:val="0"/>
          <w:marTop w:val="0"/>
          <w:marBottom w:val="0"/>
          <w:divBdr>
            <w:top w:val="none" w:sz="0" w:space="0" w:color="auto"/>
            <w:left w:val="none" w:sz="0" w:space="0" w:color="auto"/>
            <w:bottom w:val="none" w:sz="0" w:space="0" w:color="auto"/>
            <w:right w:val="none" w:sz="0" w:space="0" w:color="auto"/>
          </w:divBdr>
        </w:div>
        <w:div w:id="124738895">
          <w:marLeft w:val="0"/>
          <w:marRight w:val="0"/>
          <w:marTop w:val="0"/>
          <w:marBottom w:val="0"/>
          <w:divBdr>
            <w:top w:val="none" w:sz="0" w:space="0" w:color="auto"/>
            <w:left w:val="none" w:sz="0" w:space="0" w:color="auto"/>
            <w:bottom w:val="none" w:sz="0" w:space="0" w:color="auto"/>
            <w:right w:val="none" w:sz="0" w:space="0" w:color="auto"/>
          </w:divBdr>
        </w:div>
        <w:div w:id="883373760">
          <w:marLeft w:val="0"/>
          <w:marRight w:val="0"/>
          <w:marTop w:val="0"/>
          <w:marBottom w:val="0"/>
          <w:divBdr>
            <w:top w:val="none" w:sz="0" w:space="0" w:color="auto"/>
            <w:left w:val="none" w:sz="0" w:space="0" w:color="auto"/>
            <w:bottom w:val="none" w:sz="0" w:space="0" w:color="auto"/>
            <w:right w:val="none" w:sz="0" w:space="0" w:color="auto"/>
          </w:divBdr>
        </w:div>
        <w:div w:id="179777193">
          <w:marLeft w:val="0"/>
          <w:marRight w:val="0"/>
          <w:marTop w:val="0"/>
          <w:marBottom w:val="0"/>
          <w:divBdr>
            <w:top w:val="none" w:sz="0" w:space="0" w:color="auto"/>
            <w:left w:val="none" w:sz="0" w:space="0" w:color="auto"/>
            <w:bottom w:val="none" w:sz="0" w:space="0" w:color="auto"/>
            <w:right w:val="none" w:sz="0" w:space="0" w:color="auto"/>
          </w:divBdr>
        </w:div>
        <w:div w:id="271285018">
          <w:marLeft w:val="0"/>
          <w:marRight w:val="0"/>
          <w:marTop w:val="0"/>
          <w:marBottom w:val="0"/>
          <w:divBdr>
            <w:top w:val="none" w:sz="0" w:space="0" w:color="auto"/>
            <w:left w:val="none" w:sz="0" w:space="0" w:color="auto"/>
            <w:bottom w:val="none" w:sz="0" w:space="0" w:color="auto"/>
            <w:right w:val="none" w:sz="0" w:space="0" w:color="auto"/>
          </w:divBdr>
        </w:div>
        <w:div w:id="803549874">
          <w:marLeft w:val="0"/>
          <w:marRight w:val="0"/>
          <w:marTop w:val="0"/>
          <w:marBottom w:val="0"/>
          <w:divBdr>
            <w:top w:val="none" w:sz="0" w:space="0" w:color="auto"/>
            <w:left w:val="none" w:sz="0" w:space="0" w:color="auto"/>
            <w:bottom w:val="none" w:sz="0" w:space="0" w:color="auto"/>
            <w:right w:val="none" w:sz="0" w:space="0" w:color="auto"/>
          </w:divBdr>
        </w:div>
        <w:div w:id="1835804776">
          <w:marLeft w:val="0"/>
          <w:marRight w:val="0"/>
          <w:marTop w:val="0"/>
          <w:marBottom w:val="0"/>
          <w:divBdr>
            <w:top w:val="none" w:sz="0" w:space="0" w:color="auto"/>
            <w:left w:val="none" w:sz="0" w:space="0" w:color="auto"/>
            <w:bottom w:val="none" w:sz="0" w:space="0" w:color="auto"/>
            <w:right w:val="none" w:sz="0" w:space="0" w:color="auto"/>
          </w:divBdr>
        </w:div>
      </w:divsChild>
    </w:div>
    <w:div w:id="1165051562">
      <w:bodyDiv w:val="1"/>
      <w:marLeft w:val="0"/>
      <w:marRight w:val="0"/>
      <w:marTop w:val="0"/>
      <w:marBottom w:val="0"/>
      <w:divBdr>
        <w:top w:val="none" w:sz="0" w:space="0" w:color="auto"/>
        <w:left w:val="none" w:sz="0" w:space="0" w:color="auto"/>
        <w:bottom w:val="none" w:sz="0" w:space="0" w:color="auto"/>
        <w:right w:val="none" w:sz="0" w:space="0" w:color="auto"/>
      </w:divBdr>
    </w:div>
    <w:div w:id="1304121596">
      <w:bodyDiv w:val="1"/>
      <w:marLeft w:val="0"/>
      <w:marRight w:val="0"/>
      <w:marTop w:val="0"/>
      <w:marBottom w:val="0"/>
      <w:divBdr>
        <w:top w:val="none" w:sz="0" w:space="0" w:color="auto"/>
        <w:left w:val="none" w:sz="0" w:space="0" w:color="auto"/>
        <w:bottom w:val="none" w:sz="0" w:space="0" w:color="auto"/>
        <w:right w:val="none" w:sz="0" w:space="0" w:color="auto"/>
      </w:divBdr>
    </w:div>
    <w:div w:id="1355688771">
      <w:bodyDiv w:val="1"/>
      <w:marLeft w:val="0"/>
      <w:marRight w:val="0"/>
      <w:marTop w:val="0"/>
      <w:marBottom w:val="0"/>
      <w:divBdr>
        <w:top w:val="none" w:sz="0" w:space="0" w:color="auto"/>
        <w:left w:val="none" w:sz="0" w:space="0" w:color="auto"/>
        <w:bottom w:val="none" w:sz="0" w:space="0" w:color="auto"/>
        <w:right w:val="none" w:sz="0" w:space="0" w:color="auto"/>
      </w:divBdr>
    </w:div>
    <w:div w:id="1357538696">
      <w:bodyDiv w:val="1"/>
      <w:marLeft w:val="0"/>
      <w:marRight w:val="0"/>
      <w:marTop w:val="0"/>
      <w:marBottom w:val="0"/>
      <w:divBdr>
        <w:top w:val="none" w:sz="0" w:space="0" w:color="auto"/>
        <w:left w:val="none" w:sz="0" w:space="0" w:color="auto"/>
        <w:bottom w:val="none" w:sz="0" w:space="0" w:color="auto"/>
        <w:right w:val="none" w:sz="0" w:space="0" w:color="auto"/>
      </w:divBdr>
    </w:div>
    <w:div w:id="1363046001">
      <w:bodyDiv w:val="1"/>
      <w:marLeft w:val="0"/>
      <w:marRight w:val="0"/>
      <w:marTop w:val="0"/>
      <w:marBottom w:val="0"/>
      <w:divBdr>
        <w:top w:val="none" w:sz="0" w:space="0" w:color="auto"/>
        <w:left w:val="none" w:sz="0" w:space="0" w:color="auto"/>
        <w:bottom w:val="none" w:sz="0" w:space="0" w:color="auto"/>
        <w:right w:val="none" w:sz="0" w:space="0" w:color="auto"/>
      </w:divBdr>
    </w:div>
    <w:div w:id="1472863564">
      <w:bodyDiv w:val="1"/>
      <w:marLeft w:val="0"/>
      <w:marRight w:val="0"/>
      <w:marTop w:val="0"/>
      <w:marBottom w:val="0"/>
      <w:divBdr>
        <w:top w:val="none" w:sz="0" w:space="0" w:color="auto"/>
        <w:left w:val="none" w:sz="0" w:space="0" w:color="auto"/>
        <w:bottom w:val="none" w:sz="0" w:space="0" w:color="auto"/>
        <w:right w:val="none" w:sz="0" w:space="0" w:color="auto"/>
      </w:divBdr>
    </w:div>
    <w:div w:id="1563713282">
      <w:bodyDiv w:val="1"/>
      <w:marLeft w:val="0"/>
      <w:marRight w:val="0"/>
      <w:marTop w:val="0"/>
      <w:marBottom w:val="0"/>
      <w:divBdr>
        <w:top w:val="none" w:sz="0" w:space="0" w:color="auto"/>
        <w:left w:val="none" w:sz="0" w:space="0" w:color="auto"/>
        <w:bottom w:val="none" w:sz="0" w:space="0" w:color="auto"/>
        <w:right w:val="none" w:sz="0" w:space="0" w:color="auto"/>
      </w:divBdr>
    </w:div>
    <w:div w:id="1648165557">
      <w:bodyDiv w:val="1"/>
      <w:marLeft w:val="0"/>
      <w:marRight w:val="0"/>
      <w:marTop w:val="0"/>
      <w:marBottom w:val="0"/>
      <w:divBdr>
        <w:top w:val="none" w:sz="0" w:space="0" w:color="auto"/>
        <w:left w:val="none" w:sz="0" w:space="0" w:color="auto"/>
        <w:bottom w:val="none" w:sz="0" w:space="0" w:color="auto"/>
        <w:right w:val="none" w:sz="0" w:space="0" w:color="auto"/>
      </w:divBdr>
      <w:divsChild>
        <w:div w:id="640113306">
          <w:marLeft w:val="0"/>
          <w:marRight w:val="0"/>
          <w:marTop w:val="0"/>
          <w:marBottom w:val="0"/>
          <w:divBdr>
            <w:top w:val="none" w:sz="0" w:space="0" w:color="auto"/>
            <w:left w:val="none" w:sz="0" w:space="0" w:color="auto"/>
            <w:bottom w:val="none" w:sz="0" w:space="0" w:color="auto"/>
            <w:right w:val="none" w:sz="0" w:space="0" w:color="auto"/>
          </w:divBdr>
        </w:div>
        <w:div w:id="1665623426">
          <w:marLeft w:val="0"/>
          <w:marRight w:val="0"/>
          <w:marTop w:val="0"/>
          <w:marBottom w:val="0"/>
          <w:divBdr>
            <w:top w:val="none" w:sz="0" w:space="0" w:color="auto"/>
            <w:left w:val="none" w:sz="0" w:space="0" w:color="auto"/>
            <w:bottom w:val="none" w:sz="0" w:space="0" w:color="auto"/>
            <w:right w:val="none" w:sz="0" w:space="0" w:color="auto"/>
          </w:divBdr>
        </w:div>
        <w:div w:id="1428847807">
          <w:marLeft w:val="0"/>
          <w:marRight w:val="0"/>
          <w:marTop w:val="0"/>
          <w:marBottom w:val="0"/>
          <w:divBdr>
            <w:top w:val="none" w:sz="0" w:space="0" w:color="auto"/>
            <w:left w:val="none" w:sz="0" w:space="0" w:color="auto"/>
            <w:bottom w:val="none" w:sz="0" w:space="0" w:color="auto"/>
            <w:right w:val="none" w:sz="0" w:space="0" w:color="auto"/>
          </w:divBdr>
        </w:div>
        <w:div w:id="1773934797">
          <w:marLeft w:val="0"/>
          <w:marRight w:val="0"/>
          <w:marTop w:val="0"/>
          <w:marBottom w:val="0"/>
          <w:divBdr>
            <w:top w:val="none" w:sz="0" w:space="0" w:color="auto"/>
            <w:left w:val="none" w:sz="0" w:space="0" w:color="auto"/>
            <w:bottom w:val="none" w:sz="0" w:space="0" w:color="auto"/>
            <w:right w:val="none" w:sz="0" w:space="0" w:color="auto"/>
          </w:divBdr>
        </w:div>
        <w:div w:id="125242692">
          <w:marLeft w:val="0"/>
          <w:marRight w:val="0"/>
          <w:marTop w:val="0"/>
          <w:marBottom w:val="0"/>
          <w:divBdr>
            <w:top w:val="none" w:sz="0" w:space="0" w:color="auto"/>
            <w:left w:val="none" w:sz="0" w:space="0" w:color="auto"/>
            <w:bottom w:val="none" w:sz="0" w:space="0" w:color="auto"/>
            <w:right w:val="none" w:sz="0" w:space="0" w:color="auto"/>
          </w:divBdr>
        </w:div>
        <w:div w:id="1736707854">
          <w:marLeft w:val="0"/>
          <w:marRight w:val="0"/>
          <w:marTop w:val="0"/>
          <w:marBottom w:val="0"/>
          <w:divBdr>
            <w:top w:val="none" w:sz="0" w:space="0" w:color="auto"/>
            <w:left w:val="none" w:sz="0" w:space="0" w:color="auto"/>
            <w:bottom w:val="none" w:sz="0" w:space="0" w:color="auto"/>
            <w:right w:val="none" w:sz="0" w:space="0" w:color="auto"/>
          </w:divBdr>
        </w:div>
      </w:divsChild>
    </w:div>
    <w:div w:id="1686056939">
      <w:bodyDiv w:val="1"/>
      <w:marLeft w:val="0"/>
      <w:marRight w:val="0"/>
      <w:marTop w:val="0"/>
      <w:marBottom w:val="0"/>
      <w:divBdr>
        <w:top w:val="none" w:sz="0" w:space="0" w:color="auto"/>
        <w:left w:val="none" w:sz="0" w:space="0" w:color="auto"/>
        <w:bottom w:val="none" w:sz="0" w:space="0" w:color="auto"/>
        <w:right w:val="none" w:sz="0" w:space="0" w:color="auto"/>
      </w:divBdr>
    </w:div>
    <w:div w:id="1865631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hgplc.com/~/media/Files/I/Ihg-Plc/investors/annual-report/2023/ihg-responsible-business-report-2023.pdf?utm_source=chatgpt.com" TargetMode="External"/><Relationship Id="rId18" Type="http://schemas.openxmlformats.org/officeDocument/2006/relationships/hyperlink" Target="https://sustainablehospitalityalliance.org/resource/environmental-management-for-hotels/" TargetMode="External"/><Relationship Id="rId26" Type="http://schemas.openxmlformats.org/officeDocument/2006/relationships/hyperlink" Target="https://wttc.org/Portals/0/Documents/Reports/2021/WTTC_Net_Zero_Roadmap.pdf" TargetMode="External"/><Relationship Id="rId39" Type="http://schemas.openxmlformats.org/officeDocument/2006/relationships/hyperlink" Target="https://wttc.org/Portals/0/Documents/Reports/2021/WTTC_Net_Zero_Roadmap.pdf" TargetMode="External"/><Relationship Id="rId21" Type="http://schemas.openxmlformats.org/officeDocument/2006/relationships/hyperlink" Target="https://www.unwto.org/sustainable-development/climate-action" TargetMode="External"/><Relationship Id="rId34" Type="http://schemas.openxmlformats.org/officeDocument/2006/relationships/hyperlink" Target="https://doi.org/10.1080/02508281.2009.11081594" TargetMode="External"/><Relationship Id="rId7" Type="http://schemas.openxmlformats.org/officeDocument/2006/relationships/hyperlink" Target="https://esg.hilton.com/wp-content/uploads/sites/4/2024/05/2023-Travel-with-Purpose-Report-ADA-final.pdf" TargetMode="External"/><Relationship Id="rId2" Type="http://schemas.openxmlformats.org/officeDocument/2006/relationships/styles" Target="styles.xml"/><Relationship Id="rId16" Type="http://schemas.openxmlformats.org/officeDocument/2006/relationships/hyperlink" Target="https://www.researchgate.net/publication/349228852_Ecological_approach_towards_sustainability_in_hotel_industry" TargetMode="External"/><Relationship Id="rId20" Type="http://schemas.openxmlformats.org/officeDocument/2006/relationships/hyperlink" Target="https://www.unep.org/news-and-stories/story/travel-and-tourism-industry-chart-new-greener-course-cop-26" TargetMode="External"/><Relationship Id="rId29" Type="http://schemas.openxmlformats.org/officeDocument/2006/relationships/hyperlink" Target="https://doi.org/10.3390/su12198138"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opus.lib.uts.edu.au/bitstream/10453/12593/1/2009004829.pdf?utm_source=chatgpt.com" TargetMode="External"/><Relationship Id="rId11" Type="http://schemas.openxmlformats.org/officeDocument/2006/relationships/hyperlink" Target="https://www.ihg.com/content/gb/en/support/green-engage?utm_source=chatgpt.com" TargetMode="External"/><Relationship Id="rId24" Type="http://schemas.openxmlformats.org/officeDocument/2006/relationships/hyperlink" Target="https://doi.org/10.48150/jbssr.v5no2.2024.a1" TargetMode="External"/><Relationship Id="rId32" Type="http://schemas.openxmlformats.org/officeDocument/2006/relationships/hyperlink" Target="https://doi.org/10.2167/jost549.0" TargetMode="External"/><Relationship Id="rId37" Type="http://schemas.openxmlformats.org/officeDocument/2006/relationships/hyperlink" Target="https://news.marriott.com/news/2021/09/22/marriott-international-announces-ambition-to-go-net-zero" TargetMode="External"/><Relationship Id="rId40" Type="http://schemas.openxmlformats.org/officeDocument/2006/relationships/fontTable" Target="fontTable.xml"/><Relationship Id="rId5" Type="http://schemas.openxmlformats.org/officeDocument/2006/relationships/hyperlink" Target="https://opus.lib.uts.edu.au/bitstream/10453/12593/1/2009004829.pdf" TargetMode="External"/><Relationship Id="rId15" Type="http://schemas.openxmlformats.org/officeDocument/2006/relationships/hyperlink" Target="https://irjems.org/Volume-3-Issue-6/IRJEMS-V3I6P145.pdf?utm_source=chatgpt.com" TargetMode="External"/><Relationship Id="rId23" Type="http://schemas.openxmlformats.org/officeDocument/2006/relationships/hyperlink" Target="https://www.unwto.org/sustainable-development/one-planet" TargetMode="External"/><Relationship Id="rId28" Type="http://schemas.openxmlformats.org/officeDocument/2006/relationships/hyperlink" Target="https://doi.org/10.1016/j.ecolecon.2016.12.019" TargetMode="External"/><Relationship Id="rId36" Type="http://schemas.openxmlformats.org/officeDocument/2006/relationships/hyperlink" Target="https://serve360.marriott.com/wp-content/uploads/2024/07/2024ESGProgress.pdf" TargetMode="External"/><Relationship Id="rId10" Type="http://schemas.openxmlformats.org/officeDocument/2006/relationships/hyperlink" Target="https://www.ihg.com/content/gb/en/support/green-engage" TargetMode="External"/><Relationship Id="rId19" Type="http://schemas.openxmlformats.org/officeDocument/2006/relationships/hyperlink" Target="https://sustainablehospitalityalliance.org/resource/environmental-management-for-hotels/?utm_source=chatgpt.com" TargetMode="External"/><Relationship Id="rId31" Type="http://schemas.openxmlformats.org/officeDocument/2006/relationships/hyperlink" Target="https://doi.org/10.1016/j.jclepro.2010.09.017" TargetMode="External"/><Relationship Id="rId4" Type="http://schemas.openxmlformats.org/officeDocument/2006/relationships/webSettings" Target="webSettings.xml"/><Relationship Id="rId9" Type="http://schemas.openxmlformats.org/officeDocument/2006/relationships/hyperlink" Target="https://stories.hilton.com/releases/netzero-passive-housecertified-hotel-to-open" TargetMode="External"/><Relationship Id="rId14" Type="http://schemas.openxmlformats.org/officeDocument/2006/relationships/hyperlink" Target="https://irjems.org/Volume-3-Issue-6/IRJEMS-V3I6P145.pdf" TargetMode="External"/><Relationship Id="rId22" Type="http://schemas.openxmlformats.org/officeDocument/2006/relationships/hyperlink" Target="https://www.unwto.org/the-glasgow-declaration-on-climate-action-in-tourism" TargetMode="External"/><Relationship Id="rId27" Type="http://schemas.openxmlformats.org/officeDocument/2006/relationships/hyperlink" Target="https://doi.org/10.3390/ijerph19116951" TargetMode="External"/><Relationship Id="rId30" Type="http://schemas.openxmlformats.org/officeDocument/2006/relationships/hyperlink" Target="https://doi.org/10.1016/j.jhtm.2021.09.002" TargetMode="External"/><Relationship Id="rId35" Type="http://schemas.openxmlformats.org/officeDocument/2006/relationships/hyperlink" Target="https://doi.org/10.1108/JTF-12-2018-0068" TargetMode="External"/><Relationship Id="rId8" Type="http://schemas.openxmlformats.org/officeDocument/2006/relationships/hyperlink" Target="https://stories.hilton.com/travel-with-purpose/hilton-enhances-esg-targets-climate-action-social-impact" TargetMode="External"/><Relationship Id="rId3" Type="http://schemas.openxmlformats.org/officeDocument/2006/relationships/settings" Target="settings.xml"/><Relationship Id="rId12" Type="http://schemas.openxmlformats.org/officeDocument/2006/relationships/hyperlink" Target="https://www.ihgplc.com/~/media/Files/I/Ihg-Plc/investors/annual-report/2023/ihg-responsible-business-report-2023.pdf" TargetMode="External"/><Relationship Id="rId17" Type="http://schemas.openxmlformats.org/officeDocument/2006/relationships/hyperlink" Target="https://www.researchgate.net/publication/349228852_Ecological_approach_towards_sustainability_in_hotel_industry?utm_source=chatgpt.com" TargetMode="External"/><Relationship Id="rId25" Type="http://schemas.openxmlformats.org/officeDocument/2006/relationships/hyperlink" Target="https://openknowledge.worldbank.org/handle/10986/30317" TargetMode="External"/><Relationship Id="rId33" Type="http://schemas.openxmlformats.org/officeDocument/2006/relationships/hyperlink" Target="https://doi.org/10.3390/su11246983" TargetMode="External"/><Relationship Id="rId38" Type="http://schemas.openxmlformats.org/officeDocument/2006/relationships/hyperlink" Target="https://www.nielsen.com/us/en/insights/report/2022/sustainable-trave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4413</Words>
  <Characters>25159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Razvan Frumusanu</dc:creator>
  <cp:keywords/>
  <dc:description/>
  <cp:lastModifiedBy>Ioana-Alexandra Frumusanu (2212521)</cp:lastModifiedBy>
  <cp:revision>4</cp:revision>
  <dcterms:created xsi:type="dcterms:W3CDTF">2025-06-02T21:49:00Z</dcterms:created>
  <dcterms:modified xsi:type="dcterms:W3CDTF">2025-06-02T22:06:00Z</dcterms:modified>
</cp:coreProperties>
</file>