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1F9BD0" w14:textId="11AD034F" w:rsidR="00504454" w:rsidRDefault="00504454" w:rsidP="00504454">
      <w:pPr>
        <w:jc w:val="center"/>
      </w:pPr>
      <w:r>
        <w:rPr>
          <w:b/>
          <w:color w:val="1C465C"/>
          <w:sz w:val="38"/>
        </w:rPr>
        <w:t>LCHS7009 Component 1</w:t>
      </w:r>
      <w:r>
        <w:rPr>
          <w:b/>
          <w:color w:val="1C465C"/>
          <w:sz w:val="38"/>
        </w:rPr>
        <w:br/>
      </w:r>
      <w:r>
        <w:rPr>
          <w:b/>
          <w:color w:val="1C465C"/>
          <w:sz w:val="36"/>
        </w:rPr>
        <w:t>Digital Health Promotion Blogs</w:t>
      </w:r>
    </w:p>
    <w:p w14:paraId="10A92BDE" w14:textId="77777777" w:rsidR="00504454" w:rsidRDefault="00504454" w:rsidP="00504454">
      <w:pPr>
        <w:jc w:val="center"/>
        <w:rPr>
          <w:i/>
          <w:color w:val="646464"/>
        </w:rPr>
      </w:pPr>
      <w:r>
        <w:rPr>
          <w:i/>
          <w:color w:val="646464"/>
        </w:rPr>
        <w:t>Two blog entries | Existing technology and designed technology</w:t>
      </w:r>
    </w:p>
    <w:p w14:paraId="4504AB0E" w14:textId="77777777" w:rsidR="00504454" w:rsidRDefault="00504454" w:rsidP="00504454">
      <w:pPr>
        <w:jc w:val="center"/>
      </w:pPr>
    </w:p>
    <w:tbl>
      <w:tblPr>
        <w:tblStyle w:val="TableGrid"/>
        <w:tblW w:w="0" w:type="auto"/>
        <w:jc w:val="center"/>
        <w:tblLook w:val="04A0" w:firstRow="1" w:lastRow="0" w:firstColumn="1" w:lastColumn="0" w:noHBand="0" w:noVBand="1"/>
      </w:tblPr>
      <w:tblGrid>
        <w:gridCol w:w="4892"/>
        <w:gridCol w:w="4890"/>
      </w:tblGrid>
      <w:tr w:rsidR="00504454" w:rsidRPr="007E2B4E" w14:paraId="42008529" w14:textId="77777777" w:rsidTr="002000DD">
        <w:trPr>
          <w:jc w:val="center"/>
        </w:trPr>
        <w:tc>
          <w:tcPr>
            <w:tcW w:w="5107" w:type="dxa"/>
            <w:vAlign w:val="center"/>
          </w:tcPr>
          <w:p w14:paraId="5F2315E5" w14:textId="77777777" w:rsidR="00504454" w:rsidRPr="007E2B4E" w:rsidRDefault="00504454" w:rsidP="002000DD">
            <w:pPr>
              <w:spacing w:line="360" w:lineRule="auto"/>
            </w:pPr>
            <w:proofErr w:type="spellStart"/>
            <w:r w:rsidRPr="007E2B4E">
              <w:rPr>
                <w:b/>
              </w:rPr>
              <w:t>Programme</w:t>
            </w:r>
            <w:proofErr w:type="spellEnd"/>
          </w:p>
        </w:tc>
        <w:tc>
          <w:tcPr>
            <w:tcW w:w="5107" w:type="dxa"/>
            <w:vAlign w:val="center"/>
          </w:tcPr>
          <w:p w14:paraId="600BDBEA" w14:textId="77777777" w:rsidR="00504454" w:rsidRPr="007E2B4E" w:rsidRDefault="00504454" w:rsidP="002000DD">
            <w:pPr>
              <w:spacing w:line="360" w:lineRule="auto"/>
            </w:pPr>
            <w:r w:rsidRPr="007E2B4E">
              <w:t>MSc Public Health and Social Care in Practice</w:t>
            </w:r>
          </w:p>
        </w:tc>
      </w:tr>
      <w:tr w:rsidR="00504454" w:rsidRPr="007E2B4E" w14:paraId="0B3F7376" w14:textId="77777777" w:rsidTr="002000DD">
        <w:trPr>
          <w:jc w:val="center"/>
        </w:trPr>
        <w:tc>
          <w:tcPr>
            <w:tcW w:w="5107" w:type="dxa"/>
            <w:vAlign w:val="center"/>
          </w:tcPr>
          <w:p w14:paraId="290157FA" w14:textId="77777777" w:rsidR="00504454" w:rsidRPr="007E2B4E" w:rsidRDefault="00504454" w:rsidP="002000DD">
            <w:pPr>
              <w:spacing w:line="360" w:lineRule="auto"/>
            </w:pPr>
            <w:r w:rsidRPr="007E2B4E">
              <w:rPr>
                <w:b/>
              </w:rPr>
              <w:t>Module</w:t>
            </w:r>
          </w:p>
        </w:tc>
        <w:tc>
          <w:tcPr>
            <w:tcW w:w="5107" w:type="dxa"/>
            <w:vAlign w:val="center"/>
          </w:tcPr>
          <w:p w14:paraId="3398E2BE" w14:textId="77777777" w:rsidR="00504454" w:rsidRPr="007E2B4E" w:rsidRDefault="00504454" w:rsidP="002000DD">
            <w:pPr>
              <w:spacing w:line="360" w:lineRule="auto"/>
            </w:pPr>
            <w:r w:rsidRPr="007E2B4E">
              <w:t>Population Health and Digital Health Promotion</w:t>
            </w:r>
          </w:p>
        </w:tc>
      </w:tr>
      <w:tr w:rsidR="00504454" w:rsidRPr="007E2B4E" w14:paraId="53D995C2" w14:textId="77777777" w:rsidTr="002000DD">
        <w:trPr>
          <w:jc w:val="center"/>
        </w:trPr>
        <w:tc>
          <w:tcPr>
            <w:tcW w:w="5107" w:type="dxa"/>
            <w:vAlign w:val="center"/>
          </w:tcPr>
          <w:p w14:paraId="1C3D2094" w14:textId="77777777" w:rsidR="00504454" w:rsidRPr="007E2B4E" w:rsidRDefault="00504454" w:rsidP="002000DD">
            <w:pPr>
              <w:spacing w:line="360" w:lineRule="auto"/>
            </w:pPr>
            <w:r w:rsidRPr="007E2B4E">
              <w:rPr>
                <w:b/>
              </w:rPr>
              <w:t>Module code</w:t>
            </w:r>
          </w:p>
        </w:tc>
        <w:tc>
          <w:tcPr>
            <w:tcW w:w="5107" w:type="dxa"/>
            <w:vAlign w:val="center"/>
          </w:tcPr>
          <w:p w14:paraId="701795C5" w14:textId="77777777" w:rsidR="00504454" w:rsidRPr="007E2B4E" w:rsidRDefault="00504454" w:rsidP="002000DD">
            <w:pPr>
              <w:spacing w:line="360" w:lineRule="auto"/>
            </w:pPr>
            <w:r w:rsidRPr="007E2B4E">
              <w:t>LCHS7009</w:t>
            </w:r>
          </w:p>
        </w:tc>
      </w:tr>
      <w:tr w:rsidR="00504454" w:rsidRPr="007E2B4E" w14:paraId="476B476B" w14:textId="77777777" w:rsidTr="002000DD">
        <w:trPr>
          <w:jc w:val="center"/>
        </w:trPr>
        <w:tc>
          <w:tcPr>
            <w:tcW w:w="5107" w:type="dxa"/>
            <w:vAlign w:val="center"/>
          </w:tcPr>
          <w:p w14:paraId="5D532298" w14:textId="77777777" w:rsidR="00504454" w:rsidRPr="007E2B4E" w:rsidRDefault="00504454" w:rsidP="002000DD">
            <w:pPr>
              <w:spacing w:line="360" w:lineRule="auto"/>
            </w:pPr>
            <w:r w:rsidRPr="007E2B4E">
              <w:rPr>
                <w:b/>
              </w:rPr>
              <w:t>Lecturer</w:t>
            </w:r>
          </w:p>
        </w:tc>
        <w:tc>
          <w:tcPr>
            <w:tcW w:w="5107" w:type="dxa"/>
            <w:vAlign w:val="center"/>
          </w:tcPr>
          <w:p w14:paraId="5963095E" w14:textId="77777777" w:rsidR="00504454" w:rsidRPr="007E2B4E" w:rsidRDefault="00504454" w:rsidP="002000DD">
            <w:pPr>
              <w:spacing w:line="360" w:lineRule="auto"/>
            </w:pPr>
            <w:r w:rsidRPr="007E2B4E">
              <w:t>Dr. Raheela Shaikh</w:t>
            </w:r>
          </w:p>
        </w:tc>
      </w:tr>
      <w:tr w:rsidR="00504454" w:rsidRPr="007E2B4E" w14:paraId="3086FE80" w14:textId="77777777" w:rsidTr="002000DD">
        <w:trPr>
          <w:jc w:val="center"/>
        </w:trPr>
        <w:tc>
          <w:tcPr>
            <w:tcW w:w="5107" w:type="dxa"/>
            <w:vAlign w:val="center"/>
          </w:tcPr>
          <w:p w14:paraId="799FBFC4" w14:textId="77777777" w:rsidR="00504454" w:rsidRPr="007E2B4E" w:rsidRDefault="00504454" w:rsidP="002000DD">
            <w:pPr>
              <w:spacing w:line="360" w:lineRule="auto"/>
            </w:pPr>
            <w:r w:rsidRPr="007E2B4E">
              <w:rPr>
                <w:b/>
              </w:rPr>
              <w:t>Assignment title</w:t>
            </w:r>
          </w:p>
        </w:tc>
        <w:tc>
          <w:tcPr>
            <w:tcW w:w="5107" w:type="dxa"/>
            <w:vAlign w:val="center"/>
          </w:tcPr>
          <w:p w14:paraId="008CB1A0" w14:textId="77777777" w:rsidR="00504454" w:rsidRPr="007E2B4E" w:rsidRDefault="00504454" w:rsidP="002000DD">
            <w:pPr>
              <w:spacing w:line="360" w:lineRule="auto"/>
            </w:pPr>
            <w:r w:rsidRPr="007E2B4E">
              <w:t>Component 1: 2 Blogs</w:t>
            </w:r>
          </w:p>
        </w:tc>
      </w:tr>
      <w:tr w:rsidR="00504454" w:rsidRPr="007E2B4E" w14:paraId="2EBFF757" w14:textId="77777777" w:rsidTr="002000DD">
        <w:trPr>
          <w:jc w:val="center"/>
        </w:trPr>
        <w:tc>
          <w:tcPr>
            <w:tcW w:w="5107" w:type="dxa"/>
            <w:vAlign w:val="center"/>
          </w:tcPr>
          <w:p w14:paraId="45DE30E5" w14:textId="77777777" w:rsidR="00504454" w:rsidRPr="007E2B4E" w:rsidRDefault="00504454" w:rsidP="002000DD">
            <w:pPr>
              <w:spacing w:line="360" w:lineRule="auto"/>
            </w:pPr>
            <w:r w:rsidRPr="007E2B4E">
              <w:rPr>
                <w:b/>
              </w:rPr>
              <w:t>Student name</w:t>
            </w:r>
          </w:p>
        </w:tc>
        <w:tc>
          <w:tcPr>
            <w:tcW w:w="5107" w:type="dxa"/>
            <w:vAlign w:val="center"/>
          </w:tcPr>
          <w:p w14:paraId="78068F9A" w14:textId="5131FB8E" w:rsidR="00504454" w:rsidRPr="007E2B4E" w:rsidRDefault="00A03636" w:rsidP="002000DD">
            <w:pPr>
              <w:spacing w:line="360" w:lineRule="auto"/>
            </w:pPr>
            <w:r w:rsidRPr="00A03636">
              <w:t>Ashraf Ullah</w:t>
            </w:r>
          </w:p>
        </w:tc>
      </w:tr>
      <w:tr w:rsidR="00504454" w:rsidRPr="007E2B4E" w14:paraId="39EEF48F" w14:textId="77777777" w:rsidTr="002000DD">
        <w:trPr>
          <w:jc w:val="center"/>
        </w:trPr>
        <w:tc>
          <w:tcPr>
            <w:tcW w:w="5107" w:type="dxa"/>
            <w:vAlign w:val="center"/>
          </w:tcPr>
          <w:p w14:paraId="158089C4" w14:textId="77777777" w:rsidR="00504454" w:rsidRPr="007E2B4E" w:rsidRDefault="00504454" w:rsidP="002000DD">
            <w:pPr>
              <w:spacing w:line="360" w:lineRule="auto"/>
            </w:pPr>
            <w:r w:rsidRPr="007E2B4E">
              <w:rPr>
                <w:b/>
              </w:rPr>
              <w:t>Student ID number</w:t>
            </w:r>
          </w:p>
        </w:tc>
        <w:tc>
          <w:tcPr>
            <w:tcW w:w="5107" w:type="dxa"/>
            <w:vAlign w:val="center"/>
          </w:tcPr>
          <w:p w14:paraId="7F31F0C7" w14:textId="5D31DAE0" w:rsidR="00504454" w:rsidRPr="007E2B4E" w:rsidRDefault="00A03636" w:rsidP="002000DD">
            <w:pPr>
              <w:spacing w:line="360" w:lineRule="auto"/>
            </w:pPr>
            <w:r w:rsidRPr="00A03636">
              <w:t>2503813</w:t>
            </w:r>
          </w:p>
        </w:tc>
      </w:tr>
      <w:tr w:rsidR="00504454" w:rsidRPr="007E2B4E" w14:paraId="3D4CA442" w14:textId="77777777" w:rsidTr="002000DD">
        <w:trPr>
          <w:jc w:val="center"/>
        </w:trPr>
        <w:tc>
          <w:tcPr>
            <w:tcW w:w="5107" w:type="dxa"/>
            <w:vAlign w:val="center"/>
          </w:tcPr>
          <w:p w14:paraId="1F28EBF1" w14:textId="77777777" w:rsidR="00504454" w:rsidRPr="007E2B4E" w:rsidRDefault="00504454" w:rsidP="002000DD">
            <w:pPr>
              <w:spacing w:line="360" w:lineRule="auto"/>
              <w:rPr>
                <w:b/>
              </w:rPr>
            </w:pPr>
            <w:r>
              <w:rPr>
                <w:b/>
              </w:rPr>
              <w:t>Submission Date</w:t>
            </w:r>
          </w:p>
        </w:tc>
        <w:tc>
          <w:tcPr>
            <w:tcW w:w="5107" w:type="dxa"/>
            <w:vAlign w:val="center"/>
          </w:tcPr>
          <w:p w14:paraId="7FF035CB" w14:textId="21200E0F" w:rsidR="00504454" w:rsidRPr="007E2B4E" w:rsidRDefault="004807EC" w:rsidP="002000DD">
            <w:pPr>
              <w:spacing w:line="360" w:lineRule="auto"/>
            </w:pPr>
            <w:r>
              <w:t>23</w:t>
            </w:r>
            <w:r w:rsidRPr="004807EC">
              <w:rPr>
                <w:vertAlign w:val="superscript"/>
              </w:rPr>
              <w:t>rd</w:t>
            </w:r>
            <w:r>
              <w:t xml:space="preserve"> October, 2026</w:t>
            </w:r>
          </w:p>
        </w:tc>
      </w:tr>
    </w:tbl>
    <w:p w14:paraId="40464707" w14:textId="77777777" w:rsidR="00504454" w:rsidRDefault="00504454" w:rsidP="00504454">
      <w:r>
        <w:br w:type="page"/>
      </w:r>
    </w:p>
    <w:p w14:paraId="3F072A99" w14:textId="2ED06C66" w:rsidR="0042004E" w:rsidRPr="00C3262D" w:rsidRDefault="00000000">
      <w:pPr>
        <w:spacing w:before="60" w:after="100"/>
        <w:rPr>
          <w:rFonts w:ascii="Arial" w:hAnsi="Arial" w:cs="Arial"/>
          <w:sz w:val="28"/>
          <w:szCs w:val="28"/>
        </w:rPr>
      </w:pPr>
      <w:r w:rsidRPr="00C3262D">
        <w:rPr>
          <w:rFonts w:ascii="Arial" w:hAnsi="Arial" w:cs="Arial"/>
          <w:b/>
          <w:color w:val="974D67"/>
          <w:sz w:val="20"/>
          <w:szCs w:val="28"/>
        </w:rPr>
        <w:lastRenderedPageBreak/>
        <w:t xml:space="preserve">BLOG </w:t>
      </w:r>
      <w:r w:rsidR="00504454" w:rsidRPr="00C3262D">
        <w:rPr>
          <w:rFonts w:ascii="Arial" w:hAnsi="Arial" w:cs="Arial"/>
          <w:b/>
          <w:color w:val="974D67"/>
          <w:sz w:val="20"/>
          <w:szCs w:val="28"/>
        </w:rPr>
        <w:t>1:</w:t>
      </w:r>
      <w:r w:rsidRPr="00C3262D">
        <w:rPr>
          <w:rFonts w:ascii="Arial" w:hAnsi="Arial" w:cs="Arial"/>
          <w:b/>
          <w:color w:val="974D67"/>
          <w:sz w:val="20"/>
          <w:szCs w:val="28"/>
        </w:rPr>
        <w:t xml:space="preserve"> EXISTING TECHNOLOGY</w:t>
      </w:r>
    </w:p>
    <w:p w14:paraId="10FA1052" w14:textId="77777777" w:rsidR="0042004E" w:rsidRPr="00C3262D" w:rsidRDefault="00000000" w:rsidP="00504454">
      <w:pPr>
        <w:pStyle w:val="Blogtitle"/>
        <w:jc w:val="both"/>
        <w:rPr>
          <w:rFonts w:ascii="Arial" w:hAnsi="Arial" w:cs="Arial"/>
        </w:rPr>
      </w:pPr>
      <w:r w:rsidRPr="00C3262D">
        <w:rPr>
          <w:rFonts w:ascii="Arial" w:hAnsi="Arial" w:cs="Arial"/>
          <w:sz w:val="40"/>
          <w:szCs w:val="28"/>
        </w:rPr>
        <w:t>Role of Digital Technology in Supporting People Living with Dementia and Reducing Social Isolation</w:t>
      </w:r>
    </w:p>
    <w:p w14:paraId="6450D102" w14:textId="77777777" w:rsidR="0042004E" w:rsidRPr="00C3262D" w:rsidRDefault="0042004E">
      <w:pPr>
        <w:pBdr>
          <w:bottom w:val="single" w:sz="12" w:space="0" w:color="007F80"/>
        </w:pBdr>
        <w:spacing w:before="20" w:after="100"/>
        <w:rPr>
          <w:rFonts w:ascii="Arial" w:hAnsi="Arial" w:cs="Arial"/>
        </w:rPr>
      </w:pPr>
    </w:p>
    <w:p w14:paraId="0B6F34EA" w14:textId="77777777" w:rsidR="0042004E" w:rsidRPr="00C3262D" w:rsidRDefault="00000000">
      <w:pPr>
        <w:pStyle w:val="Blogheading"/>
        <w:rPr>
          <w:rFonts w:ascii="Arial" w:hAnsi="Arial" w:cs="Arial"/>
        </w:rPr>
      </w:pPr>
      <w:r w:rsidRPr="00C3262D">
        <w:rPr>
          <w:rFonts w:ascii="Arial" w:hAnsi="Arial" w:cs="Arial"/>
          <w:sz w:val="24"/>
          <w:szCs w:val="24"/>
        </w:rPr>
        <w:t>Background</w:t>
      </w:r>
    </w:p>
    <w:p w14:paraId="018FABC0" w14:textId="77777777" w:rsidR="004807EC" w:rsidRPr="00C3262D" w:rsidRDefault="004807EC" w:rsidP="004807EC">
      <w:pPr>
        <w:jc w:val="both"/>
        <w:rPr>
          <w:rFonts w:ascii="Arial" w:hAnsi="Arial" w:cs="Arial"/>
          <w:bCs/>
          <w:color w:val="000000" w:themeColor="text1"/>
        </w:rPr>
      </w:pPr>
      <w:r w:rsidRPr="00C3262D">
        <w:rPr>
          <w:rFonts w:ascii="Arial" w:hAnsi="Arial" w:cs="Arial"/>
          <w:bCs/>
          <w:color w:val="000000" w:themeColor="text1"/>
        </w:rPr>
        <w:t>Dementia is a condition that affects the brain, causing a gradual decline in memory, thinking, communication and the ability to perform everyday activities. It is not a normal part of ageing and is caused by various diseases which damage brain cells (World Health Organization, 2026). Social isolation refers to little interaction with people whereas loneliness is a sense of being out of touch. They both can be detrimental to wellbeing (Anderson et al., 2022; World Health Organization, 2026).</w:t>
      </w:r>
    </w:p>
    <w:p w14:paraId="70120810" w14:textId="3A632F78" w:rsidR="0042004E" w:rsidRPr="00C3262D" w:rsidRDefault="004807EC">
      <w:pPr>
        <w:jc w:val="both"/>
        <w:rPr>
          <w:rFonts w:ascii="Arial" w:hAnsi="Arial" w:cs="Arial"/>
          <w:bCs/>
          <w:color w:val="000000" w:themeColor="text1"/>
        </w:rPr>
      </w:pPr>
      <w:r w:rsidRPr="00C3262D">
        <w:rPr>
          <w:rFonts w:ascii="Arial" w:hAnsi="Arial" w:cs="Arial"/>
          <w:bCs/>
          <w:color w:val="000000" w:themeColor="text1"/>
        </w:rPr>
        <w:t>In 2024, the estimates of the number of individuals living with dementia in the United Kingdom (UK) were approximately 982,000 (Alzheimer’s Society, 2024). One UK study of individuals with dementia found that 35.4% were lonely, 28.8% socially isolated at baseline (Rippon et al., 2026). These are not national rates, but study findings.</w:t>
      </w:r>
    </w:p>
    <w:p w14:paraId="33A83B77" w14:textId="0FDD6BE4" w:rsidR="00660934" w:rsidRPr="00C3262D" w:rsidRDefault="00660934" w:rsidP="00660934">
      <w:pPr>
        <w:jc w:val="center"/>
        <w:rPr>
          <w:rFonts w:ascii="Arial" w:hAnsi="Arial" w:cs="Arial"/>
          <w:color w:val="000000" w:themeColor="text1"/>
        </w:rPr>
      </w:pPr>
      <w:r w:rsidRPr="00C3262D">
        <w:rPr>
          <w:rFonts w:ascii="Arial" w:hAnsi="Arial" w:cs="Arial"/>
          <w:noProof/>
          <w:color w:val="000000" w:themeColor="text1"/>
        </w:rPr>
        <w:drawing>
          <wp:inline distT="0" distB="0" distL="0" distR="0" wp14:anchorId="41C26428" wp14:editId="42DE5A1D">
            <wp:extent cx="3956050" cy="3291840"/>
            <wp:effectExtent l="0" t="0" r="6350" b="3810"/>
            <wp:docPr id="37649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75285" cy="3307845"/>
                    </a:xfrm>
                    <a:prstGeom prst="rect">
                      <a:avLst/>
                    </a:prstGeom>
                    <a:noFill/>
                  </pic:spPr>
                </pic:pic>
              </a:graphicData>
            </a:graphic>
          </wp:inline>
        </w:drawing>
      </w:r>
    </w:p>
    <w:p w14:paraId="6A55F02B" w14:textId="75B18B9E" w:rsidR="00660934" w:rsidRPr="00C3262D" w:rsidRDefault="00660934" w:rsidP="00660934">
      <w:pPr>
        <w:jc w:val="center"/>
        <w:rPr>
          <w:rFonts w:ascii="Arial" w:hAnsi="Arial" w:cs="Arial"/>
          <w:color w:val="000000" w:themeColor="text1"/>
        </w:rPr>
      </w:pPr>
      <w:r w:rsidRPr="00C3262D">
        <w:rPr>
          <w:rFonts w:ascii="Arial" w:hAnsi="Arial" w:cs="Arial"/>
          <w:i/>
          <w:sz w:val="21"/>
        </w:rPr>
        <w:t>Figure 1: Common symptoms of dementia. Source: Dr Lana (2024).</w:t>
      </w:r>
    </w:p>
    <w:p w14:paraId="7ECC4FA9" w14:textId="77777777" w:rsidR="0042004E" w:rsidRPr="00C3262D" w:rsidRDefault="00000000">
      <w:pPr>
        <w:pStyle w:val="Blogheading"/>
        <w:rPr>
          <w:rFonts w:ascii="Arial" w:hAnsi="Arial" w:cs="Arial"/>
        </w:rPr>
      </w:pPr>
      <w:r w:rsidRPr="00C3262D">
        <w:rPr>
          <w:rFonts w:ascii="Arial" w:hAnsi="Arial" w:cs="Arial"/>
          <w:sz w:val="24"/>
          <w:szCs w:val="24"/>
        </w:rPr>
        <w:t>Role of digital technology</w:t>
      </w:r>
    </w:p>
    <w:p w14:paraId="516B3DE7" w14:textId="77777777" w:rsidR="004807EC" w:rsidRPr="00C3262D" w:rsidRDefault="004807EC" w:rsidP="004807EC">
      <w:pPr>
        <w:jc w:val="both"/>
        <w:rPr>
          <w:rFonts w:ascii="Arial" w:hAnsi="Arial" w:cs="Arial"/>
          <w:color w:val="000000" w:themeColor="text1"/>
        </w:rPr>
      </w:pPr>
      <w:r w:rsidRPr="00C3262D">
        <w:rPr>
          <w:rFonts w:ascii="Arial" w:hAnsi="Arial" w:cs="Arial"/>
          <w:color w:val="000000" w:themeColor="text1"/>
        </w:rPr>
        <w:t xml:space="preserve">The Computer Interactive Reminiscence and Conversation Aid (CIRCA) is an existing touchscreen </w:t>
      </w:r>
      <w:proofErr w:type="spellStart"/>
      <w:r w:rsidRPr="00C3262D">
        <w:rPr>
          <w:rFonts w:ascii="Arial" w:hAnsi="Arial" w:cs="Arial"/>
          <w:color w:val="000000" w:themeColor="text1"/>
        </w:rPr>
        <w:t>programme</w:t>
      </w:r>
      <w:proofErr w:type="spellEnd"/>
      <w:r w:rsidRPr="00C3262D">
        <w:rPr>
          <w:rFonts w:ascii="Arial" w:hAnsi="Arial" w:cs="Arial"/>
          <w:color w:val="000000" w:themeColor="text1"/>
        </w:rPr>
        <w:t xml:space="preserve"> that uses photographs, music and videos. This material can be explored by a person with dementia and a relative or a care worker to initiate discussions (Astell et al., 2018).</w:t>
      </w:r>
    </w:p>
    <w:p w14:paraId="1A32A9FA" w14:textId="77777777" w:rsidR="004807EC" w:rsidRPr="00C3262D" w:rsidRDefault="004807EC" w:rsidP="004807EC">
      <w:pPr>
        <w:jc w:val="both"/>
        <w:rPr>
          <w:rFonts w:ascii="Arial" w:hAnsi="Arial" w:cs="Arial"/>
          <w:color w:val="000000" w:themeColor="text1"/>
        </w:rPr>
      </w:pPr>
      <w:r w:rsidRPr="00C3262D">
        <w:rPr>
          <w:rFonts w:ascii="Arial" w:hAnsi="Arial" w:cs="Arial"/>
          <w:color w:val="000000" w:themeColor="text1"/>
        </w:rPr>
        <w:t>CIRCA is applicable since when words are hard to locate, familiar images and songs can be helpful. It provides common subjects of discussion as opposed to a regular video call. But it might be necessary to have another individual leading the session (DATE Lab, n.d.).</w:t>
      </w:r>
    </w:p>
    <w:p w14:paraId="21420FFA" w14:textId="4B3474FD" w:rsidR="0042004E" w:rsidRPr="00C3262D" w:rsidRDefault="00BB4491">
      <w:pPr>
        <w:spacing w:before="20" w:after="20"/>
        <w:jc w:val="center"/>
        <w:rPr>
          <w:rFonts w:ascii="Arial" w:hAnsi="Arial" w:cs="Arial"/>
        </w:rPr>
      </w:pPr>
      <w:r w:rsidRPr="00C3262D">
        <w:rPr>
          <w:rFonts w:ascii="Arial" w:hAnsi="Arial" w:cs="Arial"/>
          <w:noProof/>
        </w:rPr>
        <w:lastRenderedPageBreak/>
        <w:drawing>
          <wp:inline distT="0" distB="0" distL="0" distR="0" wp14:anchorId="3F035A2E" wp14:editId="775E94DA">
            <wp:extent cx="6040754" cy="2918460"/>
            <wp:effectExtent l="0" t="0" r="0" b="0"/>
            <wp:docPr id="200890332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82650" cy="2938701"/>
                    </a:xfrm>
                    <a:prstGeom prst="rect">
                      <a:avLst/>
                    </a:prstGeom>
                    <a:noFill/>
                  </pic:spPr>
                </pic:pic>
              </a:graphicData>
            </a:graphic>
          </wp:inline>
        </w:drawing>
      </w:r>
    </w:p>
    <w:p w14:paraId="7E6BB81E" w14:textId="5A6F5733" w:rsidR="0042004E" w:rsidRPr="00C3262D" w:rsidRDefault="00000000">
      <w:pPr>
        <w:pStyle w:val="Figurecaptionclean"/>
        <w:jc w:val="center"/>
        <w:rPr>
          <w:rFonts w:ascii="Arial" w:hAnsi="Arial" w:cs="Arial"/>
          <w:i w:val="0"/>
          <w:iCs/>
        </w:rPr>
      </w:pPr>
      <w:r w:rsidRPr="00C3262D">
        <w:rPr>
          <w:rFonts w:ascii="Arial" w:hAnsi="Arial" w:cs="Arial"/>
          <w:sz w:val="21"/>
        </w:rPr>
        <w:t>Figure 2: How CIRCA uses shared media to support conversation. Based on Astell et al. (2018).</w:t>
      </w:r>
    </w:p>
    <w:p w14:paraId="05834FFD" w14:textId="77777777" w:rsidR="0042004E" w:rsidRPr="00C3262D" w:rsidRDefault="00000000">
      <w:pPr>
        <w:pStyle w:val="Blogheading"/>
        <w:rPr>
          <w:rFonts w:ascii="Arial" w:hAnsi="Arial" w:cs="Arial"/>
        </w:rPr>
      </w:pPr>
      <w:r w:rsidRPr="00C3262D">
        <w:rPr>
          <w:rFonts w:ascii="Arial" w:hAnsi="Arial" w:cs="Arial"/>
          <w:sz w:val="24"/>
          <w:szCs w:val="24"/>
        </w:rPr>
        <w:t>Clinical impact of digital technology</w:t>
      </w:r>
    </w:p>
    <w:p w14:paraId="4CB79F76" w14:textId="77777777" w:rsidR="004807EC" w:rsidRPr="00C3262D" w:rsidRDefault="004807EC" w:rsidP="004807EC">
      <w:pPr>
        <w:jc w:val="both"/>
        <w:rPr>
          <w:rFonts w:ascii="Arial" w:hAnsi="Arial" w:cs="Arial"/>
          <w:color w:val="000000" w:themeColor="text1"/>
        </w:rPr>
      </w:pPr>
      <w:r w:rsidRPr="00C3262D">
        <w:rPr>
          <w:rFonts w:ascii="Arial" w:hAnsi="Arial" w:cs="Arial"/>
          <w:color w:val="000000" w:themeColor="text1"/>
        </w:rPr>
        <w:t>This study was done in the UK with 161 individuals with dementia who participated in eight CIRCA group sessions. The quality of life and thinking skills improved after the sessions and at three-month follow-up (Astell et al., 2018). These findings do not however conclusively show that CIRCA decreases social isolation since the study did not directly measure loneliness.</w:t>
      </w:r>
    </w:p>
    <w:p w14:paraId="3B6D596B" w14:textId="77777777" w:rsidR="004807EC" w:rsidRPr="00C3262D" w:rsidRDefault="004807EC" w:rsidP="004807EC">
      <w:pPr>
        <w:jc w:val="both"/>
        <w:rPr>
          <w:rFonts w:ascii="Arial" w:hAnsi="Arial" w:cs="Arial"/>
          <w:color w:val="000000" w:themeColor="text1"/>
        </w:rPr>
      </w:pPr>
      <w:r w:rsidRPr="00C3262D">
        <w:rPr>
          <w:rFonts w:ascii="Arial" w:hAnsi="Arial" w:cs="Arial"/>
          <w:color w:val="000000" w:themeColor="text1"/>
        </w:rPr>
        <w:t>A systematic review of 69 studies identified some positive effects of technology-assisted social contact, with inconsistent study designs and results. The evidence is not conclusive but promising (Anderson et al., 2022).</w:t>
      </w:r>
    </w:p>
    <w:p w14:paraId="6D0C38C2" w14:textId="77777777" w:rsidR="004807EC" w:rsidRPr="00C3262D" w:rsidRDefault="004807EC" w:rsidP="004807EC">
      <w:pPr>
        <w:jc w:val="both"/>
        <w:rPr>
          <w:rFonts w:ascii="Arial" w:hAnsi="Arial" w:cs="Arial"/>
          <w:color w:val="000000" w:themeColor="text1"/>
        </w:rPr>
      </w:pPr>
      <w:r w:rsidRPr="00C3262D">
        <w:rPr>
          <w:rFonts w:ascii="Arial" w:hAnsi="Arial" w:cs="Arial"/>
          <w:color w:val="000000" w:themeColor="text1"/>
        </w:rPr>
        <w:t xml:space="preserve">Possible benefits are explained with the help of the Capability, Opportunity, Motivation and </w:t>
      </w:r>
      <w:proofErr w:type="spellStart"/>
      <w:r w:rsidRPr="00C3262D">
        <w:rPr>
          <w:rFonts w:ascii="Arial" w:hAnsi="Arial" w:cs="Arial"/>
          <w:color w:val="000000" w:themeColor="text1"/>
        </w:rPr>
        <w:t>Behaviour</w:t>
      </w:r>
      <w:proofErr w:type="spellEnd"/>
      <w:r w:rsidRPr="00C3262D">
        <w:rPr>
          <w:rFonts w:ascii="Arial" w:hAnsi="Arial" w:cs="Arial"/>
          <w:color w:val="000000" w:themeColor="text1"/>
        </w:rPr>
        <w:t xml:space="preserve"> (COM-B) model. The ability to talk (capability), group sessions (contact) and pleasant memories (motivation) may be encouraged by familiar materials (capability), group sessions (opportunity) and pleasant memories (motivation) (Michie, van Stralen and West, 2011).</w:t>
      </w:r>
    </w:p>
    <w:p w14:paraId="77D36BF3" w14:textId="47850A70" w:rsidR="00660934" w:rsidRPr="00C3262D" w:rsidRDefault="00660934" w:rsidP="00660934">
      <w:pPr>
        <w:jc w:val="center"/>
        <w:rPr>
          <w:rFonts w:ascii="Arial" w:hAnsi="Arial" w:cs="Arial"/>
        </w:rPr>
      </w:pPr>
      <w:r w:rsidRPr="00C3262D">
        <w:rPr>
          <w:rFonts w:ascii="Arial" w:hAnsi="Arial" w:cs="Arial"/>
          <w:noProof/>
        </w:rPr>
        <w:drawing>
          <wp:inline distT="0" distB="0" distL="0" distR="0" wp14:anchorId="60F4A7B0" wp14:editId="7FCCA0E9">
            <wp:extent cx="4587240" cy="2540000"/>
            <wp:effectExtent l="0" t="0" r="3810" b="0"/>
            <wp:docPr id="179330807" name="Picture 2" descr="CIRCA-CA — DATE La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IRCA-CA — DATE Lab"/>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08051" cy="2551523"/>
                    </a:xfrm>
                    <a:prstGeom prst="rect">
                      <a:avLst/>
                    </a:prstGeom>
                    <a:noFill/>
                    <a:ln>
                      <a:noFill/>
                    </a:ln>
                  </pic:spPr>
                </pic:pic>
              </a:graphicData>
            </a:graphic>
          </wp:inline>
        </w:drawing>
      </w:r>
    </w:p>
    <w:p w14:paraId="6A2279D1" w14:textId="6AA569EA" w:rsidR="00660934" w:rsidRPr="00C3262D" w:rsidRDefault="00660934" w:rsidP="00660934">
      <w:pPr>
        <w:jc w:val="center"/>
        <w:rPr>
          <w:rFonts w:ascii="Arial" w:hAnsi="Arial" w:cs="Arial"/>
        </w:rPr>
      </w:pPr>
      <w:r w:rsidRPr="00C3262D">
        <w:rPr>
          <w:rFonts w:ascii="Arial" w:hAnsi="Arial" w:cs="Arial"/>
          <w:i/>
          <w:sz w:val="21"/>
        </w:rPr>
        <w:t>Figure 3: Example of supported conversation using a tablet. Source: DATE Lab (n.d.).</w:t>
      </w:r>
    </w:p>
    <w:p w14:paraId="6329F4DE" w14:textId="77777777" w:rsidR="0042004E" w:rsidRPr="00C3262D" w:rsidRDefault="00000000">
      <w:pPr>
        <w:pStyle w:val="Blogheading"/>
        <w:rPr>
          <w:rFonts w:ascii="Arial" w:hAnsi="Arial" w:cs="Arial"/>
        </w:rPr>
      </w:pPr>
      <w:r w:rsidRPr="00C3262D">
        <w:rPr>
          <w:rFonts w:ascii="Arial" w:hAnsi="Arial" w:cs="Arial"/>
          <w:sz w:val="24"/>
          <w:szCs w:val="24"/>
        </w:rPr>
        <w:lastRenderedPageBreak/>
        <w:t>Ethical issues, inequality and shortfalls</w:t>
      </w:r>
    </w:p>
    <w:p w14:paraId="7EC87DD1" w14:textId="77777777" w:rsidR="004807EC" w:rsidRPr="00C3262D" w:rsidRDefault="004807EC" w:rsidP="004807EC">
      <w:pPr>
        <w:jc w:val="both"/>
        <w:rPr>
          <w:rFonts w:ascii="Arial" w:hAnsi="Arial" w:cs="Arial"/>
          <w:color w:val="000000" w:themeColor="text1"/>
        </w:rPr>
      </w:pPr>
      <w:r w:rsidRPr="00C3262D">
        <w:rPr>
          <w:rFonts w:ascii="Arial" w:hAnsi="Arial" w:cs="Arial"/>
          <w:color w:val="000000" w:themeColor="text1"/>
        </w:rPr>
        <w:t>There are limitations to CIRCA as well. Tablets can be expensive, unrecognized images can be confusing and staff or carers require time to help. The content should be significant to each person and it should not presume that all people have the same cultural memories (Astell et al., 2018).</w:t>
      </w:r>
    </w:p>
    <w:p w14:paraId="6C8FA40C" w14:textId="77777777" w:rsidR="004807EC" w:rsidRPr="00C3262D" w:rsidRDefault="004807EC" w:rsidP="004807EC">
      <w:pPr>
        <w:jc w:val="both"/>
        <w:rPr>
          <w:rFonts w:ascii="Arial" w:hAnsi="Arial" w:cs="Arial"/>
          <w:color w:val="000000" w:themeColor="text1"/>
        </w:rPr>
      </w:pPr>
      <w:r w:rsidRPr="00C3262D">
        <w:rPr>
          <w:rFonts w:ascii="Arial" w:hAnsi="Arial" w:cs="Arial"/>
          <w:color w:val="000000" w:themeColor="text1"/>
        </w:rPr>
        <w:t xml:space="preserve">Services must inquire users on the stories that they are interested in, request permission to share photos and provide in-person experiences. This is in </w:t>
      </w:r>
      <w:proofErr w:type="spellStart"/>
      <w:r w:rsidRPr="00C3262D">
        <w:rPr>
          <w:rFonts w:ascii="Arial" w:hAnsi="Arial" w:cs="Arial"/>
          <w:color w:val="000000" w:themeColor="text1"/>
        </w:rPr>
        <w:t>favour</w:t>
      </w:r>
      <w:proofErr w:type="spellEnd"/>
      <w:r w:rsidRPr="00C3262D">
        <w:rPr>
          <w:rFonts w:ascii="Arial" w:hAnsi="Arial" w:cs="Arial"/>
          <w:color w:val="000000" w:themeColor="text1"/>
        </w:rPr>
        <w:t xml:space="preserve"> of person-</w:t>
      </w:r>
      <w:proofErr w:type="spellStart"/>
      <w:r w:rsidRPr="00C3262D">
        <w:rPr>
          <w:rFonts w:ascii="Arial" w:hAnsi="Arial" w:cs="Arial"/>
          <w:color w:val="000000" w:themeColor="text1"/>
        </w:rPr>
        <w:t>centred</w:t>
      </w:r>
      <w:proofErr w:type="spellEnd"/>
      <w:r w:rsidRPr="00C3262D">
        <w:rPr>
          <w:rFonts w:ascii="Arial" w:hAnsi="Arial" w:cs="Arial"/>
          <w:color w:val="000000" w:themeColor="text1"/>
        </w:rPr>
        <w:t xml:space="preserve"> dementia care (National Institute for Health and Care Excellence, 2018).</w:t>
      </w:r>
    </w:p>
    <w:p w14:paraId="31C62CD8" w14:textId="2B4ED616" w:rsidR="0042004E" w:rsidRPr="00C3262D" w:rsidRDefault="004807EC" w:rsidP="00504454">
      <w:pPr>
        <w:jc w:val="both"/>
        <w:rPr>
          <w:rFonts w:ascii="Arial" w:hAnsi="Arial" w:cs="Arial"/>
          <w:color w:val="000000" w:themeColor="text1"/>
        </w:rPr>
      </w:pPr>
      <w:r w:rsidRPr="00C3262D">
        <w:rPr>
          <w:rFonts w:ascii="Arial" w:hAnsi="Arial" w:cs="Arial"/>
          <w:color w:val="000000" w:themeColor="text1"/>
        </w:rPr>
        <w:t>Exclusion can be minimized by non-digital options and hands-on training (NHS England, 2023). Future research ought to gauge loneliness in addition to quality of life.</w:t>
      </w:r>
    </w:p>
    <w:p w14:paraId="1AB334FC" w14:textId="77777777" w:rsidR="0042004E" w:rsidRPr="00C3262D" w:rsidRDefault="00000000">
      <w:pPr>
        <w:pStyle w:val="Blogheading"/>
        <w:rPr>
          <w:rFonts w:ascii="Arial" w:hAnsi="Arial" w:cs="Arial"/>
        </w:rPr>
      </w:pPr>
      <w:r w:rsidRPr="00C3262D">
        <w:rPr>
          <w:rFonts w:ascii="Arial" w:hAnsi="Arial" w:cs="Arial"/>
          <w:sz w:val="24"/>
          <w:szCs w:val="24"/>
        </w:rPr>
        <w:t>Resources for support</w:t>
      </w:r>
    </w:p>
    <w:p w14:paraId="68046B34" w14:textId="1A942845" w:rsidR="0042004E" w:rsidRPr="00C3262D" w:rsidRDefault="00000000">
      <w:pPr>
        <w:spacing w:after="120"/>
        <w:rPr>
          <w:rFonts w:ascii="Arial" w:hAnsi="Arial" w:cs="Arial"/>
          <w:color w:val="000000" w:themeColor="text1"/>
          <w:szCs w:val="28"/>
        </w:rPr>
      </w:pPr>
      <w:r w:rsidRPr="00C3262D">
        <w:rPr>
          <w:rFonts w:ascii="Arial" w:hAnsi="Arial" w:cs="Arial"/>
          <w:color w:val="000000" w:themeColor="text1"/>
          <w:szCs w:val="28"/>
        </w:rPr>
        <w:t xml:space="preserve">NHS dementia advice: https://www.nhs.uk/conditions/dementia/ | Dementia UK: </w:t>
      </w:r>
      <w:hyperlink r:id="rId11" w:history="1">
        <w:r w:rsidR="00504454" w:rsidRPr="00C3262D">
          <w:rPr>
            <w:rStyle w:val="Hyperlink"/>
            <w:rFonts w:ascii="Arial" w:hAnsi="Arial" w:cs="Arial"/>
            <w:szCs w:val="28"/>
          </w:rPr>
          <w:t>https://www.dementiauk.org/</w:t>
        </w:r>
      </w:hyperlink>
    </w:p>
    <w:p w14:paraId="77313191" w14:textId="03755C71" w:rsidR="00504454" w:rsidRPr="00C3262D" w:rsidRDefault="00504454">
      <w:pPr>
        <w:pStyle w:val="Blogreference"/>
        <w:spacing w:after="60" w:line="269" w:lineRule="auto"/>
        <w:rPr>
          <w:rFonts w:ascii="Arial" w:hAnsi="Arial" w:cs="Arial"/>
        </w:rPr>
      </w:pPr>
    </w:p>
    <w:p w14:paraId="5380DD4B" w14:textId="0758F3E0" w:rsidR="0042004E" w:rsidRPr="00C3262D" w:rsidRDefault="00000000">
      <w:pPr>
        <w:pageBreakBefore/>
        <w:spacing w:before="60" w:after="100"/>
        <w:rPr>
          <w:rFonts w:ascii="Arial" w:hAnsi="Arial" w:cs="Arial"/>
          <w:sz w:val="28"/>
          <w:szCs w:val="28"/>
        </w:rPr>
      </w:pPr>
      <w:r w:rsidRPr="00C3262D">
        <w:rPr>
          <w:rFonts w:ascii="Arial" w:hAnsi="Arial" w:cs="Arial"/>
          <w:b/>
          <w:color w:val="974D67"/>
          <w:sz w:val="28"/>
          <w:szCs w:val="40"/>
        </w:rPr>
        <w:lastRenderedPageBreak/>
        <w:t xml:space="preserve">BLOG </w:t>
      </w:r>
      <w:r w:rsidR="00660934" w:rsidRPr="00C3262D">
        <w:rPr>
          <w:rFonts w:ascii="Arial" w:hAnsi="Arial" w:cs="Arial"/>
          <w:b/>
          <w:color w:val="974D67"/>
          <w:sz w:val="28"/>
          <w:szCs w:val="40"/>
        </w:rPr>
        <w:t>2:</w:t>
      </w:r>
      <w:r w:rsidRPr="00C3262D">
        <w:rPr>
          <w:rFonts w:ascii="Arial" w:hAnsi="Arial" w:cs="Arial"/>
          <w:b/>
          <w:color w:val="974D67"/>
          <w:sz w:val="28"/>
          <w:szCs w:val="40"/>
        </w:rPr>
        <w:t xml:space="preserve">  DESIGNED TECHNOLOGY</w:t>
      </w:r>
    </w:p>
    <w:p w14:paraId="11B66BC7" w14:textId="77777777" w:rsidR="0042004E" w:rsidRPr="00C3262D" w:rsidRDefault="00000000" w:rsidP="00504454">
      <w:pPr>
        <w:pStyle w:val="Blogtitle"/>
        <w:jc w:val="center"/>
        <w:rPr>
          <w:rFonts w:ascii="Arial" w:hAnsi="Arial" w:cs="Arial"/>
        </w:rPr>
      </w:pPr>
      <w:r w:rsidRPr="00C3262D">
        <w:rPr>
          <w:rFonts w:ascii="Arial" w:hAnsi="Arial" w:cs="Arial"/>
          <w:sz w:val="40"/>
          <w:szCs w:val="28"/>
        </w:rPr>
        <w:t>Designing a Culturally Inclusive Dementia Support App: MemoryBridge</w:t>
      </w:r>
    </w:p>
    <w:p w14:paraId="1E51697E" w14:textId="77777777" w:rsidR="0042004E" w:rsidRPr="00C3262D" w:rsidRDefault="0042004E">
      <w:pPr>
        <w:pBdr>
          <w:bottom w:val="single" w:sz="12" w:space="0" w:color="007F80"/>
        </w:pBdr>
        <w:spacing w:before="20" w:after="100"/>
        <w:rPr>
          <w:rFonts w:ascii="Arial" w:hAnsi="Arial" w:cs="Arial"/>
        </w:rPr>
      </w:pPr>
    </w:p>
    <w:p w14:paraId="3448C317" w14:textId="77777777" w:rsidR="0042004E" w:rsidRPr="00C3262D" w:rsidRDefault="00000000">
      <w:pPr>
        <w:pStyle w:val="Blogheading"/>
        <w:rPr>
          <w:rFonts w:ascii="Arial" w:hAnsi="Arial" w:cs="Arial"/>
        </w:rPr>
      </w:pPr>
      <w:r w:rsidRPr="00C3262D">
        <w:rPr>
          <w:rFonts w:ascii="Arial" w:hAnsi="Arial" w:cs="Arial"/>
          <w:sz w:val="24"/>
          <w:szCs w:val="24"/>
        </w:rPr>
        <w:t>Background</w:t>
      </w:r>
    </w:p>
    <w:p w14:paraId="65298EE8" w14:textId="77777777" w:rsidR="004807EC" w:rsidRPr="00C3262D" w:rsidRDefault="004807EC" w:rsidP="004807EC">
      <w:pPr>
        <w:jc w:val="both"/>
        <w:rPr>
          <w:rFonts w:ascii="Arial" w:hAnsi="Arial" w:cs="Arial"/>
          <w:color w:val="000000" w:themeColor="text1"/>
        </w:rPr>
      </w:pPr>
      <w:r w:rsidRPr="00C3262D">
        <w:rPr>
          <w:rFonts w:ascii="Arial" w:hAnsi="Arial" w:cs="Arial"/>
          <w:color w:val="000000" w:themeColor="text1"/>
        </w:rPr>
        <w:t>Individuals with dementia might struggle to participate in social activities. In one of the UK studies, 35.4% were found at baseline to be lonely, demonstrating the necessity of social support (Rippon et al., 2026).</w:t>
      </w:r>
    </w:p>
    <w:p w14:paraId="065C3F83" w14:textId="77777777" w:rsidR="004807EC" w:rsidRPr="00C3262D" w:rsidRDefault="004807EC" w:rsidP="004807EC">
      <w:pPr>
        <w:jc w:val="both"/>
        <w:rPr>
          <w:rFonts w:ascii="Arial" w:hAnsi="Arial" w:cs="Arial"/>
          <w:color w:val="000000" w:themeColor="text1"/>
        </w:rPr>
      </w:pPr>
      <w:r w:rsidRPr="00C3262D">
        <w:rPr>
          <w:rFonts w:ascii="Arial" w:hAnsi="Arial" w:cs="Arial"/>
          <w:color w:val="000000" w:themeColor="text1"/>
        </w:rPr>
        <w:t>There is also the possibility of language and culture influencing care. The interviews of 62 individuals with dementia, family carers and clinicians revealed that shared language was important to some families but preferences in care varied (James et al., 2024).</w:t>
      </w:r>
    </w:p>
    <w:p w14:paraId="3507D6C7" w14:textId="64D3A25F" w:rsidR="0042004E" w:rsidRPr="00C3262D" w:rsidRDefault="004807EC">
      <w:pPr>
        <w:jc w:val="both"/>
        <w:rPr>
          <w:rFonts w:ascii="Arial" w:hAnsi="Arial" w:cs="Arial"/>
          <w:color w:val="000000" w:themeColor="text1"/>
        </w:rPr>
      </w:pPr>
      <w:proofErr w:type="spellStart"/>
      <w:r w:rsidRPr="00C3262D">
        <w:rPr>
          <w:rFonts w:ascii="Arial" w:hAnsi="Arial" w:cs="Arial"/>
          <w:color w:val="000000" w:themeColor="text1"/>
        </w:rPr>
        <w:t>MemoryBridge</w:t>
      </w:r>
      <w:proofErr w:type="spellEnd"/>
      <w:r w:rsidRPr="00C3262D">
        <w:rPr>
          <w:rFonts w:ascii="Arial" w:hAnsi="Arial" w:cs="Arial"/>
          <w:color w:val="000000" w:themeColor="text1"/>
        </w:rPr>
        <w:t xml:space="preserve"> is a suggested culturally inclusive application for individuals with mild or moderate dementia. It aims at helping to maintain contact with relatives and local groups using personal memories that are familiar.</w:t>
      </w:r>
    </w:p>
    <w:p w14:paraId="19AA81FE" w14:textId="6F1F77A5" w:rsidR="00BB4491" w:rsidRPr="00C3262D" w:rsidRDefault="00BB4491">
      <w:pPr>
        <w:jc w:val="both"/>
        <w:rPr>
          <w:rFonts w:ascii="Arial" w:hAnsi="Arial" w:cs="Arial"/>
        </w:rPr>
      </w:pPr>
      <w:r w:rsidRPr="00C3262D">
        <w:rPr>
          <w:rFonts w:ascii="Arial" w:hAnsi="Arial" w:cs="Arial"/>
          <w:noProof/>
        </w:rPr>
        <w:drawing>
          <wp:inline distT="0" distB="0" distL="0" distR="0" wp14:anchorId="43346ABF" wp14:editId="00D6E6DC">
            <wp:extent cx="5924417" cy="3108960"/>
            <wp:effectExtent l="0" t="0" r="635" b="0"/>
            <wp:docPr id="114378543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28459" cy="3111081"/>
                    </a:xfrm>
                    <a:prstGeom prst="rect">
                      <a:avLst/>
                    </a:prstGeom>
                    <a:noFill/>
                  </pic:spPr>
                </pic:pic>
              </a:graphicData>
            </a:graphic>
          </wp:inline>
        </w:drawing>
      </w:r>
    </w:p>
    <w:p w14:paraId="2B28208B" w14:textId="6BE14687" w:rsidR="00BB4491" w:rsidRPr="00C3262D" w:rsidRDefault="00BB4491" w:rsidP="00BB4491">
      <w:pPr>
        <w:jc w:val="center"/>
        <w:rPr>
          <w:rFonts w:ascii="Arial" w:hAnsi="Arial" w:cs="Arial"/>
        </w:rPr>
      </w:pPr>
      <w:r w:rsidRPr="00C3262D">
        <w:rPr>
          <w:rFonts w:ascii="Arial" w:hAnsi="Arial" w:cs="Arial"/>
          <w:i/>
          <w:sz w:val="21"/>
        </w:rPr>
        <w:t>Figure 1: Digital dementia support in a care discussion. Source: Ang (2025)</w:t>
      </w:r>
      <w:r w:rsidR="00223027" w:rsidRPr="00C3262D">
        <w:rPr>
          <w:rFonts w:ascii="Arial" w:hAnsi="Arial" w:cs="Arial"/>
          <w:i/>
          <w:sz w:val="21"/>
        </w:rPr>
        <w:t>.</w:t>
      </w:r>
    </w:p>
    <w:p w14:paraId="08C7627E" w14:textId="77777777" w:rsidR="0042004E" w:rsidRPr="00C3262D" w:rsidRDefault="00000000">
      <w:pPr>
        <w:pStyle w:val="Blogheading"/>
        <w:rPr>
          <w:rFonts w:ascii="Arial" w:hAnsi="Arial" w:cs="Arial"/>
        </w:rPr>
      </w:pPr>
      <w:r w:rsidRPr="00C3262D">
        <w:rPr>
          <w:rFonts w:ascii="Arial" w:hAnsi="Arial" w:cs="Arial"/>
          <w:sz w:val="24"/>
          <w:szCs w:val="24"/>
        </w:rPr>
        <w:t>Role of MemoryBridge</w:t>
      </w:r>
    </w:p>
    <w:p w14:paraId="20AC2565" w14:textId="77777777" w:rsidR="004807EC" w:rsidRPr="00C3262D" w:rsidRDefault="004807EC" w:rsidP="004807EC">
      <w:pPr>
        <w:jc w:val="both"/>
        <w:rPr>
          <w:rFonts w:ascii="Arial" w:hAnsi="Arial" w:cs="Arial"/>
        </w:rPr>
      </w:pPr>
      <w:r w:rsidRPr="00C3262D">
        <w:rPr>
          <w:rFonts w:ascii="Arial" w:hAnsi="Arial" w:cs="Arial"/>
        </w:rPr>
        <w:t>The users would select a preferred language, e.g. English or Bengali. Family pictures, songs and recorded stories could be added with permission by relatives. The app would be more user friendly to individuals with memory problems because of the large buttons, audio guidance and simple screens.</w:t>
      </w:r>
    </w:p>
    <w:p w14:paraId="5D11CAB8" w14:textId="5C94382E" w:rsidR="0042004E" w:rsidRPr="00C3262D" w:rsidRDefault="004807EC">
      <w:pPr>
        <w:jc w:val="both"/>
        <w:rPr>
          <w:rFonts w:ascii="Arial" w:hAnsi="Arial" w:cs="Arial"/>
        </w:rPr>
      </w:pPr>
      <w:r w:rsidRPr="00C3262D">
        <w:rPr>
          <w:rFonts w:ascii="Arial" w:hAnsi="Arial" w:cs="Arial"/>
        </w:rPr>
        <w:t xml:space="preserve">As an example, a wedding photo might bring up a conversation and one-touch calls might bridge the gap between visits in the family. Stories saved would also be available offline. CIRCA already has the </w:t>
      </w:r>
      <w:r w:rsidRPr="00C3262D">
        <w:rPr>
          <w:rFonts w:ascii="Arial" w:hAnsi="Arial" w:cs="Arial"/>
        </w:rPr>
        <w:lastRenderedPageBreak/>
        <w:t xml:space="preserve">opportunity to utilize culturally adapted material; </w:t>
      </w:r>
      <w:proofErr w:type="spellStart"/>
      <w:r w:rsidRPr="00C3262D">
        <w:rPr>
          <w:rFonts w:ascii="Arial" w:hAnsi="Arial" w:cs="Arial"/>
        </w:rPr>
        <w:t>MemoryBridge</w:t>
      </w:r>
      <w:proofErr w:type="spellEnd"/>
      <w:r w:rsidRPr="00C3262D">
        <w:rPr>
          <w:rFonts w:ascii="Arial" w:hAnsi="Arial" w:cs="Arial"/>
        </w:rPr>
        <w:t xml:space="preserve"> would provide remote calls and local activity reminders (Astell et al., 2018).</w:t>
      </w:r>
    </w:p>
    <w:p w14:paraId="0E9AE996" w14:textId="77777777" w:rsidR="0042004E" w:rsidRPr="00C3262D" w:rsidRDefault="00000000">
      <w:pPr>
        <w:spacing w:before="40" w:after="20"/>
        <w:jc w:val="center"/>
        <w:rPr>
          <w:rFonts w:ascii="Arial" w:hAnsi="Arial" w:cs="Arial"/>
        </w:rPr>
      </w:pPr>
      <w:r w:rsidRPr="00C3262D">
        <w:rPr>
          <w:rFonts w:ascii="Arial" w:hAnsi="Arial" w:cs="Arial"/>
          <w:noProof/>
        </w:rPr>
        <w:drawing>
          <wp:inline distT="0" distB="0" distL="0" distR="0" wp14:anchorId="05D4F436" wp14:editId="22630BB7">
            <wp:extent cx="5788660" cy="495300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emorybridge_mockup.png"/>
                    <pic:cNvPicPr/>
                  </pic:nvPicPr>
                  <pic:blipFill>
                    <a:blip r:embed="rId13"/>
                    <a:stretch>
                      <a:fillRect/>
                    </a:stretch>
                  </pic:blipFill>
                  <pic:spPr>
                    <a:xfrm>
                      <a:off x="0" y="0"/>
                      <a:ext cx="5824390" cy="4983572"/>
                    </a:xfrm>
                    <a:prstGeom prst="rect">
                      <a:avLst/>
                    </a:prstGeom>
                  </pic:spPr>
                </pic:pic>
              </a:graphicData>
            </a:graphic>
          </wp:inline>
        </w:drawing>
      </w:r>
    </w:p>
    <w:p w14:paraId="67FFD2D1" w14:textId="140EC39E" w:rsidR="0042004E" w:rsidRPr="00C3262D" w:rsidRDefault="00000000">
      <w:pPr>
        <w:pStyle w:val="Figurecaptionclean"/>
        <w:jc w:val="center"/>
        <w:rPr>
          <w:rFonts w:ascii="Arial" w:hAnsi="Arial" w:cs="Arial"/>
          <w:i w:val="0"/>
          <w:iCs/>
        </w:rPr>
      </w:pPr>
      <w:r w:rsidRPr="00C3262D">
        <w:rPr>
          <w:rFonts w:ascii="Arial" w:hAnsi="Arial" w:cs="Arial"/>
          <w:sz w:val="21"/>
        </w:rPr>
        <w:t>Figure 2: Proposed MemoryBridge app interface and features (concept design).</w:t>
      </w:r>
    </w:p>
    <w:p w14:paraId="5C478606" w14:textId="77777777" w:rsidR="0042004E" w:rsidRPr="00C3262D" w:rsidRDefault="00000000">
      <w:pPr>
        <w:pStyle w:val="Blogheading"/>
        <w:rPr>
          <w:rFonts w:ascii="Arial" w:hAnsi="Arial" w:cs="Arial"/>
        </w:rPr>
      </w:pPr>
      <w:r w:rsidRPr="00C3262D">
        <w:rPr>
          <w:rFonts w:ascii="Arial" w:hAnsi="Arial" w:cs="Arial"/>
          <w:sz w:val="24"/>
          <w:szCs w:val="24"/>
        </w:rPr>
        <w:t>How it promotes health</w:t>
      </w:r>
    </w:p>
    <w:p w14:paraId="61207C07" w14:textId="77777777" w:rsidR="004807EC" w:rsidRPr="00C3262D" w:rsidRDefault="004807EC" w:rsidP="004807EC">
      <w:pPr>
        <w:jc w:val="both"/>
        <w:rPr>
          <w:rFonts w:ascii="Arial" w:hAnsi="Arial" w:cs="Arial"/>
          <w:color w:val="000000" w:themeColor="text1"/>
        </w:rPr>
      </w:pPr>
      <w:proofErr w:type="spellStart"/>
      <w:r w:rsidRPr="00C3262D">
        <w:rPr>
          <w:rFonts w:ascii="Arial" w:hAnsi="Arial" w:cs="Arial"/>
          <w:color w:val="000000" w:themeColor="text1"/>
        </w:rPr>
        <w:t>MemoryBridge</w:t>
      </w:r>
      <w:proofErr w:type="spellEnd"/>
      <w:r w:rsidRPr="00C3262D">
        <w:rPr>
          <w:rFonts w:ascii="Arial" w:hAnsi="Arial" w:cs="Arial"/>
          <w:color w:val="000000" w:themeColor="text1"/>
        </w:rPr>
        <w:t xml:space="preserve"> would use the Capability, Opportunity, Motivation and </w:t>
      </w:r>
      <w:proofErr w:type="spellStart"/>
      <w:r w:rsidRPr="00C3262D">
        <w:rPr>
          <w:rFonts w:ascii="Arial" w:hAnsi="Arial" w:cs="Arial"/>
          <w:color w:val="000000" w:themeColor="text1"/>
        </w:rPr>
        <w:t>Behaviour</w:t>
      </w:r>
      <w:proofErr w:type="spellEnd"/>
      <w:r w:rsidRPr="00C3262D">
        <w:rPr>
          <w:rFonts w:ascii="Arial" w:hAnsi="Arial" w:cs="Arial"/>
          <w:color w:val="000000" w:themeColor="text1"/>
        </w:rPr>
        <w:t xml:space="preserve"> (COM-B) model. Voice response might develop capability, calls that are simple to make might open up more chances of communication and known stories may encourage individuals to participate on a regular basis (Michie, van Stralen and West, 2011).</w:t>
      </w:r>
    </w:p>
    <w:p w14:paraId="36430DE2" w14:textId="77777777" w:rsidR="004807EC" w:rsidRPr="00C3262D" w:rsidRDefault="004807EC" w:rsidP="004807EC">
      <w:pPr>
        <w:jc w:val="both"/>
        <w:rPr>
          <w:rFonts w:ascii="Arial" w:hAnsi="Arial" w:cs="Arial"/>
          <w:color w:val="000000" w:themeColor="text1"/>
        </w:rPr>
      </w:pPr>
      <w:r w:rsidRPr="00C3262D">
        <w:rPr>
          <w:rFonts w:ascii="Arial" w:hAnsi="Arial" w:cs="Arial"/>
          <w:color w:val="000000" w:themeColor="text1"/>
        </w:rPr>
        <w:t xml:space="preserve">This practice promotes </w:t>
      </w:r>
      <w:proofErr w:type="spellStart"/>
      <w:r w:rsidRPr="00C3262D">
        <w:rPr>
          <w:rFonts w:ascii="Arial" w:hAnsi="Arial" w:cs="Arial"/>
          <w:color w:val="000000" w:themeColor="text1"/>
        </w:rPr>
        <w:t>individualised</w:t>
      </w:r>
      <w:proofErr w:type="spellEnd"/>
      <w:r w:rsidRPr="00C3262D">
        <w:rPr>
          <w:rFonts w:ascii="Arial" w:hAnsi="Arial" w:cs="Arial"/>
          <w:color w:val="000000" w:themeColor="text1"/>
        </w:rPr>
        <w:t xml:space="preserve"> activities which are in line with the interests and preferences of people (National Institute for Health and Care Excellence, 2018).</w:t>
      </w:r>
    </w:p>
    <w:p w14:paraId="457872D0" w14:textId="77777777" w:rsidR="004807EC" w:rsidRDefault="004807EC" w:rsidP="004807EC">
      <w:pPr>
        <w:jc w:val="both"/>
        <w:rPr>
          <w:rFonts w:ascii="Arial" w:hAnsi="Arial" w:cs="Arial"/>
          <w:color w:val="000000" w:themeColor="text1"/>
        </w:rPr>
      </w:pPr>
      <w:r w:rsidRPr="00C3262D">
        <w:rPr>
          <w:rFonts w:ascii="Arial" w:hAnsi="Arial" w:cs="Arial"/>
          <w:color w:val="000000" w:themeColor="text1"/>
        </w:rPr>
        <w:t xml:space="preserve">An Australian study of a different multilingual dementia-carer website found that 28 of 30 carers were able to navigate and log in with minimal or no assistance. But some translations and smaller screens were problematic. </w:t>
      </w:r>
      <w:proofErr w:type="spellStart"/>
      <w:r w:rsidRPr="00C3262D">
        <w:rPr>
          <w:rFonts w:ascii="Arial" w:hAnsi="Arial" w:cs="Arial"/>
          <w:color w:val="000000" w:themeColor="text1"/>
        </w:rPr>
        <w:t>MemoryBridge</w:t>
      </w:r>
      <w:proofErr w:type="spellEnd"/>
      <w:r w:rsidRPr="00C3262D">
        <w:rPr>
          <w:rFonts w:ascii="Arial" w:hAnsi="Arial" w:cs="Arial"/>
          <w:color w:val="000000" w:themeColor="text1"/>
        </w:rPr>
        <w:t xml:space="preserve"> was not tested, and its impact on loneliness was not measured (</w:t>
      </w:r>
      <w:proofErr w:type="spellStart"/>
      <w:r w:rsidRPr="00C3262D">
        <w:rPr>
          <w:rFonts w:ascii="Arial" w:hAnsi="Arial" w:cs="Arial"/>
          <w:color w:val="000000" w:themeColor="text1"/>
        </w:rPr>
        <w:t>Thodis</w:t>
      </w:r>
      <w:proofErr w:type="spellEnd"/>
      <w:r w:rsidRPr="00C3262D">
        <w:rPr>
          <w:rFonts w:ascii="Arial" w:hAnsi="Arial" w:cs="Arial"/>
          <w:color w:val="000000" w:themeColor="text1"/>
        </w:rPr>
        <w:t xml:space="preserve"> et al., 2026).</w:t>
      </w:r>
    </w:p>
    <w:p w14:paraId="0049A6D5" w14:textId="77777777" w:rsidR="00AB67D7" w:rsidRDefault="00AB67D7" w:rsidP="00AB67D7">
      <w:pPr>
        <w:jc w:val="center"/>
        <w:rPr>
          <w:rFonts w:ascii="Arial" w:hAnsi="Arial" w:cs="Arial"/>
          <w:noProof/>
          <w:color w:val="000000" w:themeColor="text1"/>
        </w:rPr>
      </w:pPr>
    </w:p>
    <w:p w14:paraId="45D03A6E" w14:textId="1DE549B7" w:rsidR="00767B0A" w:rsidRDefault="00AB67D7" w:rsidP="00AB67D7">
      <w:pPr>
        <w:jc w:val="center"/>
        <w:rPr>
          <w:rFonts w:ascii="Arial" w:hAnsi="Arial" w:cs="Arial"/>
          <w:color w:val="000000" w:themeColor="text1"/>
        </w:rPr>
      </w:pPr>
      <w:r>
        <w:rPr>
          <w:rFonts w:ascii="Arial" w:hAnsi="Arial" w:cs="Arial"/>
          <w:noProof/>
          <w:color w:val="000000" w:themeColor="text1"/>
        </w:rPr>
        <w:lastRenderedPageBreak/>
        <w:drawing>
          <wp:inline distT="0" distB="0" distL="0" distR="0" wp14:anchorId="4482216C" wp14:editId="19A9B083">
            <wp:extent cx="5295265" cy="2489200"/>
            <wp:effectExtent l="0" t="0" r="635" b="6350"/>
            <wp:docPr id="7043225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4">
                      <a:extLst>
                        <a:ext uri="{28A0092B-C50C-407E-A947-70E740481C1C}">
                          <a14:useLocalDpi xmlns:a14="http://schemas.microsoft.com/office/drawing/2010/main" val="0"/>
                        </a:ext>
                      </a:extLst>
                    </a:blip>
                    <a:srcRect b="17647"/>
                    <a:stretch>
                      <a:fillRect/>
                    </a:stretch>
                  </pic:blipFill>
                  <pic:spPr bwMode="auto">
                    <a:xfrm>
                      <a:off x="0" y="0"/>
                      <a:ext cx="5307639" cy="2495017"/>
                    </a:xfrm>
                    <a:prstGeom prst="rect">
                      <a:avLst/>
                    </a:prstGeom>
                    <a:noFill/>
                    <a:ln>
                      <a:noFill/>
                    </a:ln>
                    <a:extLst>
                      <a:ext uri="{53640926-AAD7-44D8-BBD7-CCE9431645EC}">
                        <a14:shadowObscured xmlns:a14="http://schemas.microsoft.com/office/drawing/2010/main"/>
                      </a:ext>
                    </a:extLst>
                  </pic:spPr>
                </pic:pic>
              </a:graphicData>
            </a:graphic>
          </wp:inline>
        </w:drawing>
      </w:r>
    </w:p>
    <w:p w14:paraId="14FBC3D7" w14:textId="22386E4F" w:rsidR="00AB67D7" w:rsidRPr="00C3262D" w:rsidRDefault="00AB67D7" w:rsidP="00AB67D7">
      <w:pPr>
        <w:jc w:val="center"/>
        <w:rPr>
          <w:rFonts w:ascii="Arial" w:hAnsi="Arial" w:cs="Arial"/>
          <w:color w:val="000000" w:themeColor="text1"/>
        </w:rPr>
      </w:pPr>
      <w:r w:rsidRPr="00C3262D">
        <w:rPr>
          <w:rFonts w:ascii="Arial" w:hAnsi="Arial" w:cs="Arial"/>
          <w:sz w:val="21"/>
        </w:rPr>
        <w:t xml:space="preserve">Figure </w:t>
      </w:r>
      <w:r>
        <w:rPr>
          <w:rFonts w:ascii="Arial" w:hAnsi="Arial" w:cs="Arial"/>
          <w:sz w:val="21"/>
        </w:rPr>
        <w:t>3</w:t>
      </w:r>
      <w:r w:rsidRPr="00C3262D">
        <w:rPr>
          <w:rFonts w:ascii="Arial" w:hAnsi="Arial" w:cs="Arial"/>
          <w:sz w:val="21"/>
        </w:rPr>
        <w:t>:</w:t>
      </w:r>
      <w:r w:rsidRPr="00AB67D7">
        <w:rPr>
          <w:rFonts w:ascii="Arial" w:hAnsi="Arial" w:cs="Arial"/>
          <w:color w:val="000000" w:themeColor="text1"/>
        </w:rPr>
        <w:t xml:space="preserve"> </w:t>
      </w:r>
      <w:r w:rsidRPr="00C3262D">
        <w:rPr>
          <w:rFonts w:ascii="Arial" w:hAnsi="Arial" w:cs="Arial"/>
          <w:color w:val="000000" w:themeColor="text1"/>
        </w:rPr>
        <w:t>(COM-B) model</w:t>
      </w:r>
      <w:r>
        <w:rPr>
          <w:rFonts w:ascii="Arial" w:hAnsi="Arial" w:cs="Arial"/>
          <w:color w:val="000000" w:themeColor="text1"/>
        </w:rPr>
        <w:t xml:space="preserve">; source: </w:t>
      </w:r>
      <w:r w:rsidRPr="00AB67D7">
        <w:rPr>
          <w:rFonts w:ascii="Arial" w:hAnsi="Arial" w:cs="Arial"/>
          <w:color w:val="000000" w:themeColor="text1"/>
        </w:rPr>
        <w:t>The Center for Implementation</w:t>
      </w:r>
      <w:r>
        <w:rPr>
          <w:rFonts w:ascii="Arial" w:hAnsi="Arial" w:cs="Arial"/>
          <w:color w:val="000000" w:themeColor="text1"/>
        </w:rPr>
        <w:t xml:space="preserve"> (</w:t>
      </w:r>
      <w:r w:rsidRPr="00AB67D7">
        <w:rPr>
          <w:rFonts w:ascii="Arial" w:hAnsi="Arial" w:cs="Arial"/>
          <w:color w:val="000000" w:themeColor="text1"/>
        </w:rPr>
        <w:t>2026)</w:t>
      </w:r>
    </w:p>
    <w:p w14:paraId="03CFA46F" w14:textId="35496374" w:rsidR="0042004E" w:rsidRPr="00C3262D" w:rsidRDefault="0042004E">
      <w:pPr>
        <w:jc w:val="both"/>
        <w:rPr>
          <w:rFonts w:ascii="Arial" w:hAnsi="Arial" w:cs="Arial"/>
        </w:rPr>
      </w:pPr>
    </w:p>
    <w:p w14:paraId="4FE3DEC9" w14:textId="77777777" w:rsidR="0042004E" w:rsidRPr="00C3262D" w:rsidRDefault="00000000">
      <w:pPr>
        <w:pStyle w:val="Blogheading"/>
        <w:rPr>
          <w:rFonts w:ascii="Arial" w:hAnsi="Arial" w:cs="Arial"/>
        </w:rPr>
      </w:pPr>
      <w:r w:rsidRPr="00C3262D">
        <w:rPr>
          <w:rFonts w:ascii="Arial" w:hAnsi="Arial" w:cs="Arial"/>
          <w:sz w:val="24"/>
          <w:szCs w:val="24"/>
        </w:rPr>
        <w:t>Risks and shortfalls</w:t>
      </w:r>
    </w:p>
    <w:p w14:paraId="194C609F" w14:textId="77777777" w:rsidR="004807EC" w:rsidRPr="00C3262D" w:rsidRDefault="004807EC" w:rsidP="004807EC">
      <w:pPr>
        <w:jc w:val="both"/>
        <w:rPr>
          <w:rFonts w:ascii="Arial" w:hAnsi="Arial" w:cs="Arial"/>
          <w:color w:val="000000" w:themeColor="text1"/>
        </w:rPr>
      </w:pPr>
      <w:r w:rsidRPr="00C3262D">
        <w:rPr>
          <w:rFonts w:ascii="Arial" w:hAnsi="Arial" w:cs="Arial"/>
          <w:color w:val="000000" w:themeColor="text1"/>
        </w:rPr>
        <w:t>There are risks. Carers might be time-starved, some users might lose knowledge on how to use the app and personal photographs may be shared without their permission. The needs of individuals and families vary in terms of culture as well (James et al., 2024).</w:t>
      </w:r>
    </w:p>
    <w:p w14:paraId="2223654B" w14:textId="77777777" w:rsidR="004807EC" w:rsidRPr="00C3262D" w:rsidRDefault="004807EC" w:rsidP="004807EC">
      <w:pPr>
        <w:jc w:val="both"/>
        <w:rPr>
          <w:rFonts w:ascii="Arial" w:hAnsi="Arial" w:cs="Arial"/>
          <w:color w:val="000000" w:themeColor="text1"/>
        </w:rPr>
      </w:pPr>
      <w:proofErr w:type="spellStart"/>
      <w:r w:rsidRPr="00C3262D">
        <w:rPr>
          <w:rFonts w:ascii="Arial" w:hAnsi="Arial" w:cs="Arial"/>
          <w:color w:val="000000" w:themeColor="text1"/>
        </w:rPr>
        <w:t>MemoryBridge</w:t>
      </w:r>
      <w:proofErr w:type="spellEnd"/>
      <w:r w:rsidRPr="00C3262D">
        <w:rPr>
          <w:rFonts w:ascii="Arial" w:hAnsi="Arial" w:cs="Arial"/>
          <w:color w:val="000000" w:themeColor="text1"/>
        </w:rPr>
        <w:t xml:space="preserve"> should be designed and tested with people with dementia and carers. It would require explicit consent, secure sharing, easy deletion and non-digital options to avoid excluding individuals who do not have smartphones (NHS England, 2023).</w:t>
      </w:r>
    </w:p>
    <w:p w14:paraId="5F6DE6F2" w14:textId="248826B0" w:rsidR="0042004E" w:rsidRPr="00C3262D" w:rsidRDefault="004807EC">
      <w:pPr>
        <w:jc w:val="both"/>
        <w:rPr>
          <w:rFonts w:ascii="Arial" w:hAnsi="Arial" w:cs="Arial"/>
          <w:color w:val="000000" w:themeColor="text1"/>
        </w:rPr>
      </w:pPr>
      <w:r w:rsidRPr="00C3262D">
        <w:rPr>
          <w:rFonts w:ascii="Arial" w:hAnsi="Arial" w:cs="Arial"/>
          <w:color w:val="000000" w:themeColor="text1"/>
        </w:rPr>
        <w:t>A pilot study will be required to gauge ease of use, meaningful social contact, loneliness and access across language groups. Just downloads would not indicate the improvement of wellbeing, and the advantages of the app are not yet proven.</w:t>
      </w:r>
    </w:p>
    <w:p w14:paraId="1641BEA3" w14:textId="77777777" w:rsidR="0042004E" w:rsidRPr="00C3262D" w:rsidRDefault="00000000">
      <w:pPr>
        <w:pStyle w:val="Blogheading"/>
        <w:rPr>
          <w:rFonts w:ascii="Arial" w:hAnsi="Arial" w:cs="Arial"/>
        </w:rPr>
      </w:pPr>
      <w:r w:rsidRPr="00C3262D">
        <w:rPr>
          <w:rFonts w:ascii="Arial" w:hAnsi="Arial" w:cs="Arial"/>
          <w:sz w:val="24"/>
          <w:szCs w:val="24"/>
        </w:rPr>
        <w:t>Useful support</w:t>
      </w:r>
    </w:p>
    <w:p w14:paraId="733B3C31" w14:textId="46FF9635" w:rsidR="0042004E" w:rsidRDefault="00000000">
      <w:pPr>
        <w:spacing w:after="120"/>
        <w:rPr>
          <w:color w:val="000000" w:themeColor="text1"/>
          <w:szCs w:val="28"/>
        </w:rPr>
      </w:pPr>
      <w:r w:rsidRPr="00C3262D">
        <w:rPr>
          <w:rFonts w:ascii="Arial" w:hAnsi="Arial" w:cs="Arial"/>
          <w:color w:val="000000" w:themeColor="text1"/>
          <w:szCs w:val="28"/>
        </w:rPr>
        <w:t xml:space="preserve">NHS dementia advice: https://www.nhs.uk/conditions/dementia/ | Alzheimer’s Society: </w:t>
      </w:r>
      <w:hyperlink r:id="rId15" w:history="1">
        <w:r w:rsidR="00504454" w:rsidRPr="00C3262D">
          <w:rPr>
            <w:rStyle w:val="Hyperlink"/>
            <w:rFonts w:ascii="Arial" w:hAnsi="Arial" w:cs="Arial"/>
            <w:szCs w:val="28"/>
          </w:rPr>
          <w:t>https://www.alzheimers.org.uk/</w:t>
        </w:r>
      </w:hyperlink>
    </w:p>
    <w:p w14:paraId="0D676CA3" w14:textId="77777777" w:rsidR="00504454" w:rsidRDefault="00504454">
      <w:pPr>
        <w:spacing w:after="120"/>
      </w:pPr>
    </w:p>
    <w:p w14:paraId="6897F72E" w14:textId="28F284A4" w:rsidR="00504454" w:rsidRDefault="00504454" w:rsidP="00504454">
      <w:pPr>
        <w:spacing w:after="200" w:line="276" w:lineRule="auto"/>
      </w:pPr>
      <w:r>
        <w:br w:type="page"/>
      </w:r>
    </w:p>
    <w:p w14:paraId="509CECAD" w14:textId="77777777" w:rsidR="00223027" w:rsidRPr="00C3262D" w:rsidRDefault="00223027" w:rsidP="00223027">
      <w:pPr>
        <w:spacing w:after="200" w:line="276" w:lineRule="auto"/>
        <w:rPr>
          <w:rFonts w:ascii="Arial" w:hAnsi="Arial" w:cs="Arial"/>
          <w:b/>
          <w:bCs/>
        </w:rPr>
      </w:pPr>
      <w:r w:rsidRPr="00C3262D">
        <w:rPr>
          <w:rFonts w:ascii="Arial" w:hAnsi="Arial" w:cs="Arial"/>
          <w:b/>
          <w:bCs/>
        </w:rPr>
        <w:lastRenderedPageBreak/>
        <w:t>References for Blog 1</w:t>
      </w:r>
    </w:p>
    <w:p w14:paraId="2F3086F5" w14:textId="77777777" w:rsidR="00223027" w:rsidRPr="00C3262D" w:rsidRDefault="00223027" w:rsidP="00223027">
      <w:pPr>
        <w:spacing w:after="200" w:line="276" w:lineRule="auto"/>
        <w:rPr>
          <w:rFonts w:ascii="Arial" w:hAnsi="Arial" w:cs="Arial"/>
        </w:rPr>
      </w:pPr>
      <w:r w:rsidRPr="00C3262D">
        <w:rPr>
          <w:rFonts w:ascii="Arial" w:hAnsi="Arial" w:cs="Arial"/>
        </w:rPr>
        <w:t xml:space="preserve">Alzheimer’s Society (2024) ‘What are the costs of dementia diagnosis and care in the UK?’. Available at: </w:t>
      </w:r>
      <w:hyperlink r:id="rId16" w:history="1">
        <w:r w:rsidRPr="00C3262D">
          <w:rPr>
            <w:rStyle w:val="Hyperlink"/>
            <w:rFonts w:ascii="Arial" w:hAnsi="Arial" w:cs="Arial"/>
          </w:rPr>
          <w:t>https://www.alzheimers.org.uk/what-we-do/policy-and-influencing/dementia-scale-impact-numbers</w:t>
        </w:r>
      </w:hyperlink>
      <w:r w:rsidRPr="00C3262D">
        <w:rPr>
          <w:rFonts w:ascii="Arial" w:hAnsi="Arial" w:cs="Arial"/>
        </w:rPr>
        <w:t xml:space="preserve"> (Accessed: 22 October 2026).</w:t>
      </w:r>
    </w:p>
    <w:p w14:paraId="73B6443C" w14:textId="77777777" w:rsidR="00223027" w:rsidRPr="00C3262D" w:rsidRDefault="00223027" w:rsidP="00223027">
      <w:pPr>
        <w:spacing w:after="200" w:line="276" w:lineRule="auto"/>
        <w:rPr>
          <w:rFonts w:ascii="Arial" w:hAnsi="Arial" w:cs="Arial"/>
        </w:rPr>
      </w:pPr>
      <w:r w:rsidRPr="00C3262D">
        <w:rPr>
          <w:rFonts w:ascii="Arial" w:hAnsi="Arial" w:cs="Arial"/>
        </w:rPr>
        <w:t xml:space="preserve">Anderson, M., Menon, R., Oak, K. and Allan, L. (2022) ‘The use of technology for social interaction by people with dementia: a scoping review’, </w:t>
      </w:r>
      <w:r w:rsidRPr="00C3262D">
        <w:rPr>
          <w:rFonts w:ascii="Arial" w:hAnsi="Arial" w:cs="Arial"/>
          <w:i/>
          <w:iCs/>
        </w:rPr>
        <w:t>PLOS Digital Health</w:t>
      </w:r>
      <w:r w:rsidRPr="00C3262D">
        <w:rPr>
          <w:rFonts w:ascii="Arial" w:hAnsi="Arial" w:cs="Arial"/>
        </w:rPr>
        <w:t xml:space="preserve">, 1(6), e0000053. Available at: </w:t>
      </w:r>
      <w:hyperlink r:id="rId17" w:history="1">
        <w:r w:rsidRPr="00C3262D">
          <w:rPr>
            <w:rStyle w:val="Hyperlink"/>
            <w:rFonts w:ascii="Arial" w:hAnsi="Arial" w:cs="Arial"/>
          </w:rPr>
          <w:t>https://doi.org/10.1371/journal.pdig.0000053</w:t>
        </w:r>
      </w:hyperlink>
      <w:r w:rsidRPr="00C3262D">
        <w:rPr>
          <w:rFonts w:ascii="Arial" w:hAnsi="Arial" w:cs="Arial"/>
        </w:rPr>
        <w:t>.</w:t>
      </w:r>
    </w:p>
    <w:p w14:paraId="3264ACD5" w14:textId="77777777" w:rsidR="00223027" w:rsidRPr="00C3262D" w:rsidRDefault="00223027" w:rsidP="00223027">
      <w:pPr>
        <w:spacing w:after="200" w:line="276" w:lineRule="auto"/>
        <w:rPr>
          <w:rFonts w:ascii="Arial" w:hAnsi="Arial" w:cs="Arial"/>
        </w:rPr>
      </w:pPr>
      <w:r w:rsidRPr="00C3262D">
        <w:rPr>
          <w:rFonts w:ascii="Arial" w:hAnsi="Arial" w:cs="Arial"/>
        </w:rPr>
        <w:t xml:space="preserve">Astell, A.J., Smith, S.K., Potter, S. and Preston-Jones, E. (2018) ‘Computer Interactive Reminiscence and Conversation Aid groups: delivering cognitive stimulation with technology’, </w:t>
      </w:r>
      <w:r w:rsidRPr="00C3262D">
        <w:rPr>
          <w:rFonts w:ascii="Arial" w:hAnsi="Arial" w:cs="Arial"/>
          <w:i/>
          <w:iCs/>
        </w:rPr>
        <w:t>Alzheimer’s &amp; Dementia: Translational Research &amp; Clinical Interventions</w:t>
      </w:r>
      <w:r w:rsidRPr="00C3262D">
        <w:rPr>
          <w:rFonts w:ascii="Arial" w:hAnsi="Arial" w:cs="Arial"/>
        </w:rPr>
        <w:t xml:space="preserve">, 4, pp. 481–487. Available at: </w:t>
      </w:r>
      <w:hyperlink r:id="rId18" w:history="1">
        <w:r w:rsidRPr="00C3262D">
          <w:rPr>
            <w:rStyle w:val="Hyperlink"/>
            <w:rFonts w:ascii="Arial" w:hAnsi="Arial" w:cs="Arial"/>
          </w:rPr>
          <w:t>https://doi.org/10.1016/j.trci.2018.08.003</w:t>
        </w:r>
      </w:hyperlink>
      <w:r w:rsidRPr="00C3262D">
        <w:rPr>
          <w:rFonts w:ascii="Arial" w:hAnsi="Arial" w:cs="Arial"/>
        </w:rPr>
        <w:t>.</w:t>
      </w:r>
    </w:p>
    <w:p w14:paraId="5B4724BE" w14:textId="77777777" w:rsidR="00223027" w:rsidRPr="00C3262D" w:rsidRDefault="00223027" w:rsidP="00223027">
      <w:pPr>
        <w:spacing w:after="200" w:line="276" w:lineRule="auto"/>
        <w:rPr>
          <w:rFonts w:ascii="Arial" w:hAnsi="Arial" w:cs="Arial"/>
        </w:rPr>
      </w:pPr>
      <w:r w:rsidRPr="00C3262D">
        <w:rPr>
          <w:rFonts w:ascii="Arial" w:hAnsi="Arial" w:cs="Arial"/>
        </w:rPr>
        <w:t xml:space="preserve">DATE Lab (n.d.) ‘CIRCA-CA: Building a tool to support social connection in seniors with dementia’. Available at: </w:t>
      </w:r>
      <w:hyperlink r:id="rId19" w:history="1">
        <w:r w:rsidRPr="00C3262D">
          <w:rPr>
            <w:rStyle w:val="Hyperlink"/>
            <w:rFonts w:ascii="Arial" w:hAnsi="Arial" w:cs="Arial"/>
          </w:rPr>
          <w:t>https://www.date-lab.com/news/circa-ca</w:t>
        </w:r>
      </w:hyperlink>
      <w:r w:rsidRPr="00C3262D">
        <w:rPr>
          <w:rFonts w:ascii="Arial" w:hAnsi="Arial" w:cs="Arial"/>
        </w:rPr>
        <w:t xml:space="preserve"> (Accessed: 22 October 2026).</w:t>
      </w:r>
    </w:p>
    <w:p w14:paraId="53598429" w14:textId="77777777" w:rsidR="00223027" w:rsidRPr="00C3262D" w:rsidRDefault="00223027" w:rsidP="00223027">
      <w:pPr>
        <w:spacing w:after="200" w:line="276" w:lineRule="auto"/>
        <w:rPr>
          <w:rFonts w:ascii="Arial" w:hAnsi="Arial" w:cs="Arial"/>
        </w:rPr>
      </w:pPr>
      <w:r w:rsidRPr="00C3262D">
        <w:rPr>
          <w:rFonts w:ascii="Arial" w:hAnsi="Arial" w:cs="Arial"/>
        </w:rPr>
        <w:t xml:space="preserve">Dr Lana (2024) ‘How to prevent dementia: strategies for reducing your risk’, </w:t>
      </w:r>
      <w:r w:rsidRPr="00C3262D">
        <w:rPr>
          <w:rFonts w:ascii="Arial" w:hAnsi="Arial" w:cs="Arial"/>
          <w:i/>
          <w:iCs/>
        </w:rPr>
        <w:t>Swiss Medica</w:t>
      </w:r>
      <w:r w:rsidRPr="00C3262D">
        <w:rPr>
          <w:rFonts w:ascii="Arial" w:hAnsi="Arial" w:cs="Arial"/>
        </w:rPr>
        <w:t xml:space="preserve">, 13 November. Available at: </w:t>
      </w:r>
      <w:hyperlink r:id="rId20" w:history="1">
        <w:r w:rsidRPr="00C3262D">
          <w:rPr>
            <w:rStyle w:val="Hyperlink"/>
            <w:rFonts w:ascii="Arial" w:hAnsi="Arial" w:cs="Arial"/>
          </w:rPr>
          <w:t>https://www.startstemcells.com/strategies-reducing-risk-dementia.html</w:t>
        </w:r>
      </w:hyperlink>
      <w:r w:rsidRPr="00C3262D">
        <w:rPr>
          <w:rFonts w:ascii="Arial" w:hAnsi="Arial" w:cs="Arial"/>
        </w:rPr>
        <w:t xml:space="preserve"> (Accessed: 22 October 2026).</w:t>
      </w:r>
    </w:p>
    <w:p w14:paraId="2C2FEB64" w14:textId="77777777" w:rsidR="00223027" w:rsidRPr="00C3262D" w:rsidRDefault="00223027" w:rsidP="00223027">
      <w:pPr>
        <w:spacing w:after="200" w:line="276" w:lineRule="auto"/>
        <w:rPr>
          <w:rFonts w:ascii="Arial" w:hAnsi="Arial" w:cs="Arial"/>
        </w:rPr>
      </w:pPr>
      <w:r w:rsidRPr="00C3262D">
        <w:rPr>
          <w:rFonts w:ascii="Arial" w:hAnsi="Arial" w:cs="Arial"/>
        </w:rPr>
        <w:t xml:space="preserve">Michie, S., van Stralen, M.M. and West, R. (2011) ‘The </w:t>
      </w:r>
      <w:proofErr w:type="spellStart"/>
      <w:r w:rsidRPr="00C3262D">
        <w:rPr>
          <w:rFonts w:ascii="Arial" w:hAnsi="Arial" w:cs="Arial"/>
        </w:rPr>
        <w:t>behaviour</w:t>
      </w:r>
      <w:proofErr w:type="spellEnd"/>
      <w:r w:rsidRPr="00C3262D">
        <w:rPr>
          <w:rFonts w:ascii="Arial" w:hAnsi="Arial" w:cs="Arial"/>
        </w:rPr>
        <w:t xml:space="preserve"> change wheel: a new method for </w:t>
      </w:r>
      <w:proofErr w:type="spellStart"/>
      <w:r w:rsidRPr="00C3262D">
        <w:rPr>
          <w:rFonts w:ascii="Arial" w:hAnsi="Arial" w:cs="Arial"/>
        </w:rPr>
        <w:t>characterising</w:t>
      </w:r>
      <w:proofErr w:type="spellEnd"/>
      <w:r w:rsidRPr="00C3262D">
        <w:rPr>
          <w:rFonts w:ascii="Arial" w:hAnsi="Arial" w:cs="Arial"/>
        </w:rPr>
        <w:t xml:space="preserve"> and designing </w:t>
      </w:r>
      <w:proofErr w:type="spellStart"/>
      <w:r w:rsidRPr="00C3262D">
        <w:rPr>
          <w:rFonts w:ascii="Arial" w:hAnsi="Arial" w:cs="Arial"/>
        </w:rPr>
        <w:t>behaviour</w:t>
      </w:r>
      <w:proofErr w:type="spellEnd"/>
      <w:r w:rsidRPr="00C3262D">
        <w:rPr>
          <w:rFonts w:ascii="Arial" w:hAnsi="Arial" w:cs="Arial"/>
        </w:rPr>
        <w:t xml:space="preserve"> change interventions’, </w:t>
      </w:r>
      <w:r w:rsidRPr="00C3262D">
        <w:rPr>
          <w:rFonts w:ascii="Arial" w:hAnsi="Arial" w:cs="Arial"/>
          <w:i/>
          <w:iCs/>
        </w:rPr>
        <w:t>Implementation Science</w:t>
      </w:r>
      <w:r w:rsidRPr="00C3262D">
        <w:rPr>
          <w:rFonts w:ascii="Arial" w:hAnsi="Arial" w:cs="Arial"/>
        </w:rPr>
        <w:t xml:space="preserve">, 6, article 42. Available at: </w:t>
      </w:r>
      <w:hyperlink r:id="rId21" w:history="1">
        <w:r w:rsidRPr="00C3262D">
          <w:rPr>
            <w:rStyle w:val="Hyperlink"/>
            <w:rFonts w:ascii="Arial" w:hAnsi="Arial" w:cs="Arial"/>
          </w:rPr>
          <w:t>https://doi.org/10.1186/1748-5908-6-42</w:t>
        </w:r>
      </w:hyperlink>
      <w:r w:rsidRPr="00C3262D">
        <w:rPr>
          <w:rFonts w:ascii="Arial" w:hAnsi="Arial" w:cs="Arial"/>
        </w:rPr>
        <w:t>.</w:t>
      </w:r>
    </w:p>
    <w:p w14:paraId="456634A5" w14:textId="77777777" w:rsidR="00223027" w:rsidRPr="00C3262D" w:rsidRDefault="00223027" w:rsidP="00223027">
      <w:pPr>
        <w:spacing w:after="200" w:line="276" w:lineRule="auto"/>
        <w:rPr>
          <w:rFonts w:ascii="Arial" w:hAnsi="Arial" w:cs="Arial"/>
        </w:rPr>
      </w:pPr>
      <w:r w:rsidRPr="00C3262D">
        <w:rPr>
          <w:rFonts w:ascii="Arial" w:hAnsi="Arial" w:cs="Arial"/>
        </w:rPr>
        <w:t xml:space="preserve">National Institute for Health and Care Excellence (2018) </w:t>
      </w:r>
      <w:r w:rsidRPr="00C3262D">
        <w:rPr>
          <w:rFonts w:ascii="Arial" w:hAnsi="Arial" w:cs="Arial"/>
          <w:i/>
          <w:iCs/>
        </w:rPr>
        <w:t xml:space="preserve">Dementia: assessment, management and support for people living with dementia and their </w:t>
      </w:r>
      <w:proofErr w:type="spellStart"/>
      <w:r w:rsidRPr="00C3262D">
        <w:rPr>
          <w:rFonts w:ascii="Arial" w:hAnsi="Arial" w:cs="Arial"/>
          <w:i/>
          <w:iCs/>
        </w:rPr>
        <w:t>carers</w:t>
      </w:r>
      <w:proofErr w:type="spellEnd"/>
      <w:r w:rsidRPr="00C3262D">
        <w:rPr>
          <w:rFonts w:ascii="Arial" w:hAnsi="Arial" w:cs="Arial"/>
        </w:rPr>
        <w:t xml:space="preserve">. NICE guideline NG97. Available at: </w:t>
      </w:r>
      <w:hyperlink r:id="rId22" w:history="1">
        <w:r w:rsidRPr="00C3262D">
          <w:rPr>
            <w:rStyle w:val="Hyperlink"/>
            <w:rFonts w:ascii="Arial" w:hAnsi="Arial" w:cs="Arial"/>
          </w:rPr>
          <w:t>https://www.nice.org.uk/guidance/ng97</w:t>
        </w:r>
      </w:hyperlink>
      <w:r w:rsidRPr="00C3262D">
        <w:rPr>
          <w:rFonts w:ascii="Arial" w:hAnsi="Arial" w:cs="Arial"/>
        </w:rPr>
        <w:t xml:space="preserve"> (Accessed: 22 October 2026).</w:t>
      </w:r>
    </w:p>
    <w:p w14:paraId="7CFE6532" w14:textId="77777777" w:rsidR="00223027" w:rsidRPr="00C3262D" w:rsidRDefault="00223027" w:rsidP="00223027">
      <w:pPr>
        <w:spacing w:after="200" w:line="276" w:lineRule="auto"/>
        <w:rPr>
          <w:rFonts w:ascii="Arial" w:hAnsi="Arial" w:cs="Arial"/>
        </w:rPr>
      </w:pPr>
      <w:r w:rsidRPr="00C3262D">
        <w:rPr>
          <w:rFonts w:ascii="Arial" w:hAnsi="Arial" w:cs="Arial"/>
        </w:rPr>
        <w:t xml:space="preserve">NHS England (2023) </w:t>
      </w:r>
      <w:r w:rsidRPr="00C3262D">
        <w:rPr>
          <w:rFonts w:ascii="Arial" w:hAnsi="Arial" w:cs="Arial"/>
          <w:i/>
          <w:iCs/>
        </w:rPr>
        <w:t>Inclusive digital healthcare: a framework for NHS action on digital inclusion</w:t>
      </w:r>
      <w:r w:rsidRPr="00C3262D">
        <w:rPr>
          <w:rFonts w:ascii="Arial" w:hAnsi="Arial" w:cs="Arial"/>
        </w:rPr>
        <w:t xml:space="preserve">. Available at: </w:t>
      </w:r>
      <w:hyperlink r:id="rId23" w:history="1">
        <w:r w:rsidRPr="00C3262D">
          <w:rPr>
            <w:rStyle w:val="Hyperlink"/>
            <w:rFonts w:ascii="Arial" w:hAnsi="Arial" w:cs="Arial"/>
          </w:rPr>
          <w:t>https://www.england.nhs.uk/long-read/inclusive-digital-healthcare-a-framework-for-nhs-action-on-digital-inclusion/</w:t>
        </w:r>
      </w:hyperlink>
      <w:r w:rsidRPr="00C3262D">
        <w:rPr>
          <w:rFonts w:ascii="Arial" w:hAnsi="Arial" w:cs="Arial"/>
        </w:rPr>
        <w:t xml:space="preserve"> (Accessed: 22 October 2026).</w:t>
      </w:r>
    </w:p>
    <w:p w14:paraId="467D2567" w14:textId="77777777" w:rsidR="00223027" w:rsidRPr="00C3262D" w:rsidRDefault="00223027" w:rsidP="00223027">
      <w:pPr>
        <w:spacing w:after="200" w:line="276" w:lineRule="auto"/>
        <w:rPr>
          <w:rFonts w:ascii="Arial" w:hAnsi="Arial" w:cs="Arial"/>
        </w:rPr>
      </w:pPr>
      <w:r w:rsidRPr="00C3262D">
        <w:rPr>
          <w:rFonts w:ascii="Arial" w:hAnsi="Arial" w:cs="Arial"/>
        </w:rPr>
        <w:t xml:space="preserve">Rippon, I., Victor, C.R., Gamble, L.D., Martyr, A., Quinn, C., Matthews, F.E. and Clare, L. (2026) ‘Predictors and correlates of loneliness and social isolation in people with dementia: longitudinal findings from the IDEAL </w:t>
      </w:r>
      <w:proofErr w:type="spellStart"/>
      <w:r w:rsidRPr="00C3262D">
        <w:rPr>
          <w:rFonts w:ascii="Arial" w:hAnsi="Arial" w:cs="Arial"/>
        </w:rPr>
        <w:t>programme</w:t>
      </w:r>
      <w:proofErr w:type="spellEnd"/>
      <w:r w:rsidRPr="00C3262D">
        <w:rPr>
          <w:rFonts w:ascii="Arial" w:hAnsi="Arial" w:cs="Arial"/>
        </w:rPr>
        <w:t xml:space="preserve">’, </w:t>
      </w:r>
      <w:r w:rsidRPr="00C3262D">
        <w:rPr>
          <w:rFonts w:ascii="Arial" w:hAnsi="Arial" w:cs="Arial"/>
          <w:i/>
          <w:iCs/>
        </w:rPr>
        <w:t>International Journal of Geriatric Psychiatry</w:t>
      </w:r>
      <w:r w:rsidRPr="00C3262D">
        <w:rPr>
          <w:rFonts w:ascii="Arial" w:hAnsi="Arial" w:cs="Arial"/>
        </w:rPr>
        <w:t xml:space="preserve">, 41(1), e70191. Available at: </w:t>
      </w:r>
      <w:hyperlink r:id="rId24" w:history="1">
        <w:r w:rsidRPr="00C3262D">
          <w:rPr>
            <w:rStyle w:val="Hyperlink"/>
            <w:rFonts w:ascii="Arial" w:hAnsi="Arial" w:cs="Arial"/>
          </w:rPr>
          <w:t>https://doi.org/10.1002/gps.70191</w:t>
        </w:r>
      </w:hyperlink>
      <w:r w:rsidRPr="00C3262D">
        <w:rPr>
          <w:rFonts w:ascii="Arial" w:hAnsi="Arial" w:cs="Arial"/>
        </w:rPr>
        <w:t>.</w:t>
      </w:r>
    </w:p>
    <w:p w14:paraId="4A10AC2C" w14:textId="77777777" w:rsidR="00223027" w:rsidRPr="00C3262D" w:rsidRDefault="00223027" w:rsidP="00223027">
      <w:pPr>
        <w:spacing w:after="200" w:line="276" w:lineRule="auto"/>
        <w:rPr>
          <w:rFonts w:ascii="Arial" w:hAnsi="Arial" w:cs="Arial"/>
        </w:rPr>
      </w:pPr>
      <w:r w:rsidRPr="00C3262D">
        <w:rPr>
          <w:rFonts w:ascii="Arial" w:hAnsi="Arial" w:cs="Arial"/>
        </w:rPr>
        <w:t xml:space="preserve">World Health Organization (2026) </w:t>
      </w:r>
      <w:r w:rsidRPr="00C3262D">
        <w:rPr>
          <w:rFonts w:ascii="Arial" w:hAnsi="Arial" w:cs="Arial"/>
          <w:i/>
          <w:iCs/>
        </w:rPr>
        <w:t>Dementia</w:t>
      </w:r>
      <w:r w:rsidRPr="00C3262D">
        <w:rPr>
          <w:rFonts w:ascii="Arial" w:hAnsi="Arial" w:cs="Arial"/>
        </w:rPr>
        <w:t xml:space="preserve">. Available at: </w:t>
      </w:r>
      <w:hyperlink r:id="rId25" w:history="1">
        <w:r w:rsidRPr="00C3262D">
          <w:rPr>
            <w:rStyle w:val="Hyperlink"/>
            <w:rFonts w:ascii="Arial" w:hAnsi="Arial" w:cs="Arial"/>
          </w:rPr>
          <w:t>https://www.who.int/news-room/fact-sheets/detail/dementia</w:t>
        </w:r>
      </w:hyperlink>
      <w:r w:rsidRPr="00C3262D">
        <w:rPr>
          <w:rFonts w:ascii="Arial" w:hAnsi="Arial" w:cs="Arial"/>
        </w:rPr>
        <w:t xml:space="preserve"> (Accessed: 22 October 2026).</w:t>
      </w:r>
    </w:p>
    <w:p w14:paraId="27021159" w14:textId="77777777" w:rsidR="00223027" w:rsidRPr="00C3262D" w:rsidRDefault="00223027">
      <w:pPr>
        <w:spacing w:after="200" w:line="276" w:lineRule="auto"/>
        <w:rPr>
          <w:rFonts w:ascii="Arial" w:hAnsi="Arial" w:cs="Arial"/>
          <w:b/>
          <w:bCs/>
        </w:rPr>
      </w:pPr>
      <w:r w:rsidRPr="00C3262D">
        <w:rPr>
          <w:rFonts w:ascii="Arial" w:hAnsi="Arial" w:cs="Arial"/>
          <w:b/>
          <w:bCs/>
        </w:rPr>
        <w:br w:type="page"/>
      </w:r>
    </w:p>
    <w:p w14:paraId="7CA9DFF5" w14:textId="2B423BEF" w:rsidR="00223027" w:rsidRPr="00C3262D" w:rsidRDefault="00223027" w:rsidP="00223027">
      <w:pPr>
        <w:spacing w:after="200" w:line="276" w:lineRule="auto"/>
        <w:rPr>
          <w:rFonts w:ascii="Arial" w:hAnsi="Arial" w:cs="Arial"/>
          <w:b/>
          <w:bCs/>
        </w:rPr>
      </w:pPr>
      <w:r w:rsidRPr="00C3262D">
        <w:rPr>
          <w:rFonts w:ascii="Arial" w:hAnsi="Arial" w:cs="Arial"/>
          <w:b/>
          <w:bCs/>
        </w:rPr>
        <w:lastRenderedPageBreak/>
        <w:t>References for Blog 2</w:t>
      </w:r>
    </w:p>
    <w:p w14:paraId="1C01C141" w14:textId="77777777" w:rsidR="00223027" w:rsidRPr="00C3262D" w:rsidRDefault="00223027" w:rsidP="00223027">
      <w:pPr>
        <w:spacing w:after="200" w:line="276" w:lineRule="auto"/>
        <w:rPr>
          <w:rFonts w:ascii="Arial" w:hAnsi="Arial" w:cs="Arial"/>
        </w:rPr>
      </w:pPr>
      <w:r w:rsidRPr="00C3262D">
        <w:rPr>
          <w:rFonts w:ascii="Arial" w:hAnsi="Arial" w:cs="Arial"/>
        </w:rPr>
        <w:t xml:space="preserve">Ang, A. (2025) ‘Digital dementia support project gets $2M federal funding and more briefs’, </w:t>
      </w:r>
      <w:r w:rsidRPr="00C3262D">
        <w:rPr>
          <w:rFonts w:ascii="Arial" w:hAnsi="Arial" w:cs="Arial"/>
          <w:i/>
          <w:iCs/>
        </w:rPr>
        <w:t>MobiHealthNews</w:t>
      </w:r>
      <w:r w:rsidRPr="00C3262D">
        <w:rPr>
          <w:rFonts w:ascii="Arial" w:hAnsi="Arial" w:cs="Arial"/>
        </w:rPr>
        <w:t xml:space="preserve">, 18 April. Photograph credited to William Geddes/Getty Images. Available at: </w:t>
      </w:r>
      <w:hyperlink r:id="rId26" w:history="1">
        <w:r w:rsidRPr="00C3262D">
          <w:rPr>
            <w:rStyle w:val="Hyperlink"/>
            <w:rFonts w:ascii="Arial" w:hAnsi="Arial" w:cs="Arial"/>
          </w:rPr>
          <w:t>https://www.mobihealthnews.com/news/anz/digital-dementia-support-project-gets-2m-federal-funding-and-more-briefs</w:t>
        </w:r>
      </w:hyperlink>
      <w:r w:rsidRPr="00C3262D">
        <w:rPr>
          <w:rFonts w:ascii="Arial" w:hAnsi="Arial" w:cs="Arial"/>
        </w:rPr>
        <w:t xml:space="preserve"> (Accessed: 22 October 2026).</w:t>
      </w:r>
    </w:p>
    <w:p w14:paraId="0A5F88D9" w14:textId="77777777" w:rsidR="00223027" w:rsidRPr="00C3262D" w:rsidRDefault="00223027" w:rsidP="00223027">
      <w:pPr>
        <w:spacing w:after="200" w:line="276" w:lineRule="auto"/>
        <w:rPr>
          <w:rFonts w:ascii="Arial" w:hAnsi="Arial" w:cs="Arial"/>
        </w:rPr>
      </w:pPr>
      <w:r w:rsidRPr="00C3262D">
        <w:rPr>
          <w:rFonts w:ascii="Arial" w:hAnsi="Arial" w:cs="Arial"/>
        </w:rPr>
        <w:t xml:space="preserve">Astell, A.J., Smith, S.K., Potter, S. and Preston-Jones, E. (2018) ‘Computer Interactive Reminiscence and Conversation Aid groups: delivering cognitive stimulation with technology’, </w:t>
      </w:r>
      <w:r w:rsidRPr="00C3262D">
        <w:rPr>
          <w:rFonts w:ascii="Arial" w:hAnsi="Arial" w:cs="Arial"/>
          <w:i/>
          <w:iCs/>
        </w:rPr>
        <w:t>Alzheimer’s &amp; Dementia: Translational Research &amp; Clinical Interventions</w:t>
      </w:r>
      <w:r w:rsidRPr="00C3262D">
        <w:rPr>
          <w:rFonts w:ascii="Arial" w:hAnsi="Arial" w:cs="Arial"/>
        </w:rPr>
        <w:t xml:space="preserve">, 4, pp. 481–487. Available at: </w:t>
      </w:r>
      <w:hyperlink r:id="rId27" w:history="1">
        <w:r w:rsidRPr="00C3262D">
          <w:rPr>
            <w:rStyle w:val="Hyperlink"/>
            <w:rFonts w:ascii="Arial" w:hAnsi="Arial" w:cs="Arial"/>
          </w:rPr>
          <w:t>https://doi.org/10.1016/j.trci.2018.08.003</w:t>
        </w:r>
      </w:hyperlink>
      <w:r w:rsidRPr="00C3262D">
        <w:rPr>
          <w:rFonts w:ascii="Arial" w:hAnsi="Arial" w:cs="Arial"/>
        </w:rPr>
        <w:t>.</w:t>
      </w:r>
    </w:p>
    <w:p w14:paraId="0E11A315" w14:textId="77777777" w:rsidR="00223027" w:rsidRPr="00C3262D" w:rsidRDefault="00223027" w:rsidP="00223027">
      <w:pPr>
        <w:spacing w:after="200" w:line="276" w:lineRule="auto"/>
        <w:rPr>
          <w:rFonts w:ascii="Arial" w:hAnsi="Arial" w:cs="Arial"/>
        </w:rPr>
      </w:pPr>
      <w:r w:rsidRPr="00C3262D">
        <w:rPr>
          <w:rFonts w:ascii="Arial" w:hAnsi="Arial" w:cs="Arial"/>
        </w:rPr>
        <w:t xml:space="preserve">James, T., Mukadam, N., </w:t>
      </w:r>
      <w:proofErr w:type="spellStart"/>
      <w:r w:rsidRPr="00C3262D">
        <w:rPr>
          <w:rFonts w:ascii="Arial" w:hAnsi="Arial" w:cs="Arial"/>
        </w:rPr>
        <w:t>Sommerlad</w:t>
      </w:r>
      <w:proofErr w:type="spellEnd"/>
      <w:r w:rsidRPr="00C3262D">
        <w:rPr>
          <w:rFonts w:ascii="Arial" w:hAnsi="Arial" w:cs="Arial"/>
        </w:rPr>
        <w:t xml:space="preserve">, A., Barrera-Caballero, S. and Livingston, G. (2024) ‘Equity in care and support provision for people affected by dementia: experiences of people from UK South Asian and White British backgrounds’, </w:t>
      </w:r>
      <w:r w:rsidRPr="00C3262D">
        <w:rPr>
          <w:rFonts w:ascii="Arial" w:hAnsi="Arial" w:cs="Arial"/>
          <w:i/>
          <w:iCs/>
        </w:rPr>
        <w:t>International Psychogeriatrics</w:t>
      </w:r>
      <w:r w:rsidRPr="00C3262D">
        <w:rPr>
          <w:rFonts w:ascii="Arial" w:hAnsi="Arial" w:cs="Arial"/>
        </w:rPr>
        <w:t xml:space="preserve">, 36(7), pp. 564–573. Available at: </w:t>
      </w:r>
      <w:hyperlink r:id="rId28" w:history="1">
        <w:r w:rsidRPr="00C3262D">
          <w:rPr>
            <w:rStyle w:val="Hyperlink"/>
            <w:rFonts w:ascii="Arial" w:hAnsi="Arial" w:cs="Arial"/>
          </w:rPr>
          <w:t>https://doi.org/10.1017/S1041610223000121</w:t>
        </w:r>
      </w:hyperlink>
      <w:r w:rsidRPr="00C3262D">
        <w:rPr>
          <w:rFonts w:ascii="Arial" w:hAnsi="Arial" w:cs="Arial"/>
        </w:rPr>
        <w:t>.</w:t>
      </w:r>
    </w:p>
    <w:p w14:paraId="55AA2396" w14:textId="77777777" w:rsidR="00223027" w:rsidRPr="00C3262D" w:rsidRDefault="00223027" w:rsidP="00223027">
      <w:pPr>
        <w:spacing w:after="200" w:line="276" w:lineRule="auto"/>
        <w:rPr>
          <w:rFonts w:ascii="Arial" w:hAnsi="Arial" w:cs="Arial"/>
        </w:rPr>
      </w:pPr>
      <w:r w:rsidRPr="00C3262D">
        <w:rPr>
          <w:rFonts w:ascii="Arial" w:hAnsi="Arial" w:cs="Arial"/>
        </w:rPr>
        <w:t xml:space="preserve">Michie, S., van Stralen, M.M. and West, R. (2011) ‘The </w:t>
      </w:r>
      <w:proofErr w:type="spellStart"/>
      <w:r w:rsidRPr="00C3262D">
        <w:rPr>
          <w:rFonts w:ascii="Arial" w:hAnsi="Arial" w:cs="Arial"/>
        </w:rPr>
        <w:t>behaviour</w:t>
      </w:r>
      <w:proofErr w:type="spellEnd"/>
      <w:r w:rsidRPr="00C3262D">
        <w:rPr>
          <w:rFonts w:ascii="Arial" w:hAnsi="Arial" w:cs="Arial"/>
        </w:rPr>
        <w:t xml:space="preserve"> change wheel: a new method for </w:t>
      </w:r>
      <w:proofErr w:type="spellStart"/>
      <w:r w:rsidRPr="00C3262D">
        <w:rPr>
          <w:rFonts w:ascii="Arial" w:hAnsi="Arial" w:cs="Arial"/>
        </w:rPr>
        <w:t>characterising</w:t>
      </w:r>
      <w:proofErr w:type="spellEnd"/>
      <w:r w:rsidRPr="00C3262D">
        <w:rPr>
          <w:rFonts w:ascii="Arial" w:hAnsi="Arial" w:cs="Arial"/>
        </w:rPr>
        <w:t xml:space="preserve"> and designing </w:t>
      </w:r>
      <w:proofErr w:type="spellStart"/>
      <w:r w:rsidRPr="00C3262D">
        <w:rPr>
          <w:rFonts w:ascii="Arial" w:hAnsi="Arial" w:cs="Arial"/>
        </w:rPr>
        <w:t>behaviour</w:t>
      </w:r>
      <w:proofErr w:type="spellEnd"/>
      <w:r w:rsidRPr="00C3262D">
        <w:rPr>
          <w:rFonts w:ascii="Arial" w:hAnsi="Arial" w:cs="Arial"/>
        </w:rPr>
        <w:t xml:space="preserve"> change interventions’, </w:t>
      </w:r>
      <w:r w:rsidRPr="00C3262D">
        <w:rPr>
          <w:rFonts w:ascii="Arial" w:hAnsi="Arial" w:cs="Arial"/>
          <w:i/>
          <w:iCs/>
        </w:rPr>
        <w:t>Implementation Science</w:t>
      </w:r>
      <w:r w:rsidRPr="00C3262D">
        <w:rPr>
          <w:rFonts w:ascii="Arial" w:hAnsi="Arial" w:cs="Arial"/>
        </w:rPr>
        <w:t xml:space="preserve">, 6, article 42. Available at: </w:t>
      </w:r>
      <w:hyperlink r:id="rId29" w:history="1">
        <w:r w:rsidRPr="00C3262D">
          <w:rPr>
            <w:rStyle w:val="Hyperlink"/>
            <w:rFonts w:ascii="Arial" w:hAnsi="Arial" w:cs="Arial"/>
          </w:rPr>
          <w:t>https://doi.org/10.1186/1748-5908-6-42</w:t>
        </w:r>
      </w:hyperlink>
      <w:r w:rsidRPr="00C3262D">
        <w:rPr>
          <w:rFonts w:ascii="Arial" w:hAnsi="Arial" w:cs="Arial"/>
        </w:rPr>
        <w:t>.</w:t>
      </w:r>
    </w:p>
    <w:p w14:paraId="7B240BDA" w14:textId="77777777" w:rsidR="00223027" w:rsidRPr="00C3262D" w:rsidRDefault="00223027" w:rsidP="00223027">
      <w:pPr>
        <w:spacing w:after="200" w:line="276" w:lineRule="auto"/>
        <w:rPr>
          <w:rFonts w:ascii="Arial" w:hAnsi="Arial" w:cs="Arial"/>
        </w:rPr>
      </w:pPr>
      <w:r w:rsidRPr="00C3262D">
        <w:rPr>
          <w:rFonts w:ascii="Arial" w:hAnsi="Arial" w:cs="Arial"/>
        </w:rPr>
        <w:t xml:space="preserve">National Institute for Health and Care Excellence (2018) </w:t>
      </w:r>
      <w:r w:rsidRPr="00C3262D">
        <w:rPr>
          <w:rFonts w:ascii="Arial" w:hAnsi="Arial" w:cs="Arial"/>
          <w:i/>
          <w:iCs/>
        </w:rPr>
        <w:t xml:space="preserve">Dementia: assessment, management and support for people living with dementia and their </w:t>
      </w:r>
      <w:proofErr w:type="spellStart"/>
      <w:r w:rsidRPr="00C3262D">
        <w:rPr>
          <w:rFonts w:ascii="Arial" w:hAnsi="Arial" w:cs="Arial"/>
          <w:i/>
          <w:iCs/>
        </w:rPr>
        <w:t>carers</w:t>
      </w:r>
      <w:proofErr w:type="spellEnd"/>
      <w:r w:rsidRPr="00C3262D">
        <w:rPr>
          <w:rFonts w:ascii="Arial" w:hAnsi="Arial" w:cs="Arial"/>
        </w:rPr>
        <w:t xml:space="preserve">. NICE guideline NG97. Available at: </w:t>
      </w:r>
      <w:hyperlink r:id="rId30" w:history="1">
        <w:r w:rsidRPr="00C3262D">
          <w:rPr>
            <w:rStyle w:val="Hyperlink"/>
            <w:rFonts w:ascii="Arial" w:hAnsi="Arial" w:cs="Arial"/>
          </w:rPr>
          <w:t>https://www.nice.org.uk/guidance/ng97</w:t>
        </w:r>
      </w:hyperlink>
      <w:r w:rsidRPr="00C3262D">
        <w:rPr>
          <w:rFonts w:ascii="Arial" w:hAnsi="Arial" w:cs="Arial"/>
        </w:rPr>
        <w:t xml:space="preserve"> (Accessed: 22 October 2026).</w:t>
      </w:r>
    </w:p>
    <w:p w14:paraId="30E7ACA6" w14:textId="77777777" w:rsidR="00223027" w:rsidRPr="00C3262D" w:rsidRDefault="00223027" w:rsidP="00223027">
      <w:pPr>
        <w:spacing w:after="200" w:line="276" w:lineRule="auto"/>
        <w:rPr>
          <w:rFonts w:ascii="Arial" w:hAnsi="Arial" w:cs="Arial"/>
        </w:rPr>
      </w:pPr>
      <w:r w:rsidRPr="00C3262D">
        <w:rPr>
          <w:rFonts w:ascii="Arial" w:hAnsi="Arial" w:cs="Arial"/>
        </w:rPr>
        <w:t xml:space="preserve">NHS England (2023) </w:t>
      </w:r>
      <w:r w:rsidRPr="00C3262D">
        <w:rPr>
          <w:rFonts w:ascii="Arial" w:hAnsi="Arial" w:cs="Arial"/>
          <w:i/>
          <w:iCs/>
        </w:rPr>
        <w:t>Inclusive digital healthcare: a framework for NHS action on digital inclusion</w:t>
      </w:r>
      <w:r w:rsidRPr="00C3262D">
        <w:rPr>
          <w:rFonts w:ascii="Arial" w:hAnsi="Arial" w:cs="Arial"/>
        </w:rPr>
        <w:t xml:space="preserve">. Available at: </w:t>
      </w:r>
      <w:hyperlink r:id="rId31" w:history="1">
        <w:r w:rsidRPr="00C3262D">
          <w:rPr>
            <w:rStyle w:val="Hyperlink"/>
            <w:rFonts w:ascii="Arial" w:hAnsi="Arial" w:cs="Arial"/>
          </w:rPr>
          <w:t>https://www.england.nhs.uk/long-read/inclusive-digital-healthcare-a-framework-for-nhs-action-on-digital-inclusion/</w:t>
        </w:r>
      </w:hyperlink>
      <w:r w:rsidRPr="00C3262D">
        <w:rPr>
          <w:rFonts w:ascii="Arial" w:hAnsi="Arial" w:cs="Arial"/>
        </w:rPr>
        <w:t xml:space="preserve"> (Accessed: 22 October 2026).</w:t>
      </w:r>
    </w:p>
    <w:p w14:paraId="42D718EC" w14:textId="77777777" w:rsidR="00223027" w:rsidRPr="00C3262D" w:rsidRDefault="00223027" w:rsidP="00223027">
      <w:pPr>
        <w:spacing w:after="200" w:line="276" w:lineRule="auto"/>
        <w:rPr>
          <w:rFonts w:ascii="Arial" w:hAnsi="Arial" w:cs="Arial"/>
        </w:rPr>
      </w:pPr>
      <w:r w:rsidRPr="00C3262D">
        <w:rPr>
          <w:rFonts w:ascii="Arial" w:hAnsi="Arial" w:cs="Arial"/>
        </w:rPr>
        <w:t xml:space="preserve">Rippon, I., Victor, C.R., Gamble, L.D., Martyr, A., Quinn, C., Matthews, F.E. and Clare, L. (2026) ‘Predictors and correlates of loneliness and social isolation in people with dementia: longitudinal findings from the IDEAL </w:t>
      </w:r>
      <w:proofErr w:type="spellStart"/>
      <w:r w:rsidRPr="00C3262D">
        <w:rPr>
          <w:rFonts w:ascii="Arial" w:hAnsi="Arial" w:cs="Arial"/>
        </w:rPr>
        <w:t>programme</w:t>
      </w:r>
      <w:proofErr w:type="spellEnd"/>
      <w:r w:rsidRPr="00C3262D">
        <w:rPr>
          <w:rFonts w:ascii="Arial" w:hAnsi="Arial" w:cs="Arial"/>
        </w:rPr>
        <w:t xml:space="preserve">’, </w:t>
      </w:r>
      <w:r w:rsidRPr="00C3262D">
        <w:rPr>
          <w:rFonts w:ascii="Arial" w:hAnsi="Arial" w:cs="Arial"/>
          <w:i/>
          <w:iCs/>
        </w:rPr>
        <w:t>International Journal of Geriatric Psychiatry</w:t>
      </w:r>
      <w:r w:rsidRPr="00C3262D">
        <w:rPr>
          <w:rFonts w:ascii="Arial" w:hAnsi="Arial" w:cs="Arial"/>
        </w:rPr>
        <w:t xml:space="preserve">, 41(1), e70191. Available at: </w:t>
      </w:r>
      <w:hyperlink r:id="rId32" w:history="1">
        <w:r w:rsidRPr="00C3262D">
          <w:rPr>
            <w:rStyle w:val="Hyperlink"/>
            <w:rFonts w:ascii="Arial" w:hAnsi="Arial" w:cs="Arial"/>
          </w:rPr>
          <w:t>https://doi.org/10.1002/gps.70191</w:t>
        </w:r>
      </w:hyperlink>
      <w:r w:rsidRPr="00C3262D">
        <w:rPr>
          <w:rFonts w:ascii="Arial" w:hAnsi="Arial" w:cs="Arial"/>
        </w:rPr>
        <w:t>.</w:t>
      </w:r>
    </w:p>
    <w:p w14:paraId="50E3ED8D" w14:textId="77777777" w:rsidR="00223027" w:rsidRDefault="00223027" w:rsidP="00223027">
      <w:pPr>
        <w:spacing w:after="200" w:line="276" w:lineRule="auto"/>
        <w:rPr>
          <w:rFonts w:ascii="Arial" w:hAnsi="Arial" w:cs="Arial"/>
        </w:rPr>
      </w:pPr>
      <w:r w:rsidRPr="00C3262D">
        <w:rPr>
          <w:rFonts w:ascii="Arial" w:hAnsi="Arial" w:cs="Arial"/>
        </w:rPr>
        <w:t xml:space="preserve">Thodis, A., Dang, T.H., Wickramasinghe, N., </w:t>
      </w:r>
      <w:proofErr w:type="spellStart"/>
      <w:r w:rsidRPr="00C3262D">
        <w:rPr>
          <w:rFonts w:ascii="Arial" w:hAnsi="Arial" w:cs="Arial"/>
        </w:rPr>
        <w:t>Ulapane</w:t>
      </w:r>
      <w:proofErr w:type="spellEnd"/>
      <w:r w:rsidRPr="00C3262D">
        <w:rPr>
          <w:rFonts w:ascii="Arial" w:hAnsi="Arial" w:cs="Arial"/>
        </w:rPr>
        <w:t xml:space="preserve">, N., Cooper, C., Dow, B., Mortimer, D.S., Nguyen, T.A., Xiao, L.D., Antoniades, J., Gilbert, A.S., </w:t>
      </w:r>
      <w:proofErr w:type="spellStart"/>
      <w:r w:rsidRPr="00C3262D">
        <w:rPr>
          <w:rFonts w:ascii="Arial" w:hAnsi="Arial" w:cs="Arial"/>
        </w:rPr>
        <w:t>Enticott</w:t>
      </w:r>
      <w:proofErr w:type="spellEnd"/>
      <w:r w:rsidRPr="00C3262D">
        <w:rPr>
          <w:rFonts w:ascii="Arial" w:hAnsi="Arial" w:cs="Arial"/>
        </w:rPr>
        <w:t xml:space="preserve">, J., Gurgone, M., Varghese, M., Loganathan, S. and </w:t>
      </w:r>
      <w:proofErr w:type="spellStart"/>
      <w:r w:rsidRPr="00C3262D">
        <w:rPr>
          <w:rFonts w:ascii="Arial" w:hAnsi="Arial" w:cs="Arial"/>
        </w:rPr>
        <w:t>Brijnath</w:t>
      </w:r>
      <w:proofErr w:type="spellEnd"/>
      <w:r w:rsidRPr="00C3262D">
        <w:rPr>
          <w:rFonts w:ascii="Arial" w:hAnsi="Arial" w:cs="Arial"/>
        </w:rPr>
        <w:t xml:space="preserve">, B. (2026) ‘Draw-Care, a co-designed multilingual digital intervention for family carers of people living with dementia from ethnically diverse communities: user-testing study’, </w:t>
      </w:r>
      <w:r w:rsidRPr="00C3262D">
        <w:rPr>
          <w:rFonts w:ascii="Arial" w:hAnsi="Arial" w:cs="Arial"/>
          <w:i/>
          <w:iCs/>
        </w:rPr>
        <w:t>JMIR Formative Research</w:t>
      </w:r>
      <w:r w:rsidRPr="00C3262D">
        <w:rPr>
          <w:rFonts w:ascii="Arial" w:hAnsi="Arial" w:cs="Arial"/>
        </w:rPr>
        <w:t xml:space="preserve">, 10, e81128. Available at: </w:t>
      </w:r>
      <w:hyperlink r:id="rId33" w:history="1">
        <w:r w:rsidRPr="00C3262D">
          <w:rPr>
            <w:rStyle w:val="Hyperlink"/>
            <w:rFonts w:ascii="Arial" w:hAnsi="Arial" w:cs="Arial"/>
          </w:rPr>
          <w:t>https://doi.org/10.2196/81128</w:t>
        </w:r>
      </w:hyperlink>
      <w:r w:rsidRPr="00C3262D">
        <w:rPr>
          <w:rFonts w:ascii="Arial" w:hAnsi="Arial" w:cs="Arial"/>
        </w:rPr>
        <w:t>.</w:t>
      </w:r>
    </w:p>
    <w:p w14:paraId="2465DA14" w14:textId="77777777" w:rsidR="00767B0A" w:rsidRPr="00767B0A" w:rsidRDefault="00767B0A" w:rsidP="00767B0A">
      <w:pPr>
        <w:spacing w:after="200" w:line="276" w:lineRule="auto"/>
        <w:rPr>
          <w:rFonts w:ascii="Arial" w:hAnsi="Arial" w:cs="Arial"/>
        </w:rPr>
      </w:pPr>
      <w:r w:rsidRPr="00767B0A">
        <w:rPr>
          <w:rFonts w:ascii="Arial" w:hAnsi="Arial" w:cs="Arial"/>
        </w:rPr>
        <w:t xml:space="preserve">The Center for Implementation (2026) </w:t>
      </w:r>
      <w:r w:rsidRPr="00767B0A">
        <w:rPr>
          <w:rFonts w:ascii="Arial" w:hAnsi="Arial" w:cs="Arial"/>
          <w:i/>
          <w:iCs/>
        </w:rPr>
        <w:t>COM-B</w:t>
      </w:r>
      <w:r w:rsidRPr="00767B0A">
        <w:rPr>
          <w:rFonts w:ascii="Arial" w:hAnsi="Arial" w:cs="Arial"/>
        </w:rPr>
        <w:t xml:space="preserve">. Available at: </w:t>
      </w:r>
      <w:hyperlink r:id="rId34" w:history="1">
        <w:r w:rsidRPr="00767B0A">
          <w:rPr>
            <w:rStyle w:val="Hyperlink"/>
            <w:rFonts w:ascii="Arial" w:hAnsi="Arial" w:cs="Arial"/>
          </w:rPr>
          <w:t>https://thecenterforimplementation.com/toolbox/com-b</w:t>
        </w:r>
      </w:hyperlink>
      <w:r w:rsidRPr="00767B0A">
        <w:rPr>
          <w:rFonts w:ascii="Arial" w:hAnsi="Arial" w:cs="Arial"/>
        </w:rPr>
        <w:t xml:space="preserve"> (Accessed: 23 October 2026).</w:t>
      </w:r>
    </w:p>
    <w:p w14:paraId="4B0AEBD3" w14:textId="77777777" w:rsidR="00767B0A" w:rsidRPr="00C3262D" w:rsidRDefault="00767B0A" w:rsidP="00223027">
      <w:pPr>
        <w:spacing w:after="200" w:line="276" w:lineRule="auto"/>
        <w:rPr>
          <w:rFonts w:ascii="Arial" w:hAnsi="Arial" w:cs="Arial"/>
        </w:rPr>
      </w:pPr>
    </w:p>
    <w:p w14:paraId="53FFBBDF" w14:textId="7E4FAFBA" w:rsidR="0042004E" w:rsidRPr="00504454" w:rsidRDefault="0042004E" w:rsidP="00504454">
      <w:pPr>
        <w:spacing w:after="200" w:line="276" w:lineRule="auto"/>
        <w:rPr>
          <w:rFonts w:cs="Arial"/>
        </w:rPr>
      </w:pPr>
    </w:p>
    <w:sectPr w:rsidR="0042004E" w:rsidRPr="00504454" w:rsidSect="00034616">
      <w:headerReference w:type="default" r:id="rId35"/>
      <w:footerReference w:type="default" r:id="rId36"/>
      <w:pgSz w:w="12240" w:h="15840"/>
      <w:pgMar w:top="1022" w:right="1224" w:bottom="1008" w:left="1224" w:header="504" w:footer="504"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ED8A4C" w14:textId="77777777" w:rsidR="00125226" w:rsidRDefault="00125226">
      <w:pPr>
        <w:spacing w:after="0" w:line="240" w:lineRule="auto"/>
      </w:pPr>
      <w:r>
        <w:separator/>
      </w:r>
    </w:p>
  </w:endnote>
  <w:endnote w:type="continuationSeparator" w:id="0">
    <w:p w14:paraId="0CB06A3F" w14:textId="77777777" w:rsidR="00125226" w:rsidRDefault="001252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818E68" w14:textId="189BDF26" w:rsidR="0042004E" w:rsidRDefault="0042004E">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6E6F0F" w14:textId="77777777" w:rsidR="00125226" w:rsidRDefault="00125226">
      <w:pPr>
        <w:spacing w:after="0" w:line="240" w:lineRule="auto"/>
      </w:pPr>
      <w:r>
        <w:separator/>
      </w:r>
    </w:p>
  </w:footnote>
  <w:footnote w:type="continuationSeparator" w:id="0">
    <w:p w14:paraId="1EC98F59" w14:textId="77777777" w:rsidR="00125226" w:rsidRDefault="001252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FE153D" w14:textId="3D7A0506" w:rsidR="0042004E" w:rsidRDefault="0042004E">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310719888">
    <w:abstractNumId w:val="8"/>
  </w:num>
  <w:num w:numId="2" w16cid:durableId="201795918">
    <w:abstractNumId w:val="6"/>
  </w:num>
  <w:num w:numId="3" w16cid:durableId="99686629">
    <w:abstractNumId w:val="5"/>
  </w:num>
  <w:num w:numId="4" w16cid:durableId="1542938937">
    <w:abstractNumId w:val="4"/>
  </w:num>
  <w:num w:numId="5" w16cid:durableId="1509711279">
    <w:abstractNumId w:val="7"/>
  </w:num>
  <w:num w:numId="6" w16cid:durableId="1357806401">
    <w:abstractNumId w:val="3"/>
  </w:num>
  <w:num w:numId="7" w16cid:durableId="51588656">
    <w:abstractNumId w:val="2"/>
  </w:num>
  <w:num w:numId="8" w16cid:durableId="430324199">
    <w:abstractNumId w:val="1"/>
  </w:num>
  <w:num w:numId="9" w16cid:durableId="6667133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25226"/>
    <w:rsid w:val="00126AF8"/>
    <w:rsid w:val="0015074B"/>
    <w:rsid w:val="001E1D8C"/>
    <w:rsid w:val="00205F9E"/>
    <w:rsid w:val="00223027"/>
    <w:rsid w:val="0029639D"/>
    <w:rsid w:val="00326F90"/>
    <w:rsid w:val="0042004E"/>
    <w:rsid w:val="004807EC"/>
    <w:rsid w:val="00504454"/>
    <w:rsid w:val="00660934"/>
    <w:rsid w:val="00663AF6"/>
    <w:rsid w:val="006922A9"/>
    <w:rsid w:val="006F3F2E"/>
    <w:rsid w:val="007214A6"/>
    <w:rsid w:val="00767B0A"/>
    <w:rsid w:val="008671A6"/>
    <w:rsid w:val="008D3679"/>
    <w:rsid w:val="00993163"/>
    <w:rsid w:val="009F0225"/>
    <w:rsid w:val="00A03636"/>
    <w:rsid w:val="00A84C90"/>
    <w:rsid w:val="00AA1D8D"/>
    <w:rsid w:val="00AB67D7"/>
    <w:rsid w:val="00B47730"/>
    <w:rsid w:val="00BB4491"/>
    <w:rsid w:val="00C3262D"/>
    <w:rsid w:val="00C8655C"/>
    <w:rsid w:val="00CB0664"/>
    <w:rsid w:val="00DD0889"/>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7B57B72"/>
  <w14:defaultImageDpi w14:val="300"/>
  <w15:docId w15:val="{925D59E9-AFE3-435B-9D91-0F7881E2C3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40" w:line="290" w:lineRule="auto"/>
    </w:pPr>
    <w:rPr>
      <w:rFonts w:ascii="Aptos" w:hAnsi="Aptos"/>
      <w:color w:val="23343C"/>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Blogtitle">
    <w:name w:val="Blog title"/>
    <w:basedOn w:val="Normal"/>
    <w:pPr>
      <w:keepNext/>
      <w:spacing w:after="160"/>
    </w:pPr>
    <w:rPr>
      <w:rFonts w:ascii="Aptos Display" w:hAnsi="Aptos Display"/>
      <w:b/>
      <w:color w:val="183748"/>
      <w:sz w:val="34"/>
    </w:rPr>
  </w:style>
  <w:style w:type="paragraph" w:customStyle="1" w:styleId="Blogheading">
    <w:name w:val="Blog heading"/>
    <w:basedOn w:val="Normal"/>
    <w:pPr>
      <w:keepNext/>
      <w:spacing w:before="200" w:after="60"/>
    </w:pPr>
    <w:rPr>
      <w:b/>
      <w:color w:val="007F80"/>
    </w:rPr>
  </w:style>
  <w:style w:type="paragraph" w:customStyle="1" w:styleId="Referenceheading">
    <w:name w:val="Reference heading"/>
    <w:basedOn w:val="Normal"/>
    <w:pPr>
      <w:keepNext/>
      <w:spacing w:before="240"/>
    </w:pPr>
    <w:rPr>
      <w:b/>
      <w:color w:val="183748"/>
      <w:sz w:val="24"/>
    </w:rPr>
  </w:style>
  <w:style w:type="paragraph" w:customStyle="1" w:styleId="Blogreference">
    <w:name w:val="Blog reference"/>
    <w:basedOn w:val="Normal"/>
    <w:pPr>
      <w:keepLines/>
      <w:spacing w:after="100" w:line="266" w:lineRule="auto"/>
    </w:pPr>
    <w:rPr>
      <w:sz w:val="18"/>
    </w:rPr>
  </w:style>
  <w:style w:type="paragraph" w:customStyle="1" w:styleId="Figurecaptionclean">
    <w:name w:val="Figure caption clean"/>
    <w:basedOn w:val="Normal"/>
    <w:rPr>
      <w:i/>
      <w:color w:val="58656F"/>
      <w:sz w:val="17"/>
    </w:rPr>
  </w:style>
  <w:style w:type="character" w:styleId="Hyperlink">
    <w:name w:val="Hyperlink"/>
    <w:basedOn w:val="DefaultParagraphFont"/>
    <w:uiPriority w:val="99"/>
    <w:unhideWhenUsed/>
    <w:rsid w:val="00504454"/>
    <w:rPr>
      <w:color w:val="0000FF" w:themeColor="hyperlink"/>
      <w:u w:val="single"/>
    </w:rPr>
  </w:style>
  <w:style w:type="character" w:styleId="UnresolvedMention">
    <w:name w:val="Unresolved Mention"/>
    <w:basedOn w:val="DefaultParagraphFont"/>
    <w:uiPriority w:val="99"/>
    <w:semiHidden/>
    <w:unhideWhenUsed/>
    <w:rsid w:val="005044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doi.org/10.1016/j.trci.2018.08.003" TargetMode="External"/><Relationship Id="rId26" Type="http://schemas.openxmlformats.org/officeDocument/2006/relationships/hyperlink" Target="https://www.mobihealthnews.com/news/anz/digital-dementia-support-project-gets-2m-federal-funding-and-more-briefs" TargetMode="External"/><Relationship Id="rId21" Type="http://schemas.openxmlformats.org/officeDocument/2006/relationships/hyperlink" Target="https://doi.org/10.1186/1748-5908-6-42" TargetMode="External"/><Relationship Id="rId34" Type="http://schemas.openxmlformats.org/officeDocument/2006/relationships/hyperlink" Target="https://thecenterforimplementation.com/toolbox/com-b"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doi.org/10.1371/journal.pdig.0000053" TargetMode="External"/><Relationship Id="rId25" Type="http://schemas.openxmlformats.org/officeDocument/2006/relationships/hyperlink" Target="https://www.who.int/news-room/fact-sheets/detail/dementia" TargetMode="External"/><Relationship Id="rId33" Type="http://schemas.openxmlformats.org/officeDocument/2006/relationships/hyperlink" Target="https://doi.org/10.2196/81128"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alzheimers.org.uk/what-we-do/policy-and-influencing/dementia-scale-impact-numbers" TargetMode="External"/><Relationship Id="rId20" Type="http://schemas.openxmlformats.org/officeDocument/2006/relationships/hyperlink" Target="https://www.startstemcells.com/strategies-reducing-risk-dementia.html" TargetMode="External"/><Relationship Id="rId29" Type="http://schemas.openxmlformats.org/officeDocument/2006/relationships/hyperlink" Target="https://doi.org/10.1186/1748-5908-6-4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mentiauk.org/" TargetMode="External"/><Relationship Id="rId24" Type="http://schemas.openxmlformats.org/officeDocument/2006/relationships/hyperlink" Target="https://doi.org/10.1002/gps.70191" TargetMode="External"/><Relationship Id="rId32" Type="http://schemas.openxmlformats.org/officeDocument/2006/relationships/hyperlink" Target="https://doi.org/10.1002/gps.70191"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alzheimers.org.uk/" TargetMode="External"/><Relationship Id="rId23" Type="http://schemas.openxmlformats.org/officeDocument/2006/relationships/hyperlink" Target="https://www.england.nhs.uk/long-read/inclusive-digital-healthcare-a-framework-for-nhs-action-on-digital-inclusion/" TargetMode="External"/><Relationship Id="rId28" Type="http://schemas.openxmlformats.org/officeDocument/2006/relationships/hyperlink" Target="https://doi.org/10.1017/S1041610223000121" TargetMode="External"/><Relationship Id="rId36"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s://www.date-lab.com/news/circa-ca" TargetMode="External"/><Relationship Id="rId31" Type="http://schemas.openxmlformats.org/officeDocument/2006/relationships/hyperlink" Target="https://www.england.nhs.uk/long-read/inclusive-digital-healthcare-a-framework-for-nhs-action-on-digital-inclus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www.nice.org.uk/guidance/ng97" TargetMode="External"/><Relationship Id="rId27" Type="http://schemas.openxmlformats.org/officeDocument/2006/relationships/hyperlink" Target="https://doi.org/10.1016/j.trci.2018.08.003" TargetMode="External"/><Relationship Id="rId30" Type="http://schemas.openxmlformats.org/officeDocument/2006/relationships/hyperlink" Target="https://www.nice.org.uk/guidance/ng97" TargetMode="External"/><Relationship Id="rId35"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TotalTime>
  <Pages>9</Pages>
  <Words>2119</Words>
  <Characters>12082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LCHS7009 Component 1: Digital Health Promotion Blogs</vt:lpstr>
    </vt:vector>
  </TitlesOfParts>
  <Manager/>
  <Company/>
  <LinksUpToDate>false</LinksUpToDate>
  <CharactersWithSpaces>14173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LCHS7009 Component 1: Digital Health Promotion Blogs</dc:title>
  <dc:subject>Dementia, social connection and culturally inclusive digital support</dc:subject>
  <dc:creator>HP</dc:creator>
  <cp:keywords/>
  <dc:description/>
  <cp:lastModifiedBy>Ritu Panna Saha</cp:lastModifiedBy>
  <cp:revision>5</cp:revision>
  <dcterms:created xsi:type="dcterms:W3CDTF">2026-10-22T18:35:00Z</dcterms:created>
  <dcterms:modified xsi:type="dcterms:W3CDTF">2026-10-23T06:06:00Z</dcterms:modified>
  <cp:category/>
</cp:coreProperties>
</file>