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D8294" w14:textId="618FE739" w:rsidR="00214D96" w:rsidRPr="00304413" w:rsidRDefault="0069049E">
      <w:pPr>
        <w:spacing w:after="0" w:line="240" w:lineRule="auto"/>
        <w:jc w:val="left"/>
        <w:rPr>
          <w:rFonts w:cs="Arial"/>
        </w:rPr>
      </w:pPr>
      <w:r w:rsidRPr="00304413">
        <w:rPr>
          <w:rFonts w:cs="Arial"/>
          <w:noProof/>
        </w:rPr>
        <mc:AlternateContent>
          <mc:Choice Requires="wps">
            <w:drawing>
              <wp:anchor distT="0" distB="0" distL="114300" distR="114300" simplePos="0" relativeHeight="251656190" behindDoc="0" locked="0" layoutInCell="1" allowOverlap="1" wp14:anchorId="505AE982" wp14:editId="180330C4">
                <wp:simplePos x="0" y="0"/>
                <wp:positionH relativeFrom="column">
                  <wp:posOffset>1242695</wp:posOffset>
                </wp:positionH>
                <wp:positionV relativeFrom="paragraph">
                  <wp:posOffset>485563</wp:posOffset>
                </wp:positionV>
                <wp:extent cx="5438703" cy="1365813"/>
                <wp:effectExtent l="0" t="0" r="0" b="0"/>
                <wp:wrapNone/>
                <wp:docPr id="3" name="Text Box 3"/>
                <wp:cNvGraphicFramePr/>
                <a:graphic xmlns:a="http://schemas.openxmlformats.org/drawingml/2006/main">
                  <a:graphicData uri="http://schemas.microsoft.com/office/word/2010/wordprocessingShape">
                    <wps:wsp>
                      <wps:cNvSpPr txBox="1"/>
                      <wps:spPr>
                        <a:xfrm>
                          <a:off x="0" y="0"/>
                          <a:ext cx="5438703" cy="1365813"/>
                        </a:xfrm>
                        <a:prstGeom prst="rect">
                          <a:avLst/>
                        </a:prstGeom>
                        <a:noFill/>
                        <a:ln w="6350">
                          <a:noFill/>
                        </a:ln>
                      </wps:spPr>
                      <wps:txbx>
                        <w:txbxContent>
                          <w:p w14:paraId="2B67AA10" w14:textId="46F18474" w:rsidR="00214D96" w:rsidRPr="009A2E9D" w:rsidRDefault="00214D96" w:rsidP="00214D96">
                            <w:pPr>
                              <w:jc w:val="center"/>
                              <w:rPr>
                                <w:rFonts w:ascii="Aharoni" w:hAnsi="Aharoni" w:cs="Aharon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A2E9D">
                              <w:rPr>
                                <w:rFonts w:ascii="Aharoni" w:hAnsi="Aharoni" w:cs="Aharoni" w:hint="cs"/>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Strategic Management for </w:t>
                            </w:r>
                            <w:r w:rsidR="00860EDC" w:rsidRPr="009A2E9D">
                              <w:rPr>
                                <w:rFonts w:ascii="Aharoni" w:hAnsi="Aharoni" w:cs="Aharon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5AE982" id="_x0000_t202" coordsize="21600,21600" o:spt="202" path="m,l,21600r21600,l21600,xe">
                <v:stroke joinstyle="miter"/>
                <v:path gradientshapeok="t" o:connecttype="rect"/>
              </v:shapetype>
              <v:shape id="Text Box 3" o:spid="_x0000_s1026" type="#_x0000_t202" style="position:absolute;margin-left:97.85pt;margin-top:38.25pt;width:428.25pt;height:107.55pt;z-index:2516561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" filled="f" stroked="f" strokeweight=".5pt">
                <v:textbox>
                  <w:txbxContent>
                    <w:p w14:paraId="2B67AA10" w14:textId="46F18474" w:rsidR="00214D96" w:rsidRPr="009A2E9D" w:rsidRDefault="00214D96" w:rsidP="00214D96">
                      <w:pPr>
                        <w:jc w:val="center"/>
                        <w:rPr>
                          <w:rFonts w:ascii="Aharoni" w:hAnsi="Aharoni" w:cs="Aharon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A2E9D">
                        <w:rPr>
                          <w:rFonts w:ascii="Aharoni" w:hAnsi="Aharoni" w:cs="Aharoni" w:hint="cs"/>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Strategic Management for </w:t>
                      </w:r>
                      <w:r w:rsidR="00860EDC" w:rsidRPr="009A2E9D">
                        <w:rPr>
                          <w:rFonts w:ascii="Aharoni" w:hAnsi="Aharoni" w:cs="Aharon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SMEs</w:t>
                      </w:r>
                    </w:p>
                  </w:txbxContent>
                </v:textbox>
              </v:shape>
            </w:pict>
          </mc:Fallback>
        </mc:AlternateContent>
      </w:r>
      <w:r w:rsidR="00CA3A69" w:rsidRPr="00304413">
        <w:rPr>
          <w:rFonts w:cs="Arial"/>
          <w:noProof/>
        </w:rPr>
        <w:drawing>
          <wp:anchor distT="0" distB="0" distL="114300" distR="114300" simplePos="0" relativeHeight="251660288" behindDoc="0" locked="0" layoutInCell="1" allowOverlap="1" wp14:anchorId="26E6C384" wp14:editId="516EC0FE">
            <wp:simplePos x="0" y="0"/>
            <wp:positionH relativeFrom="column">
              <wp:posOffset>1599988</wp:posOffset>
            </wp:positionH>
            <wp:positionV relativeFrom="paragraph">
              <wp:posOffset>2382520</wp:posOffset>
            </wp:positionV>
            <wp:extent cx="4107815" cy="3703320"/>
            <wp:effectExtent l="0" t="0" r="0" b="5080"/>
            <wp:wrapThrough wrapText="bothSides">
              <wp:wrapPolygon edited="0">
                <wp:start x="10017" y="0"/>
                <wp:lineTo x="8815" y="74"/>
                <wp:lineTo x="5743" y="963"/>
                <wp:lineTo x="5075" y="1556"/>
                <wp:lineTo x="3940" y="2296"/>
                <wp:lineTo x="2671" y="3556"/>
                <wp:lineTo x="1736" y="4741"/>
                <wp:lineTo x="1068" y="5926"/>
                <wp:lineTo x="534" y="7111"/>
                <wp:lineTo x="200" y="8296"/>
                <wp:lineTo x="0" y="9481"/>
                <wp:lineTo x="0" y="11852"/>
                <wp:lineTo x="134" y="13037"/>
                <wp:lineTo x="467" y="14222"/>
                <wp:lineTo x="935" y="15407"/>
                <wp:lineTo x="1536" y="16593"/>
                <wp:lineTo x="2404" y="17778"/>
                <wp:lineTo x="3606" y="18963"/>
                <wp:lineTo x="5276" y="20148"/>
                <wp:lineTo x="5342" y="20296"/>
                <wp:lineTo x="8080" y="21333"/>
                <wp:lineTo x="9683" y="21556"/>
                <wp:lineTo x="10017" y="21556"/>
                <wp:lineTo x="11486" y="21556"/>
                <wp:lineTo x="11820" y="21556"/>
                <wp:lineTo x="13423" y="21333"/>
                <wp:lineTo x="16161" y="20296"/>
                <wp:lineTo x="16228" y="20148"/>
                <wp:lineTo x="17897" y="18963"/>
                <wp:lineTo x="19099" y="17778"/>
                <wp:lineTo x="19967" y="16593"/>
                <wp:lineTo x="20635" y="15407"/>
                <wp:lineTo x="21370" y="13037"/>
                <wp:lineTo x="21503" y="11852"/>
                <wp:lineTo x="21503" y="9481"/>
                <wp:lineTo x="21303" y="8296"/>
                <wp:lineTo x="20969" y="7111"/>
                <wp:lineTo x="20435" y="5926"/>
                <wp:lineTo x="19767" y="4741"/>
                <wp:lineTo x="18832" y="3556"/>
                <wp:lineTo x="17630" y="2370"/>
                <wp:lineTo x="16561" y="1630"/>
                <wp:lineTo x="15827" y="963"/>
                <wp:lineTo x="12621" y="74"/>
                <wp:lineTo x="11486" y="0"/>
                <wp:lineTo x="10017" y="0"/>
              </wp:wrapPolygon>
            </wp:wrapThrough>
            <wp:docPr id="10" name="Picture 10" descr="Free Three People Sitting Beside Tabl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ree Three People Sitting Beside Table Stock Photo"/>
                    <pic:cNvPicPr>
                      <a:picLocks noChangeAspect="1" noChangeArrowheads="1"/>
                    </pic:cNvPicPr>
                  </pic:nvPicPr>
                  <pic:blipFill>
                    <a:blip r:embed="rId8">
                      <a:alphaModFix/>
                      <a:extLst>
                        <a:ext uri="{28A0092B-C50C-407E-A947-70E740481C1C}">
                          <a14:useLocalDpi xmlns:a14="http://schemas.microsoft.com/office/drawing/2010/main" val="0"/>
                        </a:ext>
                      </a:extLst>
                    </a:blip>
                    <a:srcRect/>
                    <a:stretch>
                      <a:fillRect/>
                    </a:stretch>
                  </pic:blipFill>
                  <pic:spPr bwMode="auto">
                    <a:xfrm>
                      <a:off x="0" y="0"/>
                      <a:ext cx="4107815" cy="3703320"/>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5C55DC" w:rsidRPr="00304413">
        <w:rPr>
          <w:rFonts w:cs="Arial"/>
          <w:noProof/>
        </w:rPr>
        <mc:AlternateContent>
          <mc:Choice Requires="wps">
            <w:drawing>
              <wp:anchor distT="0" distB="0" distL="114300" distR="114300" simplePos="0" relativeHeight="251659264" behindDoc="0" locked="0" layoutInCell="1" allowOverlap="1" wp14:anchorId="235C942C" wp14:editId="0D0FA30A">
                <wp:simplePos x="0" y="0"/>
                <wp:positionH relativeFrom="column">
                  <wp:posOffset>3142615</wp:posOffset>
                </wp:positionH>
                <wp:positionV relativeFrom="paragraph">
                  <wp:posOffset>8077412</wp:posOffset>
                </wp:positionV>
                <wp:extent cx="3343910" cy="134239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3343910" cy="1342390"/>
                        </a:xfrm>
                        <a:prstGeom prst="rect">
                          <a:avLst/>
                        </a:prstGeom>
                        <a:solidFill>
                          <a:schemeClr val="lt1"/>
                        </a:solidFill>
                        <a:ln w="6350">
                          <a:noFill/>
                        </a:ln>
                      </wps:spPr>
                      <wps:txbx>
                        <w:txbxContent>
                          <w:p w14:paraId="7023CD59" w14:textId="07AB022B" w:rsidR="005F2E66" w:rsidRDefault="005F2E66" w:rsidP="005C55DC">
                            <w:pPr>
                              <w:spacing w:after="0" w:line="240" w:lineRule="auto"/>
                              <w:contextualSpacing/>
                            </w:pPr>
                            <w:r w:rsidRPr="000703B9">
                              <w:rPr>
                                <w:b/>
                                <w:bCs/>
                              </w:rPr>
                              <w:t>Student Name:</w:t>
                            </w:r>
                            <w:r>
                              <w:t xml:space="preserve"> Diana Sofia Da Silva Abreu (2009447)</w:t>
                            </w:r>
                          </w:p>
                          <w:p w14:paraId="467EE1B8" w14:textId="0556DDBF" w:rsidR="005F2E66" w:rsidRDefault="005F2E66" w:rsidP="005C55DC">
                            <w:pPr>
                              <w:spacing w:after="0" w:line="240" w:lineRule="auto"/>
                              <w:contextualSpacing/>
                            </w:pPr>
                            <w:r w:rsidRPr="000703B9">
                              <w:rPr>
                                <w:b/>
                                <w:bCs/>
                              </w:rPr>
                              <w:t>Lecture Name:</w:t>
                            </w:r>
                            <w:r>
                              <w:t xml:space="preserve"> Md Kalam</w:t>
                            </w:r>
                          </w:p>
                          <w:p w14:paraId="708598DD" w14:textId="33D4699B" w:rsidR="005F2E66" w:rsidRDefault="005F2E66" w:rsidP="005C55DC">
                            <w:pPr>
                              <w:spacing w:after="0" w:line="240" w:lineRule="auto"/>
                              <w:contextualSpacing/>
                            </w:pPr>
                            <w:r w:rsidRPr="000703B9">
                              <w:rPr>
                                <w:b/>
                                <w:bCs/>
                              </w:rPr>
                              <w:t>Module</w:t>
                            </w:r>
                            <w:r w:rsidR="000703B9" w:rsidRPr="000703B9">
                              <w:rPr>
                                <w:b/>
                                <w:bCs/>
                              </w:rPr>
                              <w:t xml:space="preserve"> Name</w:t>
                            </w:r>
                            <w:r w:rsidRPr="000703B9">
                              <w:rPr>
                                <w:b/>
                                <w:bCs/>
                              </w:rPr>
                              <w:t>:</w:t>
                            </w:r>
                            <w:r>
                              <w:t xml:space="preserve"> Strategic Management for SME’s</w:t>
                            </w:r>
                          </w:p>
                          <w:p w14:paraId="458BFDC7" w14:textId="4C28725E" w:rsidR="000703B9" w:rsidRDefault="000703B9" w:rsidP="005C55DC">
                            <w:pPr>
                              <w:spacing w:after="0" w:line="240" w:lineRule="auto"/>
                              <w:contextualSpacing/>
                            </w:pPr>
                            <w:r w:rsidRPr="000703B9">
                              <w:rPr>
                                <w:b/>
                                <w:bCs/>
                              </w:rPr>
                              <w:t>Submission Date:</w:t>
                            </w:r>
                            <w:r>
                              <w:t xml:space="preserve"> 05 May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C942C" id="Text Box 7" o:spid="_x0000_s1027" type="#_x0000_t202" style="position:absolute;margin-left:247.45pt;margin-top:636pt;width:263.3pt;height:10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" fillcolor="white [3201]" stroked="f" strokeweight=".5pt">
                <v:textbox>
                  <w:txbxContent>
                    <w:p w14:paraId="7023CD59" w14:textId="07AB022B" w:rsidR="005F2E66" w:rsidRDefault="005F2E66" w:rsidP="005C55DC">
                      <w:pPr>
                        <w:spacing w:after="0" w:line="240" w:lineRule="auto"/>
                        <w:contextualSpacing/>
                      </w:pPr>
                      <w:r w:rsidRPr="000703B9">
                        <w:rPr>
                          <w:b/>
                          <w:bCs/>
                        </w:rPr>
                        <w:t>Student Name:</w:t>
                      </w:r>
                      <w:r>
                        <w:t xml:space="preserve"> Diana Sofia Da Silva Abreu (2009447)</w:t>
                      </w:r>
                    </w:p>
                    <w:p w14:paraId="467EE1B8" w14:textId="0556DDBF" w:rsidR="005F2E66" w:rsidRDefault="005F2E66" w:rsidP="005C55DC">
                      <w:pPr>
                        <w:spacing w:after="0" w:line="240" w:lineRule="auto"/>
                        <w:contextualSpacing/>
                      </w:pPr>
                      <w:r w:rsidRPr="000703B9">
                        <w:rPr>
                          <w:b/>
                          <w:bCs/>
                        </w:rPr>
                        <w:t>Lecture Name:</w:t>
                      </w:r>
                      <w:r>
                        <w:t xml:space="preserve"> Md Kalam</w:t>
                      </w:r>
                    </w:p>
                    <w:p w14:paraId="708598DD" w14:textId="33D4699B" w:rsidR="005F2E66" w:rsidRDefault="005F2E66" w:rsidP="005C55DC">
                      <w:pPr>
                        <w:spacing w:after="0" w:line="240" w:lineRule="auto"/>
                        <w:contextualSpacing/>
                      </w:pPr>
                      <w:r w:rsidRPr="000703B9">
                        <w:rPr>
                          <w:b/>
                          <w:bCs/>
                        </w:rPr>
                        <w:t>Module</w:t>
                      </w:r>
                      <w:r w:rsidR="000703B9" w:rsidRPr="000703B9">
                        <w:rPr>
                          <w:b/>
                          <w:bCs/>
                        </w:rPr>
                        <w:t xml:space="preserve"> Name</w:t>
                      </w:r>
                      <w:r w:rsidRPr="000703B9">
                        <w:rPr>
                          <w:b/>
                          <w:bCs/>
                        </w:rPr>
                        <w:t>:</w:t>
                      </w:r>
                      <w:r>
                        <w:t xml:space="preserve"> Strategic Management for SME’s</w:t>
                      </w:r>
                    </w:p>
                    <w:p w14:paraId="458BFDC7" w14:textId="4C28725E" w:rsidR="000703B9" w:rsidRDefault="000703B9" w:rsidP="005C55DC">
                      <w:pPr>
                        <w:spacing w:after="0" w:line="240" w:lineRule="auto"/>
                        <w:contextualSpacing/>
                      </w:pPr>
                      <w:r w:rsidRPr="000703B9">
                        <w:rPr>
                          <w:b/>
                          <w:bCs/>
                        </w:rPr>
                        <w:t>Submission Date:</w:t>
                      </w:r>
                      <w:r>
                        <w:t xml:space="preserve"> 05 May 2023</w:t>
                      </w:r>
                    </w:p>
                  </w:txbxContent>
                </v:textbox>
              </v:shape>
            </w:pict>
          </mc:Fallback>
        </mc:AlternateContent>
      </w:r>
      <w:r w:rsidR="009A2E9D" w:rsidRPr="00304413">
        <w:rPr>
          <w:rFonts w:cs="Arial"/>
          <w:noProof/>
        </w:rPr>
        <mc:AlternateContent>
          <mc:Choice Requires="wps">
            <w:drawing>
              <wp:anchor distT="0" distB="0" distL="114300" distR="114300" simplePos="0" relativeHeight="251657215" behindDoc="0" locked="0" layoutInCell="1" allowOverlap="1" wp14:anchorId="1D211EFA" wp14:editId="7EB6E470">
                <wp:simplePos x="0" y="0"/>
                <wp:positionH relativeFrom="column">
                  <wp:posOffset>-5450125</wp:posOffset>
                </wp:positionH>
                <wp:positionV relativeFrom="paragraph">
                  <wp:posOffset>-1746073</wp:posOffset>
                </wp:positionV>
                <wp:extent cx="9525161" cy="11816949"/>
                <wp:effectExtent l="139700" t="139700" r="114300" b="133985"/>
                <wp:wrapNone/>
                <wp:docPr id="2" name="Diamond 2"/>
                <wp:cNvGraphicFramePr/>
                <a:graphic xmlns:a="http://schemas.openxmlformats.org/drawingml/2006/main">
                  <a:graphicData uri="http://schemas.microsoft.com/office/word/2010/wordprocessingShape">
                    <wps:wsp>
                      <wps:cNvSpPr/>
                      <wps:spPr>
                        <a:xfrm>
                          <a:off x="0" y="0"/>
                          <a:ext cx="9525161" cy="11816949"/>
                        </a:xfrm>
                        <a:prstGeom prst="diamond">
                          <a:avLst/>
                        </a:prstGeom>
                        <a:solidFill>
                          <a:srgbClr val="C00000"/>
                        </a:solidFill>
                        <a:ln>
                          <a:noFill/>
                        </a:ln>
                        <a:effectLst>
                          <a:glow rad="139700">
                            <a:schemeClr val="accent3">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2E358" id="_x0000_t4" coordsize="21600,21600" o:spt="4" path="m10800,l,10800,10800,21600,21600,10800xe">
                <v:stroke joinstyle="miter"/>
                <v:path gradientshapeok="t" o:connecttype="rect" textboxrect="5400,5400,16200,16200"/>
              </v:shapetype>
              <v:shape id="Diamond 2" o:spid="_x0000_s1026" type="#_x0000_t4" style="position:absolute;margin-left:-429.15pt;margin-top:-137.5pt;width:750pt;height:930.4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" fillcolor="#c00000" stroked="f" strokeweight="1pt"/>
            </w:pict>
          </mc:Fallback>
        </mc:AlternateContent>
      </w:r>
      <w:r w:rsidR="00EC5C16" w:rsidRPr="00304413">
        <w:rPr>
          <w:rFonts w:cs="Arial"/>
        </w:rPr>
        <w:tab/>
      </w:r>
      <w:r w:rsidR="00214D96" w:rsidRPr="00304413">
        <w:rPr>
          <w:rFonts w:cs="Arial"/>
        </w:rPr>
        <w:br w:type="page"/>
      </w:r>
      <w:r w:rsidR="00600711" w:rsidRPr="00304413">
        <w:rPr>
          <w:rFonts w:cs="Arial"/>
        </w:rPr>
        <w:fldChar w:fldCharType="begin"/>
      </w:r>
      <w:r w:rsidR="00600711" w:rsidRPr="00304413">
        <w:rPr>
          <w:rFonts w:cs="Arial"/>
        </w:rPr>
        <w:instrText xml:space="preserve"> INCLUDEPICTURE "https://images.pexels.com/photos/416405/pexels-photo-416405.jpeg?auto=compress&amp;cs=tinysrgb&amp;dpr=1&amp;w=500" \* MERGEFORMATINET </w:instrText>
      </w:r>
      <w:r w:rsidR="00000000">
        <w:rPr>
          <w:rFonts w:cs="Arial"/>
        </w:rPr>
        <w:fldChar w:fldCharType="separate"/>
      </w:r>
      <w:r w:rsidR="00600711" w:rsidRPr="00304413">
        <w:rPr>
          <w:rFonts w:cs="Arial"/>
        </w:rPr>
        <w:fldChar w:fldCharType="end"/>
      </w:r>
      <w:r w:rsidR="00570C9A" w:rsidRPr="00304413">
        <w:rPr>
          <w:rFonts w:cs="Arial"/>
        </w:rPr>
        <w:fldChar w:fldCharType="begin"/>
      </w:r>
      <w:r w:rsidR="00570C9A" w:rsidRPr="00304413">
        <w:rPr>
          <w:rFonts w:cs="Arial"/>
        </w:rPr>
        <w:instrText xml:space="preserve"> INCLUDEPICTURE "https://encrypted-tbn0.gstatic.com/images?q=tbn:ANd9GcS4NQQpSaFZCGzZqY7uM1zTU4nTRwI8Xu1_hw&amp;usqp=CAU" \* MERGEFORMATINET </w:instrText>
      </w:r>
      <w:r w:rsidR="00000000">
        <w:rPr>
          <w:rFonts w:cs="Arial"/>
        </w:rPr>
        <w:fldChar w:fldCharType="separate"/>
      </w:r>
      <w:r w:rsidR="00570C9A" w:rsidRPr="00304413">
        <w:rPr>
          <w:rFonts w:cs="Arial"/>
        </w:rPr>
        <w:fldChar w:fldCharType="end"/>
      </w:r>
    </w:p>
    <w:p w14:paraId="7A9223B0" w14:textId="39BAC8B8" w:rsidR="004901E4" w:rsidRPr="00304413" w:rsidRDefault="004901E4">
      <w:pPr>
        <w:rPr>
          <w:rFonts w:cs="Arial"/>
          <w:b/>
          <w:bCs/>
          <w:color w:val="C00000"/>
          <w:sz w:val="56"/>
          <w:szCs w:val="56"/>
        </w:rPr>
      </w:pPr>
      <w:r w:rsidRPr="00304413">
        <w:rPr>
          <w:rFonts w:cs="Arial"/>
          <w:b/>
          <w:bCs/>
          <w:color w:val="C00000"/>
          <w:sz w:val="56"/>
          <w:szCs w:val="56"/>
        </w:rPr>
        <w:lastRenderedPageBreak/>
        <w:t>Executive Summary</w:t>
      </w:r>
    </w:p>
    <w:p w14:paraId="384D938C" w14:textId="77777777" w:rsidR="00893AD0" w:rsidRPr="00893AD0" w:rsidRDefault="00893AD0" w:rsidP="00893AD0">
      <w:pPr>
        <w:spacing w:after="0" w:line="360" w:lineRule="auto"/>
        <w:rPr>
          <w:rFonts w:cs="Arial"/>
          <w:sz w:val="22"/>
          <w:szCs w:val="22"/>
        </w:rPr>
      </w:pPr>
      <w:r w:rsidRPr="00893AD0">
        <w:rPr>
          <w:rFonts w:cs="Arial"/>
          <w:sz w:val="22"/>
          <w:szCs w:val="22"/>
        </w:rPr>
        <w:t xml:space="preserve">As per the findings of McCulloch's (2022) research, the United Kingdom demonstrates a </w:t>
      </w:r>
      <w:proofErr w:type="spellStart"/>
      <w:r w:rsidRPr="00893AD0">
        <w:rPr>
          <w:rFonts w:cs="Arial"/>
          <w:sz w:val="22"/>
          <w:szCs w:val="22"/>
        </w:rPr>
        <w:t>startup</w:t>
      </w:r>
      <w:proofErr w:type="spellEnd"/>
      <w:r w:rsidRPr="00893AD0">
        <w:rPr>
          <w:rFonts w:cs="Arial"/>
          <w:sz w:val="22"/>
          <w:szCs w:val="22"/>
        </w:rPr>
        <w:t xml:space="preserve"> failure rate of approximately 60%, which is consistent with the global average. Small and medium enterprises (SMEs) encounter a multitude of obstacles that may lead to their demise within the initial year of operation. These challenges include inadequate capital, deficient financial management, insufficient market knowledge, ineffective marketing and sales strategies, operational difficulties, lack of adaptability and innovation, and leadership and management issues. Mitigating these challenges necessitates meticulous strategizing, perpetual education, proficient fiscal administration, comprehensive market awareness, robust governance, and flexibility. Small and medium-sized enterprises (SMEs) that are capable of surmounting these obstacles are more inclined to achieve success and flourish over an extended period.</w:t>
      </w:r>
    </w:p>
    <w:p w14:paraId="132238B4" w14:textId="77777777" w:rsidR="00893AD0" w:rsidRPr="00893AD0" w:rsidRDefault="00893AD0" w:rsidP="00893AD0">
      <w:pPr>
        <w:spacing w:after="0" w:line="360" w:lineRule="auto"/>
        <w:rPr>
          <w:rFonts w:cs="Arial"/>
          <w:sz w:val="22"/>
          <w:szCs w:val="22"/>
        </w:rPr>
      </w:pPr>
    </w:p>
    <w:p w14:paraId="0E7C6E85" w14:textId="22E618E0" w:rsidR="004901E4" w:rsidRPr="00304413" w:rsidRDefault="00893AD0" w:rsidP="00893AD0">
      <w:pPr>
        <w:spacing w:after="0" w:line="360" w:lineRule="auto"/>
        <w:rPr>
          <w:rFonts w:cs="Arial"/>
        </w:rPr>
      </w:pPr>
      <w:r w:rsidRPr="00893AD0">
        <w:rPr>
          <w:rFonts w:cs="Arial"/>
          <w:sz w:val="22"/>
          <w:szCs w:val="22"/>
        </w:rPr>
        <w:t xml:space="preserve">The implementation of an intelligent business strategy is of paramount importance for organisations due to various reasons.  Strategic planning offers guidance and concentration, furnishing an enterprise with a competitive edge. By optimising resources, potential risks and challenges can be identified, and the organisation can adapt to changes. Additionally, measuring success or failure can prevent the repetition of errors in the future. This report aims to demonstrate the efficacy of strategic management in enhancing organisational performance. </w:t>
      </w:r>
      <w:r w:rsidR="004901E4" w:rsidRPr="00304413">
        <w:rPr>
          <w:rFonts w:cs="Arial"/>
        </w:rPr>
        <w:br w:type="page"/>
      </w:r>
    </w:p>
    <w:p w14:paraId="2C805D68" w14:textId="545BB750" w:rsidR="004901E4" w:rsidRPr="00304413" w:rsidRDefault="004901E4">
      <w:pPr>
        <w:rPr>
          <w:rFonts w:cs="Arial"/>
          <w:b/>
          <w:bCs/>
          <w:color w:val="C00000"/>
          <w:sz w:val="56"/>
          <w:szCs w:val="56"/>
        </w:rPr>
      </w:pPr>
      <w:r w:rsidRPr="00304413">
        <w:rPr>
          <w:rFonts w:cs="Arial"/>
          <w:b/>
          <w:bCs/>
          <w:color w:val="C00000"/>
          <w:sz w:val="56"/>
          <w:szCs w:val="56"/>
        </w:rPr>
        <w:lastRenderedPageBreak/>
        <w:t>Table of Content</w:t>
      </w:r>
    </w:p>
    <w:sdt>
      <w:sdtPr>
        <w:id w:val="-1588995896"/>
        <w:docPartObj>
          <w:docPartGallery w:val="Table of Contents"/>
          <w:docPartUnique/>
        </w:docPartObj>
      </w:sdtPr>
      <w:sdtEndPr>
        <w:rPr>
          <w:rFonts w:ascii="Arial" w:eastAsiaTheme="minorEastAsia" w:hAnsi="Arial" w:cstheme="minorBidi"/>
          <w:noProof/>
          <w:color w:val="auto"/>
          <w:sz w:val="20"/>
          <w:szCs w:val="20"/>
          <w:lang w:val="en-GB"/>
        </w:rPr>
      </w:sdtEndPr>
      <w:sdtContent>
        <w:p w14:paraId="5508AEC8" w14:textId="21249635" w:rsidR="00640647" w:rsidRDefault="00640647">
          <w:pPr>
            <w:pStyle w:val="TOCHeading"/>
          </w:pPr>
        </w:p>
        <w:p w14:paraId="04192F7A" w14:textId="785DF3B8" w:rsidR="001E418D" w:rsidRDefault="00640647">
          <w:pPr>
            <w:pStyle w:val="TOC1"/>
            <w:tabs>
              <w:tab w:val="right" w:leader="dot" w:pos="901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4099086" w:history="1">
            <w:r w:rsidR="001E418D" w:rsidRPr="00011D02">
              <w:rPr>
                <w:rStyle w:val="Hyperlink"/>
                <w:rFonts w:cs="Arial"/>
                <w:noProof/>
                <w:lang w:bidi="en-US"/>
              </w:rPr>
              <w:t>Introduction</w:t>
            </w:r>
            <w:r w:rsidR="001E418D">
              <w:rPr>
                <w:noProof/>
                <w:webHidden/>
              </w:rPr>
              <w:tab/>
            </w:r>
            <w:r w:rsidR="001E418D">
              <w:rPr>
                <w:noProof/>
                <w:webHidden/>
              </w:rPr>
              <w:fldChar w:fldCharType="begin"/>
            </w:r>
            <w:r w:rsidR="001E418D">
              <w:rPr>
                <w:noProof/>
                <w:webHidden/>
              </w:rPr>
              <w:instrText xml:space="preserve"> PAGEREF _Toc134099086 \h </w:instrText>
            </w:r>
            <w:r w:rsidR="001E418D">
              <w:rPr>
                <w:noProof/>
                <w:webHidden/>
              </w:rPr>
            </w:r>
            <w:r w:rsidR="001E418D">
              <w:rPr>
                <w:noProof/>
                <w:webHidden/>
              </w:rPr>
              <w:fldChar w:fldCharType="separate"/>
            </w:r>
            <w:r w:rsidR="001E418D">
              <w:rPr>
                <w:noProof/>
                <w:webHidden/>
              </w:rPr>
              <w:t>4</w:t>
            </w:r>
            <w:r w:rsidR="001E418D">
              <w:rPr>
                <w:noProof/>
                <w:webHidden/>
              </w:rPr>
              <w:fldChar w:fldCharType="end"/>
            </w:r>
          </w:hyperlink>
        </w:p>
        <w:p w14:paraId="553F1F81" w14:textId="51589B2E" w:rsidR="001E418D" w:rsidRDefault="001E418D">
          <w:pPr>
            <w:pStyle w:val="TOC1"/>
            <w:tabs>
              <w:tab w:val="left" w:pos="600"/>
              <w:tab w:val="right" w:leader="dot" w:pos="9010"/>
            </w:tabs>
            <w:rPr>
              <w:rFonts w:cstheme="minorBidi"/>
              <w:b w:val="0"/>
              <w:bCs w:val="0"/>
              <w:i w:val="0"/>
              <w:iCs w:val="0"/>
              <w:noProof/>
              <w:kern w:val="2"/>
              <w:lang w:eastAsia="en-GB"/>
              <w14:ligatures w14:val="standardContextual"/>
            </w:rPr>
          </w:pPr>
          <w:hyperlink w:anchor="_Toc134099087" w:history="1">
            <w:r w:rsidRPr="00011D02">
              <w:rPr>
                <w:rStyle w:val="Hyperlink"/>
                <w:rFonts w:cs="Arial"/>
                <w:noProof/>
                <w:lang w:bidi="en-US"/>
              </w:rPr>
              <w:t>1.</w:t>
            </w:r>
            <w:r>
              <w:rPr>
                <w:rFonts w:cstheme="minorBidi"/>
                <w:b w:val="0"/>
                <w:bCs w:val="0"/>
                <w:i w:val="0"/>
                <w:iCs w:val="0"/>
                <w:noProof/>
                <w:kern w:val="2"/>
                <w:lang w:eastAsia="en-GB"/>
                <w14:ligatures w14:val="standardContextual"/>
              </w:rPr>
              <w:tab/>
            </w:r>
            <w:r w:rsidRPr="00011D02">
              <w:rPr>
                <w:rStyle w:val="Hyperlink"/>
                <w:rFonts w:cs="Arial"/>
                <w:noProof/>
                <w:lang w:bidi="en-US"/>
              </w:rPr>
              <w:t>Association of Accounting Technicians Strategic Analysis</w:t>
            </w:r>
            <w:r>
              <w:rPr>
                <w:noProof/>
                <w:webHidden/>
              </w:rPr>
              <w:tab/>
            </w:r>
            <w:r>
              <w:rPr>
                <w:noProof/>
                <w:webHidden/>
              </w:rPr>
              <w:fldChar w:fldCharType="begin"/>
            </w:r>
            <w:r>
              <w:rPr>
                <w:noProof/>
                <w:webHidden/>
              </w:rPr>
              <w:instrText xml:space="preserve"> PAGEREF _Toc134099087 \h </w:instrText>
            </w:r>
            <w:r>
              <w:rPr>
                <w:noProof/>
                <w:webHidden/>
              </w:rPr>
            </w:r>
            <w:r>
              <w:rPr>
                <w:noProof/>
                <w:webHidden/>
              </w:rPr>
              <w:fldChar w:fldCharType="separate"/>
            </w:r>
            <w:r>
              <w:rPr>
                <w:noProof/>
                <w:webHidden/>
              </w:rPr>
              <w:t>5</w:t>
            </w:r>
            <w:r>
              <w:rPr>
                <w:noProof/>
                <w:webHidden/>
              </w:rPr>
              <w:fldChar w:fldCharType="end"/>
            </w:r>
          </w:hyperlink>
        </w:p>
        <w:p w14:paraId="71A87CF0" w14:textId="1D61B6FC"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88" w:history="1">
            <w:r w:rsidRPr="00011D02">
              <w:rPr>
                <w:rStyle w:val="Hyperlink"/>
                <w:rFonts w:ascii="Arial" w:hAnsi="Arial" w:cs="Arial"/>
                <w:noProof/>
              </w:rPr>
              <w:t>Internal Analysis</w:t>
            </w:r>
            <w:r>
              <w:rPr>
                <w:noProof/>
                <w:webHidden/>
              </w:rPr>
              <w:tab/>
            </w:r>
            <w:r>
              <w:rPr>
                <w:noProof/>
                <w:webHidden/>
              </w:rPr>
              <w:fldChar w:fldCharType="begin"/>
            </w:r>
            <w:r>
              <w:rPr>
                <w:noProof/>
                <w:webHidden/>
              </w:rPr>
              <w:instrText xml:space="preserve"> PAGEREF _Toc134099088 \h </w:instrText>
            </w:r>
            <w:r>
              <w:rPr>
                <w:noProof/>
                <w:webHidden/>
              </w:rPr>
            </w:r>
            <w:r>
              <w:rPr>
                <w:noProof/>
                <w:webHidden/>
              </w:rPr>
              <w:fldChar w:fldCharType="separate"/>
            </w:r>
            <w:r>
              <w:rPr>
                <w:noProof/>
                <w:webHidden/>
              </w:rPr>
              <w:t>5</w:t>
            </w:r>
            <w:r>
              <w:rPr>
                <w:noProof/>
                <w:webHidden/>
              </w:rPr>
              <w:fldChar w:fldCharType="end"/>
            </w:r>
          </w:hyperlink>
        </w:p>
        <w:p w14:paraId="67CE04A9" w14:textId="63A59296" w:rsidR="001E418D" w:rsidRDefault="001E418D">
          <w:pPr>
            <w:pStyle w:val="TOC3"/>
            <w:tabs>
              <w:tab w:val="right" w:leader="dot" w:pos="9010"/>
            </w:tabs>
            <w:rPr>
              <w:rFonts w:cstheme="minorBidi"/>
              <w:noProof/>
              <w:kern w:val="2"/>
              <w:sz w:val="24"/>
              <w:szCs w:val="24"/>
              <w:lang w:eastAsia="en-GB"/>
              <w14:ligatures w14:val="standardContextual"/>
            </w:rPr>
          </w:pPr>
          <w:hyperlink w:anchor="_Toc134099089" w:history="1">
            <w:r w:rsidRPr="00011D02">
              <w:rPr>
                <w:rStyle w:val="Hyperlink"/>
                <w:noProof/>
              </w:rPr>
              <w:t>Technicians Value Chain Analysis</w:t>
            </w:r>
            <w:r>
              <w:rPr>
                <w:noProof/>
                <w:webHidden/>
              </w:rPr>
              <w:tab/>
            </w:r>
            <w:r>
              <w:rPr>
                <w:noProof/>
                <w:webHidden/>
              </w:rPr>
              <w:fldChar w:fldCharType="begin"/>
            </w:r>
            <w:r>
              <w:rPr>
                <w:noProof/>
                <w:webHidden/>
              </w:rPr>
              <w:instrText xml:space="preserve"> PAGEREF _Toc134099089 \h </w:instrText>
            </w:r>
            <w:r>
              <w:rPr>
                <w:noProof/>
                <w:webHidden/>
              </w:rPr>
            </w:r>
            <w:r>
              <w:rPr>
                <w:noProof/>
                <w:webHidden/>
              </w:rPr>
              <w:fldChar w:fldCharType="separate"/>
            </w:r>
            <w:r>
              <w:rPr>
                <w:noProof/>
                <w:webHidden/>
              </w:rPr>
              <w:t>5</w:t>
            </w:r>
            <w:r>
              <w:rPr>
                <w:noProof/>
                <w:webHidden/>
              </w:rPr>
              <w:fldChar w:fldCharType="end"/>
            </w:r>
          </w:hyperlink>
        </w:p>
        <w:p w14:paraId="6595C2CD" w14:textId="7E580F7C" w:rsidR="001E418D" w:rsidRDefault="001E418D">
          <w:pPr>
            <w:pStyle w:val="TOC3"/>
            <w:tabs>
              <w:tab w:val="right" w:leader="dot" w:pos="9010"/>
            </w:tabs>
            <w:rPr>
              <w:rFonts w:cstheme="minorBidi"/>
              <w:noProof/>
              <w:kern w:val="2"/>
              <w:sz w:val="24"/>
              <w:szCs w:val="24"/>
              <w:lang w:eastAsia="en-GB"/>
              <w14:ligatures w14:val="standardContextual"/>
            </w:rPr>
          </w:pPr>
          <w:hyperlink w:anchor="_Toc134099090" w:history="1">
            <w:r w:rsidRPr="00011D02">
              <w:rPr>
                <w:rStyle w:val="Hyperlink"/>
                <w:noProof/>
              </w:rPr>
              <w:t>Inbound Logistics:</w:t>
            </w:r>
            <w:r>
              <w:rPr>
                <w:noProof/>
                <w:webHidden/>
              </w:rPr>
              <w:tab/>
            </w:r>
            <w:r>
              <w:rPr>
                <w:noProof/>
                <w:webHidden/>
              </w:rPr>
              <w:fldChar w:fldCharType="begin"/>
            </w:r>
            <w:r>
              <w:rPr>
                <w:noProof/>
                <w:webHidden/>
              </w:rPr>
              <w:instrText xml:space="preserve"> PAGEREF _Toc134099090 \h </w:instrText>
            </w:r>
            <w:r>
              <w:rPr>
                <w:noProof/>
                <w:webHidden/>
              </w:rPr>
            </w:r>
            <w:r>
              <w:rPr>
                <w:noProof/>
                <w:webHidden/>
              </w:rPr>
              <w:fldChar w:fldCharType="separate"/>
            </w:r>
            <w:r>
              <w:rPr>
                <w:noProof/>
                <w:webHidden/>
              </w:rPr>
              <w:t>6</w:t>
            </w:r>
            <w:r>
              <w:rPr>
                <w:noProof/>
                <w:webHidden/>
              </w:rPr>
              <w:fldChar w:fldCharType="end"/>
            </w:r>
          </w:hyperlink>
        </w:p>
        <w:p w14:paraId="3D5F1288" w14:textId="2E5E9E72" w:rsidR="001E418D" w:rsidRDefault="001E418D">
          <w:pPr>
            <w:pStyle w:val="TOC3"/>
            <w:tabs>
              <w:tab w:val="right" w:leader="dot" w:pos="9010"/>
            </w:tabs>
            <w:rPr>
              <w:rFonts w:cstheme="minorBidi"/>
              <w:noProof/>
              <w:kern w:val="2"/>
              <w:sz w:val="24"/>
              <w:szCs w:val="24"/>
              <w:lang w:eastAsia="en-GB"/>
              <w14:ligatures w14:val="standardContextual"/>
            </w:rPr>
          </w:pPr>
          <w:hyperlink w:anchor="_Toc134099091" w:history="1">
            <w:r w:rsidRPr="00011D02">
              <w:rPr>
                <w:rStyle w:val="Hyperlink"/>
                <w:noProof/>
              </w:rPr>
              <w:t>Customer Experience Internal Analysis</w:t>
            </w:r>
            <w:r>
              <w:rPr>
                <w:noProof/>
                <w:webHidden/>
              </w:rPr>
              <w:tab/>
            </w:r>
            <w:r>
              <w:rPr>
                <w:noProof/>
                <w:webHidden/>
              </w:rPr>
              <w:fldChar w:fldCharType="begin"/>
            </w:r>
            <w:r>
              <w:rPr>
                <w:noProof/>
                <w:webHidden/>
              </w:rPr>
              <w:instrText xml:space="preserve"> PAGEREF _Toc134099091 \h </w:instrText>
            </w:r>
            <w:r>
              <w:rPr>
                <w:noProof/>
                <w:webHidden/>
              </w:rPr>
            </w:r>
            <w:r>
              <w:rPr>
                <w:noProof/>
                <w:webHidden/>
              </w:rPr>
              <w:fldChar w:fldCharType="separate"/>
            </w:r>
            <w:r>
              <w:rPr>
                <w:noProof/>
                <w:webHidden/>
              </w:rPr>
              <w:t>7</w:t>
            </w:r>
            <w:r>
              <w:rPr>
                <w:noProof/>
                <w:webHidden/>
              </w:rPr>
              <w:fldChar w:fldCharType="end"/>
            </w:r>
          </w:hyperlink>
        </w:p>
        <w:p w14:paraId="0356C001" w14:textId="6498A17F"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92" w:history="1">
            <w:r w:rsidRPr="00011D02">
              <w:rPr>
                <w:rStyle w:val="Hyperlink"/>
                <w:noProof/>
              </w:rPr>
              <w:t>External Analysis</w:t>
            </w:r>
            <w:r>
              <w:rPr>
                <w:noProof/>
                <w:webHidden/>
              </w:rPr>
              <w:tab/>
            </w:r>
            <w:r>
              <w:rPr>
                <w:noProof/>
                <w:webHidden/>
              </w:rPr>
              <w:fldChar w:fldCharType="begin"/>
            </w:r>
            <w:r>
              <w:rPr>
                <w:noProof/>
                <w:webHidden/>
              </w:rPr>
              <w:instrText xml:space="preserve"> PAGEREF _Toc134099092 \h </w:instrText>
            </w:r>
            <w:r>
              <w:rPr>
                <w:noProof/>
                <w:webHidden/>
              </w:rPr>
            </w:r>
            <w:r>
              <w:rPr>
                <w:noProof/>
                <w:webHidden/>
              </w:rPr>
              <w:fldChar w:fldCharType="separate"/>
            </w:r>
            <w:r>
              <w:rPr>
                <w:noProof/>
                <w:webHidden/>
              </w:rPr>
              <w:t>8</w:t>
            </w:r>
            <w:r>
              <w:rPr>
                <w:noProof/>
                <w:webHidden/>
              </w:rPr>
              <w:fldChar w:fldCharType="end"/>
            </w:r>
          </w:hyperlink>
        </w:p>
        <w:p w14:paraId="32109C9D" w14:textId="1639EA1A"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93" w:history="1">
            <w:r w:rsidRPr="00011D02">
              <w:rPr>
                <w:rStyle w:val="Hyperlink"/>
                <w:rFonts w:ascii="Arial" w:hAnsi="Arial" w:cs="Arial"/>
                <w:noProof/>
              </w:rPr>
              <w:t>Industrial Analysis</w:t>
            </w:r>
            <w:r>
              <w:rPr>
                <w:noProof/>
                <w:webHidden/>
              </w:rPr>
              <w:tab/>
            </w:r>
            <w:r>
              <w:rPr>
                <w:noProof/>
                <w:webHidden/>
              </w:rPr>
              <w:fldChar w:fldCharType="begin"/>
            </w:r>
            <w:r>
              <w:rPr>
                <w:noProof/>
                <w:webHidden/>
              </w:rPr>
              <w:instrText xml:space="preserve"> PAGEREF _Toc134099093 \h </w:instrText>
            </w:r>
            <w:r>
              <w:rPr>
                <w:noProof/>
                <w:webHidden/>
              </w:rPr>
            </w:r>
            <w:r>
              <w:rPr>
                <w:noProof/>
                <w:webHidden/>
              </w:rPr>
              <w:fldChar w:fldCharType="separate"/>
            </w:r>
            <w:r>
              <w:rPr>
                <w:noProof/>
                <w:webHidden/>
              </w:rPr>
              <w:t>11</w:t>
            </w:r>
            <w:r>
              <w:rPr>
                <w:noProof/>
                <w:webHidden/>
              </w:rPr>
              <w:fldChar w:fldCharType="end"/>
            </w:r>
          </w:hyperlink>
        </w:p>
        <w:p w14:paraId="4254F9FE" w14:textId="4FE213BC" w:rsidR="001E418D" w:rsidRDefault="001E418D">
          <w:pPr>
            <w:pStyle w:val="TOC3"/>
            <w:tabs>
              <w:tab w:val="right" w:leader="dot" w:pos="9010"/>
            </w:tabs>
            <w:rPr>
              <w:rFonts w:cstheme="minorBidi"/>
              <w:noProof/>
              <w:kern w:val="2"/>
              <w:sz w:val="24"/>
              <w:szCs w:val="24"/>
              <w:lang w:eastAsia="en-GB"/>
              <w14:ligatures w14:val="standardContextual"/>
            </w:rPr>
          </w:pPr>
          <w:hyperlink w:anchor="_Toc134099094" w:history="1">
            <w:r w:rsidRPr="00011D02">
              <w:rPr>
                <w:rStyle w:val="Hyperlink"/>
                <w:noProof/>
              </w:rPr>
              <w:t>SWOT Analysis</w:t>
            </w:r>
            <w:r>
              <w:rPr>
                <w:noProof/>
                <w:webHidden/>
              </w:rPr>
              <w:tab/>
            </w:r>
            <w:r>
              <w:rPr>
                <w:noProof/>
                <w:webHidden/>
              </w:rPr>
              <w:fldChar w:fldCharType="begin"/>
            </w:r>
            <w:r>
              <w:rPr>
                <w:noProof/>
                <w:webHidden/>
              </w:rPr>
              <w:instrText xml:space="preserve"> PAGEREF _Toc134099094 \h </w:instrText>
            </w:r>
            <w:r>
              <w:rPr>
                <w:noProof/>
                <w:webHidden/>
              </w:rPr>
            </w:r>
            <w:r>
              <w:rPr>
                <w:noProof/>
                <w:webHidden/>
              </w:rPr>
              <w:fldChar w:fldCharType="separate"/>
            </w:r>
            <w:r>
              <w:rPr>
                <w:noProof/>
                <w:webHidden/>
              </w:rPr>
              <w:t>13</w:t>
            </w:r>
            <w:r>
              <w:rPr>
                <w:noProof/>
                <w:webHidden/>
              </w:rPr>
              <w:fldChar w:fldCharType="end"/>
            </w:r>
          </w:hyperlink>
        </w:p>
        <w:p w14:paraId="51075FA3" w14:textId="65CFBD1D" w:rsidR="001E418D" w:rsidRDefault="001E418D">
          <w:pPr>
            <w:pStyle w:val="TOC1"/>
            <w:tabs>
              <w:tab w:val="left" w:pos="600"/>
              <w:tab w:val="right" w:leader="dot" w:pos="9010"/>
            </w:tabs>
            <w:rPr>
              <w:rFonts w:cstheme="minorBidi"/>
              <w:b w:val="0"/>
              <w:bCs w:val="0"/>
              <w:i w:val="0"/>
              <w:iCs w:val="0"/>
              <w:noProof/>
              <w:kern w:val="2"/>
              <w:lang w:eastAsia="en-GB"/>
              <w14:ligatures w14:val="standardContextual"/>
            </w:rPr>
          </w:pPr>
          <w:hyperlink w:anchor="_Toc134099095" w:history="1">
            <w:r w:rsidRPr="00011D02">
              <w:rPr>
                <w:rStyle w:val="Hyperlink"/>
                <w:rFonts w:cs="Arial"/>
                <w:noProof/>
                <w:lang w:bidi="en-US"/>
              </w:rPr>
              <w:t>2.</w:t>
            </w:r>
            <w:r>
              <w:rPr>
                <w:rFonts w:cstheme="minorBidi"/>
                <w:b w:val="0"/>
                <w:bCs w:val="0"/>
                <w:i w:val="0"/>
                <w:iCs w:val="0"/>
                <w:noProof/>
                <w:kern w:val="2"/>
                <w:lang w:eastAsia="en-GB"/>
                <w14:ligatures w14:val="standardContextual"/>
              </w:rPr>
              <w:tab/>
            </w:r>
            <w:r w:rsidRPr="00011D02">
              <w:rPr>
                <w:rStyle w:val="Hyperlink"/>
                <w:rFonts w:cs="Arial"/>
                <w:noProof/>
                <w:lang w:bidi="en-US"/>
              </w:rPr>
              <w:t>Association of Accounting Technicians Strategic Growth</w:t>
            </w:r>
            <w:r>
              <w:rPr>
                <w:noProof/>
                <w:webHidden/>
              </w:rPr>
              <w:tab/>
            </w:r>
            <w:r>
              <w:rPr>
                <w:noProof/>
                <w:webHidden/>
              </w:rPr>
              <w:fldChar w:fldCharType="begin"/>
            </w:r>
            <w:r>
              <w:rPr>
                <w:noProof/>
                <w:webHidden/>
              </w:rPr>
              <w:instrText xml:space="preserve"> PAGEREF _Toc134099095 \h </w:instrText>
            </w:r>
            <w:r>
              <w:rPr>
                <w:noProof/>
                <w:webHidden/>
              </w:rPr>
            </w:r>
            <w:r>
              <w:rPr>
                <w:noProof/>
                <w:webHidden/>
              </w:rPr>
              <w:fldChar w:fldCharType="separate"/>
            </w:r>
            <w:r>
              <w:rPr>
                <w:noProof/>
                <w:webHidden/>
              </w:rPr>
              <w:t>15</w:t>
            </w:r>
            <w:r>
              <w:rPr>
                <w:noProof/>
                <w:webHidden/>
              </w:rPr>
              <w:fldChar w:fldCharType="end"/>
            </w:r>
          </w:hyperlink>
        </w:p>
        <w:p w14:paraId="22ECCC4E" w14:textId="5F38EA09"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96" w:history="1">
            <w:r w:rsidRPr="00011D02">
              <w:rPr>
                <w:rStyle w:val="Hyperlink"/>
                <w:rFonts w:ascii="Arial" w:hAnsi="Arial" w:cs="Arial"/>
                <w:noProof/>
              </w:rPr>
              <w:t>AAT Strategic Direction</w:t>
            </w:r>
            <w:r>
              <w:rPr>
                <w:noProof/>
                <w:webHidden/>
              </w:rPr>
              <w:tab/>
            </w:r>
            <w:r>
              <w:rPr>
                <w:noProof/>
                <w:webHidden/>
              </w:rPr>
              <w:fldChar w:fldCharType="begin"/>
            </w:r>
            <w:r>
              <w:rPr>
                <w:noProof/>
                <w:webHidden/>
              </w:rPr>
              <w:instrText xml:space="preserve"> PAGEREF _Toc134099096 \h </w:instrText>
            </w:r>
            <w:r>
              <w:rPr>
                <w:noProof/>
                <w:webHidden/>
              </w:rPr>
            </w:r>
            <w:r>
              <w:rPr>
                <w:noProof/>
                <w:webHidden/>
              </w:rPr>
              <w:fldChar w:fldCharType="separate"/>
            </w:r>
            <w:r>
              <w:rPr>
                <w:noProof/>
                <w:webHidden/>
              </w:rPr>
              <w:t>15</w:t>
            </w:r>
            <w:r>
              <w:rPr>
                <w:noProof/>
                <w:webHidden/>
              </w:rPr>
              <w:fldChar w:fldCharType="end"/>
            </w:r>
          </w:hyperlink>
        </w:p>
        <w:p w14:paraId="716688E0" w14:textId="73DE40BA"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97" w:history="1">
            <w:r w:rsidRPr="00011D02">
              <w:rPr>
                <w:rStyle w:val="Hyperlink"/>
                <w:rFonts w:ascii="Arial" w:hAnsi="Arial" w:cs="Arial"/>
                <w:noProof/>
              </w:rPr>
              <w:t>Suitability,</w:t>
            </w:r>
            <w:r w:rsidRPr="00011D02">
              <w:rPr>
                <w:rStyle w:val="Hyperlink"/>
                <w:rFonts w:ascii="Arial" w:hAnsi="Arial" w:cs="Arial"/>
                <w:noProof/>
                <w:spacing w:val="-3"/>
              </w:rPr>
              <w:t xml:space="preserve"> </w:t>
            </w:r>
            <w:r w:rsidRPr="00011D02">
              <w:rPr>
                <w:rStyle w:val="Hyperlink"/>
                <w:rFonts w:ascii="Arial" w:hAnsi="Arial" w:cs="Arial"/>
                <w:noProof/>
              </w:rPr>
              <w:t>Feasibility,</w:t>
            </w:r>
            <w:r w:rsidRPr="00011D02">
              <w:rPr>
                <w:rStyle w:val="Hyperlink"/>
                <w:rFonts w:ascii="Arial" w:hAnsi="Arial" w:cs="Arial"/>
                <w:noProof/>
                <w:spacing w:val="-3"/>
              </w:rPr>
              <w:t xml:space="preserve"> </w:t>
            </w:r>
            <w:r w:rsidRPr="00011D02">
              <w:rPr>
                <w:rStyle w:val="Hyperlink"/>
                <w:rFonts w:ascii="Arial" w:hAnsi="Arial" w:cs="Arial"/>
                <w:noProof/>
              </w:rPr>
              <w:t>and</w:t>
            </w:r>
            <w:r w:rsidRPr="00011D02">
              <w:rPr>
                <w:rStyle w:val="Hyperlink"/>
                <w:rFonts w:ascii="Arial" w:hAnsi="Arial" w:cs="Arial"/>
                <w:noProof/>
                <w:spacing w:val="-3"/>
              </w:rPr>
              <w:t xml:space="preserve"> </w:t>
            </w:r>
            <w:r w:rsidRPr="00011D02">
              <w:rPr>
                <w:rStyle w:val="Hyperlink"/>
                <w:rFonts w:ascii="Arial" w:hAnsi="Arial" w:cs="Arial"/>
                <w:noProof/>
              </w:rPr>
              <w:t>Acceptability</w:t>
            </w:r>
            <w:r w:rsidRPr="00011D02">
              <w:rPr>
                <w:rStyle w:val="Hyperlink"/>
                <w:rFonts w:ascii="Arial" w:hAnsi="Arial" w:cs="Arial"/>
                <w:noProof/>
                <w:spacing w:val="-2"/>
              </w:rPr>
              <w:t xml:space="preserve"> </w:t>
            </w:r>
            <w:r w:rsidRPr="00011D02">
              <w:rPr>
                <w:rStyle w:val="Hyperlink"/>
                <w:rFonts w:ascii="Arial" w:hAnsi="Arial" w:cs="Arial"/>
                <w:noProof/>
              </w:rPr>
              <w:t>of the Strategic Direction</w:t>
            </w:r>
            <w:r>
              <w:rPr>
                <w:noProof/>
                <w:webHidden/>
              </w:rPr>
              <w:tab/>
            </w:r>
            <w:r>
              <w:rPr>
                <w:noProof/>
                <w:webHidden/>
              </w:rPr>
              <w:fldChar w:fldCharType="begin"/>
            </w:r>
            <w:r>
              <w:rPr>
                <w:noProof/>
                <w:webHidden/>
              </w:rPr>
              <w:instrText xml:space="preserve"> PAGEREF _Toc134099097 \h </w:instrText>
            </w:r>
            <w:r>
              <w:rPr>
                <w:noProof/>
                <w:webHidden/>
              </w:rPr>
            </w:r>
            <w:r>
              <w:rPr>
                <w:noProof/>
                <w:webHidden/>
              </w:rPr>
              <w:fldChar w:fldCharType="separate"/>
            </w:r>
            <w:r>
              <w:rPr>
                <w:noProof/>
                <w:webHidden/>
              </w:rPr>
              <w:t>16</w:t>
            </w:r>
            <w:r>
              <w:rPr>
                <w:noProof/>
                <w:webHidden/>
              </w:rPr>
              <w:fldChar w:fldCharType="end"/>
            </w:r>
          </w:hyperlink>
        </w:p>
        <w:p w14:paraId="059DF097" w14:textId="7DCCC072" w:rsidR="001E418D" w:rsidRDefault="001E418D">
          <w:pPr>
            <w:pStyle w:val="TOC3"/>
            <w:tabs>
              <w:tab w:val="right" w:leader="dot" w:pos="9010"/>
            </w:tabs>
            <w:rPr>
              <w:rFonts w:cstheme="minorBidi"/>
              <w:noProof/>
              <w:kern w:val="2"/>
              <w:sz w:val="24"/>
              <w:szCs w:val="24"/>
              <w:lang w:eastAsia="en-GB"/>
              <w14:ligatures w14:val="standardContextual"/>
            </w:rPr>
          </w:pPr>
          <w:hyperlink w:anchor="_Toc134099098" w:history="1">
            <w:r w:rsidRPr="00011D02">
              <w:rPr>
                <w:rStyle w:val="Hyperlink"/>
                <w:noProof/>
              </w:rPr>
              <w:t>Do a risk-return analysis.</w:t>
            </w:r>
            <w:r>
              <w:rPr>
                <w:noProof/>
                <w:webHidden/>
              </w:rPr>
              <w:tab/>
            </w:r>
            <w:r>
              <w:rPr>
                <w:noProof/>
                <w:webHidden/>
              </w:rPr>
              <w:fldChar w:fldCharType="begin"/>
            </w:r>
            <w:r>
              <w:rPr>
                <w:noProof/>
                <w:webHidden/>
              </w:rPr>
              <w:instrText xml:space="preserve"> PAGEREF _Toc134099098 \h </w:instrText>
            </w:r>
            <w:r>
              <w:rPr>
                <w:noProof/>
                <w:webHidden/>
              </w:rPr>
            </w:r>
            <w:r>
              <w:rPr>
                <w:noProof/>
                <w:webHidden/>
              </w:rPr>
              <w:fldChar w:fldCharType="separate"/>
            </w:r>
            <w:r>
              <w:rPr>
                <w:noProof/>
                <w:webHidden/>
              </w:rPr>
              <w:t>17</w:t>
            </w:r>
            <w:r>
              <w:rPr>
                <w:noProof/>
                <w:webHidden/>
              </w:rPr>
              <w:fldChar w:fldCharType="end"/>
            </w:r>
          </w:hyperlink>
        </w:p>
        <w:p w14:paraId="17238409" w14:textId="4A267F04"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099" w:history="1">
            <w:r w:rsidRPr="00011D02">
              <w:rPr>
                <w:rStyle w:val="Hyperlink"/>
                <w:rFonts w:ascii="Arial" w:hAnsi="Arial" w:cs="Arial"/>
                <w:noProof/>
              </w:rPr>
              <w:t>Stakeholder</w:t>
            </w:r>
            <w:r w:rsidRPr="00011D02">
              <w:rPr>
                <w:rStyle w:val="Hyperlink"/>
                <w:rFonts w:ascii="Arial" w:hAnsi="Arial" w:cs="Arial"/>
                <w:noProof/>
                <w:spacing w:val="-4"/>
              </w:rPr>
              <w:t xml:space="preserve"> </w:t>
            </w:r>
            <w:r w:rsidRPr="00011D02">
              <w:rPr>
                <w:rStyle w:val="Hyperlink"/>
                <w:rFonts w:ascii="Arial" w:hAnsi="Arial" w:cs="Arial"/>
                <w:noProof/>
              </w:rPr>
              <w:t>analysis</w:t>
            </w:r>
            <w:r>
              <w:rPr>
                <w:noProof/>
                <w:webHidden/>
              </w:rPr>
              <w:tab/>
            </w:r>
            <w:r>
              <w:rPr>
                <w:noProof/>
                <w:webHidden/>
              </w:rPr>
              <w:fldChar w:fldCharType="begin"/>
            </w:r>
            <w:r>
              <w:rPr>
                <w:noProof/>
                <w:webHidden/>
              </w:rPr>
              <w:instrText xml:space="preserve"> PAGEREF _Toc134099099 \h </w:instrText>
            </w:r>
            <w:r>
              <w:rPr>
                <w:noProof/>
                <w:webHidden/>
              </w:rPr>
            </w:r>
            <w:r>
              <w:rPr>
                <w:noProof/>
                <w:webHidden/>
              </w:rPr>
              <w:fldChar w:fldCharType="separate"/>
            </w:r>
            <w:r>
              <w:rPr>
                <w:noProof/>
                <w:webHidden/>
              </w:rPr>
              <w:t>18</w:t>
            </w:r>
            <w:r>
              <w:rPr>
                <w:noProof/>
                <w:webHidden/>
              </w:rPr>
              <w:fldChar w:fldCharType="end"/>
            </w:r>
          </w:hyperlink>
        </w:p>
        <w:p w14:paraId="488D0311" w14:textId="20BC57D3" w:rsidR="001E418D" w:rsidRDefault="001E418D">
          <w:pPr>
            <w:pStyle w:val="TOC1"/>
            <w:tabs>
              <w:tab w:val="right" w:leader="dot" w:pos="9010"/>
            </w:tabs>
            <w:rPr>
              <w:rFonts w:cstheme="minorBidi"/>
              <w:b w:val="0"/>
              <w:bCs w:val="0"/>
              <w:i w:val="0"/>
              <w:iCs w:val="0"/>
              <w:noProof/>
              <w:kern w:val="2"/>
              <w:lang w:eastAsia="en-GB"/>
              <w14:ligatures w14:val="standardContextual"/>
            </w:rPr>
          </w:pPr>
          <w:hyperlink w:anchor="_Toc134099100" w:history="1">
            <w:r w:rsidRPr="00011D02">
              <w:rPr>
                <w:rStyle w:val="Hyperlink"/>
                <w:rFonts w:cs="Arial"/>
                <w:noProof/>
                <w:lang w:bidi="en-US"/>
              </w:rPr>
              <w:t>Conclusions</w:t>
            </w:r>
            <w:r w:rsidRPr="00011D02">
              <w:rPr>
                <w:rStyle w:val="Hyperlink"/>
                <w:rFonts w:cs="Arial"/>
                <w:noProof/>
                <w:spacing w:val="-11"/>
                <w:lang w:bidi="en-US"/>
              </w:rPr>
              <w:t xml:space="preserve"> </w:t>
            </w:r>
            <w:r w:rsidRPr="00011D02">
              <w:rPr>
                <w:rStyle w:val="Hyperlink"/>
                <w:rFonts w:cs="Arial"/>
                <w:noProof/>
                <w:lang w:bidi="en-US"/>
              </w:rPr>
              <w:t>and</w:t>
            </w:r>
            <w:r w:rsidRPr="00011D02">
              <w:rPr>
                <w:rStyle w:val="Hyperlink"/>
                <w:rFonts w:cs="Arial"/>
                <w:noProof/>
                <w:spacing w:val="-9"/>
                <w:lang w:bidi="en-US"/>
              </w:rPr>
              <w:t xml:space="preserve"> </w:t>
            </w:r>
            <w:r w:rsidRPr="00011D02">
              <w:rPr>
                <w:rStyle w:val="Hyperlink"/>
                <w:rFonts w:cs="Arial"/>
                <w:noProof/>
                <w:lang w:bidi="en-US"/>
              </w:rPr>
              <w:t>Recommendations</w:t>
            </w:r>
            <w:r>
              <w:rPr>
                <w:noProof/>
                <w:webHidden/>
              </w:rPr>
              <w:tab/>
            </w:r>
            <w:r>
              <w:rPr>
                <w:noProof/>
                <w:webHidden/>
              </w:rPr>
              <w:fldChar w:fldCharType="begin"/>
            </w:r>
            <w:r>
              <w:rPr>
                <w:noProof/>
                <w:webHidden/>
              </w:rPr>
              <w:instrText xml:space="preserve"> PAGEREF _Toc134099100 \h </w:instrText>
            </w:r>
            <w:r>
              <w:rPr>
                <w:noProof/>
                <w:webHidden/>
              </w:rPr>
            </w:r>
            <w:r>
              <w:rPr>
                <w:noProof/>
                <w:webHidden/>
              </w:rPr>
              <w:fldChar w:fldCharType="separate"/>
            </w:r>
            <w:r>
              <w:rPr>
                <w:noProof/>
                <w:webHidden/>
              </w:rPr>
              <w:t>20</w:t>
            </w:r>
            <w:r>
              <w:rPr>
                <w:noProof/>
                <w:webHidden/>
              </w:rPr>
              <w:fldChar w:fldCharType="end"/>
            </w:r>
          </w:hyperlink>
        </w:p>
        <w:p w14:paraId="64BB8D0C" w14:textId="4637DB22" w:rsidR="001E418D" w:rsidRDefault="001E418D">
          <w:pPr>
            <w:pStyle w:val="TOC2"/>
            <w:tabs>
              <w:tab w:val="right" w:leader="dot" w:pos="9010"/>
            </w:tabs>
            <w:rPr>
              <w:rFonts w:cstheme="minorBidi"/>
              <w:b w:val="0"/>
              <w:bCs w:val="0"/>
              <w:noProof/>
              <w:kern w:val="2"/>
              <w:sz w:val="24"/>
              <w:szCs w:val="24"/>
              <w:lang w:eastAsia="en-GB"/>
              <w14:ligatures w14:val="standardContextual"/>
            </w:rPr>
          </w:pPr>
          <w:hyperlink w:anchor="_Toc134099101" w:history="1">
            <w:r w:rsidRPr="00011D02">
              <w:rPr>
                <w:rStyle w:val="Hyperlink"/>
                <w:rFonts w:ascii="Arial" w:hAnsi="Arial" w:cs="Arial"/>
                <w:noProof/>
              </w:rPr>
              <w:t>Strategic</w:t>
            </w:r>
            <w:r w:rsidRPr="00011D02">
              <w:rPr>
                <w:rStyle w:val="Hyperlink"/>
                <w:rFonts w:ascii="Arial" w:hAnsi="Arial" w:cs="Arial"/>
                <w:noProof/>
                <w:spacing w:val="-9"/>
              </w:rPr>
              <w:t xml:space="preserve"> </w:t>
            </w:r>
            <w:r w:rsidRPr="00011D02">
              <w:rPr>
                <w:rStyle w:val="Hyperlink"/>
                <w:rFonts w:ascii="Arial" w:hAnsi="Arial" w:cs="Arial"/>
                <w:noProof/>
              </w:rPr>
              <w:t>implementation,</w:t>
            </w:r>
            <w:r w:rsidRPr="00011D02">
              <w:rPr>
                <w:rStyle w:val="Hyperlink"/>
                <w:rFonts w:ascii="Arial" w:hAnsi="Arial" w:cs="Arial"/>
                <w:noProof/>
                <w:spacing w:val="-6"/>
              </w:rPr>
              <w:t xml:space="preserve"> </w:t>
            </w:r>
            <w:r w:rsidRPr="00011D02">
              <w:rPr>
                <w:rStyle w:val="Hyperlink"/>
                <w:rFonts w:ascii="Arial" w:hAnsi="Arial" w:cs="Arial"/>
                <w:noProof/>
              </w:rPr>
              <w:t>monitoring,</w:t>
            </w:r>
            <w:r w:rsidRPr="00011D02">
              <w:rPr>
                <w:rStyle w:val="Hyperlink"/>
                <w:rFonts w:ascii="Arial" w:hAnsi="Arial" w:cs="Arial"/>
                <w:noProof/>
                <w:spacing w:val="-7"/>
              </w:rPr>
              <w:t xml:space="preserve"> </w:t>
            </w:r>
            <w:r w:rsidRPr="00011D02">
              <w:rPr>
                <w:rStyle w:val="Hyperlink"/>
                <w:rFonts w:ascii="Arial" w:hAnsi="Arial" w:cs="Arial"/>
                <w:noProof/>
              </w:rPr>
              <w:t>and</w:t>
            </w:r>
            <w:r w:rsidRPr="00011D02">
              <w:rPr>
                <w:rStyle w:val="Hyperlink"/>
                <w:rFonts w:ascii="Arial" w:hAnsi="Arial" w:cs="Arial"/>
                <w:noProof/>
                <w:spacing w:val="-9"/>
              </w:rPr>
              <w:t xml:space="preserve"> </w:t>
            </w:r>
            <w:r w:rsidRPr="00011D02">
              <w:rPr>
                <w:rStyle w:val="Hyperlink"/>
                <w:rFonts w:ascii="Arial" w:hAnsi="Arial" w:cs="Arial"/>
                <w:noProof/>
                <w:spacing w:val="-2"/>
              </w:rPr>
              <w:t>evaluation.</w:t>
            </w:r>
            <w:r>
              <w:rPr>
                <w:noProof/>
                <w:webHidden/>
              </w:rPr>
              <w:tab/>
            </w:r>
            <w:r>
              <w:rPr>
                <w:noProof/>
                <w:webHidden/>
              </w:rPr>
              <w:fldChar w:fldCharType="begin"/>
            </w:r>
            <w:r>
              <w:rPr>
                <w:noProof/>
                <w:webHidden/>
              </w:rPr>
              <w:instrText xml:space="preserve"> PAGEREF _Toc134099101 \h </w:instrText>
            </w:r>
            <w:r>
              <w:rPr>
                <w:noProof/>
                <w:webHidden/>
              </w:rPr>
            </w:r>
            <w:r>
              <w:rPr>
                <w:noProof/>
                <w:webHidden/>
              </w:rPr>
              <w:fldChar w:fldCharType="separate"/>
            </w:r>
            <w:r>
              <w:rPr>
                <w:noProof/>
                <w:webHidden/>
              </w:rPr>
              <w:t>20</w:t>
            </w:r>
            <w:r>
              <w:rPr>
                <w:noProof/>
                <w:webHidden/>
              </w:rPr>
              <w:fldChar w:fldCharType="end"/>
            </w:r>
          </w:hyperlink>
        </w:p>
        <w:p w14:paraId="0A1EF874" w14:textId="1331BF75" w:rsidR="001E418D" w:rsidRDefault="001E418D">
          <w:pPr>
            <w:pStyle w:val="TOC1"/>
            <w:tabs>
              <w:tab w:val="right" w:leader="dot" w:pos="9010"/>
            </w:tabs>
            <w:rPr>
              <w:rFonts w:cstheme="minorBidi"/>
              <w:b w:val="0"/>
              <w:bCs w:val="0"/>
              <w:i w:val="0"/>
              <w:iCs w:val="0"/>
              <w:noProof/>
              <w:kern w:val="2"/>
              <w:lang w:eastAsia="en-GB"/>
              <w14:ligatures w14:val="standardContextual"/>
            </w:rPr>
          </w:pPr>
          <w:hyperlink w:anchor="_Toc134099102" w:history="1">
            <w:r w:rsidRPr="00011D02">
              <w:rPr>
                <w:rStyle w:val="Hyperlink"/>
                <w:rFonts w:cs="Arial"/>
                <w:noProof/>
                <w:lang w:bidi="en-US"/>
              </w:rPr>
              <w:t>Reference</w:t>
            </w:r>
            <w:r>
              <w:rPr>
                <w:noProof/>
                <w:webHidden/>
              </w:rPr>
              <w:tab/>
            </w:r>
            <w:r>
              <w:rPr>
                <w:noProof/>
                <w:webHidden/>
              </w:rPr>
              <w:fldChar w:fldCharType="begin"/>
            </w:r>
            <w:r>
              <w:rPr>
                <w:noProof/>
                <w:webHidden/>
              </w:rPr>
              <w:instrText xml:space="preserve"> PAGEREF _Toc134099102 \h </w:instrText>
            </w:r>
            <w:r>
              <w:rPr>
                <w:noProof/>
                <w:webHidden/>
              </w:rPr>
            </w:r>
            <w:r>
              <w:rPr>
                <w:noProof/>
                <w:webHidden/>
              </w:rPr>
              <w:fldChar w:fldCharType="separate"/>
            </w:r>
            <w:r>
              <w:rPr>
                <w:noProof/>
                <w:webHidden/>
              </w:rPr>
              <w:t>22</w:t>
            </w:r>
            <w:r>
              <w:rPr>
                <w:noProof/>
                <w:webHidden/>
              </w:rPr>
              <w:fldChar w:fldCharType="end"/>
            </w:r>
          </w:hyperlink>
        </w:p>
        <w:p w14:paraId="4926177B" w14:textId="612E2D9D" w:rsidR="00640647" w:rsidRDefault="00640647">
          <w:r>
            <w:rPr>
              <w:b/>
              <w:bCs/>
              <w:noProof/>
            </w:rPr>
            <w:fldChar w:fldCharType="end"/>
          </w:r>
        </w:p>
      </w:sdtContent>
    </w:sdt>
    <w:p w14:paraId="5D9459FE" w14:textId="5AB35A7D" w:rsidR="004901E4" w:rsidRPr="00304413" w:rsidRDefault="004901E4" w:rsidP="00E1400F">
      <w:pPr>
        <w:spacing w:after="0" w:line="240" w:lineRule="auto"/>
        <w:jc w:val="left"/>
        <w:rPr>
          <w:rFonts w:cs="Arial"/>
        </w:rPr>
      </w:pPr>
      <w:r w:rsidRPr="00304413">
        <w:rPr>
          <w:rFonts w:cs="Arial"/>
        </w:rPr>
        <w:br w:type="page"/>
      </w:r>
    </w:p>
    <w:p w14:paraId="7C253C91" w14:textId="067FD886" w:rsidR="004901E4" w:rsidRPr="00304413" w:rsidRDefault="004901E4" w:rsidP="00A415E1">
      <w:pPr>
        <w:pStyle w:val="Heading1"/>
        <w:rPr>
          <w:rFonts w:cs="Arial"/>
          <w:lang w:val="en-GB"/>
        </w:rPr>
      </w:pPr>
      <w:bookmarkStart w:id="0" w:name="_Toc134099086"/>
      <w:r w:rsidRPr="00304413">
        <w:rPr>
          <w:rFonts w:cs="Arial"/>
          <w:lang w:val="en-GB"/>
        </w:rPr>
        <w:lastRenderedPageBreak/>
        <w:t>Introduction</w:t>
      </w:r>
      <w:bookmarkEnd w:id="0"/>
    </w:p>
    <w:p w14:paraId="4A923765" w14:textId="77777777" w:rsidR="00263428" w:rsidRDefault="0069049E" w:rsidP="0069049E">
      <w:pPr>
        <w:tabs>
          <w:tab w:val="left" w:pos="1540"/>
          <w:tab w:val="left" w:pos="1541"/>
        </w:tabs>
        <w:spacing w:line="360" w:lineRule="auto"/>
        <w:rPr>
          <w:rFonts w:cs="Arial"/>
          <w:sz w:val="22"/>
          <w:szCs w:val="22"/>
        </w:rPr>
      </w:pPr>
      <w:r w:rsidRPr="0069049E">
        <w:rPr>
          <w:rFonts w:cs="Arial"/>
          <w:sz w:val="22"/>
          <w:szCs w:val="22"/>
        </w:rPr>
        <w:t>This report</w:t>
      </w:r>
      <w:r w:rsidRPr="0069049E">
        <w:rPr>
          <w:rFonts w:cs="Arial"/>
          <w:sz w:val="22"/>
          <w:szCs w:val="22"/>
        </w:rPr>
        <w:t xml:space="preserve"> undertakes an analysis of an organisation and provides strategic recommendations. </w:t>
      </w:r>
      <w:r w:rsidR="00263428" w:rsidRPr="00263428">
        <w:rPr>
          <w:rFonts w:cs="Arial"/>
          <w:sz w:val="22"/>
          <w:szCs w:val="22"/>
        </w:rPr>
        <w:t>This report aims to conduct a strategic evaluation of the business direction that the A</w:t>
      </w:r>
      <w:r w:rsidR="00263428">
        <w:rPr>
          <w:rFonts w:cs="Arial"/>
          <w:sz w:val="22"/>
          <w:szCs w:val="22"/>
        </w:rPr>
        <w:t>ssociation of Accounting Technicians (A</w:t>
      </w:r>
      <w:r w:rsidR="00263428" w:rsidRPr="00263428">
        <w:rPr>
          <w:rFonts w:cs="Arial"/>
          <w:sz w:val="22"/>
          <w:szCs w:val="22"/>
        </w:rPr>
        <w:t>AT</w:t>
      </w:r>
      <w:r w:rsidR="00263428">
        <w:rPr>
          <w:rFonts w:cs="Arial"/>
          <w:sz w:val="22"/>
          <w:szCs w:val="22"/>
        </w:rPr>
        <w:t>)</w:t>
      </w:r>
      <w:r w:rsidR="00263428" w:rsidRPr="00263428">
        <w:rPr>
          <w:rFonts w:cs="Arial"/>
          <w:sz w:val="22"/>
          <w:szCs w:val="22"/>
        </w:rPr>
        <w:t xml:space="preserve"> company should consider as a viable business strategy.</w:t>
      </w:r>
      <w:r w:rsidR="00263428" w:rsidRPr="00263428">
        <w:rPr>
          <w:rFonts w:cs="Arial"/>
          <w:sz w:val="22"/>
          <w:szCs w:val="22"/>
        </w:rPr>
        <w:t xml:space="preserve"> </w:t>
      </w:r>
    </w:p>
    <w:p w14:paraId="3C8B72F6" w14:textId="56AC7C10" w:rsidR="00057C3A" w:rsidRDefault="00263428" w:rsidP="0069049E">
      <w:pPr>
        <w:tabs>
          <w:tab w:val="left" w:pos="1540"/>
          <w:tab w:val="left" w:pos="1541"/>
        </w:tabs>
        <w:spacing w:line="360" w:lineRule="auto"/>
        <w:rPr>
          <w:rFonts w:cs="Arial"/>
          <w:sz w:val="22"/>
          <w:szCs w:val="22"/>
        </w:rPr>
      </w:pPr>
      <w:r>
        <w:rPr>
          <w:rFonts w:cs="Arial"/>
          <w:sz w:val="22"/>
          <w:szCs w:val="22"/>
        </w:rPr>
        <w:t xml:space="preserve">AAT </w:t>
      </w:r>
      <w:r w:rsidRPr="00263428">
        <w:rPr>
          <w:rFonts w:cs="Arial"/>
          <w:sz w:val="22"/>
          <w:szCs w:val="22"/>
        </w:rPr>
        <w:t>is a notable entity that serves as a representative body for Accounting Technicians. It has a substantial worldwide membership of more than 150,000 individuals. According to the official records of the Financial Reporting Council, the membership tally of AAT is currently at 150,000. The aforementioned statement denotes a collective of 2,500 licenced bookkeepers. The principal objective of the organisation is to assist its members in enhancing their financial and managerial proficiencies, thereby facilitating advancement throughout their entire career trajectory. The delivery of accounting education facilitates the achievement of success for both individuals and organisations. The Association of Accounting Technicians (AAT) has granted approval to 581 training providers globally, while in the United Kingdom, there are 49 branches that offer professional networking and support. The aforementioned institution is responsible for awarding 34% of professional accounting certifications in the United Kingdom. It has a global membership and student population of 124,000 individuals spanning 105 nations. Additionally, the organisation has 5,416 students currently enrolled in apprenticeship programmes and a total of 6,220 licenced members within the United Kingdom. The programme enables professional advancement and improves operational efficiency</w:t>
      </w:r>
      <w:r>
        <w:rPr>
          <w:rFonts w:cs="Arial"/>
          <w:sz w:val="22"/>
          <w:szCs w:val="22"/>
        </w:rPr>
        <w:t xml:space="preserve"> </w:t>
      </w:r>
      <w:r w:rsidRPr="00263428">
        <w:rPr>
          <w:rFonts w:cs="Arial"/>
          <w:sz w:val="22"/>
          <w:szCs w:val="22"/>
        </w:rPr>
        <w:t>and is available to individuals at all hierarchical levels. As per the categorization outlined by the Association of Accounting Technicians for the year 2022, the aforementioned organisation is classified as a Small and Medium-sized Enterprise (SME). The corporation employed a total of 2017 executives in the year 2017 and produced a revenue amounting to £31,602,000.</w:t>
      </w:r>
      <w:r w:rsidRPr="00263428">
        <w:rPr>
          <w:rFonts w:cs="Arial"/>
          <w:sz w:val="22"/>
          <w:szCs w:val="22"/>
        </w:rPr>
        <w:t xml:space="preserve"> </w:t>
      </w:r>
      <w:r w:rsidR="0069049E" w:rsidRPr="0069049E">
        <w:rPr>
          <w:rFonts w:cs="Arial"/>
          <w:sz w:val="22"/>
          <w:szCs w:val="22"/>
        </w:rPr>
        <w:t>(Association of Accounting Technicians, 2022).</w:t>
      </w:r>
    </w:p>
    <w:p w14:paraId="61FDA517" w14:textId="1ED895BC" w:rsidR="0069049E" w:rsidRPr="00304413" w:rsidRDefault="00261067" w:rsidP="00261067">
      <w:pPr>
        <w:tabs>
          <w:tab w:val="left" w:pos="1540"/>
          <w:tab w:val="left" w:pos="1541"/>
        </w:tabs>
        <w:spacing w:line="360" w:lineRule="auto"/>
        <w:rPr>
          <w:rFonts w:cs="Arial"/>
        </w:rPr>
      </w:pPr>
      <w:r w:rsidRPr="00261067">
        <w:rPr>
          <w:rFonts w:cs="Arial"/>
          <w:sz w:val="22"/>
          <w:szCs w:val="22"/>
        </w:rPr>
        <w:t xml:space="preserve">The present analysis is divided into two distinct sections. The </w:t>
      </w:r>
      <w:r w:rsidR="00F603B2">
        <w:rPr>
          <w:rFonts w:cs="Arial"/>
          <w:sz w:val="22"/>
          <w:szCs w:val="22"/>
        </w:rPr>
        <w:t>first</w:t>
      </w:r>
      <w:r w:rsidRPr="00261067">
        <w:rPr>
          <w:rFonts w:cs="Arial"/>
          <w:sz w:val="22"/>
          <w:szCs w:val="22"/>
        </w:rPr>
        <w:t xml:space="preserve"> section pertains to an internal analysis that incorporates the employment of the value of change and the Six </w:t>
      </w:r>
      <w:proofErr w:type="spellStart"/>
      <w:r w:rsidR="00F603B2">
        <w:rPr>
          <w:rFonts w:cs="Arial"/>
          <w:sz w:val="22"/>
          <w:szCs w:val="22"/>
        </w:rPr>
        <w:t>Pillars's</w:t>
      </w:r>
      <w:proofErr w:type="spellEnd"/>
      <w:r w:rsidRPr="00261067">
        <w:rPr>
          <w:rFonts w:cs="Arial"/>
          <w:sz w:val="22"/>
          <w:szCs w:val="22"/>
        </w:rPr>
        <w:t xml:space="preserve"> experience of excellence approach</w:t>
      </w:r>
      <w:r w:rsidR="00F603B2">
        <w:rPr>
          <w:rFonts w:cs="Arial"/>
          <w:sz w:val="22"/>
          <w:szCs w:val="22"/>
        </w:rPr>
        <w:t xml:space="preserve"> as well as </w:t>
      </w:r>
      <w:r w:rsidRPr="00261067">
        <w:rPr>
          <w:rFonts w:cs="Arial"/>
          <w:sz w:val="22"/>
          <w:szCs w:val="22"/>
        </w:rPr>
        <w:t>an external analysis that employs the PESTLE framework to scrutinise the external factors that exert an impact on the organisation. Additionally, an industrial analysis is conducted by utilising the Portal Five approach, followed by a SWOT analysis</w:t>
      </w:r>
      <w:r w:rsidR="00F603B2">
        <w:rPr>
          <w:rFonts w:cs="Arial"/>
          <w:sz w:val="22"/>
          <w:szCs w:val="22"/>
        </w:rPr>
        <w:t xml:space="preserve"> as a summary of findings</w:t>
      </w:r>
      <w:r w:rsidRPr="00261067">
        <w:rPr>
          <w:rFonts w:cs="Arial"/>
          <w:sz w:val="22"/>
          <w:szCs w:val="22"/>
        </w:rPr>
        <w:t xml:space="preserve">. The </w:t>
      </w:r>
      <w:r w:rsidR="00F603B2">
        <w:rPr>
          <w:rFonts w:cs="Arial"/>
          <w:sz w:val="22"/>
          <w:szCs w:val="22"/>
        </w:rPr>
        <w:t>second</w:t>
      </w:r>
      <w:r w:rsidRPr="00261067">
        <w:rPr>
          <w:rFonts w:cs="Arial"/>
          <w:sz w:val="22"/>
          <w:szCs w:val="22"/>
        </w:rPr>
        <w:t xml:space="preserve"> </w:t>
      </w:r>
      <w:r w:rsidR="00F603B2">
        <w:rPr>
          <w:rFonts w:cs="Arial"/>
          <w:sz w:val="22"/>
          <w:szCs w:val="22"/>
        </w:rPr>
        <w:t>section</w:t>
      </w:r>
      <w:r w:rsidRPr="00261067">
        <w:rPr>
          <w:rFonts w:cs="Arial"/>
          <w:sz w:val="22"/>
          <w:szCs w:val="22"/>
        </w:rPr>
        <w:t xml:space="preserve"> of the analysis delves into the strategic expansion of AAT, scrutinising its strategic trajectory through the employment of the Ansoff Matrix framework. Additionally, it explores the business direction through the utilisation of SFA analysis and Risk Return analysis, followed by a stakeholder analysis using </w:t>
      </w:r>
      <w:proofErr w:type="spellStart"/>
      <w:r w:rsidRPr="00261067">
        <w:rPr>
          <w:rFonts w:cs="Arial"/>
          <w:sz w:val="22"/>
          <w:szCs w:val="22"/>
        </w:rPr>
        <w:lastRenderedPageBreak/>
        <w:t>Mandelow's</w:t>
      </w:r>
      <w:proofErr w:type="spellEnd"/>
      <w:r w:rsidRPr="00261067">
        <w:rPr>
          <w:rFonts w:cs="Arial"/>
          <w:sz w:val="22"/>
          <w:szCs w:val="22"/>
        </w:rPr>
        <w:t xml:space="preserve"> Stakeholder Matrix. Ultimately, the study culminates in a comprehensive summary of the findings derived from the aforementioned analyses, accompanied by recommendations for AAT to implement strategic growth. Furthermore, the potential risks associated with the non-application of the suggested recommendations are also highlighted.</w:t>
      </w:r>
    </w:p>
    <w:p w14:paraId="097756F9" w14:textId="146E45E2" w:rsidR="004901E4" w:rsidRPr="00304413" w:rsidRDefault="00640647" w:rsidP="00CE6463">
      <w:pPr>
        <w:pStyle w:val="Heading1"/>
        <w:numPr>
          <w:ilvl w:val="0"/>
          <w:numId w:val="16"/>
        </w:numPr>
        <w:rPr>
          <w:rFonts w:cs="Arial"/>
          <w:lang w:val="en-GB"/>
        </w:rPr>
      </w:pPr>
      <w:bookmarkStart w:id="1" w:name="_Toc134099087"/>
      <w:r w:rsidRPr="00640647">
        <w:rPr>
          <w:rFonts w:cs="Arial"/>
          <w:lang w:val="en-GB"/>
        </w:rPr>
        <w:t xml:space="preserve">Association of Accounting Technicians </w:t>
      </w:r>
      <w:r w:rsidR="004901E4" w:rsidRPr="00304413">
        <w:rPr>
          <w:rFonts w:cs="Arial"/>
          <w:lang w:val="en-GB"/>
        </w:rPr>
        <w:t>Strategic Analysis</w:t>
      </w:r>
      <w:bookmarkEnd w:id="1"/>
    </w:p>
    <w:p w14:paraId="2E8F74E3" w14:textId="77777777" w:rsidR="004901E4" w:rsidRPr="00304413" w:rsidRDefault="004901E4" w:rsidP="004901E4">
      <w:pPr>
        <w:rPr>
          <w:rFonts w:cs="Arial"/>
        </w:rPr>
      </w:pPr>
    </w:p>
    <w:p w14:paraId="4461643B" w14:textId="33E682AA" w:rsidR="00304413" w:rsidRDefault="004901E4" w:rsidP="00640647">
      <w:pPr>
        <w:pStyle w:val="Heading2"/>
        <w:rPr>
          <w:rFonts w:ascii="Arial" w:hAnsi="Arial" w:cs="Arial"/>
        </w:rPr>
      </w:pPr>
      <w:bookmarkStart w:id="2" w:name="_Toc134099088"/>
      <w:r w:rsidRPr="00304413">
        <w:rPr>
          <w:rFonts w:ascii="Arial" w:hAnsi="Arial" w:cs="Arial"/>
        </w:rPr>
        <w:t>Internal Analysis</w:t>
      </w:r>
      <w:bookmarkEnd w:id="2"/>
    </w:p>
    <w:p w14:paraId="1415DB3B" w14:textId="77777777" w:rsidR="00A20998" w:rsidRPr="00A20998" w:rsidRDefault="00A20998" w:rsidP="00A20998"/>
    <w:p w14:paraId="2E5040FB" w14:textId="5E700DD5" w:rsidR="00F642CB" w:rsidRDefault="009C3151" w:rsidP="00F642CB">
      <w:pPr>
        <w:spacing w:line="360" w:lineRule="auto"/>
        <w:rPr>
          <w:rFonts w:eastAsia="Calibri" w:cs="Arial"/>
          <w:color w:val="000000"/>
          <w:sz w:val="22"/>
          <w:szCs w:val="22"/>
        </w:rPr>
      </w:pPr>
      <w:r w:rsidRPr="009C3151">
        <w:rPr>
          <w:rFonts w:eastAsia="Calibri" w:cs="Arial"/>
          <w:color w:val="000000"/>
          <w:sz w:val="22"/>
          <w:szCs w:val="22"/>
        </w:rPr>
        <w:t xml:space="preserve">A Small and Medium Enterprise (SME) should do an internal study to determine the organization's resources, capabilities, and areas of strength and weakness. </w:t>
      </w:r>
      <w:r w:rsidR="00F642CB" w:rsidRPr="00F642CB">
        <w:rPr>
          <w:rFonts w:eastAsia="Calibri" w:cs="Arial"/>
          <w:color w:val="000000"/>
          <w:sz w:val="22"/>
          <w:szCs w:val="22"/>
        </w:rPr>
        <w:t>This analysis enables the SME to understand its internal factors and make informed strategic decisions, optimize operations, leverage competitive advantages, and address areas that need improvement.</w:t>
      </w:r>
    </w:p>
    <w:p w14:paraId="4BB1A37D" w14:textId="7458CCE1" w:rsidR="00F642CB" w:rsidRPr="00F642CB" w:rsidRDefault="009C3151" w:rsidP="00F642CB">
      <w:pPr>
        <w:spacing w:line="360" w:lineRule="auto"/>
        <w:rPr>
          <w:rFonts w:eastAsia="Calibri" w:cs="Arial"/>
          <w:color w:val="000000"/>
          <w:sz w:val="22"/>
          <w:szCs w:val="22"/>
        </w:rPr>
      </w:pPr>
      <w:r w:rsidRPr="009C3151">
        <w:rPr>
          <w:rFonts w:eastAsia="Calibri" w:cs="Arial"/>
          <w:color w:val="000000"/>
          <w:sz w:val="22"/>
          <w:szCs w:val="22"/>
        </w:rPr>
        <w:t>Michael E Porter of Harvard Business School</w:t>
      </w:r>
      <w:r w:rsidRPr="009C3151">
        <w:rPr>
          <w:rFonts w:eastAsia="Calibri" w:cs="Arial"/>
          <w:color w:val="000000"/>
          <w:sz w:val="22"/>
          <w:szCs w:val="22"/>
        </w:rPr>
        <w:t xml:space="preserve"> </w:t>
      </w:r>
      <w:r>
        <w:rPr>
          <w:rFonts w:eastAsia="Calibri" w:cs="Arial"/>
          <w:color w:val="000000"/>
          <w:sz w:val="22"/>
          <w:szCs w:val="22"/>
        </w:rPr>
        <w:t>in 1</w:t>
      </w:r>
      <w:r w:rsidR="00304413" w:rsidRPr="00304413">
        <w:rPr>
          <w:rFonts w:eastAsia="Calibri" w:cs="Arial"/>
          <w:color w:val="000000"/>
          <w:sz w:val="22"/>
          <w:szCs w:val="22"/>
        </w:rPr>
        <w:t>985 developed the term "value chain" to characterize the comprehensive set of activities required to bring a product or service from inception with the various phases of production, distribution to consumers, and disposal. The product is assumed to gain value as it travels from one chain participant to the next. As a result, the value chain can be utilised as an instrument to disaggregate a business into its main activities, enabling the identification of sources of competitive advantage. As a framework for analysing both firm-level and industry-level competitive strengths and vulnerabilities, the value chain must be decomposed into its strategic components to better comprehend each component's impact on cost and value</w:t>
      </w:r>
      <w:r w:rsidR="00F642CB">
        <w:rPr>
          <w:rFonts w:eastAsia="Calibri" w:cs="Arial"/>
          <w:color w:val="000000"/>
          <w:sz w:val="22"/>
          <w:szCs w:val="22"/>
        </w:rPr>
        <w:t xml:space="preserve"> </w:t>
      </w:r>
      <w:r w:rsidR="00F642CB" w:rsidRPr="00F642CB">
        <w:rPr>
          <w:rFonts w:eastAsia="Calibri" w:cs="Arial"/>
          <w:color w:val="000000"/>
          <w:sz w:val="22"/>
          <w:szCs w:val="22"/>
        </w:rPr>
        <w:t>(Zamora, 2016)</w:t>
      </w:r>
      <w:r w:rsidR="00F642CB">
        <w:rPr>
          <w:rFonts w:eastAsia="Calibri" w:cs="Arial"/>
          <w:color w:val="000000"/>
          <w:sz w:val="22"/>
          <w:szCs w:val="22"/>
        </w:rPr>
        <w:t xml:space="preserve">. </w:t>
      </w:r>
    </w:p>
    <w:p w14:paraId="1407143D" w14:textId="434DBFCB" w:rsidR="005441FA" w:rsidRPr="00D7101A" w:rsidRDefault="005441FA" w:rsidP="00640647">
      <w:pPr>
        <w:pStyle w:val="Heading3"/>
      </w:pPr>
      <w:bookmarkStart w:id="3" w:name="_Toc134099089"/>
      <w:r w:rsidRPr="00304413">
        <w:t xml:space="preserve">Technicians Value Chain </w:t>
      </w:r>
      <w:r w:rsidR="00640647">
        <w:t>A</w:t>
      </w:r>
      <w:r w:rsidRPr="00304413">
        <w:t>nalysis</w:t>
      </w:r>
      <w:bookmarkEnd w:id="3"/>
    </w:p>
    <w:p w14:paraId="0BE8A361" w14:textId="0FAB23A6" w:rsidR="005441FA" w:rsidRDefault="002D6FB3" w:rsidP="00F642CB">
      <w:pPr>
        <w:pStyle w:val="BodyText"/>
        <w:spacing w:line="360" w:lineRule="auto"/>
        <w:ind w:left="0"/>
        <w:jc w:val="both"/>
        <w:rPr>
          <w:rFonts w:ascii="Arial" w:hAnsi="Arial" w:cs="Arial"/>
          <w:color w:val="000000"/>
          <w:lang w:val="en-GB"/>
        </w:rPr>
      </w:pPr>
      <w:r w:rsidRPr="002D6FB3">
        <w:rPr>
          <w:rFonts w:ascii="Arial" w:hAnsi="Arial" w:cs="Arial"/>
          <w:color w:val="000000"/>
          <w:lang w:val="en-GB"/>
        </w:rPr>
        <w:t>Conducting a value chain analysis can be a valuable component of the business approach to the Association of Accounting Technicians (AAT). The analysis of value chain enables organisations to comprehend the fundamental and auxiliary activities that contribute to their comprehensive value creation and competitive edge.</w:t>
      </w:r>
      <w:r w:rsidRPr="002D6FB3">
        <w:rPr>
          <w:rFonts w:ascii="Arial" w:hAnsi="Arial" w:cs="Arial"/>
          <w:color w:val="000000"/>
          <w:lang w:val="en-GB"/>
        </w:rPr>
        <w:t xml:space="preserve"> </w:t>
      </w:r>
      <w:r w:rsidR="00F642CB">
        <w:rPr>
          <w:rFonts w:ascii="Arial" w:hAnsi="Arial" w:cs="Arial"/>
          <w:color w:val="000000"/>
          <w:lang w:val="en-GB"/>
        </w:rPr>
        <w:t xml:space="preserve">Based on the AAT Annual report </w:t>
      </w:r>
      <w:r w:rsidR="00F642CB" w:rsidRPr="00F642CB">
        <w:rPr>
          <w:rFonts w:ascii="Arial" w:hAnsi="Arial" w:cs="Arial"/>
          <w:color w:val="000000"/>
          <w:lang w:val="en-GB"/>
        </w:rPr>
        <w:t>(Association of Accounting Technicians, 2022)</w:t>
      </w:r>
      <w:r w:rsidR="00F642CB">
        <w:rPr>
          <w:rFonts w:ascii="Arial" w:hAnsi="Arial" w:cs="Arial"/>
          <w:color w:val="000000"/>
          <w:lang w:val="en-GB"/>
        </w:rPr>
        <w:t xml:space="preserve">, we were able to conduct a Value Chain </w:t>
      </w:r>
      <w:r w:rsidR="00010EF2">
        <w:rPr>
          <w:rFonts w:ascii="Arial" w:hAnsi="Arial" w:cs="Arial"/>
          <w:color w:val="000000"/>
          <w:lang w:val="en-GB"/>
        </w:rPr>
        <w:lastRenderedPageBreak/>
        <w:t>a</w:t>
      </w:r>
      <w:r w:rsidR="00F642CB">
        <w:rPr>
          <w:rFonts w:ascii="Arial" w:hAnsi="Arial" w:cs="Arial"/>
          <w:color w:val="000000"/>
          <w:lang w:val="en-GB"/>
        </w:rPr>
        <w:t xml:space="preserve">nalysis as </w:t>
      </w:r>
      <w:r>
        <w:rPr>
          <w:rFonts w:ascii="Arial" w:hAnsi="Arial" w:cs="Arial"/>
          <w:color w:val="000000"/>
          <w:lang w:val="en-GB"/>
        </w:rPr>
        <w:t>follows</w:t>
      </w:r>
      <w:r w:rsidR="00CF745E">
        <w:rPr>
          <w:rFonts w:ascii="Arial" w:hAnsi="Arial" w:cs="Arial"/>
          <w:color w:val="000000"/>
          <w:lang w:val="en-GB"/>
        </w:rPr>
        <w:t>:</w:t>
      </w:r>
    </w:p>
    <w:p w14:paraId="4F581C32" w14:textId="77777777" w:rsidR="00F642CB" w:rsidRPr="00304413" w:rsidRDefault="00F642CB" w:rsidP="00F642CB">
      <w:pPr>
        <w:pStyle w:val="BodyText"/>
        <w:spacing w:line="360" w:lineRule="auto"/>
        <w:ind w:left="0"/>
        <w:jc w:val="both"/>
        <w:rPr>
          <w:rFonts w:ascii="Arial" w:hAnsi="Arial" w:cs="Arial"/>
          <w:color w:val="000000"/>
          <w:lang w:val="en-GB"/>
        </w:rPr>
      </w:pPr>
    </w:p>
    <w:p w14:paraId="33BDBEA1" w14:textId="4686380D" w:rsidR="005441FA" w:rsidRPr="00F642CB" w:rsidRDefault="005441FA" w:rsidP="00F642CB">
      <w:pPr>
        <w:pStyle w:val="Heading3"/>
        <w:spacing w:line="360" w:lineRule="auto"/>
      </w:pPr>
      <w:bookmarkStart w:id="4" w:name="_Toc134099090"/>
      <w:r w:rsidRPr="00304413">
        <w:t>Inbound Logistics:</w:t>
      </w:r>
      <w:bookmarkEnd w:id="4"/>
    </w:p>
    <w:p w14:paraId="1147062D" w14:textId="4BC994AE" w:rsidR="005441FA" w:rsidRPr="00304413" w:rsidRDefault="005441FA" w:rsidP="00F642CB">
      <w:pPr>
        <w:pStyle w:val="BodyText"/>
        <w:numPr>
          <w:ilvl w:val="0"/>
          <w:numId w:val="17"/>
        </w:numPr>
        <w:spacing w:line="360" w:lineRule="auto"/>
        <w:jc w:val="both"/>
        <w:rPr>
          <w:rFonts w:ascii="Arial" w:hAnsi="Arial" w:cs="Arial"/>
          <w:color w:val="000000"/>
          <w:lang w:val="en-GB"/>
        </w:rPr>
      </w:pPr>
      <w:r w:rsidRPr="00304413">
        <w:rPr>
          <w:rFonts w:ascii="Arial" w:hAnsi="Arial" w:cs="Arial"/>
          <w:color w:val="000000"/>
          <w:lang w:val="en-GB"/>
        </w:rPr>
        <w:t>The AAT designs and develops accounting and finance qualification syllabi, ensuring that they meet industry standards and are relevant to the needs of accounting professionals.</w:t>
      </w:r>
    </w:p>
    <w:p w14:paraId="6CC49E19" w14:textId="0F59A6A3" w:rsidR="005441FA" w:rsidRPr="00304413" w:rsidRDefault="005441FA" w:rsidP="00F642CB">
      <w:pPr>
        <w:pStyle w:val="BodyText"/>
        <w:numPr>
          <w:ilvl w:val="0"/>
          <w:numId w:val="17"/>
        </w:numPr>
        <w:spacing w:line="360" w:lineRule="auto"/>
        <w:jc w:val="both"/>
        <w:rPr>
          <w:rFonts w:ascii="Arial" w:hAnsi="Arial" w:cs="Arial"/>
          <w:color w:val="000000"/>
          <w:lang w:val="en-GB"/>
        </w:rPr>
      </w:pPr>
      <w:r w:rsidRPr="00304413">
        <w:rPr>
          <w:rFonts w:ascii="Arial" w:hAnsi="Arial" w:cs="Arial"/>
          <w:color w:val="000000"/>
          <w:lang w:val="en-GB"/>
        </w:rPr>
        <w:t>The AAT acquires educational resources, including textbooks, study materials, and online resources, to support the learning process.</w:t>
      </w:r>
    </w:p>
    <w:p w14:paraId="18E604DF" w14:textId="77777777" w:rsidR="005441FA" w:rsidRPr="00304413" w:rsidRDefault="005441FA" w:rsidP="00F642CB">
      <w:pPr>
        <w:pStyle w:val="BodyText"/>
        <w:spacing w:line="360" w:lineRule="auto"/>
        <w:ind w:left="0"/>
        <w:jc w:val="both"/>
        <w:rPr>
          <w:rFonts w:ascii="Arial" w:hAnsi="Arial" w:cs="Arial"/>
          <w:color w:val="000000"/>
          <w:lang w:val="en-GB"/>
        </w:rPr>
      </w:pPr>
    </w:p>
    <w:p w14:paraId="5B4E4D21" w14:textId="1D9FEF7D" w:rsidR="005441FA" w:rsidRPr="00640647" w:rsidRDefault="005441FA" w:rsidP="00640647">
      <w:pPr>
        <w:rPr>
          <w:b/>
          <w:bCs/>
          <w:color w:val="C00000"/>
          <w:sz w:val="24"/>
          <w:szCs w:val="24"/>
        </w:rPr>
      </w:pPr>
      <w:r w:rsidRPr="00640647">
        <w:rPr>
          <w:b/>
          <w:bCs/>
          <w:color w:val="C00000"/>
          <w:sz w:val="24"/>
          <w:szCs w:val="24"/>
        </w:rPr>
        <w:t>Operations:</w:t>
      </w:r>
    </w:p>
    <w:p w14:paraId="65F1DDED" w14:textId="7D5A835E" w:rsidR="005441FA" w:rsidRPr="00304413" w:rsidRDefault="005441FA" w:rsidP="00F642CB">
      <w:pPr>
        <w:pStyle w:val="BodyText"/>
        <w:numPr>
          <w:ilvl w:val="0"/>
          <w:numId w:val="18"/>
        </w:numPr>
        <w:spacing w:line="360" w:lineRule="auto"/>
        <w:rPr>
          <w:rFonts w:ascii="Arial" w:hAnsi="Arial" w:cs="Arial"/>
          <w:color w:val="000000"/>
          <w:lang w:val="en-GB"/>
        </w:rPr>
      </w:pPr>
      <w:r w:rsidRPr="00304413">
        <w:rPr>
          <w:rFonts w:ascii="Arial" w:hAnsi="Arial" w:cs="Arial"/>
          <w:color w:val="000000"/>
          <w:lang w:val="en-GB"/>
        </w:rPr>
        <w:t>The AAT conducts training programs, both in-person and online, to impart knowledge and skills required for accounting and finance roles.</w:t>
      </w:r>
    </w:p>
    <w:p w14:paraId="0ADBBF5E" w14:textId="146EAA48" w:rsidR="005441FA" w:rsidRPr="00304413" w:rsidRDefault="005441FA" w:rsidP="00F642CB">
      <w:pPr>
        <w:pStyle w:val="BodyText"/>
        <w:numPr>
          <w:ilvl w:val="0"/>
          <w:numId w:val="18"/>
        </w:numPr>
        <w:spacing w:line="360" w:lineRule="auto"/>
        <w:rPr>
          <w:rFonts w:ascii="Arial" w:hAnsi="Arial" w:cs="Arial"/>
          <w:color w:val="000000"/>
          <w:lang w:val="en-GB"/>
        </w:rPr>
      </w:pPr>
      <w:r w:rsidRPr="00304413">
        <w:rPr>
          <w:rFonts w:ascii="Arial" w:hAnsi="Arial" w:cs="Arial"/>
          <w:color w:val="000000"/>
          <w:lang w:val="en-GB"/>
        </w:rPr>
        <w:t>The AAT administers examinations to assess the competency of candidates and award certifications upon successful completion.</w:t>
      </w:r>
    </w:p>
    <w:p w14:paraId="2B492CB3" w14:textId="74874CD1" w:rsidR="005441FA" w:rsidRPr="00304413" w:rsidRDefault="005441FA" w:rsidP="00F642CB">
      <w:pPr>
        <w:pStyle w:val="BodyText"/>
        <w:numPr>
          <w:ilvl w:val="0"/>
          <w:numId w:val="18"/>
        </w:numPr>
        <w:spacing w:line="360" w:lineRule="auto"/>
        <w:rPr>
          <w:rFonts w:ascii="Arial" w:hAnsi="Arial" w:cs="Arial"/>
          <w:color w:val="000000"/>
          <w:lang w:val="en-GB"/>
        </w:rPr>
      </w:pPr>
      <w:r w:rsidRPr="00304413">
        <w:rPr>
          <w:rFonts w:ascii="Arial" w:hAnsi="Arial" w:cs="Arial"/>
          <w:color w:val="000000"/>
          <w:lang w:val="en-GB"/>
        </w:rPr>
        <w:t>The AAT works with employers and professional bodies to ensure that its qualifications are recognized and valued in the industry.</w:t>
      </w:r>
    </w:p>
    <w:p w14:paraId="720054D7" w14:textId="77777777" w:rsidR="005441FA" w:rsidRPr="00304413" w:rsidRDefault="005441FA" w:rsidP="00F642CB">
      <w:pPr>
        <w:pStyle w:val="BodyText"/>
        <w:spacing w:line="360" w:lineRule="auto"/>
        <w:ind w:left="0"/>
        <w:rPr>
          <w:rFonts w:ascii="Arial" w:hAnsi="Arial" w:cs="Arial"/>
          <w:color w:val="000000"/>
          <w:lang w:val="en-GB"/>
        </w:rPr>
      </w:pPr>
    </w:p>
    <w:p w14:paraId="0C71EE5F" w14:textId="1BB33F0B" w:rsidR="005441FA" w:rsidRPr="00640647" w:rsidRDefault="005441FA" w:rsidP="00640647">
      <w:pPr>
        <w:rPr>
          <w:b/>
          <w:bCs/>
          <w:color w:val="C00000"/>
          <w:sz w:val="24"/>
          <w:szCs w:val="24"/>
        </w:rPr>
      </w:pPr>
      <w:r w:rsidRPr="00640647">
        <w:rPr>
          <w:b/>
          <w:bCs/>
          <w:color w:val="C00000"/>
          <w:sz w:val="24"/>
          <w:szCs w:val="24"/>
        </w:rPr>
        <w:t>Outbound Logistics:</w:t>
      </w:r>
    </w:p>
    <w:p w14:paraId="24A46AEE" w14:textId="059AE4C4" w:rsidR="005441FA" w:rsidRPr="00304413" w:rsidRDefault="005441FA" w:rsidP="00F642CB">
      <w:pPr>
        <w:pStyle w:val="BodyText"/>
        <w:numPr>
          <w:ilvl w:val="0"/>
          <w:numId w:val="19"/>
        </w:numPr>
        <w:spacing w:line="360" w:lineRule="auto"/>
        <w:jc w:val="both"/>
        <w:rPr>
          <w:rFonts w:ascii="Arial" w:hAnsi="Arial" w:cs="Arial"/>
          <w:color w:val="000000"/>
          <w:lang w:val="en-GB"/>
        </w:rPr>
      </w:pPr>
      <w:r w:rsidRPr="00304413">
        <w:rPr>
          <w:rFonts w:ascii="Arial" w:hAnsi="Arial" w:cs="Arial"/>
          <w:color w:val="000000"/>
          <w:lang w:val="en-GB"/>
        </w:rPr>
        <w:t>Once candidates successfully complete the examinations, the AAT issues certifications and membership cards, recognizing their achievement and affiliation with the organization.</w:t>
      </w:r>
    </w:p>
    <w:p w14:paraId="2E71251B" w14:textId="2246E9FA" w:rsidR="005441FA" w:rsidRPr="00304413" w:rsidRDefault="005441FA" w:rsidP="00F642CB">
      <w:pPr>
        <w:pStyle w:val="BodyText"/>
        <w:numPr>
          <w:ilvl w:val="0"/>
          <w:numId w:val="19"/>
        </w:numPr>
        <w:spacing w:line="360" w:lineRule="auto"/>
        <w:jc w:val="both"/>
        <w:rPr>
          <w:rFonts w:ascii="Arial" w:hAnsi="Arial" w:cs="Arial"/>
          <w:color w:val="000000"/>
          <w:lang w:val="en-GB"/>
        </w:rPr>
      </w:pPr>
      <w:r w:rsidRPr="00304413">
        <w:rPr>
          <w:rFonts w:ascii="Arial" w:hAnsi="Arial" w:cs="Arial"/>
          <w:color w:val="000000"/>
          <w:lang w:val="en-GB"/>
        </w:rPr>
        <w:t>The AAT may provide networking opportunities and platforms for certified individuals to connect with each other, fostering professional relationships and collaboration.</w:t>
      </w:r>
    </w:p>
    <w:p w14:paraId="046F2407" w14:textId="0404B509" w:rsidR="005441FA" w:rsidRPr="00640647" w:rsidRDefault="005441FA" w:rsidP="00640647">
      <w:pPr>
        <w:rPr>
          <w:rFonts w:eastAsia="Calibri"/>
          <w:b/>
          <w:bCs/>
          <w:color w:val="C00000"/>
          <w:sz w:val="24"/>
          <w:szCs w:val="24"/>
        </w:rPr>
      </w:pPr>
      <w:r w:rsidRPr="00640647">
        <w:rPr>
          <w:b/>
          <w:bCs/>
          <w:color w:val="C00000"/>
          <w:sz w:val="24"/>
          <w:szCs w:val="24"/>
        </w:rPr>
        <w:t>Marketing and Sales:</w:t>
      </w:r>
    </w:p>
    <w:p w14:paraId="36C5E374" w14:textId="158AED32" w:rsidR="005441FA" w:rsidRPr="00304413" w:rsidRDefault="005441FA" w:rsidP="00F642CB">
      <w:pPr>
        <w:pStyle w:val="BodyText"/>
        <w:numPr>
          <w:ilvl w:val="0"/>
          <w:numId w:val="20"/>
        </w:numPr>
        <w:spacing w:line="360" w:lineRule="auto"/>
        <w:jc w:val="both"/>
        <w:rPr>
          <w:rFonts w:ascii="Arial" w:hAnsi="Arial" w:cs="Arial"/>
          <w:color w:val="000000"/>
          <w:lang w:val="en-GB"/>
        </w:rPr>
      </w:pPr>
      <w:r w:rsidRPr="00304413">
        <w:rPr>
          <w:rFonts w:ascii="Arial" w:hAnsi="Arial" w:cs="Arial"/>
          <w:color w:val="000000"/>
          <w:lang w:val="en-GB"/>
        </w:rPr>
        <w:t>The AAT engages in marketing activities to create awareness about its qualifications and the benefits of joining the organization.</w:t>
      </w:r>
    </w:p>
    <w:p w14:paraId="2E987E6A" w14:textId="43BA26F5" w:rsidR="005441FA" w:rsidRPr="00F642CB" w:rsidRDefault="005441FA" w:rsidP="00F642CB">
      <w:pPr>
        <w:pStyle w:val="BodyText"/>
        <w:numPr>
          <w:ilvl w:val="0"/>
          <w:numId w:val="20"/>
        </w:numPr>
        <w:spacing w:line="360" w:lineRule="auto"/>
        <w:jc w:val="both"/>
        <w:rPr>
          <w:rFonts w:ascii="Arial" w:hAnsi="Arial" w:cs="Arial"/>
          <w:color w:val="000000"/>
          <w:lang w:val="en-GB"/>
        </w:rPr>
      </w:pPr>
      <w:r w:rsidRPr="00304413">
        <w:rPr>
          <w:rFonts w:ascii="Arial" w:hAnsi="Arial" w:cs="Arial"/>
          <w:color w:val="000000"/>
          <w:lang w:val="en-GB"/>
        </w:rPr>
        <w:t xml:space="preserve">The AAT recruits individuals interested in pursuing accounting and finance careers and encourages them to </w:t>
      </w:r>
      <w:r w:rsidR="002D6FB3">
        <w:rPr>
          <w:rFonts w:ascii="Arial" w:hAnsi="Arial" w:cs="Arial"/>
          <w:color w:val="000000"/>
          <w:lang w:val="en-GB"/>
        </w:rPr>
        <w:t>enrol</w:t>
      </w:r>
      <w:r w:rsidRPr="00304413">
        <w:rPr>
          <w:rFonts w:ascii="Arial" w:hAnsi="Arial" w:cs="Arial"/>
          <w:color w:val="000000"/>
          <w:lang w:val="en-GB"/>
        </w:rPr>
        <w:t xml:space="preserve"> in its training programs and become members.</w:t>
      </w:r>
    </w:p>
    <w:p w14:paraId="65AEFC71" w14:textId="6C8D4E60" w:rsidR="005441FA" w:rsidRPr="00640647" w:rsidRDefault="005441FA" w:rsidP="00640647">
      <w:pPr>
        <w:rPr>
          <w:b/>
          <w:bCs/>
          <w:color w:val="C00000"/>
          <w:sz w:val="24"/>
          <w:szCs w:val="24"/>
        </w:rPr>
      </w:pPr>
      <w:r w:rsidRPr="00640647">
        <w:rPr>
          <w:b/>
          <w:bCs/>
          <w:color w:val="C00000"/>
          <w:sz w:val="24"/>
          <w:szCs w:val="24"/>
        </w:rPr>
        <w:t>Service:</w:t>
      </w:r>
    </w:p>
    <w:p w14:paraId="40B1B7CB" w14:textId="57756C8E" w:rsidR="005441FA" w:rsidRPr="00304413" w:rsidRDefault="005441FA" w:rsidP="002D6FB3">
      <w:pPr>
        <w:pStyle w:val="BodyText"/>
        <w:numPr>
          <w:ilvl w:val="0"/>
          <w:numId w:val="21"/>
        </w:numPr>
        <w:spacing w:line="360" w:lineRule="auto"/>
        <w:jc w:val="both"/>
        <w:rPr>
          <w:rFonts w:ascii="Arial" w:hAnsi="Arial" w:cs="Arial"/>
          <w:color w:val="000000"/>
          <w:lang w:val="en-GB"/>
        </w:rPr>
      </w:pPr>
      <w:r w:rsidRPr="00304413">
        <w:rPr>
          <w:rFonts w:ascii="Arial" w:hAnsi="Arial" w:cs="Arial"/>
          <w:color w:val="000000"/>
          <w:lang w:val="en-GB"/>
        </w:rPr>
        <w:t>The AAT offers career guidance, job placement assistance, and access to job boards or recruitment platforms to support members in their professional growth.</w:t>
      </w:r>
    </w:p>
    <w:p w14:paraId="5DDFC3BE" w14:textId="77777777" w:rsidR="002D6FB3" w:rsidRDefault="002D6FB3" w:rsidP="002D6FB3">
      <w:pPr>
        <w:pStyle w:val="ListParagraph"/>
        <w:numPr>
          <w:ilvl w:val="0"/>
          <w:numId w:val="21"/>
        </w:numPr>
        <w:spacing w:line="360" w:lineRule="auto"/>
        <w:rPr>
          <w:rFonts w:ascii="Arial" w:hAnsi="Arial" w:cs="Arial"/>
          <w:color w:val="000000"/>
          <w:lang w:val="en-GB"/>
        </w:rPr>
      </w:pPr>
      <w:r w:rsidRPr="002D6FB3">
        <w:rPr>
          <w:rFonts w:ascii="Arial" w:hAnsi="Arial" w:cs="Arial"/>
          <w:color w:val="000000"/>
          <w:lang w:val="en-GB"/>
        </w:rPr>
        <w:t>Continuous Professional Development (CPD) The AAT provides resources and opportunities for members to enhance their knowledge and skills through CPD programs and events.</w:t>
      </w:r>
    </w:p>
    <w:p w14:paraId="1D51352F" w14:textId="6E0207CB" w:rsidR="005441FA" w:rsidRPr="002D6FB3" w:rsidRDefault="002D6FB3" w:rsidP="002D6FB3">
      <w:pPr>
        <w:pStyle w:val="ListParagraph"/>
        <w:numPr>
          <w:ilvl w:val="0"/>
          <w:numId w:val="21"/>
        </w:numPr>
        <w:spacing w:line="360" w:lineRule="auto"/>
        <w:rPr>
          <w:rFonts w:ascii="Arial" w:hAnsi="Arial" w:cs="Arial"/>
          <w:color w:val="000000"/>
          <w:lang w:val="en-GB"/>
        </w:rPr>
      </w:pPr>
      <w:r w:rsidRPr="002D6FB3">
        <w:rPr>
          <w:rFonts w:ascii="Arial" w:hAnsi="Arial" w:cs="Arial"/>
          <w:color w:val="000000"/>
          <w:lang w:val="en-GB"/>
        </w:rPr>
        <w:lastRenderedPageBreak/>
        <w:t xml:space="preserve">The AAT </w:t>
      </w:r>
      <w:proofErr w:type="gramStart"/>
      <w:r w:rsidRPr="002D6FB3">
        <w:rPr>
          <w:rFonts w:ascii="Arial" w:hAnsi="Arial" w:cs="Arial"/>
          <w:color w:val="000000"/>
          <w:lang w:val="en-GB"/>
        </w:rPr>
        <w:t>offers assistance to</w:t>
      </w:r>
      <w:proofErr w:type="gramEnd"/>
      <w:r w:rsidRPr="002D6FB3">
        <w:rPr>
          <w:rFonts w:ascii="Arial" w:hAnsi="Arial" w:cs="Arial"/>
          <w:color w:val="000000"/>
          <w:lang w:val="en-GB"/>
        </w:rPr>
        <w:t xml:space="preserve"> members with queries related to accounting principles, procedures, and regulations.</w:t>
      </w:r>
    </w:p>
    <w:p w14:paraId="65E3B92F" w14:textId="43A1CCFF" w:rsidR="005441FA" w:rsidRPr="00640647" w:rsidRDefault="005441FA" w:rsidP="00640647">
      <w:pPr>
        <w:rPr>
          <w:b/>
          <w:bCs/>
          <w:color w:val="C00000"/>
          <w:sz w:val="24"/>
          <w:szCs w:val="24"/>
        </w:rPr>
      </w:pPr>
      <w:r w:rsidRPr="00640647">
        <w:rPr>
          <w:b/>
          <w:bCs/>
          <w:color w:val="C00000"/>
          <w:sz w:val="24"/>
          <w:szCs w:val="24"/>
        </w:rPr>
        <w:t>Support Activities:</w:t>
      </w:r>
    </w:p>
    <w:p w14:paraId="68B8A6D0" w14:textId="5EF1EFAE" w:rsidR="005441FA" w:rsidRPr="00304413" w:rsidRDefault="005441FA" w:rsidP="002D6FB3">
      <w:pPr>
        <w:pStyle w:val="BodyText"/>
        <w:numPr>
          <w:ilvl w:val="0"/>
          <w:numId w:val="22"/>
        </w:numPr>
        <w:spacing w:line="360" w:lineRule="auto"/>
        <w:jc w:val="both"/>
        <w:rPr>
          <w:rFonts w:ascii="Arial" w:hAnsi="Arial" w:cs="Arial"/>
          <w:color w:val="000000"/>
          <w:lang w:val="en-GB"/>
        </w:rPr>
      </w:pPr>
      <w:r w:rsidRPr="00304413">
        <w:rPr>
          <w:rFonts w:ascii="Arial" w:hAnsi="Arial" w:cs="Arial"/>
          <w:color w:val="000000"/>
          <w:lang w:val="en-GB"/>
        </w:rPr>
        <w:t>AAT conducts research and keeps abreast of industry trends to update its qualifications and training programs accordingly.</w:t>
      </w:r>
    </w:p>
    <w:p w14:paraId="0EE45940" w14:textId="0284C6A6" w:rsidR="005441FA" w:rsidRPr="00304413" w:rsidRDefault="005441FA" w:rsidP="002D6FB3">
      <w:pPr>
        <w:pStyle w:val="BodyText"/>
        <w:numPr>
          <w:ilvl w:val="0"/>
          <w:numId w:val="22"/>
        </w:numPr>
        <w:spacing w:line="360" w:lineRule="auto"/>
        <w:jc w:val="both"/>
        <w:rPr>
          <w:rFonts w:ascii="Arial" w:hAnsi="Arial" w:cs="Arial"/>
          <w:color w:val="000000"/>
          <w:lang w:val="en-GB"/>
        </w:rPr>
      </w:pPr>
      <w:r w:rsidRPr="00304413">
        <w:rPr>
          <w:rFonts w:ascii="Arial" w:hAnsi="Arial" w:cs="Arial"/>
          <w:color w:val="000000"/>
          <w:lang w:val="en-GB"/>
        </w:rPr>
        <w:t>AAT ensures the quality and consistency of its services through internal reviews, monitoring, and feedback mechanisms.</w:t>
      </w:r>
    </w:p>
    <w:p w14:paraId="69409E00" w14:textId="3AC57904" w:rsidR="005441FA" w:rsidRPr="00304413" w:rsidRDefault="005441FA" w:rsidP="002D6FB3">
      <w:pPr>
        <w:pStyle w:val="BodyText"/>
        <w:numPr>
          <w:ilvl w:val="0"/>
          <w:numId w:val="22"/>
        </w:numPr>
        <w:spacing w:line="360" w:lineRule="auto"/>
        <w:jc w:val="both"/>
        <w:rPr>
          <w:rFonts w:ascii="Arial" w:hAnsi="Arial" w:cs="Arial"/>
          <w:color w:val="000000"/>
          <w:lang w:val="en-GB"/>
        </w:rPr>
      </w:pPr>
      <w:r w:rsidRPr="00304413">
        <w:rPr>
          <w:rFonts w:ascii="Arial" w:hAnsi="Arial" w:cs="Arial"/>
          <w:color w:val="000000"/>
          <w:lang w:val="en-GB"/>
        </w:rPr>
        <w:t>AAT collaborates with educational institutions, employers, and other professional bodies to strengthen its offerings and expand its reach.</w:t>
      </w:r>
    </w:p>
    <w:p w14:paraId="05D73C50" w14:textId="77777777" w:rsidR="005441FA" w:rsidRPr="00304413" w:rsidRDefault="005441FA" w:rsidP="00F642CB">
      <w:pPr>
        <w:pStyle w:val="BodyText"/>
        <w:spacing w:line="360" w:lineRule="auto"/>
        <w:ind w:left="0"/>
        <w:jc w:val="both"/>
        <w:rPr>
          <w:rFonts w:ascii="Arial" w:hAnsi="Arial" w:cs="Arial"/>
          <w:color w:val="000000"/>
          <w:lang w:val="en-GB"/>
        </w:rPr>
      </w:pPr>
    </w:p>
    <w:p w14:paraId="73AC75B7" w14:textId="629A24E0" w:rsidR="005441FA" w:rsidRDefault="005441FA" w:rsidP="00D7101A">
      <w:pPr>
        <w:pStyle w:val="BodyText"/>
        <w:spacing w:line="360" w:lineRule="auto"/>
        <w:ind w:left="0"/>
        <w:jc w:val="both"/>
        <w:rPr>
          <w:rFonts w:ascii="Arial" w:hAnsi="Arial" w:cs="Arial"/>
          <w:color w:val="000000"/>
          <w:lang w:val="en-GB"/>
        </w:rPr>
      </w:pPr>
      <w:r w:rsidRPr="00304413">
        <w:rPr>
          <w:rFonts w:ascii="Arial" w:hAnsi="Arial" w:cs="Arial"/>
          <w:color w:val="000000"/>
          <w:lang w:val="en-GB"/>
        </w:rPr>
        <w:t xml:space="preserve">By </w:t>
      </w:r>
      <w:r w:rsidR="002D6FB3">
        <w:rPr>
          <w:rFonts w:ascii="Arial" w:hAnsi="Arial" w:cs="Arial"/>
          <w:color w:val="000000"/>
          <w:lang w:val="en-GB"/>
        </w:rPr>
        <w:t>analysing</w:t>
      </w:r>
      <w:r w:rsidRPr="00304413">
        <w:rPr>
          <w:rFonts w:ascii="Arial" w:hAnsi="Arial" w:cs="Arial"/>
          <w:color w:val="000000"/>
          <w:lang w:val="en-GB"/>
        </w:rPr>
        <w:t xml:space="preserve"> the value chain, the AAT can identify areas for improvement, optimize its operations, and enhance the value it delivers to its members and the broader accounting profession</w:t>
      </w:r>
      <w:r w:rsidR="00D7101A">
        <w:rPr>
          <w:rFonts w:ascii="Arial" w:hAnsi="Arial" w:cs="Arial"/>
          <w:color w:val="000000"/>
          <w:lang w:val="en-GB"/>
        </w:rPr>
        <w:t xml:space="preserve"> </w:t>
      </w:r>
      <w:r w:rsidR="00304413" w:rsidRPr="00304413">
        <w:rPr>
          <w:rFonts w:ascii="Arial" w:hAnsi="Arial" w:cs="Arial"/>
          <w:color w:val="000000"/>
          <w:lang w:val="en-GB"/>
        </w:rPr>
        <w:t>(</w:t>
      </w:r>
      <w:proofErr w:type="spellStart"/>
      <w:r w:rsidR="00304413" w:rsidRPr="00304413">
        <w:rPr>
          <w:rFonts w:ascii="Arial" w:hAnsi="Arial" w:cs="Arial"/>
          <w:color w:val="000000"/>
          <w:lang w:val="en-GB"/>
        </w:rPr>
        <w:t>Hutaibat</w:t>
      </w:r>
      <w:proofErr w:type="spellEnd"/>
      <w:r w:rsidR="00304413" w:rsidRPr="00304413">
        <w:rPr>
          <w:rFonts w:ascii="Arial" w:hAnsi="Arial" w:cs="Arial"/>
          <w:color w:val="000000"/>
          <w:lang w:val="en-GB"/>
        </w:rPr>
        <w:t>, 2011)</w:t>
      </w:r>
      <w:r w:rsidR="00D7101A">
        <w:rPr>
          <w:rFonts w:ascii="Arial" w:hAnsi="Arial" w:cs="Arial"/>
          <w:color w:val="000000"/>
          <w:lang w:val="en-GB"/>
        </w:rPr>
        <w:t>.</w:t>
      </w:r>
    </w:p>
    <w:p w14:paraId="27A394B7" w14:textId="77777777" w:rsidR="00160060" w:rsidRDefault="00160060" w:rsidP="00D7101A">
      <w:pPr>
        <w:pStyle w:val="BodyText"/>
        <w:spacing w:line="360" w:lineRule="auto"/>
        <w:ind w:left="0"/>
        <w:jc w:val="both"/>
        <w:rPr>
          <w:rFonts w:ascii="Arial" w:hAnsi="Arial" w:cs="Arial"/>
          <w:color w:val="000000"/>
          <w:lang w:val="en-GB"/>
        </w:rPr>
      </w:pPr>
    </w:p>
    <w:p w14:paraId="3EDDEAFC" w14:textId="7F80719A" w:rsidR="00160060" w:rsidRDefault="00160060" w:rsidP="00640647">
      <w:pPr>
        <w:pStyle w:val="Heading3"/>
      </w:pPr>
      <w:bookmarkStart w:id="5" w:name="_Toc134099091"/>
      <w:r>
        <w:t xml:space="preserve">Customer Experience </w:t>
      </w:r>
      <w:r w:rsidR="00640647">
        <w:t>Internal Analysis</w:t>
      </w:r>
      <w:bookmarkEnd w:id="5"/>
    </w:p>
    <w:p w14:paraId="0ECF3FD8" w14:textId="77777777" w:rsidR="005F2BDD" w:rsidRDefault="005F2BDD" w:rsidP="00D7101A">
      <w:pPr>
        <w:pStyle w:val="BodyText"/>
        <w:spacing w:line="360" w:lineRule="auto"/>
        <w:ind w:left="0"/>
        <w:jc w:val="both"/>
        <w:rPr>
          <w:rFonts w:ascii="Arial" w:hAnsi="Arial" w:cs="Arial"/>
          <w:color w:val="000000"/>
          <w:lang w:val="en-GB"/>
        </w:rPr>
      </w:pPr>
    </w:p>
    <w:p w14:paraId="1B18C923" w14:textId="48D0C17C" w:rsidR="00B9219C" w:rsidRDefault="007E07FA" w:rsidP="005F2BDD">
      <w:pPr>
        <w:spacing w:line="360" w:lineRule="auto"/>
        <w:rPr>
          <w:rFonts w:eastAsia="Calibri" w:cs="Arial"/>
          <w:color w:val="000000"/>
          <w:sz w:val="22"/>
          <w:szCs w:val="22"/>
        </w:rPr>
      </w:pPr>
      <w:r w:rsidRPr="007E07FA">
        <w:rPr>
          <w:rFonts w:eastAsia="Calibri" w:cs="Arial"/>
          <w:color w:val="000000"/>
          <w:sz w:val="22"/>
          <w:szCs w:val="22"/>
        </w:rPr>
        <w:t xml:space="preserve">Organisations must take a crucial strategy to provide excellent customer service. AAT evaluates, assesses, and improves </w:t>
      </w:r>
      <w:r w:rsidR="0042640A">
        <w:rPr>
          <w:rFonts w:eastAsia="Calibri" w:cs="Arial"/>
          <w:color w:val="000000"/>
          <w:sz w:val="22"/>
          <w:szCs w:val="22"/>
        </w:rPr>
        <w:t xml:space="preserve">the </w:t>
      </w:r>
      <w:r w:rsidRPr="007E07FA">
        <w:rPr>
          <w:rFonts w:eastAsia="Calibri" w:cs="Arial"/>
          <w:color w:val="000000"/>
          <w:sz w:val="22"/>
          <w:szCs w:val="22"/>
        </w:rPr>
        <w:t xml:space="preserve">customer experience using the Six Pillars of experience excellence. After extensive study with over one million customers across three continents, UK-based KPMG </w:t>
      </w:r>
      <w:proofErr w:type="spellStart"/>
      <w:r w:rsidRPr="007E07FA">
        <w:rPr>
          <w:rFonts w:eastAsia="Calibri" w:cs="Arial"/>
          <w:color w:val="000000"/>
          <w:sz w:val="22"/>
          <w:szCs w:val="22"/>
        </w:rPr>
        <w:t>Nunwood</w:t>
      </w:r>
      <w:proofErr w:type="spellEnd"/>
      <w:r w:rsidRPr="007E07FA">
        <w:rPr>
          <w:rFonts w:eastAsia="Calibri" w:cs="Arial"/>
          <w:color w:val="000000"/>
          <w:sz w:val="22"/>
          <w:szCs w:val="22"/>
        </w:rPr>
        <w:t xml:space="preserve"> created the pillars. The Value Chain structure and these pillars are important. The method underlines six core elements for customer experience success: personalisation, integrity, expectations, resolution, time and effort, and empathy</w:t>
      </w:r>
      <w:r>
        <w:rPr>
          <w:rFonts w:eastAsia="Calibri" w:cs="Arial"/>
          <w:color w:val="000000"/>
          <w:sz w:val="22"/>
          <w:szCs w:val="22"/>
        </w:rPr>
        <w:t xml:space="preserve"> </w:t>
      </w:r>
      <w:r w:rsidR="00160060" w:rsidRPr="00160060">
        <w:rPr>
          <w:rFonts w:eastAsia="Calibri" w:cs="Arial"/>
          <w:color w:val="000000"/>
          <w:sz w:val="22"/>
          <w:szCs w:val="22"/>
        </w:rPr>
        <w:t>(KPMG, 2022)</w:t>
      </w:r>
      <w:r w:rsidR="00160060">
        <w:rPr>
          <w:rFonts w:eastAsia="Calibri" w:cs="Arial"/>
          <w:color w:val="000000"/>
          <w:sz w:val="22"/>
          <w:szCs w:val="22"/>
        </w:rPr>
        <w:t>.</w:t>
      </w:r>
    </w:p>
    <w:p w14:paraId="07D60FE5" w14:textId="77777777" w:rsidR="00CF745E" w:rsidRDefault="00CF745E" w:rsidP="005F2BDD">
      <w:pPr>
        <w:spacing w:line="360" w:lineRule="auto"/>
        <w:rPr>
          <w:rFonts w:eastAsia="Calibri" w:cs="Arial"/>
          <w:color w:val="000000"/>
          <w:sz w:val="22"/>
          <w:szCs w:val="22"/>
        </w:rPr>
      </w:pPr>
      <w:r w:rsidRPr="00CF745E">
        <w:rPr>
          <w:rFonts w:eastAsia="Calibri" w:cs="Arial"/>
          <w:color w:val="000000"/>
          <w:sz w:val="22"/>
          <w:szCs w:val="22"/>
        </w:rPr>
        <w:t>The organisation can effectively apply this module by offering tailored qualification pathways and training programmes based on individual career goals and areas of interest, providing personalised support and guidance to candidates and members, such as mentorship programmes or career counselling services, and customising communication channels and resources to cater to different membership segments. They can offer qualification examinations and certificates reliably. Maintain current study materials and resources that reflect accounting industry developments, and continuously monitor and improve AAT education and training programmes.</w:t>
      </w:r>
      <w:proofErr w:type="spellStart"/>
    </w:p>
    <w:p w14:paraId="742E1817" w14:textId="695F4B3B" w:rsidR="005F2BDD" w:rsidRPr="005F2BDD" w:rsidRDefault="00B9219C" w:rsidP="005F2BDD">
      <w:pPr>
        <w:spacing w:line="360" w:lineRule="auto"/>
        <w:rPr>
          <w:rFonts w:eastAsia="Calibri" w:cs="Arial"/>
          <w:color w:val="000000"/>
          <w:sz w:val="22"/>
          <w:szCs w:val="22"/>
        </w:rPr>
      </w:pPr>
      <w:proofErr w:type="spellEnd"/>
      <w:r>
        <w:rPr>
          <w:rFonts w:eastAsia="Calibri" w:cs="Arial"/>
          <w:color w:val="000000"/>
          <w:sz w:val="22"/>
          <w:szCs w:val="22"/>
        </w:rPr>
        <w:t>In r</w:t>
      </w:r>
      <w:r w:rsidR="005F2BDD" w:rsidRPr="005F2BDD">
        <w:rPr>
          <w:rFonts w:eastAsia="Calibri" w:cs="Arial"/>
          <w:color w:val="000000"/>
          <w:sz w:val="22"/>
          <w:szCs w:val="22"/>
        </w:rPr>
        <w:t>esponsiveness</w:t>
      </w:r>
      <w:r>
        <w:rPr>
          <w:rFonts w:eastAsia="Calibri" w:cs="Arial"/>
          <w:color w:val="000000"/>
          <w:sz w:val="22"/>
          <w:szCs w:val="22"/>
        </w:rPr>
        <w:t>, they can e</w:t>
      </w:r>
      <w:r w:rsidR="005F2BDD" w:rsidRPr="005F2BDD">
        <w:rPr>
          <w:rFonts w:eastAsia="Calibri" w:cs="Arial"/>
          <w:color w:val="000000"/>
          <w:sz w:val="22"/>
          <w:szCs w:val="22"/>
        </w:rPr>
        <w:t xml:space="preserve">stablish responsive customer service channels to address inquiries, concerns, and feedback from candidates and </w:t>
      </w:r>
      <w:r w:rsidRPr="005F2BDD">
        <w:rPr>
          <w:rFonts w:eastAsia="Calibri" w:cs="Arial"/>
          <w:color w:val="000000"/>
          <w:sz w:val="22"/>
          <w:szCs w:val="22"/>
        </w:rPr>
        <w:t>members</w:t>
      </w:r>
      <w:r>
        <w:rPr>
          <w:rFonts w:eastAsia="Calibri" w:cs="Arial"/>
          <w:color w:val="000000"/>
          <w:sz w:val="22"/>
          <w:szCs w:val="22"/>
        </w:rPr>
        <w:t>, they can i</w:t>
      </w:r>
      <w:r w:rsidR="005F2BDD" w:rsidRPr="005F2BDD">
        <w:rPr>
          <w:rFonts w:eastAsia="Calibri" w:cs="Arial"/>
          <w:color w:val="000000"/>
          <w:sz w:val="22"/>
          <w:szCs w:val="22"/>
        </w:rPr>
        <w:t xml:space="preserve">mplement efficient processes for handling membership inquiries, qualification registrations, and exam-related </w:t>
      </w:r>
      <w:r w:rsidR="005F2BDD" w:rsidRPr="005F2BDD">
        <w:rPr>
          <w:rFonts w:eastAsia="Calibri" w:cs="Arial"/>
          <w:color w:val="000000"/>
          <w:sz w:val="22"/>
          <w:szCs w:val="22"/>
        </w:rPr>
        <w:lastRenderedPageBreak/>
        <w:t>queries</w:t>
      </w:r>
      <w:r>
        <w:rPr>
          <w:rFonts w:eastAsia="Calibri" w:cs="Arial"/>
          <w:color w:val="000000"/>
          <w:sz w:val="22"/>
          <w:szCs w:val="22"/>
        </w:rPr>
        <w:t xml:space="preserve"> and r</w:t>
      </w:r>
      <w:r w:rsidR="005F2BDD" w:rsidRPr="005F2BDD">
        <w:rPr>
          <w:rFonts w:eastAsia="Calibri" w:cs="Arial"/>
          <w:color w:val="000000"/>
          <w:sz w:val="22"/>
          <w:szCs w:val="22"/>
        </w:rPr>
        <w:t>egularly communicate updates, changes, and important information to candidates and members in a timely manner.</w:t>
      </w:r>
    </w:p>
    <w:p w14:paraId="123487E9" w14:textId="4213477B" w:rsidR="0042640A" w:rsidRPr="0042640A" w:rsidRDefault="0042640A" w:rsidP="0042640A">
      <w:pPr>
        <w:spacing w:line="360" w:lineRule="auto"/>
        <w:rPr>
          <w:rFonts w:eastAsia="Calibri" w:cs="Arial"/>
          <w:color w:val="000000"/>
          <w:sz w:val="22"/>
          <w:szCs w:val="22"/>
        </w:rPr>
      </w:pPr>
      <w:r w:rsidRPr="0042640A">
        <w:rPr>
          <w:rFonts w:eastAsia="Calibri" w:cs="Arial"/>
          <w:color w:val="000000"/>
          <w:sz w:val="22"/>
          <w:szCs w:val="22"/>
        </w:rPr>
        <w:t xml:space="preserve">They can foster a culture of empathy in the AAT by emphasising understanding and support for </w:t>
      </w:r>
      <w:r w:rsidR="00CF745E">
        <w:rPr>
          <w:rFonts w:eastAsia="Calibri" w:cs="Arial"/>
          <w:color w:val="000000"/>
          <w:sz w:val="22"/>
          <w:szCs w:val="22"/>
        </w:rPr>
        <w:t>candidates'</w:t>
      </w:r>
      <w:r w:rsidRPr="0042640A">
        <w:rPr>
          <w:rFonts w:eastAsia="Calibri" w:cs="Arial"/>
          <w:color w:val="000000"/>
          <w:sz w:val="22"/>
          <w:szCs w:val="22"/>
        </w:rPr>
        <w:t xml:space="preserve"> and members' challenges. Train customer service representatives to listen actively, show empathy, </w:t>
      </w:r>
      <w:r w:rsidR="00CF745E">
        <w:rPr>
          <w:rFonts w:eastAsia="Calibri" w:cs="Arial"/>
          <w:color w:val="000000"/>
          <w:sz w:val="22"/>
          <w:szCs w:val="22"/>
        </w:rPr>
        <w:t>provide</w:t>
      </w:r>
      <w:r w:rsidRPr="0042640A">
        <w:rPr>
          <w:rFonts w:eastAsia="Calibri" w:cs="Arial"/>
          <w:color w:val="000000"/>
          <w:sz w:val="22"/>
          <w:szCs w:val="22"/>
        </w:rPr>
        <w:t xml:space="preserve"> personalised </w:t>
      </w:r>
      <w:proofErr w:type="gramStart"/>
      <w:r w:rsidRPr="0042640A">
        <w:rPr>
          <w:rFonts w:eastAsia="Calibri" w:cs="Arial"/>
          <w:color w:val="000000"/>
          <w:sz w:val="22"/>
          <w:szCs w:val="22"/>
        </w:rPr>
        <w:t>assistance</w:t>
      </w:r>
      <w:proofErr w:type="gramEnd"/>
      <w:r w:rsidRPr="0042640A">
        <w:rPr>
          <w:rFonts w:eastAsia="Calibri" w:cs="Arial"/>
          <w:color w:val="000000"/>
          <w:sz w:val="22"/>
          <w:szCs w:val="22"/>
        </w:rPr>
        <w:t xml:space="preserve"> and develop resources and initiatives that address candidates' and members' specific needs and pain points.</w:t>
      </w:r>
    </w:p>
    <w:p w14:paraId="044EAA79" w14:textId="2D20EB5B" w:rsidR="0042640A" w:rsidRPr="0042640A" w:rsidRDefault="0042640A" w:rsidP="0042640A">
      <w:pPr>
        <w:spacing w:line="360" w:lineRule="auto"/>
        <w:rPr>
          <w:rFonts w:eastAsia="Calibri" w:cs="Arial"/>
          <w:color w:val="000000"/>
          <w:sz w:val="22"/>
          <w:szCs w:val="22"/>
        </w:rPr>
      </w:pPr>
      <w:r w:rsidRPr="0042640A">
        <w:rPr>
          <w:rFonts w:eastAsia="Calibri" w:cs="Arial"/>
          <w:color w:val="000000"/>
          <w:sz w:val="22"/>
          <w:szCs w:val="22"/>
        </w:rPr>
        <w:t xml:space="preserve">Online platforms for qualification registration, exam </w:t>
      </w:r>
      <w:r w:rsidR="00CF745E">
        <w:rPr>
          <w:rFonts w:eastAsia="Calibri" w:cs="Arial"/>
          <w:color w:val="000000"/>
          <w:sz w:val="22"/>
          <w:szCs w:val="22"/>
        </w:rPr>
        <w:t>schedule</w:t>
      </w:r>
      <w:r w:rsidRPr="0042640A">
        <w:rPr>
          <w:rFonts w:eastAsia="Calibri" w:cs="Arial"/>
          <w:color w:val="000000"/>
          <w:sz w:val="22"/>
          <w:szCs w:val="22"/>
        </w:rPr>
        <w:t>, and membership renewals make AAT administrative processes easier. Offer online courses and webinars and make resources and services accessible to candidates and members with disabilities to accommodate diverse schedules and learning preferences.</w:t>
      </w:r>
    </w:p>
    <w:p w14:paraId="58EE999B" w14:textId="7B142684" w:rsidR="0042640A" w:rsidRPr="0042640A" w:rsidRDefault="0042640A" w:rsidP="0042640A">
      <w:pPr>
        <w:spacing w:line="360" w:lineRule="auto"/>
        <w:rPr>
          <w:rFonts w:eastAsia="Calibri" w:cs="Arial"/>
          <w:color w:val="000000"/>
          <w:sz w:val="22"/>
          <w:szCs w:val="22"/>
        </w:rPr>
      </w:pPr>
      <w:r>
        <w:rPr>
          <w:rFonts w:eastAsia="Calibri" w:cs="Arial"/>
          <w:color w:val="000000"/>
          <w:sz w:val="22"/>
          <w:szCs w:val="22"/>
        </w:rPr>
        <w:t xml:space="preserve">The </w:t>
      </w:r>
      <w:r w:rsidRPr="0042640A">
        <w:rPr>
          <w:rFonts w:eastAsia="Calibri" w:cs="Arial"/>
          <w:color w:val="000000"/>
          <w:sz w:val="22"/>
          <w:szCs w:val="22"/>
        </w:rPr>
        <w:t>Association of Accounting Technicians should offer exclusive networking events, professional development workshops, and industry insights to exceed expectations. Awards, certifications, and public recognition for candidates and members' accomplishments. To improve and innovate, seek regular feedback from candidates and members and surprise and delight them with new initiatives.</w:t>
      </w:r>
    </w:p>
    <w:p w14:paraId="5D46FEA6" w14:textId="77777777" w:rsidR="0042640A" w:rsidRDefault="0042640A" w:rsidP="0042640A">
      <w:pPr>
        <w:spacing w:line="360" w:lineRule="auto"/>
        <w:rPr>
          <w:rFonts w:eastAsia="Calibri" w:cs="Arial"/>
          <w:color w:val="000000"/>
          <w:sz w:val="22"/>
          <w:szCs w:val="22"/>
        </w:rPr>
      </w:pPr>
      <w:r w:rsidRPr="0042640A">
        <w:rPr>
          <w:rFonts w:eastAsia="Calibri" w:cs="Arial"/>
          <w:color w:val="000000"/>
          <w:sz w:val="22"/>
          <w:szCs w:val="22"/>
        </w:rPr>
        <w:t>These strategies can improve the candidate and member experience, boost engagement and loyalty, and position the AAT as a trusted and valuable resource in the accounting profession.</w:t>
      </w:r>
    </w:p>
    <w:p w14:paraId="70C41E85" w14:textId="442BE1B0" w:rsidR="004901E4" w:rsidRPr="00640647" w:rsidRDefault="004901E4" w:rsidP="00640647">
      <w:pPr>
        <w:pStyle w:val="Heading2"/>
      </w:pPr>
      <w:bookmarkStart w:id="6" w:name="_Toc134099092"/>
      <w:r w:rsidRPr="00640647">
        <w:t>External Analysis</w:t>
      </w:r>
      <w:bookmarkEnd w:id="6"/>
    </w:p>
    <w:p w14:paraId="0DC97293" w14:textId="6CD3F9B5" w:rsidR="00C83F04" w:rsidRPr="00304413" w:rsidRDefault="00C83F04">
      <w:pPr>
        <w:spacing w:after="0" w:line="240" w:lineRule="auto"/>
        <w:jc w:val="left"/>
        <w:rPr>
          <w:rFonts w:eastAsia="Times New Roman" w:cs="Arial"/>
          <w:color w:val="333333"/>
          <w:sz w:val="34"/>
          <w:szCs w:val="34"/>
          <w:lang w:eastAsia="en-GB"/>
        </w:rPr>
      </w:pPr>
    </w:p>
    <w:p w14:paraId="0BBC9A85" w14:textId="569BD3ED" w:rsidR="00107D67" w:rsidRPr="00107D67" w:rsidRDefault="00107D67" w:rsidP="00107D67">
      <w:pPr>
        <w:spacing w:line="360" w:lineRule="auto"/>
        <w:rPr>
          <w:rFonts w:cs="Arial"/>
          <w:sz w:val="22"/>
          <w:szCs w:val="22"/>
        </w:rPr>
      </w:pPr>
      <w:r w:rsidRPr="00107D67">
        <w:rPr>
          <w:rFonts w:cs="Arial"/>
          <w:sz w:val="22"/>
          <w:szCs w:val="22"/>
        </w:rPr>
        <w:t>An external analysis was conducted</w:t>
      </w:r>
      <w:r>
        <w:rPr>
          <w:rFonts w:cs="Arial"/>
          <w:sz w:val="22"/>
          <w:szCs w:val="22"/>
        </w:rPr>
        <w:t xml:space="preserve"> using </w:t>
      </w:r>
      <w:r w:rsidRPr="00107D67">
        <w:rPr>
          <w:rFonts w:cs="Arial"/>
          <w:sz w:val="22"/>
          <w:szCs w:val="22"/>
        </w:rPr>
        <w:t>PESTLE framework</w:t>
      </w:r>
      <w:r>
        <w:rPr>
          <w:rFonts w:cs="Arial"/>
          <w:sz w:val="22"/>
          <w:szCs w:val="22"/>
        </w:rPr>
        <w:t xml:space="preserve">, </w:t>
      </w:r>
      <w:r w:rsidRPr="00107D67">
        <w:rPr>
          <w:rFonts w:cs="Arial"/>
          <w:sz w:val="22"/>
          <w:szCs w:val="22"/>
        </w:rPr>
        <w:t>to assess the external factors that may impact the business environment of an organisation. This statement pertains to the analysis of various factors, including political, economic, social, technological, legal, and environmental aspects.</w:t>
      </w:r>
    </w:p>
    <w:p w14:paraId="05E0B61A" w14:textId="2E266E3F" w:rsidR="0042640A" w:rsidRDefault="0042640A" w:rsidP="00107D67">
      <w:pPr>
        <w:spacing w:line="360" w:lineRule="auto"/>
        <w:rPr>
          <w:rFonts w:cs="Arial"/>
          <w:sz w:val="22"/>
          <w:szCs w:val="22"/>
        </w:rPr>
      </w:pPr>
      <w:r w:rsidRPr="0042640A">
        <w:rPr>
          <w:rFonts w:cs="Arial"/>
          <w:sz w:val="22"/>
          <w:szCs w:val="22"/>
        </w:rPr>
        <w:t xml:space="preserve">A company developing a business strategy must conduct an external analysis to understand the business environment's opportunities and challenges. PESTLE analysis helps businesses understand external factors. The process identifies and evaluates political, economic, social, technological, legal, and environmental opportunities and risks. The analysis illuminates external factors that may influence the organization's direction, helping to develop </w:t>
      </w:r>
      <w:r w:rsidR="00CF745E">
        <w:rPr>
          <w:rFonts w:cs="Arial"/>
          <w:sz w:val="22"/>
          <w:szCs w:val="22"/>
        </w:rPr>
        <w:t xml:space="preserve">the </w:t>
      </w:r>
      <w:r w:rsidRPr="0042640A">
        <w:rPr>
          <w:rFonts w:cs="Arial"/>
          <w:sz w:val="22"/>
          <w:szCs w:val="22"/>
        </w:rPr>
        <w:t xml:space="preserve">strategy. Aligning an organization's strategies with the external environment and adjusting plans to capitalise on opportunities or mitigate risks is valuable. By examining external factors, the PESTLE framework helps entities identify operational risks and ambiguities. The above helps create contingency plans and risk mitigation strategies to reduce negative outcomes. The analysis aids decision-making. Market entry, product development, resource allocation, and </w:t>
      </w:r>
      <w:r w:rsidRPr="0042640A">
        <w:rPr>
          <w:rFonts w:cs="Arial"/>
          <w:sz w:val="22"/>
          <w:szCs w:val="22"/>
        </w:rPr>
        <w:lastRenderedPageBreak/>
        <w:t>regulatory compliance decisions must consider the external environment. This shows that understanding an organization's market is beneficial. The statement above describes consumer preferences, industrial trends, regulatory requirements, and technological advancements. This knowledge can help companies adapt their products, services, and processes to market needs.</w:t>
      </w:r>
    </w:p>
    <w:p w14:paraId="03D772C7" w14:textId="2C1A3E9C" w:rsidR="00065461" w:rsidRPr="00065461" w:rsidRDefault="00107D67" w:rsidP="00107D67">
      <w:pPr>
        <w:spacing w:line="360" w:lineRule="auto"/>
        <w:rPr>
          <w:rFonts w:cs="Arial"/>
          <w:sz w:val="22"/>
          <w:szCs w:val="22"/>
        </w:rPr>
      </w:pPr>
      <w:r w:rsidRPr="00107D67">
        <w:rPr>
          <w:rFonts w:cs="Arial"/>
          <w:sz w:val="22"/>
          <w:szCs w:val="22"/>
        </w:rPr>
        <w:t xml:space="preserve">The utilisation of PESTLE analysis enables enterprises to identify potential opportunities that arise from external factors. By closely monitoring the political, economic, social, technological, legal, and environmental changes, enterprises can effectively identify and capitalise on emerging market trends or gaps. The management of stakeholders involves the utilisation of PESTLE analysis, which </w:t>
      </w:r>
      <w:proofErr w:type="gramStart"/>
      <w:r w:rsidRPr="00107D67">
        <w:rPr>
          <w:rFonts w:cs="Arial"/>
          <w:sz w:val="22"/>
          <w:szCs w:val="22"/>
        </w:rPr>
        <w:t>takes into account</w:t>
      </w:r>
      <w:proofErr w:type="gramEnd"/>
      <w:r w:rsidRPr="00107D67">
        <w:rPr>
          <w:rFonts w:cs="Arial"/>
          <w:sz w:val="22"/>
          <w:szCs w:val="22"/>
        </w:rPr>
        <w:t xml:space="preserve"> a wider range of stakeholders, such as governmental bodies, regulatory agencies, communities, industry associations, and customers. Effective stakeholder management is facilitated by the ability of organisations to understand the expectations, concerns, and influences of diverse stakeholders. Information Technology (IT) plays a crucial role in enabling businesses to engage in long-term planning by identifying various factors and trends that could potentially impact the business environment in the future. This capability allows organisations to anticipate potential changes and develop proactive strategies. (CIPD, 2023)</w:t>
      </w:r>
      <w:r>
        <w:rPr>
          <w:rFonts w:cs="Arial"/>
          <w:sz w:val="22"/>
          <w:szCs w:val="22"/>
        </w:rPr>
        <w:t>.</w:t>
      </w:r>
    </w:p>
    <w:p w14:paraId="67EFC9CB" w14:textId="16001C21" w:rsidR="00065461" w:rsidRPr="00913FF5" w:rsidRDefault="00107D67" w:rsidP="00913FF5">
      <w:pPr>
        <w:spacing w:line="360" w:lineRule="auto"/>
        <w:rPr>
          <w:rFonts w:cs="Arial"/>
          <w:sz w:val="22"/>
          <w:szCs w:val="22"/>
        </w:rPr>
      </w:pPr>
      <w:r w:rsidRPr="00107D67">
        <w:rPr>
          <w:rFonts w:cs="Arial"/>
          <w:sz w:val="22"/>
          <w:szCs w:val="22"/>
        </w:rPr>
        <w:t>In order to comprehend the impact of the AAT environment on businesses, a PESTLE analysis was conducted, which revealed that</w:t>
      </w:r>
      <w:r>
        <w:rPr>
          <w:rFonts w:cs="Arial"/>
          <w:sz w:val="22"/>
          <w:szCs w:val="22"/>
        </w:rPr>
        <w:t>:</w:t>
      </w:r>
      <w:r w:rsidR="00913FF5">
        <w:rPr>
          <w:rFonts w:cs="Arial"/>
          <w:sz w:val="22"/>
          <w:szCs w:val="22"/>
        </w:rPr>
        <w:t xml:space="preserve"> </w:t>
      </w:r>
    </w:p>
    <w:p w14:paraId="4CA26118" w14:textId="77777777" w:rsidR="00107D67" w:rsidRPr="00107D67" w:rsidRDefault="005441FA" w:rsidP="00107D67">
      <w:pPr>
        <w:rPr>
          <w:rFonts w:cs="Arial"/>
          <w:b/>
          <w:bCs/>
          <w:color w:val="C00000"/>
          <w:sz w:val="24"/>
          <w:szCs w:val="24"/>
        </w:rPr>
      </w:pPr>
      <w:r w:rsidRPr="00107D67">
        <w:rPr>
          <w:b/>
          <w:bCs/>
          <w:color w:val="C00000"/>
          <w:sz w:val="24"/>
          <w:szCs w:val="24"/>
        </w:rPr>
        <w:t>Political Factors:</w:t>
      </w:r>
      <w:r w:rsidR="00913FF5" w:rsidRPr="00107D67">
        <w:rPr>
          <w:rFonts w:cs="Arial"/>
          <w:b/>
          <w:bCs/>
          <w:color w:val="C00000"/>
          <w:sz w:val="24"/>
          <w:szCs w:val="24"/>
        </w:rPr>
        <w:t xml:space="preserve"> </w:t>
      </w:r>
    </w:p>
    <w:p w14:paraId="67CE6337" w14:textId="1D43C9D3" w:rsidR="00F05081" w:rsidRPr="00913FF5" w:rsidRDefault="005441FA" w:rsidP="00913FF5">
      <w:pPr>
        <w:spacing w:line="360" w:lineRule="auto"/>
        <w:rPr>
          <w:rFonts w:cs="Arial"/>
          <w:sz w:val="22"/>
          <w:szCs w:val="22"/>
        </w:rPr>
      </w:pPr>
      <w:r w:rsidRPr="00913FF5">
        <w:rPr>
          <w:rFonts w:cs="Arial"/>
          <w:sz w:val="22"/>
          <w:szCs w:val="22"/>
        </w:rPr>
        <w:t>Changes in government regulations related to accounting standards, tax laws, or professional certifications can impact the AAT's qualifications and training programs.</w:t>
      </w:r>
      <w:r w:rsidR="00913FF5">
        <w:rPr>
          <w:rFonts w:cs="Arial"/>
          <w:sz w:val="22"/>
          <w:szCs w:val="22"/>
        </w:rPr>
        <w:t xml:space="preserve"> </w:t>
      </w:r>
      <w:r w:rsidRPr="00913FF5">
        <w:rPr>
          <w:rFonts w:cs="Arial"/>
          <w:sz w:val="22"/>
          <w:szCs w:val="22"/>
        </w:rPr>
        <w:t>Political instability or changes in government can affect the overall business environment and demand for accounting professionals.</w:t>
      </w:r>
    </w:p>
    <w:p w14:paraId="4CD2563E" w14:textId="77777777" w:rsidR="00107D67" w:rsidRPr="00107D67" w:rsidRDefault="005441FA" w:rsidP="00107D67">
      <w:pPr>
        <w:rPr>
          <w:rFonts w:cs="Arial"/>
          <w:b/>
          <w:bCs/>
          <w:color w:val="C00000"/>
          <w:sz w:val="24"/>
          <w:szCs w:val="24"/>
        </w:rPr>
      </w:pPr>
      <w:r w:rsidRPr="00107D67">
        <w:rPr>
          <w:b/>
          <w:bCs/>
          <w:color w:val="C00000"/>
          <w:sz w:val="24"/>
          <w:szCs w:val="24"/>
        </w:rPr>
        <w:t>Economic Factors:</w:t>
      </w:r>
      <w:r w:rsidR="00913FF5" w:rsidRPr="00107D67">
        <w:rPr>
          <w:rFonts w:cs="Arial"/>
          <w:b/>
          <w:bCs/>
          <w:color w:val="C00000"/>
          <w:sz w:val="24"/>
          <w:szCs w:val="24"/>
        </w:rPr>
        <w:t xml:space="preserve"> </w:t>
      </w:r>
    </w:p>
    <w:p w14:paraId="29ABBD8C" w14:textId="0C73AD77" w:rsidR="005441FA" w:rsidRPr="00913FF5" w:rsidRDefault="005441FA" w:rsidP="00913FF5">
      <w:pPr>
        <w:spacing w:line="360" w:lineRule="auto"/>
        <w:rPr>
          <w:rFonts w:cs="Arial"/>
          <w:sz w:val="22"/>
          <w:szCs w:val="22"/>
        </w:rPr>
      </w:pPr>
      <w:r w:rsidRPr="00913FF5">
        <w:rPr>
          <w:rFonts w:cs="Arial"/>
          <w:sz w:val="22"/>
          <w:szCs w:val="22"/>
        </w:rPr>
        <w:t>Economic downturns or fluctuations can influence the demand for accounting services and the number of individuals seeking accounting qualifications.</w:t>
      </w:r>
      <w:r w:rsidR="00913FF5">
        <w:rPr>
          <w:rFonts w:cs="Arial"/>
          <w:sz w:val="22"/>
          <w:szCs w:val="22"/>
        </w:rPr>
        <w:t xml:space="preserve"> </w:t>
      </w:r>
      <w:r w:rsidRPr="00913FF5">
        <w:rPr>
          <w:rFonts w:cs="Arial"/>
          <w:sz w:val="22"/>
          <w:szCs w:val="22"/>
        </w:rPr>
        <w:t xml:space="preserve">The availability of job opportunities in the accounting field can impact the </w:t>
      </w:r>
      <w:r w:rsidR="00913FF5">
        <w:rPr>
          <w:rFonts w:cs="Arial"/>
          <w:sz w:val="22"/>
          <w:szCs w:val="22"/>
        </w:rPr>
        <w:t>enrolment</w:t>
      </w:r>
      <w:r w:rsidRPr="00913FF5">
        <w:rPr>
          <w:rFonts w:cs="Arial"/>
          <w:sz w:val="22"/>
          <w:szCs w:val="22"/>
        </w:rPr>
        <w:t xml:space="preserve"> and retention of candidates in AAT programs.</w:t>
      </w:r>
    </w:p>
    <w:p w14:paraId="001B9BB8" w14:textId="77777777" w:rsidR="00107D67" w:rsidRPr="00BE65F9" w:rsidRDefault="005441FA" w:rsidP="00BE65F9">
      <w:pPr>
        <w:rPr>
          <w:b/>
          <w:color w:val="C00000"/>
          <w:sz w:val="24"/>
          <w:szCs w:val="24"/>
        </w:rPr>
      </w:pPr>
      <w:r w:rsidRPr="00BE65F9">
        <w:rPr>
          <w:b/>
          <w:color w:val="C00000"/>
          <w:sz w:val="24"/>
          <w:szCs w:val="24"/>
        </w:rPr>
        <w:t>Sociocultural Factors:</w:t>
      </w:r>
      <w:r w:rsidR="00913FF5" w:rsidRPr="00BE65F9">
        <w:rPr>
          <w:b/>
          <w:color w:val="C00000"/>
          <w:sz w:val="24"/>
          <w:szCs w:val="24"/>
        </w:rPr>
        <w:t xml:space="preserve"> </w:t>
      </w:r>
    </w:p>
    <w:p w14:paraId="3F3730A7" w14:textId="3C436237" w:rsidR="005441FA" w:rsidRPr="00913FF5" w:rsidRDefault="005441FA" w:rsidP="00913FF5">
      <w:pPr>
        <w:spacing w:line="360" w:lineRule="auto"/>
        <w:rPr>
          <w:rFonts w:cs="Arial"/>
          <w:sz w:val="22"/>
          <w:szCs w:val="22"/>
        </w:rPr>
      </w:pPr>
      <w:r w:rsidRPr="00913FF5">
        <w:rPr>
          <w:rFonts w:cs="Arial"/>
          <w:sz w:val="22"/>
          <w:szCs w:val="22"/>
        </w:rPr>
        <w:t>The importance of accounting and finance education in society can influence the perceived value of AAT qualifications and the interest in pursuing a career in the field.</w:t>
      </w:r>
      <w:r w:rsidR="00913FF5">
        <w:rPr>
          <w:rFonts w:cs="Arial"/>
          <w:sz w:val="22"/>
          <w:szCs w:val="22"/>
        </w:rPr>
        <w:t xml:space="preserve"> </w:t>
      </w:r>
      <w:r w:rsidRPr="00913FF5">
        <w:rPr>
          <w:rFonts w:cs="Arial"/>
          <w:sz w:val="22"/>
          <w:szCs w:val="22"/>
        </w:rPr>
        <w:t xml:space="preserve">Shifting </w:t>
      </w:r>
      <w:r w:rsidRPr="00913FF5">
        <w:rPr>
          <w:rFonts w:cs="Arial"/>
          <w:sz w:val="22"/>
          <w:szCs w:val="22"/>
        </w:rPr>
        <w:lastRenderedPageBreak/>
        <w:t>demographics, such as an ageing population or changes in workforce composition, can affect the demand for accounting professionals and the relevance of AAT programs.</w:t>
      </w:r>
    </w:p>
    <w:p w14:paraId="10652F04" w14:textId="77777777" w:rsidR="00107D67" w:rsidRPr="00107D67" w:rsidRDefault="005441FA" w:rsidP="00107D67">
      <w:pPr>
        <w:rPr>
          <w:rFonts w:cs="Arial"/>
          <w:b/>
          <w:bCs/>
          <w:color w:val="C00000"/>
          <w:sz w:val="24"/>
          <w:szCs w:val="24"/>
        </w:rPr>
      </w:pPr>
      <w:r w:rsidRPr="00107D67">
        <w:rPr>
          <w:b/>
          <w:bCs/>
          <w:color w:val="C00000"/>
          <w:sz w:val="24"/>
          <w:szCs w:val="24"/>
        </w:rPr>
        <w:t>Technological Factors:</w:t>
      </w:r>
      <w:r w:rsidR="00107D67" w:rsidRPr="00107D67">
        <w:rPr>
          <w:rFonts w:cs="Arial"/>
          <w:b/>
          <w:bCs/>
          <w:color w:val="C00000"/>
          <w:sz w:val="24"/>
          <w:szCs w:val="24"/>
        </w:rPr>
        <w:t xml:space="preserve"> </w:t>
      </w:r>
    </w:p>
    <w:p w14:paraId="1C3FFD04" w14:textId="3E319D1D" w:rsidR="005441FA" w:rsidRPr="00913FF5" w:rsidRDefault="005441FA" w:rsidP="00913FF5">
      <w:pPr>
        <w:spacing w:line="360" w:lineRule="auto"/>
        <w:rPr>
          <w:rFonts w:cs="Arial"/>
          <w:sz w:val="22"/>
          <w:szCs w:val="22"/>
        </w:rPr>
      </w:pPr>
      <w:r w:rsidRPr="00913FF5">
        <w:rPr>
          <w:rFonts w:cs="Arial"/>
          <w:sz w:val="22"/>
          <w:szCs w:val="22"/>
        </w:rPr>
        <w:t>Changes in technology, such as automation, artificial intelligence, or cloud computing, can impact the skills and competencies required by accounting professionals. The AAT needs to adapt its curriculum and training programs to incorporate emerging technologies.</w:t>
      </w:r>
    </w:p>
    <w:p w14:paraId="5DDA3660" w14:textId="5BE28D6C" w:rsidR="005441FA" w:rsidRPr="00913FF5" w:rsidRDefault="005441FA" w:rsidP="00913FF5">
      <w:pPr>
        <w:spacing w:line="360" w:lineRule="auto"/>
        <w:rPr>
          <w:rFonts w:cs="Arial"/>
          <w:sz w:val="22"/>
          <w:szCs w:val="22"/>
        </w:rPr>
      </w:pPr>
      <w:r w:rsidRPr="00913FF5">
        <w:rPr>
          <w:rFonts w:cs="Arial"/>
          <w:sz w:val="22"/>
          <w:szCs w:val="22"/>
        </w:rPr>
        <w:t>The rise of online learning and digital platforms has provided opportunities for the AAT to offer flexible and accessible training options to a broader audience.</w:t>
      </w:r>
    </w:p>
    <w:p w14:paraId="0D8BB276" w14:textId="77777777" w:rsidR="00107D67" w:rsidRPr="00107D67" w:rsidRDefault="005441FA" w:rsidP="00107D67">
      <w:pPr>
        <w:rPr>
          <w:rFonts w:cs="Arial"/>
          <w:b/>
          <w:bCs/>
          <w:color w:val="C00000"/>
          <w:sz w:val="24"/>
          <w:szCs w:val="24"/>
        </w:rPr>
      </w:pPr>
      <w:r w:rsidRPr="00107D67">
        <w:rPr>
          <w:b/>
          <w:bCs/>
          <w:color w:val="C00000"/>
          <w:sz w:val="24"/>
          <w:szCs w:val="24"/>
        </w:rPr>
        <w:t>Legal Factors:</w:t>
      </w:r>
      <w:r w:rsidR="00913FF5" w:rsidRPr="00107D67">
        <w:rPr>
          <w:rFonts w:cs="Arial"/>
          <w:b/>
          <w:bCs/>
          <w:color w:val="C00000"/>
          <w:sz w:val="24"/>
          <w:szCs w:val="24"/>
        </w:rPr>
        <w:t xml:space="preserve"> </w:t>
      </w:r>
    </w:p>
    <w:p w14:paraId="37B22438" w14:textId="14C96746" w:rsidR="005441FA" w:rsidRPr="00913FF5" w:rsidRDefault="005441FA" w:rsidP="00913FF5">
      <w:pPr>
        <w:spacing w:line="360" w:lineRule="auto"/>
        <w:rPr>
          <w:rFonts w:cs="Arial"/>
          <w:sz w:val="22"/>
          <w:szCs w:val="22"/>
        </w:rPr>
      </w:pPr>
      <w:r w:rsidRPr="00913FF5">
        <w:rPr>
          <w:rFonts w:cs="Arial"/>
          <w:sz w:val="22"/>
          <w:szCs w:val="22"/>
        </w:rPr>
        <w:t>The AAT needs to comply with data protection and privacy regulations when collecting, storing, and processing the personal information of its members and candidates.</w:t>
      </w:r>
      <w:r w:rsidR="00913FF5">
        <w:rPr>
          <w:rFonts w:cs="Arial"/>
          <w:sz w:val="22"/>
          <w:szCs w:val="22"/>
        </w:rPr>
        <w:t xml:space="preserve"> </w:t>
      </w:r>
      <w:r w:rsidRPr="00913FF5">
        <w:rPr>
          <w:rFonts w:cs="Arial"/>
          <w:sz w:val="22"/>
          <w:szCs w:val="22"/>
        </w:rPr>
        <w:t>The AAT's curriculum, study materials, and assessments are subject to intellectual property laws, and protecting its proprietary content is crucial.</w:t>
      </w:r>
    </w:p>
    <w:p w14:paraId="0D6EBF20" w14:textId="77777777" w:rsidR="00107D67" w:rsidRPr="00107D67" w:rsidRDefault="005441FA" w:rsidP="00107D67">
      <w:pPr>
        <w:rPr>
          <w:rFonts w:cs="Arial"/>
          <w:b/>
          <w:bCs/>
          <w:color w:val="C00000"/>
          <w:sz w:val="24"/>
          <w:szCs w:val="24"/>
        </w:rPr>
      </w:pPr>
      <w:r w:rsidRPr="00107D67">
        <w:rPr>
          <w:b/>
          <w:bCs/>
          <w:color w:val="C00000"/>
          <w:sz w:val="24"/>
          <w:szCs w:val="24"/>
        </w:rPr>
        <w:t>Environmental Factors:</w:t>
      </w:r>
      <w:r w:rsidR="00913FF5" w:rsidRPr="00107D67">
        <w:rPr>
          <w:rFonts w:cs="Arial"/>
          <w:b/>
          <w:bCs/>
          <w:color w:val="C00000"/>
          <w:sz w:val="24"/>
          <w:szCs w:val="24"/>
        </w:rPr>
        <w:t xml:space="preserve"> </w:t>
      </w:r>
    </w:p>
    <w:p w14:paraId="78C16B8A" w14:textId="081C4724" w:rsidR="0042640A" w:rsidRDefault="0042640A" w:rsidP="0042640A">
      <w:pPr>
        <w:spacing w:line="360" w:lineRule="auto"/>
        <w:rPr>
          <w:rFonts w:cs="Arial"/>
          <w:sz w:val="22"/>
          <w:szCs w:val="22"/>
        </w:rPr>
      </w:pPr>
      <w:r w:rsidRPr="0042640A">
        <w:rPr>
          <w:rFonts w:cs="Arial"/>
          <w:sz w:val="22"/>
          <w:szCs w:val="22"/>
        </w:rPr>
        <w:t>Environmental awareness may affect sustainability reporting and carbon accounting. Such topics may be appropriate for AAT training.</w:t>
      </w:r>
      <w:r>
        <w:rPr>
          <w:rFonts w:cs="Arial"/>
          <w:sz w:val="22"/>
          <w:szCs w:val="22"/>
        </w:rPr>
        <w:t xml:space="preserve"> </w:t>
      </w:r>
      <w:r w:rsidRPr="0042640A">
        <w:rPr>
          <w:rFonts w:cs="Arial"/>
          <w:sz w:val="22"/>
          <w:szCs w:val="22"/>
        </w:rPr>
        <w:t>AAT can better understand its external environment, anticipate challenges and opportunities, and adjust its strategies and offerings by analysing the PESTLE factors. The above analysis may help the AAT adapt to changing accounting industry and constituent needs. AAT's PESTLE analysis revealed opportunities and challenges.</w:t>
      </w:r>
    </w:p>
    <w:p w14:paraId="5BEE4572" w14:textId="69E45C9A" w:rsidR="00107D67" w:rsidRPr="00107D67" w:rsidRDefault="00F05081" w:rsidP="0042640A">
      <w:pPr>
        <w:rPr>
          <w:b/>
          <w:bCs/>
          <w:color w:val="C00000"/>
          <w:sz w:val="24"/>
          <w:szCs w:val="24"/>
        </w:rPr>
      </w:pPr>
      <w:r w:rsidRPr="00107D67">
        <w:rPr>
          <w:b/>
          <w:bCs/>
          <w:color w:val="C00000"/>
          <w:sz w:val="24"/>
          <w:szCs w:val="24"/>
        </w:rPr>
        <w:t>Opportunities:</w:t>
      </w:r>
    </w:p>
    <w:p w14:paraId="552E9DDB" w14:textId="0392502E" w:rsidR="00FA4CC8" w:rsidRPr="00FA4CC8" w:rsidRDefault="00FA4CC8" w:rsidP="00FA4CC8">
      <w:pPr>
        <w:spacing w:line="360" w:lineRule="auto"/>
        <w:rPr>
          <w:rFonts w:cs="Arial"/>
          <w:sz w:val="22"/>
          <w:szCs w:val="22"/>
        </w:rPr>
      </w:pPr>
      <w:r w:rsidRPr="00FA4CC8">
        <w:rPr>
          <w:rFonts w:cs="Arial"/>
          <w:sz w:val="22"/>
          <w:szCs w:val="22"/>
        </w:rPr>
        <w:t>AAT can use government regulations to introduce new qualifications or training programmes that match changing accounting standards or regulatory requirements.</w:t>
      </w:r>
      <w:r w:rsidR="00CF745E">
        <w:rPr>
          <w:rFonts w:cs="Arial"/>
          <w:sz w:val="22"/>
          <w:szCs w:val="22"/>
        </w:rPr>
        <w:t xml:space="preserve"> </w:t>
      </w:r>
      <w:r w:rsidRPr="00FA4CC8">
        <w:rPr>
          <w:rFonts w:cs="Arial"/>
          <w:sz w:val="22"/>
          <w:szCs w:val="22"/>
        </w:rPr>
        <w:t>Economic growth may increase demand for accounting services and professional qualifications, allowing the AAT to recruit more members.</w:t>
      </w:r>
      <w:r w:rsidR="00CF745E">
        <w:rPr>
          <w:rFonts w:cs="Arial"/>
          <w:sz w:val="22"/>
          <w:szCs w:val="22"/>
        </w:rPr>
        <w:t xml:space="preserve"> </w:t>
      </w:r>
      <w:r>
        <w:rPr>
          <w:rFonts w:cs="Arial"/>
          <w:sz w:val="22"/>
          <w:szCs w:val="22"/>
        </w:rPr>
        <w:t>C</w:t>
      </w:r>
      <w:r w:rsidRPr="00FA4CC8">
        <w:rPr>
          <w:rFonts w:cs="Arial"/>
          <w:sz w:val="22"/>
          <w:szCs w:val="22"/>
        </w:rPr>
        <w:t>ould lead the accounting industry in meeting changing demands by incorporating technological advances into its curriculum and qualifications.</w:t>
      </w:r>
    </w:p>
    <w:p w14:paraId="786AACFA" w14:textId="6F3695C7" w:rsidR="00FA4CC8" w:rsidRPr="00FA4CC8" w:rsidRDefault="00FA4CC8" w:rsidP="00FA4CC8">
      <w:pPr>
        <w:spacing w:line="360" w:lineRule="auto"/>
        <w:rPr>
          <w:rFonts w:cs="Arial"/>
          <w:sz w:val="22"/>
          <w:szCs w:val="22"/>
        </w:rPr>
      </w:pPr>
      <w:r>
        <w:rPr>
          <w:rFonts w:cs="Arial"/>
          <w:sz w:val="22"/>
          <w:szCs w:val="22"/>
        </w:rPr>
        <w:t>C</w:t>
      </w:r>
      <w:r w:rsidRPr="00FA4CC8">
        <w:rPr>
          <w:rFonts w:cs="Arial"/>
          <w:sz w:val="22"/>
          <w:szCs w:val="22"/>
        </w:rPr>
        <w:t>an provide online educational materials, virtual classrooms, and other digital solutions to improve aspirants' educational experience as accounting uses more digital platforms and tools.</w:t>
      </w:r>
    </w:p>
    <w:p w14:paraId="0047CA4B" w14:textId="59AE6ED5" w:rsidR="003579E2" w:rsidRDefault="00FA4CC8" w:rsidP="00FA4CC8">
      <w:pPr>
        <w:spacing w:line="360" w:lineRule="auto"/>
        <w:rPr>
          <w:rFonts w:cs="Arial"/>
          <w:sz w:val="22"/>
          <w:szCs w:val="22"/>
        </w:rPr>
      </w:pPr>
      <w:r>
        <w:rPr>
          <w:rFonts w:cs="Arial"/>
          <w:sz w:val="22"/>
          <w:szCs w:val="22"/>
        </w:rPr>
        <w:lastRenderedPageBreak/>
        <w:t>C</w:t>
      </w:r>
      <w:r w:rsidRPr="00FA4CC8">
        <w:rPr>
          <w:rFonts w:cs="Arial"/>
          <w:sz w:val="22"/>
          <w:szCs w:val="22"/>
        </w:rPr>
        <w:t xml:space="preserve">ould create certifications or courses that integrate sustainability principles into accounting methods due to rising sustainability concerns </w:t>
      </w:r>
      <w:r w:rsidR="005D7AAC" w:rsidRPr="005D7AAC">
        <w:rPr>
          <w:rFonts w:cs="Arial"/>
          <w:sz w:val="22"/>
          <w:szCs w:val="22"/>
        </w:rPr>
        <w:t>(The Association of Accounting Technicians, 2022)</w:t>
      </w:r>
      <w:r w:rsidR="0082698D">
        <w:rPr>
          <w:rFonts w:cs="Arial"/>
          <w:sz w:val="22"/>
          <w:szCs w:val="22"/>
        </w:rPr>
        <w:t>.</w:t>
      </w:r>
    </w:p>
    <w:p w14:paraId="3462791B" w14:textId="13C4CF0C" w:rsidR="00F05081" w:rsidRPr="00107D67" w:rsidRDefault="00F05081" w:rsidP="003579E2">
      <w:pPr>
        <w:rPr>
          <w:b/>
          <w:bCs/>
          <w:color w:val="C00000"/>
          <w:sz w:val="24"/>
          <w:szCs w:val="24"/>
        </w:rPr>
      </w:pPr>
      <w:r w:rsidRPr="00107D67">
        <w:rPr>
          <w:b/>
          <w:bCs/>
          <w:color w:val="C00000"/>
          <w:sz w:val="24"/>
          <w:szCs w:val="24"/>
        </w:rPr>
        <w:t>Challenges:</w:t>
      </w:r>
    </w:p>
    <w:p w14:paraId="40CCDF71" w14:textId="7B57F0DB" w:rsidR="00F05081" w:rsidRPr="00913FF5" w:rsidRDefault="00F05081" w:rsidP="00913FF5">
      <w:pPr>
        <w:spacing w:line="360" w:lineRule="auto"/>
        <w:rPr>
          <w:rFonts w:cs="Arial"/>
          <w:sz w:val="22"/>
          <w:szCs w:val="22"/>
        </w:rPr>
      </w:pPr>
      <w:r w:rsidRPr="00913FF5">
        <w:rPr>
          <w:rFonts w:cs="Arial"/>
          <w:sz w:val="22"/>
          <w:szCs w:val="22"/>
        </w:rPr>
        <w:t>Economic downturns can result in reduced business activities and tighter budgets, which may impact the demand for accounting services and qualifications offered by the AAT.</w:t>
      </w:r>
    </w:p>
    <w:p w14:paraId="0EA4DBB4" w14:textId="77BFF4B8" w:rsidR="00F05081" w:rsidRPr="00913FF5" w:rsidRDefault="00F05081" w:rsidP="00913FF5">
      <w:pPr>
        <w:spacing w:line="360" w:lineRule="auto"/>
        <w:rPr>
          <w:rFonts w:cs="Arial"/>
          <w:sz w:val="22"/>
          <w:szCs w:val="22"/>
        </w:rPr>
      </w:pPr>
      <w:r w:rsidRPr="00913FF5">
        <w:rPr>
          <w:rFonts w:cs="Arial"/>
          <w:sz w:val="22"/>
          <w:szCs w:val="22"/>
        </w:rPr>
        <w:t>Technological advancements, such as automation and artificial intelligence, can disrupt traditional accounting practices, posing a challenge for the AAT to adapt its qualifications and equip candidates with relevant skills for the digital age.</w:t>
      </w:r>
    </w:p>
    <w:p w14:paraId="658D4036" w14:textId="1A1C3E18" w:rsidR="00F05081" w:rsidRPr="00913FF5" w:rsidRDefault="00F05081" w:rsidP="00913FF5">
      <w:pPr>
        <w:spacing w:line="360" w:lineRule="auto"/>
        <w:rPr>
          <w:rFonts w:cs="Arial"/>
          <w:sz w:val="22"/>
          <w:szCs w:val="22"/>
        </w:rPr>
      </w:pPr>
      <w:r w:rsidRPr="00913FF5">
        <w:rPr>
          <w:rFonts w:cs="Arial"/>
          <w:sz w:val="22"/>
          <w:szCs w:val="22"/>
        </w:rPr>
        <w:t>Shifting societal attitudes towards accounting, such as increased expectations for ethical practices and transparency, may require the AAT to address these concerns through its curriculum and qualification development.</w:t>
      </w:r>
    </w:p>
    <w:p w14:paraId="76E53DD1" w14:textId="544003A2" w:rsidR="00F05081" w:rsidRPr="00913FF5" w:rsidRDefault="00F05081" w:rsidP="00913FF5">
      <w:pPr>
        <w:spacing w:line="360" w:lineRule="auto"/>
        <w:rPr>
          <w:rFonts w:cs="Arial"/>
          <w:sz w:val="22"/>
          <w:szCs w:val="22"/>
        </w:rPr>
      </w:pPr>
      <w:r w:rsidRPr="00913FF5">
        <w:rPr>
          <w:rFonts w:cs="Arial"/>
          <w:sz w:val="22"/>
          <w:szCs w:val="22"/>
        </w:rPr>
        <w:t xml:space="preserve">Changes in accounting regulations and legal frameworks can pose a challenge for the AAT to ensure its qualifications remain </w:t>
      </w:r>
      <w:r w:rsidR="00065461" w:rsidRPr="00913FF5">
        <w:rPr>
          <w:rFonts w:cs="Arial"/>
          <w:sz w:val="22"/>
          <w:szCs w:val="22"/>
        </w:rPr>
        <w:t>up-to-date</w:t>
      </w:r>
      <w:r w:rsidRPr="00913FF5">
        <w:rPr>
          <w:rFonts w:cs="Arial"/>
          <w:sz w:val="22"/>
          <w:szCs w:val="22"/>
        </w:rPr>
        <w:t xml:space="preserve"> and aligned with evolving standards.</w:t>
      </w:r>
    </w:p>
    <w:p w14:paraId="3FA2AFCA" w14:textId="6E487CB7" w:rsidR="008D54DA" w:rsidRPr="00FA4CC8" w:rsidRDefault="00F05081" w:rsidP="00FA4CC8">
      <w:pPr>
        <w:spacing w:line="360" w:lineRule="auto"/>
        <w:rPr>
          <w:rFonts w:cs="Arial"/>
          <w:sz w:val="22"/>
          <w:szCs w:val="22"/>
        </w:rPr>
      </w:pPr>
      <w:r w:rsidRPr="00913FF5">
        <w:rPr>
          <w:rFonts w:cs="Arial"/>
          <w:sz w:val="22"/>
          <w:szCs w:val="22"/>
        </w:rPr>
        <w:t>The accounting education and professional development market may be highly competitive, requiring the AAT to differentiate itself and continually innovate to attract candidates and maintain its market position</w:t>
      </w:r>
      <w:r w:rsidR="00FA4CC8">
        <w:rPr>
          <w:rFonts w:cs="Arial"/>
          <w:sz w:val="22"/>
          <w:szCs w:val="22"/>
        </w:rPr>
        <w:t xml:space="preserve"> </w:t>
      </w:r>
      <w:r w:rsidR="00FA4CC8" w:rsidRPr="00913FF5">
        <w:rPr>
          <w:rFonts w:cs="Arial"/>
          <w:sz w:val="22"/>
          <w:szCs w:val="22"/>
        </w:rPr>
        <w:t>(Shafiq, 2020).</w:t>
      </w:r>
    </w:p>
    <w:p w14:paraId="5111A98F" w14:textId="4F2136D2" w:rsidR="004901E4" w:rsidRPr="00304413" w:rsidRDefault="004901E4" w:rsidP="00640647">
      <w:pPr>
        <w:pStyle w:val="Heading2"/>
        <w:rPr>
          <w:rFonts w:ascii="Arial" w:hAnsi="Arial" w:cs="Arial"/>
        </w:rPr>
      </w:pPr>
      <w:bookmarkStart w:id="7" w:name="_Toc134099093"/>
      <w:r w:rsidRPr="00304413">
        <w:rPr>
          <w:rFonts w:ascii="Arial" w:hAnsi="Arial" w:cs="Arial"/>
        </w:rPr>
        <w:t>Industrial Analysis</w:t>
      </w:r>
      <w:bookmarkEnd w:id="7"/>
    </w:p>
    <w:p w14:paraId="6126EF88" w14:textId="77777777" w:rsidR="005441FA" w:rsidRPr="00304413" w:rsidRDefault="005441FA" w:rsidP="005C55DC">
      <w:pPr>
        <w:pStyle w:val="ListParagraph"/>
        <w:numPr>
          <w:ilvl w:val="1"/>
          <w:numId w:val="1"/>
        </w:numPr>
        <w:tabs>
          <w:tab w:val="left" w:pos="1540"/>
          <w:tab w:val="left" w:pos="1541"/>
        </w:tabs>
        <w:spacing w:before="1"/>
        <w:ind w:right="251"/>
        <w:rPr>
          <w:rStyle w:val="Hyperlink"/>
          <w:rFonts w:ascii="Arial" w:hAnsi="Arial" w:cs="Arial"/>
          <w:color w:val="auto"/>
          <w:u w:val="none"/>
          <w:lang w:val="en-GB"/>
        </w:rPr>
      </w:pPr>
    </w:p>
    <w:p w14:paraId="7EF8F9AA" w14:textId="1FF29F58" w:rsidR="0082698D" w:rsidRPr="0082698D" w:rsidRDefault="0082698D" w:rsidP="0082698D">
      <w:pPr>
        <w:tabs>
          <w:tab w:val="left" w:pos="1540"/>
          <w:tab w:val="left" w:pos="1541"/>
        </w:tabs>
        <w:spacing w:before="1" w:line="360" w:lineRule="auto"/>
        <w:ind w:right="251"/>
        <w:rPr>
          <w:rFonts w:cs="Arial"/>
          <w:sz w:val="22"/>
          <w:szCs w:val="22"/>
        </w:rPr>
      </w:pPr>
      <w:r w:rsidRPr="0082698D">
        <w:rPr>
          <w:rFonts w:cs="Arial"/>
          <w:sz w:val="22"/>
          <w:szCs w:val="22"/>
        </w:rPr>
        <w:t xml:space="preserve">In order to perform an industrial analysis, </w:t>
      </w:r>
      <w:r w:rsidR="00FA4CC8">
        <w:rPr>
          <w:rFonts w:cs="Arial"/>
          <w:sz w:val="22"/>
          <w:szCs w:val="22"/>
        </w:rPr>
        <w:t>Porter's Five Forces analysis was conducted</w:t>
      </w:r>
      <w:r w:rsidRPr="0082698D">
        <w:rPr>
          <w:rFonts w:cs="Arial"/>
          <w:sz w:val="22"/>
          <w:szCs w:val="22"/>
        </w:rPr>
        <w:t xml:space="preserve">. </w:t>
      </w:r>
      <w:r w:rsidRPr="0082698D">
        <w:rPr>
          <w:rFonts w:cs="Arial"/>
          <w:sz w:val="22"/>
          <w:szCs w:val="22"/>
        </w:rPr>
        <w:t>Michael E. Porter of Harvard Business School created the Five Forces of Competitive Position Analysis in 1979 as a simple framework for assessing and evaluating the competitive strength and position of a business organisation.</w:t>
      </w:r>
    </w:p>
    <w:p w14:paraId="74F3D663" w14:textId="45F8DB9B" w:rsidR="0082698D" w:rsidRPr="0082698D" w:rsidRDefault="0082698D" w:rsidP="0082698D">
      <w:pPr>
        <w:tabs>
          <w:tab w:val="left" w:pos="1540"/>
          <w:tab w:val="left" w:pos="1541"/>
        </w:tabs>
        <w:spacing w:before="1" w:line="360" w:lineRule="auto"/>
        <w:ind w:right="251"/>
        <w:rPr>
          <w:rFonts w:cs="Arial"/>
          <w:sz w:val="22"/>
          <w:szCs w:val="22"/>
        </w:rPr>
      </w:pPr>
      <w:r w:rsidRPr="0082698D">
        <w:rPr>
          <w:rFonts w:cs="Arial"/>
          <w:sz w:val="22"/>
          <w:szCs w:val="22"/>
        </w:rPr>
        <w:t>This theory is predicated on the notion that five forces determine a market's competitive intensity and attractiveness. The five forces identified by Porter serve to determine where power resides in a business situation. This is useful for understanding both the competitive strength of a company's current position and the strength of a position it may seek to transition into.</w:t>
      </w:r>
    </w:p>
    <w:p w14:paraId="02D372C0" w14:textId="164B2F39" w:rsidR="005441FA" w:rsidRPr="0082698D" w:rsidRDefault="0082698D" w:rsidP="0082698D">
      <w:pPr>
        <w:tabs>
          <w:tab w:val="left" w:pos="1540"/>
          <w:tab w:val="left" w:pos="1541"/>
        </w:tabs>
        <w:spacing w:before="1" w:line="360" w:lineRule="auto"/>
        <w:ind w:right="251"/>
        <w:rPr>
          <w:rFonts w:cs="Arial"/>
          <w:sz w:val="22"/>
          <w:szCs w:val="22"/>
        </w:rPr>
      </w:pPr>
      <w:r w:rsidRPr="0082698D">
        <w:rPr>
          <w:rFonts w:cs="Arial"/>
          <w:sz w:val="22"/>
          <w:szCs w:val="22"/>
        </w:rPr>
        <w:t>Frequently, strategic analysts employ Porter's five forces to assess the potential profitability of new products and services. By comprehending where power resides, the theory can also be utilised to identify areas of strength, enhance areas of vulnerability, and prevent errors</w:t>
      </w:r>
      <w:r w:rsidRPr="0082698D">
        <w:t xml:space="preserve"> </w:t>
      </w:r>
      <w:r w:rsidRPr="0082698D">
        <w:rPr>
          <w:rFonts w:cs="Arial"/>
          <w:sz w:val="22"/>
          <w:szCs w:val="22"/>
        </w:rPr>
        <w:t>(Mind Tools, 2022)</w:t>
      </w:r>
      <w:r>
        <w:rPr>
          <w:rFonts w:cs="Arial"/>
          <w:sz w:val="22"/>
          <w:szCs w:val="22"/>
        </w:rPr>
        <w:t>. The five forces for AAT are</w:t>
      </w:r>
      <w:r w:rsidR="00FA4CC8">
        <w:rPr>
          <w:rFonts w:cs="Arial"/>
          <w:sz w:val="22"/>
          <w:szCs w:val="22"/>
        </w:rPr>
        <w:t>:</w:t>
      </w:r>
    </w:p>
    <w:p w14:paraId="04E5E8C7" w14:textId="0AC0BAA7" w:rsidR="005441FA" w:rsidRPr="00A470C2" w:rsidRDefault="005441FA" w:rsidP="00A470C2">
      <w:pPr>
        <w:rPr>
          <w:b/>
          <w:bCs/>
          <w:color w:val="C00000"/>
          <w:sz w:val="24"/>
          <w:szCs w:val="24"/>
        </w:rPr>
      </w:pPr>
      <w:r w:rsidRPr="00A470C2">
        <w:rPr>
          <w:b/>
          <w:bCs/>
          <w:color w:val="C00000"/>
          <w:sz w:val="24"/>
          <w:szCs w:val="24"/>
        </w:rPr>
        <w:lastRenderedPageBreak/>
        <w:t xml:space="preserve">The </w:t>
      </w:r>
      <w:r w:rsidR="00DA49E0" w:rsidRPr="00A470C2">
        <w:rPr>
          <w:b/>
          <w:bCs/>
          <w:color w:val="C00000"/>
          <w:sz w:val="24"/>
          <w:szCs w:val="24"/>
        </w:rPr>
        <w:t>Threat</w:t>
      </w:r>
      <w:r w:rsidRPr="00A470C2">
        <w:rPr>
          <w:b/>
          <w:bCs/>
          <w:color w:val="C00000"/>
          <w:sz w:val="24"/>
          <w:szCs w:val="24"/>
        </w:rPr>
        <w:t xml:space="preserve"> of New Entrants:</w:t>
      </w:r>
    </w:p>
    <w:p w14:paraId="04AA4C1E" w14:textId="6DE571C9" w:rsidR="00A470C2" w:rsidRPr="00A470C2" w:rsidRDefault="00A470C2" w:rsidP="00A470C2">
      <w:pPr>
        <w:tabs>
          <w:tab w:val="left" w:pos="1540"/>
          <w:tab w:val="left" w:pos="1541"/>
        </w:tabs>
        <w:spacing w:before="1" w:line="360" w:lineRule="auto"/>
        <w:ind w:right="251"/>
        <w:rPr>
          <w:rFonts w:cs="Arial"/>
          <w:sz w:val="22"/>
          <w:szCs w:val="22"/>
        </w:rPr>
      </w:pPr>
      <w:r w:rsidRPr="00A470C2">
        <w:rPr>
          <w:rFonts w:cs="Arial"/>
          <w:sz w:val="22"/>
          <w:szCs w:val="22"/>
        </w:rPr>
        <w:t>The market for accounting qualifications and training may pose a moderate threat of new entrants to the AAT. The threat is influenced by various factors, such as government regulations or accreditation requirements, which may pose obstacles for new entrants to establish their credibility and compete with AAT's acknowledged qualifications. The established brand and reputation of AAT within the accounting industry may pose a challenge for new entrants seeking to gain recognition and attract potential candidates. The process of creating all-encompassing educational programmes, procuring pertinent learning materials, and forging collaborative relationships may entail substantial expenses, thereby posing an obstacle to initiation.</w:t>
      </w:r>
    </w:p>
    <w:p w14:paraId="2709B9F6" w14:textId="142E3AD9" w:rsidR="005441FA" w:rsidRPr="00A470C2" w:rsidRDefault="005441FA" w:rsidP="00A470C2">
      <w:pPr>
        <w:rPr>
          <w:b/>
          <w:bCs/>
          <w:color w:val="C00000"/>
          <w:sz w:val="24"/>
          <w:szCs w:val="24"/>
        </w:rPr>
      </w:pPr>
      <w:r w:rsidRPr="00A470C2">
        <w:rPr>
          <w:b/>
          <w:bCs/>
          <w:color w:val="C00000"/>
          <w:sz w:val="24"/>
          <w:szCs w:val="24"/>
        </w:rPr>
        <w:t>Bargaining Power of Suppliers:</w:t>
      </w:r>
    </w:p>
    <w:p w14:paraId="564AD96E" w14:textId="26C38734" w:rsidR="00A470C2" w:rsidRPr="00A470C2" w:rsidRDefault="00A470C2" w:rsidP="00A470C2">
      <w:pPr>
        <w:tabs>
          <w:tab w:val="left" w:pos="1540"/>
          <w:tab w:val="left" w:pos="1541"/>
        </w:tabs>
        <w:spacing w:before="1" w:line="360" w:lineRule="auto"/>
        <w:ind w:right="251"/>
        <w:rPr>
          <w:rFonts w:cs="Arial"/>
          <w:sz w:val="22"/>
          <w:szCs w:val="22"/>
        </w:rPr>
      </w:pPr>
      <w:r w:rsidRPr="00A470C2">
        <w:rPr>
          <w:rFonts w:cs="Arial"/>
          <w:sz w:val="22"/>
          <w:szCs w:val="22"/>
        </w:rPr>
        <w:t>The AAT's bargaining power over its suppliers, who offer educational resources and partnerships, may be moderate. The terms and pricing of textbooks and learning materials can be influenced by various factors, including the purchasing power of the Academic Affairs Team (AAT) and the availability of alternative resources. The reputation and demand of AAT may have an effect on its capacity to engage in negotiations with potential partners, including educational institutions or employers, in order to secure advantageous terms</w:t>
      </w:r>
      <w:r w:rsidRPr="00A470C2">
        <w:rPr>
          <w:rFonts w:cs="Arial"/>
          <w:sz w:val="22"/>
          <w:szCs w:val="22"/>
        </w:rPr>
        <w:t>.</w:t>
      </w:r>
    </w:p>
    <w:p w14:paraId="7C2026F6" w14:textId="370502D8" w:rsidR="005441FA" w:rsidRPr="00A470C2" w:rsidRDefault="005441FA" w:rsidP="00A470C2">
      <w:pPr>
        <w:rPr>
          <w:b/>
          <w:bCs/>
          <w:color w:val="C00000"/>
          <w:sz w:val="24"/>
          <w:szCs w:val="24"/>
        </w:rPr>
      </w:pPr>
      <w:r w:rsidRPr="00A470C2">
        <w:rPr>
          <w:b/>
          <w:bCs/>
          <w:color w:val="C00000"/>
          <w:sz w:val="24"/>
          <w:szCs w:val="24"/>
        </w:rPr>
        <w:t>Bargaining Power of Buyers (Candidates and Members):</w:t>
      </w:r>
    </w:p>
    <w:p w14:paraId="0AFA7479" w14:textId="77777777" w:rsidR="00A470C2" w:rsidRPr="00A470C2" w:rsidRDefault="00A470C2" w:rsidP="00A470C2">
      <w:pPr>
        <w:tabs>
          <w:tab w:val="left" w:pos="1540"/>
          <w:tab w:val="left" w:pos="1541"/>
        </w:tabs>
        <w:spacing w:before="1" w:line="360" w:lineRule="auto"/>
        <w:ind w:right="251"/>
        <w:rPr>
          <w:rFonts w:cs="Arial"/>
          <w:sz w:val="22"/>
          <w:szCs w:val="22"/>
        </w:rPr>
      </w:pPr>
      <w:r w:rsidRPr="00A470C2">
        <w:rPr>
          <w:rFonts w:cs="Arial"/>
          <w:sz w:val="22"/>
          <w:szCs w:val="22"/>
        </w:rPr>
        <w:t>The Association of Accounting Technicians (AAT) potentially possesses a moderate level of bargaining power in relation to its candidates and members. The enrolment and payment for training programmes of AAT may be influenced by the brand value of the organisation and the demand for its qualifications. Additionally, the retention rates of AAT members may be affected by the availability of alternative professional organisations and the perceived benefits of AAT membership.</w:t>
      </w:r>
    </w:p>
    <w:p w14:paraId="63D25F9D" w14:textId="44C35854" w:rsidR="005441FA" w:rsidRPr="00A470C2" w:rsidRDefault="00A470C2" w:rsidP="00A470C2">
      <w:pPr>
        <w:rPr>
          <w:b/>
          <w:bCs/>
          <w:color w:val="C00000"/>
          <w:sz w:val="24"/>
          <w:szCs w:val="24"/>
        </w:rPr>
      </w:pPr>
      <w:r w:rsidRPr="00A470C2">
        <w:rPr>
          <w:b/>
          <w:bCs/>
          <w:color w:val="C00000"/>
          <w:sz w:val="24"/>
          <w:szCs w:val="24"/>
        </w:rPr>
        <w:t>The Threat</w:t>
      </w:r>
      <w:r w:rsidR="005441FA" w:rsidRPr="00A470C2">
        <w:rPr>
          <w:b/>
          <w:bCs/>
          <w:color w:val="C00000"/>
          <w:sz w:val="24"/>
          <w:szCs w:val="24"/>
        </w:rPr>
        <w:t xml:space="preserve"> of Substitutes:</w:t>
      </w:r>
    </w:p>
    <w:p w14:paraId="3435F888" w14:textId="77777777" w:rsidR="00A470C2" w:rsidRPr="00A470C2" w:rsidRDefault="00A470C2" w:rsidP="00A470C2">
      <w:pPr>
        <w:tabs>
          <w:tab w:val="left" w:pos="1540"/>
          <w:tab w:val="left" w:pos="1541"/>
        </w:tabs>
        <w:spacing w:before="1" w:line="360" w:lineRule="auto"/>
        <w:ind w:right="251"/>
        <w:rPr>
          <w:rFonts w:cs="Arial"/>
          <w:sz w:val="22"/>
          <w:szCs w:val="22"/>
        </w:rPr>
      </w:pPr>
      <w:r w:rsidRPr="00A470C2">
        <w:rPr>
          <w:rFonts w:cs="Arial"/>
          <w:sz w:val="22"/>
          <w:szCs w:val="22"/>
        </w:rPr>
        <w:t>The AAT is confronted with a moderate level of substitute threat, encompassing alternative accounting qualifications, certifications, or training programmes. Alternative professional accounting organisations that provide comparable qualifications and assistance may be regarded as viable substitutes for AAT. AAT qualifications may be perceived as being interchangeable with traditional accounting degrees or other professional certifications.</w:t>
      </w:r>
    </w:p>
    <w:p w14:paraId="3BE9F0BA" w14:textId="62961F27" w:rsidR="005441FA" w:rsidRPr="00A470C2" w:rsidRDefault="005441FA" w:rsidP="00A470C2">
      <w:pPr>
        <w:rPr>
          <w:b/>
          <w:bCs/>
          <w:color w:val="C00000"/>
          <w:sz w:val="24"/>
          <w:szCs w:val="24"/>
        </w:rPr>
      </w:pPr>
      <w:r w:rsidRPr="00A470C2">
        <w:rPr>
          <w:b/>
          <w:bCs/>
          <w:color w:val="C00000"/>
          <w:sz w:val="24"/>
          <w:szCs w:val="24"/>
        </w:rPr>
        <w:t>Competitive Rivalry:</w:t>
      </w:r>
    </w:p>
    <w:p w14:paraId="7EAC19B4" w14:textId="77777777" w:rsidR="00A470C2" w:rsidRPr="00A470C2" w:rsidRDefault="00A470C2" w:rsidP="00A470C2">
      <w:pPr>
        <w:spacing w:after="0" w:line="360" w:lineRule="auto"/>
        <w:rPr>
          <w:rFonts w:cs="Arial"/>
          <w:sz w:val="22"/>
          <w:szCs w:val="22"/>
        </w:rPr>
      </w:pPr>
      <w:r w:rsidRPr="00A470C2">
        <w:rPr>
          <w:rFonts w:cs="Arial"/>
          <w:sz w:val="22"/>
          <w:szCs w:val="22"/>
        </w:rPr>
        <w:t xml:space="preserve">The degree of competitive rivalry in the accounting qualifications and training sector may exhibit variability. The presence of other accounting bodies that provide comparable </w:t>
      </w:r>
      <w:r w:rsidRPr="00A470C2">
        <w:rPr>
          <w:rFonts w:cs="Arial"/>
          <w:sz w:val="22"/>
          <w:szCs w:val="22"/>
        </w:rPr>
        <w:lastRenderedPageBreak/>
        <w:t>qualifications and training programmes can pose a substantial competitive challenge. The competitive position of AAT can be influenced by the distinctiveness and perceived worth of its qualifications, training techniques, and support services.</w:t>
      </w:r>
    </w:p>
    <w:p w14:paraId="2A743850" w14:textId="77777777" w:rsidR="00A470C2" w:rsidRPr="00A470C2" w:rsidRDefault="00A470C2" w:rsidP="00A470C2">
      <w:pPr>
        <w:spacing w:after="0" w:line="360" w:lineRule="auto"/>
        <w:rPr>
          <w:rFonts w:cs="Arial"/>
          <w:sz w:val="22"/>
          <w:szCs w:val="22"/>
        </w:rPr>
      </w:pPr>
    </w:p>
    <w:p w14:paraId="7DC91BCF" w14:textId="7D9312D5" w:rsidR="00C83F04" w:rsidRPr="00304413" w:rsidRDefault="00A470C2" w:rsidP="00A470C2">
      <w:pPr>
        <w:spacing w:after="0" w:line="360" w:lineRule="auto"/>
        <w:rPr>
          <w:rFonts w:eastAsia="Calibri" w:cs="Arial"/>
          <w:sz w:val="22"/>
          <w:szCs w:val="22"/>
        </w:rPr>
      </w:pPr>
      <w:r w:rsidRPr="00A470C2">
        <w:rPr>
          <w:rFonts w:cs="Arial"/>
          <w:sz w:val="22"/>
          <w:szCs w:val="22"/>
        </w:rPr>
        <w:t>Through the analysis of these forces, the Association of Accounting Technicians (AAT) can discern its competitive advantages, evaluate possible threats, and formulate tactics to distinguish itself, augment its offerings, and uphold its standing as a preeminent provider of accounting qualifications and training.</w:t>
      </w:r>
    </w:p>
    <w:p w14:paraId="49982567" w14:textId="77777777" w:rsidR="005C55DC" w:rsidRPr="00304413" w:rsidRDefault="005C55DC" w:rsidP="005C55DC">
      <w:pPr>
        <w:pStyle w:val="ListParagraph"/>
        <w:tabs>
          <w:tab w:val="left" w:pos="1540"/>
          <w:tab w:val="left" w:pos="1541"/>
        </w:tabs>
        <w:spacing w:before="1"/>
        <w:ind w:left="1976" w:right="251" w:firstLine="0"/>
        <w:rPr>
          <w:rFonts w:ascii="Arial" w:hAnsi="Arial" w:cs="Arial"/>
          <w:lang w:val="en-GB"/>
        </w:rPr>
      </w:pPr>
    </w:p>
    <w:p w14:paraId="5846E55C" w14:textId="0E46792E" w:rsidR="00AB47FC" w:rsidRDefault="00FA4CC8" w:rsidP="00640647">
      <w:pPr>
        <w:pStyle w:val="Heading3"/>
      </w:pPr>
      <w:bookmarkStart w:id="8" w:name="_Toc134099094"/>
      <w:r>
        <w:t>SWOT Analysis</w:t>
      </w:r>
      <w:bookmarkEnd w:id="8"/>
    </w:p>
    <w:p w14:paraId="0CC5C76C" w14:textId="77777777" w:rsidR="00FA4CC8" w:rsidRPr="00FA4CC8" w:rsidRDefault="00FA4CC8" w:rsidP="00FA4CC8"/>
    <w:p w14:paraId="2745D3C3" w14:textId="73680245" w:rsidR="003150E2" w:rsidRDefault="003150E2" w:rsidP="00FA4CC8">
      <w:pPr>
        <w:pStyle w:val="BodyText"/>
        <w:spacing w:line="360" w:lineRule="auto"/>
        <w:ind w:left="0" w:right="100"/>
        <w:jc w:val="both"/>
        <w:rPr>
          <w:rFonts w:ascii="Arial" w:eastAsiaTheme="minorEastAsia" w:hAnsi="Arial" w:cs="Arial"/>
          <w:lang w:val="en-GB"/>
        </w:rPr>
      </w:pPr>
      <w:r w:rsidRPr="003150E2">
        <w:rPr>
          <w:rFonts w:ascii="Arial" w:eastAsiaTheme="minorEastAsia" w:hAnsi="Arial" w:cs="Arial"/>
          <w:lang w:val="en-GB"/>
        </w:rPr>
        <w:t xml:space="preserve">Through the implementation of an Internal analysis utilising the value of change and 6 pillars, an external analysis utilising PESTEL and </w:t>
      </w:r>
      <w:r w:rsidR="00E123F2">
        <w:rPr>
          <w:rFonts w:ascii="Arial" w:eastAsiaTheme="minorEastAsia" w:hAnsi="Arial" w:cs="Arial"/>
          <w:lang w:val="en-GB"/>
        </w:rPr>
        <w:t xml:space="preserve">an </w:t>
      </w:r>
      <w:r w:rsidRPr="003150E2">
        <w:rPr>
          <w:rFonts w:ascii="Arial" w:eastAsiaTheme="minorEastAsia" w:hAnsi="Arial" w:cs="Arial"/>
          <w:lang w:val="en-GB"/>
        </w:rPr>
        <w:t xml:space="preserve">industrial analysis utilising Portal 5 forces, it is possible to ascertain the specific point of measurement at which the organisation can situate itself within the market, as well as the value it can offer to its customers.  Conducting a SWOT analysis is a crucial step in </w:t>
      </w:r>
      <w:r w:rsidR="00FA4CC8">
        <w:rPr>
          <w:rFonts w:ascii="Arial" w:eastAsiaTheme="minorEastAsia" w:hAnsi="Arial" w:cs="Arial"/>
          <w:lang w:val="en-GB"/>
        </w:rPr>
        <w:t>understanding</w:t>
      </w:r>
      <w:r w:rsidRPr="003150E2">
        <w:rPr>
          <w:rFonts w:ascii="Arial" w:eastAsiaTheme="minorEastAsia" w:hAnsi="Arial" w:cs="Arial"/>
          <w:lang w:val="en-GB"/>
        </w:rPr>
        <w:t xml:space="preserve"> an organization's standing in relation to its competitors. This business strategy tool enables the identification of key factors that contribute to a clear vision of the organisation. The attribution of the strategy to Albert Humphrey in the 1960s is a topic of debate in the historical record.  </w:t>
      </w:r>
    </w:p>
    <w:p w14:paraId="51878434" w14:textId="77777777" w:rsidR="003150E2" w:rsidRDefault="003150E2" w:rsidP="00FA4CC8">
      <w:pPr>
        <w:pStyle w:val="BodyText"/>
        <w:spacing w:line="360" w:lineRule="auto"/>
        <w:ind w:left="0" w:right="100"/>
        <w:jc w:val="both"/>
        <w:rPr>
          <w:rFonts w:ascii="Arial" w:eastAsiaTheme="minorEastAsia" w:hAnsi="Arial" w:cs="Arial"/>
          <w:lang w:val="en-GB"/>
        </w:rPr>
      </w:pPr>
    </w:p>
    <w:p w14:paraId="04C3FBC5" w14:textId="721D51BE" w:rsidR="003150E2" w:rsidRDefault="003150E2" w:rsidP="00FA4CC8">
      <w:pPr>
        <w:pStyle w:val="BodyText"/>
        <w:spacing w:line="360" w:lineRule="auto"/>
        <w:ind w:left="0" w:right="100"/>
        <w:jc w:val="both"/>
        <w:rPr>
          <w:rFonts w:ascii="Arial" w:eastAsiaTheme="minorEastAsia" w:hAnsi="Arial" w:cs="Arial"/>
          <w:lang w:val="en-GB"/>
        </w:rPr>
      </w:pPr>
      <w:r w:rsidRPr="003150E2">
        <w:rPr>
          <w:rFonts w:ascii="Arial" w:eastAsiaTheme="minorEastAsia" w:hAnsi="Arial" w:cs="Arial"/>
          <w:lang w:val="en-GB"/>
        </w:rPr>
        <w:t>In summary, the previously discussed findings indicate that AAT exhibits distinct strengths, weaknesses, opportunities, and threats.</w:t>
      </w:r>
    </w:p>
    <w:p w14:paraId="7EF5F913" w14:textId="77777777" w:rsidR="003150E2" w:rsidRDefault="003150E2" w:rsidP="00FA4CC8">
      <w:pPr>
        <w:pStyle w:val="BodyText"/>
        <w:spacing w:line="360" w:lineRule="auto"/>
        <w:ind w:left="0" w:right="100"/>
        <w:jc w:val="both"/>
        <w:rPr>
          <w:rFonts w:ascii="Arial" w:eastAsiaTheme="minorEastAsia" w:hAnsi="Arial" w:cs="Arial"/>
          <w:sz w:val="20"/>
          <w:szCs w:val="20"/>
          <w:lang w:val="en-GB"/>
        </w:rPr>
      </w:pPr>
    </w:p>
    <w:p w14:paraId="581CF926" w14:textId="75A34ADC" w:rsidR="00BE65F9" w:rsidRDefault="00BE65F9" w:rsidP="00FA4CC8">
      <w:pPr>
        <w:pStyle w:val="BodyText"/>
        <w:spacing w:line="360" w:lineRule="auto"/>
        <w:ind w:left="0" w:right="100"/>
        <w:jc w:val="both"/>
        <w:rPr>
          <w:rFonts w:ascii="Arial" w:hAnsi="Arial" w:cs="Arial"/>
          <w:lang w:val="en-GB"/>
        </w:rPr>
      </w:pPr>
      <w:r w:rsidRPr="00A3377A">
        <w:rPr>
          <w:rFonts w:ascii="Arial" w:hAnsi="Arial" w:cs="Arial"/>
          <w:b/>
          <w:bCs/>
          <w:color w:val="C00000"/>
          <w:lang w:val="en-GB"/>
        </w:rPr>
        <w:t>Strengths:</w:t>
      </w:r>
      <w:r w:rsidR="00E62015" w:rsidRPr="00A3377A">
        <w:rPr>
          <w:rFonts w:ascii="Arial" w:hAnsi="Arial" w:cs="Arial"/>
          <w:color w:val="C00000"/>
          <w:lang w:val="en-GB"/>
        </w:rPr>
        <w:t xml:space="preserve"> </w:t>
      </w:r>
      <w:r w:rsidR="00FA4CC8" w:rsidRPr="00FA4CC8">
        <w:rPr>
          <w:rFonts w:ascii="Arial" w:hAnsi="Arial" w:cs="Arial"/>
          <w:lang w:val="en-GB"/>
        </w:rPr>
        <w:t xml:space="preserve">The Association of Accounting Technicians (AAT) </w:t>
      </w:r>
      <w:r w:rsidR="00E123F2" w:rsidRPr="00E123F2">
        <w:rPr>
          <w:rFonts w:ascii="Arial" w:hAnsi="Arial" w:cs="Arial"/>
          <w:lang w:val="en-GB"/>
        </w:rPr>
        <w:t>is a preeminent professional entity catering to accounting technicians, providing employers and students with a sense of assurance and dependability. The programme provides a diverse range of certifications tailored to various levels of accounting proficiency, enabling individuals to progress in their professional trajectories. AAT certifications are highly valued by employers and professional organisations, thereby augmenting the employment and career advancement prospects of AAT members. The accounting industry benefits from a vast network of members, employers, and educational providers that facilitates collaboration, knowledge sharing, and networking opportunities. The organisation places emphasis on continuing professional development and endeavours to keep its members informed on evolving accounting standards and industry trends.</w:t>
      </w:r>
    </w:p>
    <w:p w14:paraId="59FE07F6" w14:textId="77777777" w:rsidR="00FA4CC8" w:rsidRDefault="00FA4CC8" w:rsidP="00FA4CC8">
      <w:pPr>
        <w:pStyle w:val="BodyText"/>
        <w:spacing w:line="360" w:lineRule="auto"/>
        <w:ind w:left="0" w:right="100"/>
        <w:jc w:val="both"/>
        <w:rPr>
          <w:rFonts w:ascii="Arial" w:hAnsi="Arial" w:cs="Arial"/>
          <w:lang w:val="en-GB"/>
        </w:rPr>
      </w:pPr>
    </w:p>
    <w:p w14:paraId="7FFB6A4A" w14:textId="1D122ADC" w:rsidR="00BE65F9" w:rsidRDefault="00BE65F9" w:rsidP="00FA4CC8">
      <w:pPr>
        <w:pStyle w:val="BodyText"/>
        <w:spacing w:line="360" w:lineRule="auto"/>
        <w:ind w:left="0" w:right="100"/>
        <w:jc w:val="both"/>
        <w:rPr>
          <w:rFonts w:ascii="Arial" w:hAnsi="Arial" w:cs="Arial"/>
          <w:lang w:val="en-GB"/>
        </w:rPr>
      </w:pPr>
      <w:r w:rsidRPr="00A3377A">
        <w:rPr>
          <w:rFonts w:ascii="Arial" w:hAnsi="Arial" w:cs="Arial"/>
          <w:b/>
          <w:bCs/>
          <w:color w:val="C00000"/>
          <w:lang w:val="en-GB"/>
        </w:rPr>
        <w:t>Weaknesses:</w:t>
      </w:r>
      <w:r w:rsidR="00E62015" w:rsidRPr="00A3377A">
        <w:rPr>
          <w:rFonts w:ascii="Arial" w:hAnsi="Arial" w:cs="Arial"/>
          <w:color w:val="C00000"/>
          <w:lang w:val="en-GB"/>
        </w:rPr>
        <w:t xml:space="preserve"> </w:t>
      </w:r>
      <w:r w:rsidR="00E62015" w:rsidRPr="00E62015">
        <w:rPr>
          <w:rFonts w:ascii="Arial" w:hAnsi="Arial" w:cs="Arial"/>
          <w:lang w:val="en-GB"/>
        </w:rPr>
        <w:t xml:space="preserve">The international expansion and collaboration opportunities for AAT may be constrained due to its limited presence and recognition beyond the borders of the United </w:t>
      </w:r>
      <w:r w:rsidR="00E62015" w:rsidRPr="00E62015">
        <w:rPr>
          <w:rFonts w:ascii="Arial" w:hAnsi="Arial" w:cs="Arial"/>
          <w:lang w:val="en-GB"/>
        </w:rPr>
        <w:lastRenderedPageBreak/>
        <w:t>Kingdom. The qualifications offered by AAT have a predominant emphasis on accounting and its associated fields, which could potentially restrict its attractiveness to those individuals who are interested in pursuing more comprehensive business qualifications or specialising in alternative domains.</w:t>
      </w:r>
    </w:p>
    <w:p w14:paraId="2BEA92C8" w14:textId="77777777" w:rsidR="00E62015" w:rsidRDefault="00E62015" w:rsidP="00FA4CC8">
      <w:pPr>
        <w:pStyle w:val="BodyText"/>
        <w:spacing w:line="360" w:lineRule="auto"/>
        <w:ind w:left="0" w:right="100"/>
        <w:jc w:val="both"/>
        <w:rPr>
          <w:rFonts w:ascii="Arial" w:hAnsi="Arial" w:cs="Arial"/>
          <w:lang w:val="en-GB"/>
        </w:rPr>
      </w:pPr>
    </w:p>
    <w:p w14:paraId="27822392" w14:textId="49D08ACB" w:rsidR="00BE65F9" w:rsidRDefault="00BE65F9" w:rsidP="00FA4CC8">
      <w:pPr>
        <w:pStyle w:val="BodyText"/>
        <w:spacing w:line="360" w:lineRule="auto"/>
        <w:ind w:left="0" w:right="100"/>
        <w:jc w:val="both"/>
        <w:rPr>
          <w:rFonts w:ascii="Arial" w:hAnsi="Arial" w:cs="Arial"/>
          <w:lang w:val="en-GB"/>
        </w:rPr>
      </w:pPr>
      <w:r w:rsidRPr="00A3377A">
        <w:rPr>
          <w:rFonts w:ascii="Arial" w:hAnsi="Arial" w:cs="Arial"/>
          <w:b/>
          <w:bCs/>
          <w:color w:val="C00000"/>
          <w:lang w:val="en-GB"/>
        </w:rPr>
        <w:t>Opportunities:</w:t>
      </w:r>
      <w:r w:rsidR="00E62015" w:rsidRPr="00A3377A">
        <w:rPr>
          <w:rFonts w:ascii="Arial" w:hAnsi="Arial" w:cs="Arial"/>
          <w:color w:val="C00000"/>
          <w:lang w:val="en-GB"/>
        </w:rPr>
        <w:t xml:space="preserve"> </w:t>
      </w:r>
      <w:r w:rsidR="00E62015" w:rsidRPr="00E62015">
        <w:rPr>
          <w:rFonts w:ascii="Arial" w:hAnsi="Arial" w:cs="Arial"/>
          <w:lang w:val="en-GB"/>
        </w:rPr>
        <w:t xml:space="preserve">AAT has the potential to appeal to a greater number of individuals seeking accounting qualifications due to the rising intricacy of financial regulations and the need for proficient accounting professionals. By integrating technology-oriented subjects like automation and data analytics into its curriculum, </w:t>
      </w:r>
      <w:proofErr w:type="gramStart"/>
      <w:r w:rsidR="00E123F2">
        <w:rPr>
          <w:rFonts w:ascii="Arial" w:hAnsi="Arial" w:cs="Arial"/>
          <w:lang w:val="en-GB"/>
        </w:rPr>
        <w:t>It</w:t>
      </w:r>
      <w:proofErr w:type="gramEnd"/>
      <w:r w:rsidR="00E62015" w:rsidRPr="00E62015">
        <w:rPr>
          <w:rFonts w:ascii="Arial" w:hAnsi="Arial" w:cs="Arial"/>
          <w:lang w:val="en-GB"/>
        </w:rPr>
        <w:t xml:space="preserve"> can establish itself as a frontrunner in equipping accounting experts for the era of digitalization</w:t>
      </w:r>
      <w:r w:rsidR="00E123F2">
        <w:rPr>
          <w:rFonts w:ascii="Arial" w:hAnsi="Arial" w:cs="Arial"/>
          <w:lang w:val="en-GB"/>
        </w:rPr>
        <w:t xml:space="preserve"> and</w:t>
      </w:r>
      <w:r w:rsidR="00E62015" w:rsidRPr="00E62015">
        <w:rPr>
          <w:rFonts w:ascii="Arial" w:hAnsi="Arial" w:cs="Arial"/>
          <w:lang w:val="en-GB"/>
        </w:rPr>
        <w:t xml:space="preserve"> enhanc</w:t>
      </w:r>
      <w:r w:rsidR="00E123F2">
        <w:rPr>
          <w:rFonts w:ascii="Arial" w:hAnsi="Arial" w:cs="Arial"/>
          <w:lang w:val="en-GB"/>
        </w:rPr>
        <w:t>ing</w:t>
      </w:r>
      <w:r w:rsidR="00E62015" w:rsidRPr="00E62015">
        <w:rPr>
          <w:rFonts w:ascii="Arial" w:hAnsi="Arial" w:cs="Arial"/>
          <w:lang w:val="en-GB"/>
        </w:rPr>
        <w:t xml:space="preserve"> its global presence and reputation by exploring avenues for expansion in international markets, which can lead to an increased scope of influence and the attraction of a varied range of candidates and employers.</w:t>
      </w:r>
    </w:p>
    <w:p w14:paraId="6FF6731A" w14:textId="77777777" w:rsidR="00E62015" w:rsidRDefault="00E62015" w:rsidP="00FA4CC8">
      <w:pPr>
        <w:pStyle w:val="BodyText"/>
        <w:spacing w:line="360" w:lineRule="auto"/>
        <w:ind w:left="0" w:right="100"/>
        <w:jc w:val="both"/>
        <w:rPr>
          <w:rFonts w:ascii="Arial" w:hAnsi="Arial" w:cs="Arial"/>
          <w:lang w:val="en-GB"/>
        </w:rPr>
      </w:pPr>
    </w:p>
    <w:p w14:paraId="0B2F68AE" w14:textId="62E50862" w:rsidR="00FA4CC8" w:rsidRPr="00FA4CC8" w:rsidRDefault="00BE65F9" w:rsidP="00FA4CC8">
      <w:pPr>
        <w:pStyle w:val="BodyText"/>
        <w:spacing w:line="360" w:lineRule="auto"/>
        <w:ind w:left="0" w:right="100"/>
        <w:jc w:val="both"/>
        <w:rPr>
          <w:rFonts w:ascii="Arial" w:hAnsi="Arial" w:cs="Arial"/>
          <w:lang w:val="en-GB"/>
        </w:rPr>
      </w:pPr>
      <w:r w:rsidRPr="00A3377A">
        <w:rPr>
          <w:rFonts w:ascii="Arial" w:hAnsi="Arial" w:cs="Arial"/>
          <w:b/>
          <w:bCs/>
          <w:color w:val="C00000"/>
          <w:lang w:val="en-GB"/>
        </w:rPr>
        <w:t>Threats:</w:t>
      </w:r>
      <w:r w:rsidR="00E62015" w:rsidRPr="00A3377A">
        <w:rPr>
          <w:rFonts w:ascii="Arial" w:hAnsi="Arial" w:cs="Arial"/>
          <w:color w:val="C00000"/>
          <w:lang w:val="en-GB"/>
        </w:rPr>
        <w:t xml:space="preserve"> </w:t>
      </w:r>
      <w:r w:rsidR="00FA4CC8" w:rsidRPr="00FA4CC8">
        <w:rPr>
          <w:rFonts w:ascii="Arial" w:hAnsi="Arial" w:cs="Arial"/>
          <w:lang w:val="en-GB"/>
        </w:rPr>
        <w:t xml:space="preserve">Accounting qualification providers compete with AAT. Thus, the company must demonstrate its value to individuals and employers. </w:t>
      </w:r>
      <w:r w:rsidR="00E123F2">
        <w:rPr>
          <w:rFonts w:ascii="Arial" w:hAnsi="Arial" w:cs="Arial"/>
          <w:lang w:val="en-GB"/>
        </w:rPr>
        <w:t>It</w:t>
      </w:r>
      <w:r w:rsidR="00FA4CC8" w:rsidRPr="00FA4CC8">
        <w:rPr>
          <w:rFonts w:ascii="Arial" w:hAnsi="Arial" w:cs="Arial"/>
          <w:lang w:val="en-GB"/>
        </w:rPr>
        <w:t xml:space="preserve"> may need to revise its qualifications to meet changing accounting regulations and professional standards, which could increase costs and resource use. </w:t>
      </w:r>
      <w:proofErr w:type="gramStart"/>
      <w:r w:rsidR="00FA4CC8" w:rsidRPr="00FA4CC8">
        <w:rPr>
          <w:rFonts w:ascii="Arial" w:hAnsi="Arial" w:cs="Arial"/>
          <w:lang w:val="en-GB"/>
        </w:rPr>
        <w:t>Technology, especially artificial intelligence and automation,</w:t>
      </w:r>
      <w:proofErr w:type="gramEnd"/>
      <w:r w:rsidR="00FA4CC8" w:rsidRPr="00FA4CC8">
        <w:rPr>
          <w:rFonts w:ascii="Arial" w:hAnsi="Arial" w:cs="Arial"/>
          <w:lang w:val="en-GB"/>
        </w:rPr>
        <w:t xml:space="preserve"> may change accounting </w:t>
      </w:r>
      <w:r w:rsidR="00FA4CC8">
        <w:rPr>
          <w:rFonts w:ascii="Arial" w:hAnsi="Arial" w:cs="Arial"/>
          <w:lang w:val="en-GB"/>
        </w:rPr>
        <w:t>practices</w:t>
      </w:r>
      <w:r w:rsidR="00FA4CC8" w:rsidRPr="00FA4CC8">
        <w:rPr>
          <w:rFonts w:ascii="Arial" w:hAnsi="Arial" w:cs="Arial"/>
          <w:lang w:val="en-GB"/>
        </w:rPr>
        <w:t xml:space="preserve"> and skill sets. To stay ahead, the </w:t>
      </w:r>
      <w:r w:rsidR="00E123F2">
        <w:rPr>
          <w:rFonts w:ascii="Arial" w:hAnsi="Arial" w:cs="Arial"/>
          <w:lang w:val="en-GB"/>
        </w:rPr>
        <w:t>organisation</w:t>
      </w:r>
      <w:r w:rsidR="00FA4CC8" w:rsidRPr="00FA4CC8">
        <w:rPr>
          <w:rFonts w:ascii="Arial" w:hAnsi="Arial" w:cs="Arial"/>
          <w:lang w:val="en-GB"/>
        </w:rPr>
        <w:t xml:space="preserve"> must update its qualifications.</w:t>
      </w:r>
    </w:p>
    <w:p w14:paraId="34CF8C4A" w14:textId="77777777" w:rsidR="00FA4CC8" w:rsidRPr="00FA4CC8" w:rsidRDefault="00FA4CC8" w:rsidP="00FA4CC8">
      <w:pPr>
        <w:pStyle w:val="BodyText"/>
        <w:spacing w:line="360" w:lineRule="auto"/>
        <w:ind w:right="100"/>
        <w:jc w:val="both"/>
        <w:rPr>
          <w:rFonts w:ascii="Arial" w:hAnsi="Arial" w:cs="Arial"/>
          <w:lang w:val="en-GB"/>
        </w:rPr>
      </w:pPr>
    </w:p>
    <w:p w14:paraId="28DB1C01" w14:textId="454C87E9" w:rsidR="00754322" w:rsidRDefault="00FA4CC8" w:rsidP="00FA4CC8">
      <w:pPr>
        <w:pStyle w:val="BodyText"/>
        <w:spacing w:line="360" w:lineRule="auto"/>
        <w:ind w:left="0" w:right="100"/>
        <w:jc w:val="both"/>
        <w:rPr>
          <w:rFonts w:ascii="Arial" w:hAnsi="Arial" w:cs="Arial"/>
          <w:lang w:val="en-GB"/>
        </w:rPr>
      </w:pPr>
      <w:r w:rsidRPr="00FA4CC8">
        <w:rPr>
          <w:rFonts w:ascii="Arial" w:hAnsi="Arial" w:cs="Arial"/>
          <w:lang w:val="en-GB"/>
        </w:rPr>
        <w:t>The AAT can optimise its strengths, correct its weaknesses, exploit new opportunities, and mitigate potential threats by analysing its strengths, weaknesses, opportunities, and threats. The above analysis helps the organisation make informed decisions, optimise resource allocation, and maintain its status as a leading accounting technician professional organisation</w:t>
      </w:r>
      <w:r>
        <w:rPr>
          <w:rFonts w:ascii="Arial" w:hAnsi="Arial" w:cs="Arial"/>
          <w:lang w:val="en-GB"/>
        </w:rPr>
        <w:t xml:space="preserve"> </w:t>
      </w:r>
      <w:r w:rsidR="00E62015" w:rsidRPr="00E62015">
        <w:rPr>
          <w:rFonts w:ascii="Arial" w:hAnsi="Arial" w:cs="Arial"/>
          <w:lang w:val="en-GB"/>
        </w:rPr>
        <w:t>(NetSuite.com, 2021)</w:t>
      </w:r>
      <w:r>
        <w:rPr>
          <w:rFonts w:ascii="Arial" w:hAnsi="Arial" w:cs="Arial"/>
          <w:lang w:val="en-GB"/>
        </w:rPr>
        <w:t>.</w:t>
      </w:r>
    </w:p>
    <w:p w14:paraId="16648A74" w14:textId="3649A316" w:rsidR="00FA4CC8" w:rsidRPr="00FA4CC8" w:rsidRDefault="00754322" w:rsidP="00754322">
      <w:pPr>
        <w:spacing w:after="0" w:line="240" w:lineRule="auto"/>
        <w:jc w:val="left"/>
        <w:rPr>
          <w:rFonts w:eastAsia="Calibri" w:cs="Arial"/>
          <w:sz w:val="22"/>
          <w:szCs w:val="22"/>
        </w:rPr>
      </w:pPr>
      <w:r>
        <w:rPr>
          <w:rFonts w:cs="Arial"/>
        </w:rPr>
        <w:br w:type="page"/>
      </w:r>
    </w:p>
    <w:p w14:paraId="3090FF6B" w14:textId="6D071216" w:rsidR="00CE0238" w:rsidRPr="00304413" w:rsidRDefault="00640647" w:rsidP="00CE6463">
      <w:pPr>
        <w:pStyle w:val="Heading1"/>
        <w:numPr>
          <w:ilvl w:val="0"/>
          <w:numId w:val="16"/>
        </w:numPr>
        <w:rPr>
          <w:rFonts w:cs="Arial"/>
          <w:lang w:val="en-GB"/>
        </w:rPr>
      </w:pPr>
      <w:bookmarkStart w:id="9" w:name="_Toc134099095"/>
      <w:r w:rsidRPr="00640647">
        <w:rPr>
          <w:rFonts w:cs="Arial"/>
          <w:lang w:val="en-GB"/>
        </w:rPr>
        <w:lastRenderedPageBreak/>
        <w:t xml:space="preserve">Association of Accounting Technicians </w:t>
      </w:r>
      <w:r w:rsidR="004901E4" w:rsidRPr="00304413">
        <w:rPr>
          <w:rFonts w:cs="Arial"/>
          <w:lang w:val="en-GB"/>
        </w:rPr>
        <w:t>Strategic Growth</w:t>
      </w:r>
      <w:bookmarkEnd w:id="9"/>
    </w:p>
    <w:p w14:paraId="22CA97EF" w14:textId="77777777" w:rsidR="00555C60" w:rsidRDefault="00555C60" w:rsidP="00555C60">
      <w:pPr>
        <w:pStyle w:val="Heading2"/>
        <w:rPr>
          <w:rFonts w:ascii="Arial" w:hAnsi="Arial" w:cs="Arial"/>
        </w:rPr>
      </w:pPr>
    </w:p>
    <w:p w14:paraId="753B7874" w14:textId="750A2F6E" w:rsidR="004901E4" w:rsidRPr="00304413" w:rsidRDefault="00555C60" w:rsidP="00555C60">
      <w:pPr>
        <w:pStyle w:val="Heading2"/>
        <w:rPr>
          <w:rFonts w:ascii="Arial" w:hAnsi="Arial" w:cs="Arial"/>
        </w:rPr>
      </w:pPr>
      <w:bookmarkStart w:id="10" w:name="_Toc134099096"/>
      <w:r w:rsidRPr="00304413">
        <w:rPr>
          <w:rFonts w:ascii="Arial" w:hAnsi="Arial" w:cs="Arial"/>
        </w:rPr>
        <w:t>AAT</w:t>
      </w:r>
      <w:r w:rsidRPr="00304413">
        <w:rPr>
          <w:rFonts w:ascii="Arial" w:hAnsi="Arial" w:cs="Arial"/>
        </w:rPr>
        <w:t xml:space="preserve"> </w:t>
      </w:r>
      <w:r w:rsidR="004901E4" w:rsidRPr="00304413">
        <w:rPr>
          <w:rFonts w:ascii="Arial" w:hAnsi="Arial" w:cs="Arial"/>
        </w:rPr>
        <w:t>Strategic Direction</w:t>
      </w:r>
      <w:bookmarkEnd w:id="10"/>
      <w:r w:rsidR="004901E4" w:rsidRPr="00304413">
        <w:rPr>
          <w:rFonts w:ascii="Arial" w:hAnsi="Arial" w:cs="Arial"/>
        </w:rPr>
        <w:t xml:space="preserve"> </w:t>
      </w:r>
    </w:p>
    <w:p w14:paraId="22AC9509" w14:textId="77777777" w:rsidR="00F33DB2" w:rsidRDefault="00F33DB2" w:rsidP="00D84A37">
      <w:pPr>
        <w:tabs>
          <w:tab w:val="left" w:pos="1540"/>
          <w:tab w:val="left" w:pos="1541"/>
        </w:tabs>
        <w:ind w:right="106"/>
        <w:rPr>
          <w:rFonts w:cs="Arial"/>
        </w:rPr>
      </w:pPr>
    </w:p>
    <w:p w14:paraId="3B155C0F" w14:textId="094A329C" w:rsidR="00555C60" w:rsidRPr="007A1C9B" w:rsidRDefault="00E3090C" w:rsidP="007E314F">
      <w:pPr>
        <w:tabs>
          <w:tab w:val="left" w:pos="1540"/>
          <w:tab w:val="left" w:pos="1541"/>
        </w:tabs>
        <w:spacing w:line="360" w:lineRule="auto"/>
        <w:ind w:right="106"/>
        <w:rPr>
          <w:rFonts w:cs="Arial"/>
          <w:sz w:val="22"/>
          <w:szCs w:val="22"/>
        </w:rPr>
      </w:pPr>
      <w:r w:rsidRPr="00E3090C">
        <w:rPr>
          <w:rFonts w:cs="Arial"/>
          <w:sz w:val="22"/>
          <w:szCs w:val="22"/>
        </w:rPr>
        <w:t xml:space="preserve">The Ansoff Matrix, developed by H. Igor Ansoff and initially published in the Harvard Business Review in 1957 under the title "Strategies for Diversification," was employed to conduct a strategic analysis for AAT. </w:t>
      </w:r>
      <w:r w:rsidR="00396112" w:rsidRPr="007E314F">
        <w:rPr>
          <w:rFonts w:cs="Arial"/>
          <w:sz w:val="22"/>
          <w:szCs w:val="22"/>
        </w:rPr>
        <w:t>The concept described has provided successive generations of marketers and corporate executives with a concise and efficient framework for evaluating the risks associated with expansion</w:t>
      </w:r>
      <w:r>
        <w:rPr>
          <w:rFonts w:cs="Arial"/>
          <w:sz w:val="22"/>
          <w:szCs w:val="22"/>
        </w:rPr>
        <w:t>,</w:t>
      </w:r>
      <w:r w:rsidR="00396112" w:rsidRPr="007E314F">
        <w:rPr>
          <w:rFonts w:cs="Arial"/>
          <w:sz w:val="22"/>
          <w:szCs w:val="22"/>
        </w:rPr>
        <w:t xml:space="preserve"> identifies growth strategies for organisations based on their product and market options</w:t>
      </w:r>
      <w:r w:rsidR="00396112" w:rsidRPr="007E314F">
        <w:rPr>
          <w:rFonts w:cs="Arial"/>
          <w:sz w:val="22"/>
          <w:szCs w:val="22"/>
        </w:rPr>
        <w:t xml:space="preserve"> and we can conclude that:</w:t>
      </w:r>
    </w:p>
    <w:p w14:paraId="4D905726" w14:textId="513360CC" w:rsidR="00D84A37" w:rsidRPr="007E314F" w:rsidRDefault="00D84A37" w:rsidP="007E314F">
      <w:pPr>
        <w:tabs>
          <w:tab w:val="left" w:pos="1540"/>
          <w:tab w:val="left" w:pos="1541"/>
        </w:tabs>
        <w:spacing w:line="360" w:lineRule="auto"/>
        <w:ind w:right="106"/>
        <w:rPr>
          <w:rFonts w:cs="Arial"/>
          <w:b/>
          <w:bCs/>
          <w:color w:val="C00000"/>
          <w:sz w:val="22"/>
          <w:szCs w:val="22"/>
        </w:rPr>
      </w:pPr>
      <w:r w:rsidRPr="007E314F">
        <w:rPr>
          <w:rFonts w:cs="Arial"/>
          <w:b/>
          <w:bCs/>
          <w:color w:val="C00000"/>
          <w:sz w:val="22"/>
          <w:szCs w:val="22"/>
        </w:rPr>
        <w:t>Market Penetration:</w:t>
      </w:r>
    </w:p>
    <w:p w14:paraId="37CB47BE" w14:textId="77777777" w:rsidR="00396112" w:rsidRPr="007E314F" w:rsidRDefault="00396112" w:rsidP="007E314F">
      <w:pPr>
        <w:tabs>
          <w:tab w:val="left" w:pos="1540"/>
          <w:tab w:val="left" w:pos="1541"/>
        </w:tabs>
        <w:spacing w:line="360" w:lineRule="auto"/>
        <w:ind w:right="106"/>
        <w:rPr>
          <w:rFonts w:cs="Arial"/>
          <w:sz w:val="22"/>
          <w:szCs w:val="22"/>
        </w:rPr>
      </w:pPr>
      <w:r w:rsidRPr="007E314F">
        <w:rPr>
          <w:rFonts w:cs="Arial"/>
          <w:sz w:val="22"/>
          <w:szCs w:val="22"/>
        </w:rPr>
        <w:t xml:space="preserve">The AAT can concentrate on market penetration strategies to expand its market share in the extant accounting qualifications and training market. Examples of market penetration strategies for the AAT include increasing promotion and marketing efforts to attract more candidates and members, enhancing the quality and relevance of existing qualifications and training programmes, and increasing its presence in existing markets through partnerships with educational institutions and </w:t>
      </w:r>
      <w:proofErr w:type="spellStart"/>
      <w:r w:rsidRPr="007E314F">
        <w:rPr>
          <w:rFonts w:cs="Arial"/>
          <w:sz w:val="22"/>
          <w:szCs w:val="22"/>
        </w:rPr>
        <w:t>employers.</w:t>
      </w:r>
    </w:p>
    <w:p w14:paraId="7B773596" w14:textId="016FC453" w:rsidR="00D84A37" w:rsidRPr="007E314F" w:rsidRDefault="00D84A37" w:rsidP="007E314F">
      <w:pPr>
        <w:tabs>
          <w:tab w:val="left" w:pos="1540"/>
          <w:tab w:val="left" w:pos="1541"/>
        </w:tabs>
        <w:spacing w:line="360" w:lineRule="auto"/>
        <w:ind w:right="106"/>
        <w:rPr>
          <w:rFonts w:cs="Arial"/>
          <w:b/>
          <w:bCs/>
          <w:color w:val="C00000"/>
          <w:sz w:val="22"/>
          <w:szCs w:val="22"/>
        </w:rPr>
      </w:pPr>
      <w:r w:rsidRPr="007E314F">
        <w:rPr>
          <w:rFonts w:cs="Arial"/>
          <w:b/>
          <w:bCs/>
          <w:color w:val="C00000"/>
          <w:sz w:val="22"/>
          <w:szCs w:val="22"/>
        </w:rPr>
        <w:t>Produc</w:t>
      </w:r>
      <w:proofErr w:type="spellEnd"/>
      <w:r w:rsidRPr="007E314F">
        <w:rPr>
          <w:rFonts w:cs="Arial"/>
          <w:b/>
          <w:bCs/>
          <w:color w:val="C00000"/>
          <w:sz w:val="22"/>
          <w:szCs w:val="22"/>
        </w:rPr>
        <w:t>t Development:</w:t>
      </w:r>
    </w:p>
    <w:p w14:paraId="0B32EA93" w14:textId="595AF326" w:rsidR="00D84A37" w:rsidRPr="007E314F" w:rsidRDefault="00396112" w:rsidP="007E314F">
      <w:pPr>
        <w:tabs>
          <w:tab w:val="left" w:pos="1540"/>
          <w:tab w:val="left" w:pos="1541"/>
        </w:tabs>
        <w:spacing w:line="360" w:lineRule="auto"/>
        <w:ind w:right="106"/>
        <w:rPr>
          <w:rFonts w:cs="Arial"/>
          <w:sz w:val="22"/>
          <w:szCs w:val="22"/>
        </w:rPr>
      </w:pPr>
      <w:r w:rsidRPr="007E314F">
        <w:rPr>
          <w:rFonts w:cs="Arial"/>
          <w:sz w:val="22"/>
          <w:szCs w:val="22"/>
        </w:rPr>
        <w:t>AAT is able to pursue product development strategies to introduce new or improved products to its current market. This could entail the creation of new specialised certifications or qualifications to serve specific accounting segments or industries. Incorporating emerging technologies such as data analytics or blockchain into its curriculum and training programmes and introducing advanced or specialised training courses for members to advance their professional development.</w:t>
      </w:r>
    </w:p>
    <w:p w14:paraId="3B5DB948" w14:textId="77777777" w:rsidR="00D84A37" w:rsidRPr="007E314F" w:rsidRDefault="00D84A37" w:rsidP="007E314F">
      <w:pPr>
        <w:tabs>
          <w:tab w:val="left" w:pos="1540"/>
          <w:tab w:val="left" w:pos="1541"/>
        </w:tabs>
        <w:spacing w:line="360" w:lineRule="auto"/>
        <w:ind w:right="106"/>
        <w:rPr>
          <w:rFonts w:cs="Arial"/>
          <w:b/>
          <w:bCs/>
          <w:color w:val="C00000"/>
          <w:sz w:val="22"/>
          <w:szCs w:val="22"/>
        </w:rPr>
      </w:pPr>
      <w:r w:rsidRPr="007E314F">
        <w:rPr>
          <w:rFonts w:cs="Arial"/>
          <w:b/>
          <w:bCs/>
          <w:color w:val="C00000"/>
          <w:sz w:val="22"/>
          <w:szCs w:val="22"/>
        </w:rPr>
        <w:t>Market Development:</w:t>
      </w:r>
    </w:p>
    <w:p w14:paraId="24F015D5" w14:textId="287987C9" w:rsidR="007E314F" w:rsidRPr="007E314F" w:rsidRDefault="00396112" w:rsidP="007E314F">
      <w:pPr>
        <w:tabs>
          <w:tab w:val="left" w:pos="1540"/>
          <w:tab w:val="left" w:pos="1541"/>
        </w:tabs>
        <w:spacing w:line="360" w:lineRule="auto"/>
        <w:ind w:right="106"/>
        <w:rPr>
          <w:rFonts w:cs="Arial"/>
          <w:sz w:val="22"/>
          <w:szCs w:val="22"/>
        </w:rPr>
      </w:pPr>
      <w:r w:rsidRPr="007E314F">
        <w:rPr>
          <w:rFonts w:cs="Arial"/>
          <w:sz w:val="22"/>
          <w:szCs w:val="22"/>
        </w:rPr>
        <w:t xml:space="preserve">Market development strategies entail the entry of extant products or services into new markets. For the AAT, expanding geographically by entering new regions or countries and adapting its qualifications and programmes to satisfy local requirements could constitute </w:t>
      </w:r>
      <w:r w:rsidRPr="007E314F">
        <w:rPr>
          <w:rFonts w:cs="Arial"/>
          <w:sz w:val="22"/>
          <w:szCs w:val="22"/>
        </w:rPr>
        <w:lastRenderedPageBreak/>
        <w:t>market development. Targeting new segments within the accounting profession, such as individuals with non-traditional accounting credentials or roles requiring specialised training.</w:t>
      </w:r>
    </w:p>
    <w:p w14:paraId="189A81CD" w14:textId="6CFC25DB" w:rsidR="00D84A37" w:rsidRPr="007E314F" w:rsidRDefault="00D84A37" w:rsidP="007E314F">
      <w:pPr>
        <w:tabs>
          <w:tab w:val="left" w:pos="1540"/>
          <w:tab w:val="left" w:pos="1541"/>
        </w:tabs>
        <w:spacing w:line="360" w:lineRule="auto"/>
        <w:ind w:right="106"/>
        <w:rPr>
          <w:rFonts w:cs="Arial"/>
          <w:b/>
          <w:bCs/>
          <w:color w:val="C00000"/>
          <w:sz w:val="22"/>
          <w:szCs w:val="22"/>
        </w:rPr>
      </w:pPr>
      <w:r w:rsidRPr="007E314F">
        <w:rPr>
          <w:rFonts w:cs="Arial"/>
          <w:b/>
          <w:bCs/>
          <w:color w:val="C00000"/>
          <w:sz w:val="22"/>
          <w:szCs w:val="22"/>
        </w:rPr>
        <w:t>Diversification</w:t>
      </w:r>
    </w:p>
    <w:p w14:paraId="3359BA60" w14:textId="77777777" w:rsidR="007E314F" w:rsidRPr="007E314F" w:rsidRDefault="007E314F" w:rsidP="007E314F">
      <w:pPr>
        <w:tabs>
          <w:tab w:val="left" w:pos="1540"/>
          <w:tab w:val="left" w:pos="1541"/>
        </w:tabs>
        <w:spacing w:line="360" w:lineRule="auto"/>
        <w:ind w:right="106"/>
        <w:rPr>
          <w:rFonts w:cs="Arial"/>
          <w:sz w:val="22"/>
          <w:szCs w:val="22"/>
        </w:rPr>
      </w:pPr>
      <w:r w:rsidRPr="007E314F">
        <w:rPr>
          <w:rFonts w:cs="Arial"/>
          <w:sz w:val="22"/>
          <w:szCs w:val="22"/>
        </w:rPr>
        <w:t>Diversification strategies involve the introduction of new products and services into new markets. Diversification for the AAT could involve offering additional professional development services beyond qualifications, such as consulting or advisory services for accounting professionals, partnering with other professional organisations to offer joint certifications or programmes, and investigating new accounting-related fields, such as financial technology or sustainability accounting.</w:t>
      </w:r>
    </w:p>
    <w:p w14:paraId="7EF7015F" w14:textId="40EEF429" w:rsidR="00D84A37" w:rsidRPr="007E314F" w:rsidRDefault="007E314F" w:rsidP="007E314F">
      <w:pPr>
        <w:tabs>
          <w:tab w:val="left" w:pos="1540"/>
          <w:tab w:val="left" w:pos="1541"/>
        </w:tabs>
        <w:spacing w:line="360" w:lineRule="auto"/>
        <w:ind w:right="106"/>
        <w:rPr>
          <w:rFonts w:cs="Arial"/>
          <w:sz w:val="22"/>
          <w:szCs w:val="22"/>
        </w:rPr>
      </w:pPr>
      <w:r w:rsidRPr="007E314F">
        <w:rPr>
          <w:rFonts w:cs="Arial"/>
          <w:sz w:val="22"/>
          <w:szCs w:val="22"/>
        </w:rPr>
        <w:t>Using the Ansoff Matrix, the AAT is able to evaluate its development options and make well-informed decisions regarding its strategic direction. It is able to determine which combination of strategies is best suited to its objectives, available resources, and the changing demands of the accounting profession</w:t>
      </w:r>
      <w:r w:rsidR="001B6B39">
        <w:rPr>
          <w:rFonts w:cs="Arial"/>
          <w:sz w:val="22"/>
          <w:szCs w:val="22"/>
        </w:rPr>
        <w:t>.</w:t>
      </w:r>
    </w:p>
    <w:p w14:paraId="6B47AA19" w14:textId="2B79676B" w:rsidR="00A415E1" w:rsidRPr="00304413" w:rsidRDefault="004901E4" w:rsidP="00555C60">
      <w:pPr>
        <w:pStyle w:val="Heading2"/>
        <w:jc w:val="left"/>
        <w:rPr>
          <w:rFonts w:ascii="Arial" w:hAnsi="Arial" w:cs="Arial"/>
        </w:rPr>
      </w:pPr>
      <w:bookmarkStart w:id="11" w:name="_Toc134099097"/>
      <w:r w:rsidRPr="00304413">
        <w:rPr>
          <w:rFonts w:ascii="Arial" w:hAnsi="Arial" w:cs="Arial"/>
        </w:rPr>
        <w:t>Suitability,</w:t>
      </w:r>
      <w:r w:rsidRPr="00304413">
        <w:rPr>
          <w:rFonts w:ascii="Arial" w:hAnsi="Arial" w:cs="Arial"/>
          <w:spacing w:val="-3"/>
        </w:rPr>
        <w:t xml:space="preserve"> </w:t>
      </w:r>
      <w:r w:rsidR="002A5E6F">
        <w:rPr>
          <w:rFonts w:ascii="Arial" w:hAnsi="Arial" w:cs="Arial"/>
        </w:rPr>
        <w:t>F</w:t>
      </w:r>
      <w:r w:rsidRPr="00304413">
        <w:rPr>
          <w:rFonts w:ascii="Arial" w:hAnsi="Arial" w:cs="Arial"/>
        </w:rPr>
        <w:t>easibility,</w:t>
      </w:r>
      <w:r w:rsidRPr="00304413">
        <w:rPr>
          <w:rFonts w:ascii="Arial" w:hAnsi="Arial" w:cs="Arial"/>
          <w:spacing w:val="-3"/>
        </w:rPr>
        <w:t xml:space="preserve"> </w:t>
      </w:r>
      <w:r w:rsidRPr="00304413">
        <w:rPr>
          <w:rFonts w:ascii="Arial" w:hAnsi="Arial" w:cs="Arial"/>
        </w:rPr>
        <w:t>and</w:t>
      </w:r>
      <w:r w:rsidRPr="00304413">
        <w:rPr>
          <w:rFonts w:ascii="Arial" w:hAnsi="Arial" w:cs="Arial"/>
          <w:spacing w:val="-3"/>
        </w:rPr>
        <w:t xml:space="preserve"> </w:t>
      </w:r>
      <w:r w:rsidR="002A5E6F">
        <w:rPr>
          <w:rFonts w:ascii="Arial" w:hAnsi="Arial" w:cs="Arial"/>
        </w:rPr>
        <w:t>A</w:t>
      </w:r>
      <w:r w:rsidRPr="00304413">
        <w:rPr>
          <w:rFonts w:ascii="Arial" w:hAnsi="Arial" w:cs="Arial"/>
        </w:rPr>
        <w:t>cceptability</w:t>
      </w:r>
      <w:r w:rsidRPr="00304413">
        <w:rPr>
          <w:rFonts w:ascii="Arial" w:hAnsi="Arial" w:cs="Arial"/>
          <w:spacing w:val="-2"/>
        </w:rPr>
        <w:t xml:space="preserve"> </w:t>
      </w:r>
      <w:r w:rsidRPr="00304413">
        <w:rPr>
          <w:rFonts w:ascii="Arial" w:hAnsi="Arial" w:cs="Arial"/>
        </w:rPr>
        <w:t xml:space="preserve">of the </w:t>
      </w:r>
      <w:r w:rsidR="002A5E6F">
        <w:rPr>
          <w:rFonts w:ascii="Arial" w:hAnsi="Arial" w:cs="Arial"/>
        </w:rPr>
        <w:t>S</w:t>
      </w:r>
      <w:r w:rsidRPr="00304413">
        <w:rPr>
          <w:rFonts w:ascii="Arial" w:hAnsi="Arial" w:cs="Arial"/>
        </w:rPr>
        <w:t xml:space="preserve">trategic </w:t>
      </w:r>
      <w:r w:rsidR="002A5E6F">
        <w:rPr>
          <w:rFonts w:ascii="Arial" w:hAnsi="Arial" w:cs="Arial"/>
        </w:rPr>
        <w:t>D</w:t>
      </w:r>
      <w:r w:rsidRPr="00304413">
        <w:rPr>
          <w:rFonts w:ascii="Arial" w:hAnsi="Arial" w:cs="Arial"/>
        </w:rPr>
        <w:t>irection</w:t>
      </w:r>
      <w:bookmarkEnd w:id="11"/>
    </w:p>
    <w:p w14:paraId="193C03B1" w14:textId="77777777" w:rsidR="007E314F" w:rsidRDefault="007E314F" w:rsidP="00075D5A">
      <w:pPr>
        <w:tabs>
          <w:tab w:val="left" w:pos="1540"/>
          <w:tab w:val="left" w:pos="1541"/>
        </w:tabs>
        <w:spacing w:before="1"/>
        <w:ind w:right="208"/>
        <w:rPr>
          <w:rFonts w:cs="Arial"/>
        </w:rPr>
      </w:pPr>
    </w:p>
    <w:p w14:paraId="07243496" w14:textId="52516FD4" w:rsidR="007E314F" w:rsidRPr="007E314F" w:rsidRDefault="00075D5A" w:rsidP="007E314F">
      <w:pPr>
        <w:tabs>
          <w:tab w:val="left" w:pos="1540"/>
          <w:tab w:val="left" w:pos="1541"/>
        </w:tabs>
        <w:spacing w:before="1" w:line="360" w:lineRule="auto"/>
        <w:ind w:right="208"/>
        <w:rPr>
          <w:rFonts w:cs="Arial"/>
          <w:sz w:val="22"/>
          <w:szCs w:val="22"/>
        </w:rPr>
      </w:pPr>
      <w:r w:rsidRPr="007E314F">
        <w:rPr>
          <w:rFonts w:cs="Arial"/>
          <w:sz w:val="22"/>
          <w:szCs w:val="22"/>
        </w:rPr>
        <w:t xml:space="preserve">The suitability, feasibility, and acceptability (SFA) analysis </w:t>
      </w:r>
      <w:proofErr w:type="gramStart"/>
      <w:r w:rsidRPr="007E314F">
        <w:rPr>
          <w:rFonts w:cs="Arial"/>
          <w:sz w:val="22"/>
          <w:szCs w:val="22"/>
        </w:rPr>
        <w:t>is</w:t>
      </w:r>
      <w:proofErr w:type="gramEnd"/>
      <w:r w:rsidRPr="007E314F">
        <w:rPr>
          <w:rFonts w:cs="Arial"/>
          <w:sz w:val="22"/>
          <w:szCs w:val="22"/>
        </w:rPr>
        <w:t xml:space="preserve"> a framework used to evaluate strategic options or initiatives within an organization</w:t>
      </w:r>
      <w:r w:rsidR="007E314F" w:rsidRPr="007E314F">
        <w:rPr>
          <w:rFonts w:cs="Arial"/>
          <w:sz w:val="22"/>
          <w:szCs w:val="22"/>
        </w:rPr>
        <w:t xml:space="preserve"> </w:t>
      </w:r>
      <w:r w:rsidR="007E314F" w:rsidRPr="007E314F">
        <w:rPr>
          <w:rFonts w:cs="Arial"/>
          <w:sz w:val="22"/>
          <w:szCs w:val="22"/>
        </w:rPr>
        <w:t>by Gerry Johnson and Kevan Scholes</w:t>
      </w:r>
      <w:r w:rsidR="007E314F" w:rsidRPr="007E314F">
        <w:rPr>
          <w:rFonts w:cs="Arial"/>
          <w:sz w:val="22"/>
          <w:szCs w:val="22"/>
        </w:rPr>
        <w:t>. Using this strategy we were able to identify AAT strategic directions.</w:t>
      </w:r>
    </w:p>
    <w:p w14:paraId="5B405F16" w14:textId="77777777" w:rsidR="007E314F" w:rsidRPr="007E314F" w:rsidRDefault="007E314F" w:rsidP="007E314F">
      <w:pPr>
        <w:tabs>
          <w:tab w:val="left" w:pos="1540"/>
          <w:tab w:val="left" w:pos="1541"/>
        </w:tabs>
        <w:spacing w:before="1" w:line="360" w:lineRule="auto"/>
        <w:ind w:right="208"/>
        <w:rPr>
          <w:rFonts w:cs="Arial"/>
          <w:sz w:val="22"/>
          <w:szCs w:val="22"/>
        </w:rPr>
      </w:pPr>
      <w:r w:rsidRPr="00815A30">
        <w:rPr>
          <w:rFonts w:cs="Arial"/>
          <w:b/>
          <w:bCs/>
          <w:color w:val="C00000"/>
          <w:sz w:val="22"/>
          <w:szCs w:val="22"/>
        </w:rPr>
        <w:t>Suitability:</w:t>
      </w:r>
      <w:r w:rsidRPr="00815A30">
        <w:rPr>
          <w:rFonts w:cs="Arial"/>
          <w:color w:val="C00000"/>
          <w:sz w:val="22"/>
          <w:szCs w:val="22"/>
        </w:rPr>
        <w:t xml:space="preserve"> </w:t>
      </w:r>
      <w:r w:rsidRPr="007E314F">
        <w:rPr>
          <w:rFonts w:cs="Arial"/>
          <w:sz w:val="22"/>
          <w:szCs w:val="22"/>
        </w:rPr>
        <w:t>Assess whether the strategic direction is consistent with the AAT's mission and long-term vision. Determine if the strategic direction addresses current and emerging market trends, customer demands, and industry requirements. Determine whether the AAT's internal resources, expertise, and capabilities are adequate to support the strategic direction. Analyse the impact of the strategic direction on various stakeholders, such as members, employers, educational institutions, and regulatory bodies, to ensure that it meets their needs.</w:t>
      </w:r>
    </w:p>
    <w:p w14:paraId="397A5FDD" w14:textId="77777777" w:rsidR="007E314F" w:rsidRPr="007E314F" w:rsidRDefault="007E314F" w:rsidP="007E314F">
      <w:pPr>
        <w:tabs>
          <w:tab w:val="left" w:pos="1540"/>
          <w:tab w:val="left" w:pos="1541"/>
        </w:tabs>
        <w:spacing w:before="1" w:line="360" w:lineRule="auto"/>
        <w:ind w:right="208"/>
        <w:rPr>
          <w:rFonts w:cs="Arial"/>
          <w:sz w:val="22"/>
          <w:szCs w:val="22"/>
        </w:rPr>
      </w:pPr>
      <w:r w:rsidRPr="00815A30">
        <w:rPr>
          <w:rFonts w:cs="Arial"/>
          <w:b/>
          <w:bCs/>
          <w:color w:val="C00000"/>
          <w:sz w:val="22"/>
          <w:szCs w:val="22"/>
        </w:rPr>
        <w:t>Feasibility:</w:t>
      </w:r>
      <w:r w:rsidRPr="00815A30">
        <w:rPr>
          <w:rFonts w:cs="Arial"/>
          <w:color w:val="C00000"/>
          <w:sz w:val="22"/>
          <w:szCs w:val="22"/>
        </w:rPr>
        <w:t xml:space="preserve"> </w:t>
      </w:r>
      <w:r w:rsidRPr="007E314F">
        <w:rPr>
          <w:rFonts w:cs="Arial"/>
          <w:sz w:val="22"/>
          <w:szCs w:val="22"/>
        </w:rPr>
        <w:t xml:space="preserve">Evaluate the availability of the financial, human, and technological resources necessary for the effective implementation of the strategic direction. Determine if the operational processes, systems, and infrastructure required to support the strategic direction are in place or can be developed. Determine whether the AAT possesses or can acquire the necessary skills and expertise to successfully execute the strategic direction. </w:t>
      </w:r>
      <w:r w:rsidRPr="007E314F">
        <w:rPr>
          <w:rFonts w:cs="Arial"/>
          <w:sz w:val="22"/>
          <w:szCs w:val="22"/>
        </w:rPr>
        <w:lastRenderedPageBreak/>
        <w:t>Identify potential hazards and obstacles associated with the strategic direction and assess whether or not they can be effectively managed.</w:t>
      </w:r>
    </w:p>
    <w:p w14:paraId="7E19675E" w14:textId="77777777" w:rsidR="007E314F" w:rsidRPr="007E314F" w:rsidRDefault="007E314F" w:rsidP="007E314F">
      <w:pPr>
        <w:tabs>
          <w:tab w:val="left" w:pos="1540"/>
          <w:tab w:val="left" w:pos="1541"/>
        </w:tabs>
        <w:spacing w:before="1" w:line="360" w:lineRule="auto"/>
        <w:ind w:right="208"/>
        <w:rPr>
          <w:rFonts w:cs="Arial"/>
          <w:sz w:val="22"/>
          <w:szCs w:val="22"/>
        </w:rPr>
      </w:pPr>
      <w:r w:rsidRPr="00815A30">
        <w:rPr>
          <w:rFonts w:cs="Arial"/>
          <w:b/>
          <w:bCs/>
          <w:color w:val="C00000"/>
          <w:sz w:val="22"/>
          <w:szCs w:val="22"/>
        </w:rPr>
        <w:t>Acceptability:</w:t>
      </w:r>
      <w:r w:rsidRPr="00815A30">
        <w:rPr>
          <w:rFonts w:cs="Arial"/>
          <w:color w:val="C00000"/>
          <w:sz w:val="22"/>
          <w:szCs w:val="22"/>
        </w:rPr>
        <w:t xml:space="preserve"> </w:t>
      </w:r>
      <w:r w:rsidRPr="007E314F">
        <w:rPr>
          <w:rFonts w:cs="Arial"/>
          <w:sz w:val="22"/>
          <w:szCs w:val="22"/>
        </w:rPr>
        <w:t>Engage with key stakeholders to assess their level of acceptance and support for the strategic direction and to comprehend their perspectives. Determine whether the strategic direction is consistent with ethical principles, social responsibilities, and legal requirements. Assess the strategic direction's cultural compatibility with the AAT's organisational culture and values. Consider how the strategic direction may affect the AAT's reputation and brand image with stakeholders and the accounting profession as a whole.</w:t>
      </w:r>
    </w:p>
    <w:p w14:paraId="22D8EF83" w14:textId="77777777" w:rsidR="007E314F" w:rsidRDefault="007E314F" w:rsidP="007E314F">
      <w:pPr>
        <w:tabs>
          <w:tab w:val="left" w:pos="1540"/>
          <w:tab w:val="left" w:pos="1541"/>
        </w:tabs>
        <w:spacing w:before="1" w:line="360" w:lineRule="auto"/>
        <w:ind w:right="208"/>
        <w:rPr>
          <w:rFonts w:cs="Arial"/>
          <w:sz w:val="22"/>
          <w:szCs w:val="22"/>
        </w:rPr>
      </w:pPr>
      <w:r w:rsidRPr="007E314F">
        <w:rPr>
          <w:rFonts w:cs="Arial"/>
          <w:sz w:val="22"/>
          <w:szCs w:val="22"/>
        </w:rPr>
        <w:t>Through a comprehensive assessment of the appropriateness, viability, and receptiveness of the strategic orientation, the AAT can arrive at well-informed determinations regarding its prospective course. The present analysis facilitates the identification of any potential gaps, challenges, or opportunities that require attention to ensure the efficacious execution of the selected strategic course. The alignment of efforts with stakeholders' needs and expectations, enhancement of competitive position, and effective achievement of long-term goals are facilitated by the utilisation of this approach by the AAT.</w:t>
      </w:r>
    </w:p>
    <w:p w14:paraId="56330C83" w14:textId="06310D53" w:rsidR="002048EB" w:rsidRPr="007E314F" w:rsidRDefault="002048EB" w:rsidP="007E314F">
      <w:pPr>
        <w:pStyle w:val="Heading3"/>
      </w:pPr>
      <w:bookmarkStart w:id="12" w:name="_Toc134099098"/>
      <w:r w:rsidRPr="007E314F">
        <w:t>Do a risk-return analysis.</w:t>
      </w:r>
      <w:bookmarkEnd w:id="12"/>
    </w:p>
    <w:p w14:paraId="00C3934F" w14:textId="77777777" w:rsidR="007E314F" w:rsidRDefault="007E314F" w:rsidP="00075D5A">
      <w:pPr>
        <w:rPr>
          <w:rFonts w:cs="Arial"/>
        </w:rPr>
      </w:pPr>
    </w:p>
    <w:p w14:paraId="4AE1ECC5" w14:textId="77777777" w:rsidR="00A34226" w:rsidRPr="00A34226" w:rsidRDefault="00A34226" w:rsidP="00A34226">
      <w:pPr>
        <w:spacing w:line="360" w:lineRule="auto"/>
        <w:rPr>
          <w:rFonts w:cs="Arial"/>
          <w:sz w:val="22"/>
          <w:szCs w:val="22"/>
        </w:rPr>
      </w:pPr>
      <w:r w:rsidRPr="00A34226">
        <w:rPr>
          <w:rFonts w:cs="Arial"/>
          <w:sz w:val="22"/>
          <w:szCs w:val="22"/>
        </w:rPr>
        <w:t>Risk-return analysis is used to assess investment and strategic options. Risk-return analysis can be used to evaluate AAT's operations and strategic decisions. risk-return analysis helps organisations manage risks, allocate resources, evaluate performance, and communicate with stakeholders. It helps organisations balance growth and risk management for sustainable success. (Team, 2022)</w:t>
      </w:r>
    </w:p>
    <w:p w14:paraId="58452ED0" w14:textId="612E45E5" w:rsidR="00A34226" w:rsidRPr="00A34226" w:rsidRDefault="00A34226" w:rsidP="00A34226">
      <w:pPr>
        <w:spacing w:line="360" w:lineRule="auto"/>
        <w:rPr>
          <w:rFonts w:cs="Arial"/>
          <w:sz w:val="22"/>
          <w:szCs w:val="22"/>
        </w:rPr>
      </w:pPr>
      <w:r w:rsidRPr="00A34226">
        <w:rPr>
          <w:rFonts w:cs="Arial"/>
          <w:sz w:val="22"/>
          <w:szCs w:val="22"/>
        </w:rPr>
        <w:t xml:space="preserve">In any project evaluation or strategic planning, AAT must start by identifying potential risks or uncertainties based on the analysis that identifies all </w:t>
      </w:r>
      <w:r w:rsidR="003818E3">
        <w:rPr>
          <w:rFonts w:cs="Arial"/>
          <w:sz w:val="22"/>
          <w:szCs w:val="22"/>
        </w:rPr>
        <w:t>investments</w:t>
      </w:r>
      <w:r w:rsidRPr="00A34226">
        <w:rPr>
          <w:rFonts w:cs="Arial"/>
          <w:sz w:val="22"/>
          <w:szCs w:val="22"/>
        </w:rPr>
        <w:t xml:space="preserve"> on </w:t>
      </w:r>
      <w:r w:rsidR="003818E3">
        <w:rPr>
          <w:rFonts w:cs="Arial"/>
          <w:sz w:val="22"/>
          <w:szCs w:val="22"/>
        </w:rPr>
        <w:t xml:space="preserve">the </w:t>
      </w:r>
      <w:r w:rsidRPr="00A34226">
        <w:rPr>
          <w:rFonts w:cs="Arial"/>
          <w:sz w:val="22"/>
          <w:szCs w:val="22"/>
        </w:rPr>
        <w:t xml:space="preserve">decision. AAT qualifications may be affected by changes in demand for accounting qualifications, competition from other professional organisations, industry trends, government regulations, or accounting standards. Automation and digital transformation may require the AAT to change its offerings. Negative publicity, ethical issues, or </w:t>
      </w:r>
      <w:r w:rsidR="003818E3">
        <w:rPr>
          <w:rFonts w:cs="Arial"/>
          <w:sz w:val="22"/>
          <w:szCs w:val="22"/>
        </w:rPr>
        <w:t>failure</w:t>
      </w:r>
      <w:r w:rsidRPr="00A34226">
        <w:rPr>
          <w:rFonts w:cs="Arial"/>
          <w:sz w:val="22"/>
          <w:szCs w:val="22"/>
        </w:rPr>
        <w:t xml:space="preserve"> to meet quality standards can harm the AAT's credibility.</w:t>
      </w:r>
    </w:p>
    <w:p w14:paraId="7121B4F4" w14:textId="77777777" w:rsidR="00A34226" w:rsidRPr="00A34226" w:rsidRDefault="00A34226" w:rsidP="00A34226">
      <w:pPr>
        <w:spacing w:line="360" w:lineRule="auto"/>
        <w:rPr>
          <w:rFonts w:cs="Arial"/>
          <w:sz w:val="22"/>
          <w:szCs w:val="22"/>
        </w:rPr>
      </w:pPr>
      <w:r w:rsidRPr="00A34226">
        <w:rPr>
          <w:rFonts w:cs="Arial"/>
          <w:sz w:val="22"/>
          <w:szCs w:val="22"/>
        </w:rPr>
        <w:t xml:space="preserve">Assess the AAT's initiatives' potential returns. These can include, identifying growth prospects in the accounting profession, increasing demand for qualified professionals, or potential expansion into new markets, assessing the value and benefits that AAT qualifications and training programs provide to candidates and members, including enhanced career prospects and professional development and identifying unique features or advantages that differentiate </w:t>
      </w:r>
      <w:r w:rsidRPr="00A34226">
        <w:rPr>
          <w:rFonts w:cs="Arial"/>
          <w:sz w:val="22"/>
          <w:szCs w:val="22"/>
        </w:rPr>
        <w:lastRenderedPageBreak/>
        <w:t xml:space="preserve">the AAT from competitors, such as a strong brand reputation, industry partnerships, or a comprehensive curriculum. Assign quantitative or qualitative measures to the identified risks and returns to assess their potential impact that involves evaluating the likelihood of each risk occurring and estimating its potential impact on the AAT's operations or strategic objectives, assessing the potential financial returns associated with initiatives, such as increased revenue from qualification </w:t>
      </w:r>
      <w:proofErr w:type="spellStart"/>
      <w:r w:rsidRPr="00A34226">
        <w:rPr>
          <w:rFonts w:cs="Arial"/>
          <w:sz w:val="22"/>
          <w:szCs w:val="22"/>
        </w:rPr>
        <w:t>enrollments</w:t>
      </w:r>
      <w:proofErr w:type="spellEnd"/>
      <w:r w:rsidRPr="00A34226">
        <w:rPr>
          <w:rFonts w:cs="Arial"/>
          <w:sz w:val="22"/>
          <w:szCs w:val="22"/>
        </w:rPr>
        <w:t xml:space="preserve"> or cost savings from operational efficiencies and considering the perspectives of key stakeholders, such as candidates, members, and employers, to gauge the perceived value and benefits of AAT offerings.</w:t>
      </w:r>
    </w:p>
    <w:p w14:paraId="3527FB36" w14:textId="77777777" w:rsidR="00A34226" w:rsidRPr="00A34226" w:rsidRDefault="00A34226" w:rsidP="00A34226">
      <w:pPr>
        <w:spacing w:line="360" w:lineRule="auto"/>
        <w:rPr>
          <w:rFonts w:cs="Arial"/>
          <w:sz w:val="22"/>
          <w:szCs w:val="22"/>
        </w:rPr>
      </w:pPr>
      <w:r w:rsidRPr="00A34226">
        <w:rPr>
          <w:rFonts w:cs="Arial"/>
          <w:sz w:val="22"/>
          <w:szCs w:val="22"/>
        </w:rPr>
        <w:t>AAT must weigh risks and returns to choose the best option. Consider AAT risk tolerance, strategic priorities, and resources. This analysis can help the AAT weigh risks and rewards.</w:t>
      </w:r>
    </w:p>
    <w:p w14:paraId="096B417C" w14:textId="59DD2926" w:rsidR="00A34226" w:rsidRPr="00A34226" w:rsidRDefault="00A34226" w:rsidP="00A34226">
      <w:pPr>
        <w:spacing w:line="360" w:lineRule="auto"/>
        <w:rPr>
          <w:rFonts w:cs="Arial"/>
          <w:sz w:val="22"/>
          <w:szCs w:val="22"/>
        </w:rPr>
      </w:pPr>
      <w:r w:rsidRPr="00A34226">
        <w:rPr>
          <w:rFonts w:cs="Arial"/>
          <w:sz w:val="22"/>
          <w:szCs w:val="22"/>
        </w:rPr>
        <w:t>AAT can identify and prioritise risks and evaluate strategic initiatives by incorporating those points. This helps the company maximise returns, allocate resources, and manage risks.</w:t>
      </w:r>
    </w:p>
    <w:p w14:paraId="18FD8102" w14:textId="77777777" w:rsidR="00A415E1" w:rsidRPr="00304413" w:rsidRDefault="00A415E1" w:rsidP="00075D5A">
      <w:pPr>
        <w:rPr>
          <w:rFonts w:cs="Arial"/>
        </w:rPr>
      </w:pPr>
    </w:p>
    <w:p w14:paraId="1F055B37" w14:textId="3B84F645" w:rsidR="00A415E1" w:rsidRPr="00304413" w:rsidRDefault="004901E4" w:rsidP="00555C60">
      <w:pPr>
        <w:pStyle w:val="Heading2"/>
        <w:rPr>
          <w:rFonts w:ascii="Arial" w:hAnsi="Arial" w:cs="Arial"/>
        </w:rPr>
      </w:pPr>
      <w:bookmarkStart w:id="13" w:name="_Toc134099099"/>
      <w:r w:rsidRPr="00304413">
        <w:rPr>
          <w:rFonts w:ascii="Arial" w:hAnsi="Arial" w:cs="Arial"/>
        </w:rPr>
        <w:t>Stakeholder</w:t>
      </w:r>
      <w:r w:rsidRPr="00304413">
        <w:rPr>
          <w:rFonts w:ascii="Arial" w:hAnsi="Arial" w:cs="Arial"/>
          <w:spacing w:val="-4"/>
        </w:rPr>
        <w:t xml:space="preserve"> </w:t>
      </w:r>
      <w:r w:rsidRPr="00304413">
        <w:rPr>
          <w:rFonts w:ascii="Arial" w:hAnsi="Arial" w:cs="Arial"/>
        </w:rPr>
        <w:t>analysis</w:t>
      </w:r>
      <w:bookmarkEnd w:id="13"/>
    </w:p>
    <w:p w14:paraId="49D5768A" w14:textId="77777777" w:rsidR="00F33DB2" w:rsidRDefault="00F33DB2" w:rsidP="00D2583C">
      <w:pPr>
        <w:tabs>
          <w:tab w:val="left" w:pos="1540"/>
          <w:tab w:val="left" w:pos="1541"/>
        </w:tabs>
        <w:spacing w:before="2" w:line="237" w:lineRule="auto"/>
        <w:ind w:right="154"/>
        <w:rPr>
          <w:rFonts w:cs="Arial"/>
        </w:rPr>
      </w:pPr>
    </w:p>
    <w:p w14:paraId="7F21686B" w14:textId="76F7536D" w:rsidR="000C6A7E" w:rsidRDefault="000C6A7E" w:rsidP="00D2583C">
      <w:pPr>
        <w:tabs>
          <w:tab w:val="left" w:pos="1540"/>
          <w:tab w:val="left" w:pos="1541"/>
        </w:tabs>
        <w:spacing w:before="2" w:line="360" w:lineRule="auto"/>
        <w:ind w:right="154"/>
        <w:rPr>
          <w:rFonts w:cs="Arial"/>
          <w:sz w:val="22"/>
          <w:szCs w:val="22"/>
        </w:rPr>
      </w:pPr>
      <w:proofErr w:type="spellStart"/>
      <w:r w:rsidRPr="000C6A7E">
        <w:rPr>
          <w:rFonts w:cs="Arial"/>
          <w:sz w:val="22"/>
          <w:szCs w:val="22"/>
        </w:rPr>
        <w:t>Mandelow's</w:t>
      </w:r>
      <w:proofErr w:type="spellEnd"/>
      <w:r w:rsidRPr="000C6A7E">
        <w:rPr>
          <w:rFonts w:cs="Arial"/>
          <w:sz w:val="22"/>
          <w:szCs w:val="22"/>
        </w:rPr>
        <w:t xml:space="preserve"> Stakeholder Matrix, a pivotal tool in business strategy, was utilised to carry out AAT Stakeholder analysis. The aforementioned matrix facilitates the assessment of the level of impact and engagement possessed by diverse stakeholders within a given entity. The matrix under consideration was formulated by Aubrey L. </w:t>
      </w:r>
      <w:proofErr w:type="spellStart"/>
      <w:r w:rsidRPr="000C6A7E">
        <w:rPr>
          <w:rFonts w:cs="Arial"/>
          <w:sz w:val="22"/>
          <w:szCs w:val="22"/>
        </w:rPr>
        <w:t>Mendelow</w:t>
      </w:r>
      <w:proofErr w:type="spellEnd"/>
      <w:r w:rsidRPr="000C6A7E">
        <w:rPr>
          <w:rFonts w:cs="Arial"/>
          <w:sz w:val="22"/>
          <w:szCs w:val="22"/>
        </w:rPr>
        <w:t xml:space="preserve"> in the year 1991.</w:t>
      </w:r>
    </w:p>
    <w:p w14:paraId="3F9DF9D3" w14:textId="5EC322F8" w:rsidR="00D2583C" w:rsidRPr="00D2583C" w:rsidRDefault="00D2583C" w:rsidP="00D2583C">
      <w:pPr>
        <w:tabs>
          <w:tab w:val="left" w:pos="1540"/>
          <w:tab w:val="left" w:pos="1541"/>
        </w:tabs>
        <w:spacing w:before="2" w:line="360" w:lineRule="auto"/>
        <w:ind w:right="154"/>
        <w:rPr>
          <w:rFonts w:cs="Arial"/>
          <w:sz w:val="22"/>
          <w:szCs w:val="22"/>
        </w:rPr>
      </w:pPr>
      <w:proofErr w:type="spellStart"/>
      <w:r w:rsidRPr="00D2583C">
        <w:rPr>
          <w:rFonts w:cs="Arial"/>
          <w:sz w:val="22"/>
          <w:szCs w:val="22"/>
        </w:rPr>
        <w:t>Mendelow's</w:t>
      </w:r>
      <w:proofErr w:type="spellEnd"/>
      <w:r w:rsidRPr="00D2583C">
        <w:rPr>
          <w:rFonts w:cs="Arial"/>
          <w:sz w:val="22"/>
          <w:szCs w:val="22"/>
        </w:rPr>
        <w:t xml:space="preserve"> Stakeholder Matrix categorizes stakeholders based on their level of power or influence over the organization and their level of interest or concern in the AAT's activities. This results in four quadrants:</w:t>
      </w:r>
    </w:p>
    <w:p w14:paraId="57C24D1A" w14:textId="3F1F306E" w:rsidR="00D2583C" w:rsidRPr="00D2583C" w:rsidRDefault="00D2583C" w:rsidP="00D2583C">
      <w:pPr>
        <w:tabs>
          <w:tab w:val="left" w:pos="1540"/>
          <w:tab w:val="left" w:pos="1541"/>
        </w:tabs>
        <w:spacing w:before="2" w:line="360" w:lineRule="auto"/>
        <w:ind w:right="154"/>
        <w:rPr>
          <w:rFonts w:cs="Arial"/>
          <w:sz w:val="22"/>
          <w:szCs w:val="22"/>
        </w:rPr>
      </w:pPr>
      <w:r w:rsidRPr="000343A2">
        <w:rPr>
          <w:rFonts w:cs="Arial"/>
          <w:b/>
          <w:bCs/>
          <w:color w:val="C00000"/>
          <w:sz w:val="22"/>
          <w:szCs w:val="22"/>
        </w:rPr>
        <w:t>High Power, High Interest:</w:t>
      </w:r>
      <w:r w:rsidRPr="000343A2">
        <w:rPr>
          <w:rFonts w:cs="Arial"/>
          <w:color w:val="C00000"/>
          <w:sz w:val="22"/>
          <w:szCs w:val="22"/>
        </w:rPr>
        <w:t xml:space="preserve"> </w:t>
      </w:r>
      <w:r w:rsidRPr="00D2583C">
        <w:rPr>
          <w:rFonts w:cs="Arial"/>
          <w:sz w:val="22"/>
          <w:szCs w:val="22"/>
        </w:rPr>
        <w:t>This quadrant's stakeholders wield significant power and influence over the AAT and are keenly interested in its activities. They necessitate careful management and participation. Government regulatory bodies overseeing accounting standards and professional certifications, large accounting firms or employers that hire AAT-qualified professionals, and professional bodies or associations in the accounting industry that may collaborate with or compete with the AAT are examples of stakeholders in this quadrant for the AAT.</w:t>
      </w:r>
    </w:p>
    <w:p w14:paraId="0A214504" w14:textId="77777777" w:rsidR="00D2583C" w:rsidRPr="00D2583C" w:rsidRDefault="00D2583C" w:rsidP="00D2583C">
      <w:pPr>
        <w:tabs>
          <w:tab w:val="left" w:pos="1540"/>
          <w:tab w:val="left" w:pos="1541"/>
        </w:tabs>
        <w:spacing w:before="2" w:line="360" w:lineRule="auto"/>
        <w:ind w:right="154"/>
        <w:rPr>
          <w:rFonts w:cs="Arial"/>
          <w:sz w:val="22"/>
          <w:szCs w:val="22"/>
        </w:rPr>
      </w:pPr>
      <w:r w:rsidRPr="000343A2">
        <w:rPr>
          <w:rFonts w:cs="Arial"/>
          <w:b/>
          <w:bCs/>
          <w:color w:val="C00000"/>
          <w:sz w:val="22"/>
          <w:szCs w:val="22"/>
        </w:rPr>
        <w:t>High Power, Low Interest:</w:t>
      </w:r>
      <w:r w:rsidRPr="000343A2">
        <w:rPr>
          <w:rFonts w:cs="Arial"/>
          <w:color w:val="C00000"/>
          <w:sz w:val="22"/>
          <w:szCs w:val="22"/>
        </w:rPr>
        <w:t xml:space="preserve"> </w:t>
      </w:r>
      <w:r w:rsidRPr="00D2583C">
        <w:rPr>
          <w:rFonts w:cs="Arial"/>
          <w:sz w:val="22"/>
          <w:szCs w:val="22"/>
        </w:rPr>
        <w:t>Stakeholders in this quadrant wield significant power and influence over the AAT and are keenly interested in its operations. They necessitate careful management and engagement. Government regulatory bodies overseeing accounting standards and professional certifications, large accounting firms or employers that hire AAT-</w:t>
      </w:r>
      <w:r w:rsidRPr="00D2583C">
        <w:rPr>
          <w:rFonts w:cs="Arial"/>
          <w:sz w:val="22"/>
          <w:szCs w:val="22"/>
        </w:rPr>
        <w:lastRenderedPageBreak/>
        <w:t>qualified professionals, and professional bodies or associations in the accounting industry that may collaborate with or compete with the AAT are all examples of stakeholders in this quadrant for the AAT.</w:t>
      </w:r>
    </w:p>
    <w:p w14:paraId="1B96E23F" w14:textId="77777777" w:rsidR="00D2583C" w:rsidRPr="00D2583C" w:rsidRDefault="00D2583C" w:rsidP="00D2583C">
      <w:pPr>
        <w:tabs>
          <w:tab w:val="left" w:pos="1540"/>
          <w:tab w:val="left" w:pos="1541"/>
        </w:tabs>
        <w:spacing w:before="2" w:line="360" w:lineRule="auto"/>
        <w:ind w:right="154"/>
        <w:rPr>
          <w:rFonts w:cs="Arial"/>
          <w:sz w:val="22"/>
          <w:szCs w:val="22"/>
        </w:rPr>
      </w:pPr>
      <w:r w:rsidRPr="000343A2">
        <w:rPr>
          <w:rFonts w:cs="Arial"/>
          <w:b/>
          <w:bCs/>
          <w:color w:val="C00000"/>
          <w:sz w:val="22"/>
          <w:szCs w:val="22"/>
        </w:rPr>
        <w:t>Low Power, High Interest:</w:t>
      </w:r>
      <w:r w:rsidRPr="000343A2">
        <w:rPr>
          <w:rFonts w:cs="Arial"/>
          <w:color w:val="C00000"/>
          <w:sz w:val="22"/>
          <w:szCs w:val="22"/>
        </w:rPr>
        <w:t xml:space="preserve"> </w:t>
      </w:r>
      <w:r w:rsidRPr="00D2583C">
        <w:rPr>
          <w:rFonts w:cs="Arial"/>
          <w:sz w:val="22"/>
          <w:szCs w:val="22"/>
        </w:rPr>
        <w:t xml:space="preserve">This quadrant's stakeholders are very interested or concerned about the AAT's activities but have little power or influence. They may necessitate frequent communication and updates. AAT candidates and members who rely on the organisation for qualifications and career advancement, accounting students or universities collaborating with the AAT for educational programmes, and industry-specific organisations or associations representing specific accounting sectors' interests are all </w:t>
      </w:r>
      <w:proofErr w:type="spellStart"/>
      <w:r w:rsidRPr="00D2583C">
        <w:rPr>
          <w:rFonts w:cs="Arial"/>
          <w:sz w:val="22"/>
          <w:szCs w:val="22"/>
        </w:rPr>
        <w:t>examples.</w:t>
      </w:r>
    </w:p>
    <w:p w14:paraId="76E88323" w14:textId="6CFFA215" w:rsidR="00DE79A5" w:rsidRDefault="00D2583C" w:rsidP="00583C38">
      <w:pPr>
        <w:tabs>
          <w:tab w:val="left" w:pos="1540"/>
          <w:tab w:val="left" w:pos="1541"/>
        </w:tabs>
        <w:spacing w:before="2" w:line="360" w:lineRule="auto"/>
        <w:ind w:right="154"/>
        <w:rPr>
          <w:rFonts w:cs="Arial"/>
          <w:sz w:val="22"/>
          <w:szCs w:val="22"/>
        </w:rPr>
      </w:pPr>
      <w:r w:rsidRPr="000343A2">
        <w:rPr>
          <w:rFonts w:cs="Arial"/>
          <w:b/>
          <w:bCs/>
          <w:color w:val="C00000"/>
          <w:sz w:val="22"/>
          <w:szCs w:val="22"/>
        </w:rPr>
        <w:t>Lo</w:t>
      </w:r>
      <w:proofErr w:type="spellEnd"/>
      <w:r w:rsidRPr="000343A2">
        <w:rPr>
          <w:rFonts w:cs="Arial"/>
          <w:b/>
          <w:bCs/>
          <w:color w:val="C00000"/>
          <w:sz w:val="22"/>
          <w:szCs w:val="22"/>
        </w:rPr>
        <w:t>w Power, Low Interest:</w:t>
      </w:r>
      <w:r w:rsidRPr="000343A2">
        <w:rPr>
          <w:rFonts w:cs="Arial"/>
          <w:color w:val="C00000"/>
          <w:sz w:val="22"/>
          <w:szCs w:val="22"/>
        </w:rPr>
        <w:t xml:space="preserve"> </w:t>
      </w:r>
      <w:r w:rsidRPr="00D2583C">
        <w:rPr>
          <w:rFonts w:cs="Arial"/>
          <w:sz w:val="22"/>
          <w:szCs w:val="22"/>
        </w:rPr>
        <w:t>This quadrant's stakeholders have little power or influence over the AAT and are uninterested in its activities. They may not require extensive management, but it is still necessary to monitor their attitudes and potential shifts. The general public or individuals who are not directly involved in the accounting profession, media outlets or journalists who may cover accounting-related topics and other professional bodies or associations in unrelated industries are examples.</w:t>
      </w:r>
    </w:p>
    <w:p w14:paraId="4AE5CD3E" w14:textId="29A1B6E7" w:rsidR="00A415E1" w:rsidRPr="00583C38" w:rsidRDefault="00DE79A5" w:rsidP="00084C4F">
      <w:pPr>
        <w:spacing w:after="0" w:line="240" w:lineRule="auto"/>
        <w:jc w:val="left"/>
        <w:rPr>
          <w:rFonts w:cs="Arial"/>
          <w:sz w:val="22"/>
          <w:szCs w:val="22"/>
        </w:rPr>
      </w:pPr>
      <w:r>
        <w:rPr>
          <w:rFonts w:cs="Arial"/>
          <w:sz w:val="22"/>
          <w:szCs w:val="22"/>
        </w:rPr>
        <w:br w:type="page"/>
      </w:r>
    </w:p>
    <w:p w14:paraId="524EFE77" w14:textId="32EAD3CC" w:rsidR="004901E4" w:rsidRPr="00304413" w:rsidRDefault="00A415E1" w:rsidP="00A415E1">
      <w:pPr>
        <w:pStyle w:val="Heading1"/>
        <w:rPr>
          <w:rFonts w:cs="Arial"/>
          <w:lang w:val="en-GB"/>
        </w:rPr>
      </w:pPr>
      <w:bookmarkStart w:id="14" w:name="_Toc134099100"/>
      <w:r w:rsidRPr="00304413">
        <w:rPr>
          <w:rFonts w:cs="Arial"/>
          <w:lang w:val="en-GB"/>
        </w:rPr>
        <w:lastRenderedPageBreak/>
        <w:t>Conclusions</w:t>
      </w:r>
      <w:r w:rsidRPr="00304413">
        <w:rPr>
          <w:rFonts w:cs="Arial"/>
          <w:spacing w:val="-11"/>
          <w:lang w:val="en-GB"/>
        </w:rPr>
        <w:t xml:space="preserve"> </w:t>
      </w:r>
      <w:r w:rsidRPr="00304413">
        <w:rPr>
          <w:rFonts w:cs="Arial"/>
          <w:lang w:val="en-GB"/>
        </w:rPr>
        <w:t>and</w:t>
      </w:r>
      <w:r w:rsidRPr="00304413">
        <w:rPr>
          <w:rFonts w:cs="Arial"/>
          <w:spacing w:val="-9"/>
          <w:lang w:val="en-GB"/>
        </w:rPr>
        <w:t xml:space="preserve"> </w:t>
      </w:r>
      <w:r w:rsidRPr="00304413">
        <w:rPr>
          <w:rFonts w:cs="Arial"/>
          <w:lang w:val="en-GB"/>
        </w:rPr>
        <w:t>Recommendations</w:t>
      </w:r>
      <w:bookmarkEnd w:id="14"/>
    </w:p>
    <w:p w14:paraId="4DDC5190" w14:textId="77777777" w:rsidR="00A415E1" w:rsidRPr="00304413" w:rsidRDefault="00A415E1" w:rsidP="00A415E1">
      <w:pPr>
        <w:rPr>
          <w:rFonts w:cs="Arial"/>
        </w:rPr>
      </w:pPr>
    </w:p>
    <w:p w14:paraId="0E43936B" w14:textId="5420BB95" w:rsidR="005C55DC" w:rsidRPr="001D580B" w:rsidRDefault="00A415E1" w:rsidP="00555C60">
      <w:pPr>
        <w:pStyle w:val="Heading2"/>
        <w:jc w:val="left"/>
        <w:rPr>
          <w:rFonts w:ascii="Arial" w:hAnsi="Arial" w:cs="Arial"/>
          <w:spacing w:val="-2"/>
        </w:rPr>
      </w:pPr>
      <w:bookmarkStart w:id="15" w:name="_Toc134099101"/>
      <w:r w:rsidRPr="00304413">
        <w:rPr>
          <w:rFonts w:ascii="Arial" w:hAnsi="Arial" w:cs="Arial"/>
        </w:rPr>
        <w:t>Strategic</w:t>
      </w:r>
      <w:r w:rsidRPr="00304413">
        <w:rPr>
          <w:rFonts w:ascii="Arial" w:hAnsi="Arial" w:cs="Arial"/>
          <w:spacing w:val="-9"/>
        </w:rPr>
        <w:t xml:space="preserve"> </w:t>
      </w:r>
      <w:r w:rsidRPr="00304413">
        <w:rPr>
          <w:rFonts w:ascii="Arial" w:hAnsi="Arial" w:cs="Arial"/>
        </w:rPr>
        <w:t>implementation,</w:t>
      </w:r>
      <w:r w:rsidRPr="00304413">
        <w:rPr>
          <w:rFonts w:ascii="Arial" w:hAnsi="Arial" w:cs="Arial"/>
          <w:spacing w:val="-6"/>
        </w:rPr>
        <w:t xml:space="preserve"> </w:t>
      </w:r>
      <w:r w:rsidR="00D84A37" w:rsidRPr="00304413">
        <w:rPr>
          <w:rFonts w:ascii="Arial" w:hAnsi="Arial" w:cs="Arial"/>
        </w:rPr>
        <w:t>monitoring,</w:t>
      </w:r>
      <w:r w:rsidRPr="00304413">
        <w:rPr>
          <w:rFonts w:ascii="Arial" w:hAnsi="Arial" w:cs="Arial"/>
          <w:spacing w:val="-7"/>
        </w:rPr>
        <w:t xml:space="preserve"> </w:t>
      </w:r>
      <w:r w:rsidRPr="00304413">
        <w:rPr>
          <w:rFonts w:ascii="Arial" w:hAnsi="Arial" w:cs="Arial"/>
        </w:rPr>
        <w:t>and</w:t>
      </w:r>
      <w:r w:rsidRPr="00304413">
        <w:rPr>
          <w:rFonts w:ascii="Arial" w:hAnsi="Arial" w:cs="Arial"/>
          <w:spacing w:val="-9"/>
        </w:rPr>
        <w:t xml:space="preserve"> </w:t>
      </w:r>
      <w:r w:rsidR="000703B9" w:rsidRPr="00304413">
        <w:rPr>
          <w:rFonts w:ascii="Arial" w:hAnsi="Arial" w:cs="Arial"/>
          <w:spacing w:val="-2"/>
        </w:rPr>
        <w:t>evaluation.</w:t>
      </w:r>
      <w:bookmarkEnd w:id="15"/>
    </w:p>
    <w:p w14:paraId="43678E6A" w14:textId="77777777" w:rsidR="009A7E20" w:rsidRDefault="009A7E20" w:rsidP="009A7E20">
      <w:pPr>
        <w:tabs>
          <w:tab w:val="left" w:pos="1540"/>
          <w:tab w:val="left" w:pos="1541"/>
        </w:tabs>
        <w:rPr>
          <w:rFonts w:cs="Arial"/>
        </w:rPr>
      </w:pPr>
    </w:p>
    <w:p w14:paraId="47AB58D4" w14:textId="317A66AA" w:rsidR="00834CDD" w:rsidRPr="00275CD9" w:rsidRDefault="000C6A7E" w:rsidP="00275CD9">
      <w:pPr>
        <w:tabs>
          <w:tab w:val="left" w:pos="1540"/>
          <w:tab w:val="left" w:pos="1541"/>
        </w:tabs>
        <w:spacing w:line="360" w:lineRule="auto"/>
        <w:ind w:right="356"/>
        <w:rPr>
          <w:rFonts w:cs="Arial"/>
          <w:sz w:val="22"/>
          <w:szCs w:val="22"/>
        </w:rPr>
      </w:pPr>
      <w:r w:rsidRPr="000C6A7E">
        <w:rPr>
          <w:rFonts w:cs="Arial"/>
          <w:sz w:val="22"/>
          <w:szCs w:val="22"/>
        </w:rPr>
        <w:t>It is widely acknowledged that implementing an effective strategy is crucial for the success of any organisation. To achieve this, it is imperative to conduct a comprehensive analysis of the internal, external, and industry-specific factors that may impact the organization's performance.</w:t>
      </w:r>
      <w:r>
        <w:rPr>
          <w:rFonts w:cs="Arial"/>
          <w:sz w:val="22"/>
          <w:szCs w:val="22"/>
        </w:rPr>
        <w:t xml:space="preserve"> This</w:t>
      </w:r>
      <w:r w:rsidR="00834CDD" w:rsidRPr="00275CD9">
        <w:rPr>
          <w:rFonts w:cs="Arial"/>
          <w:sz w:val="22"/>
          <w:szCs w:val="22"/>
        </w:rPr>
        <w:t xml:space="preserve"> report entails an internal analysis of the organization's operational performance by utilising the value chain and six pillars of excellence. </w:t>
      </w:r>
      <w:r>
        <w:rPr>
          <w:rFonts w:cs="Arial"/>
          <w:sz w:val="22"/>
          <w:szCs w:val="22"/>
        </w:rPr>
        <w:t>An</w:t>
      </w:r>
      <w:r w:rsidR="00834CDD" w:rsidRPr="00275CD9">
        <w:rPr>
          <w:rFonts w:cs="Arial"/>
          <w:sz w:val="22"/>
          <w:szCs w:val="22"/>
        </w:rPr>
        <w:t xml:space="preserve"> external analysis using PESTLE to comprehend the external factors that may impact the organisation. Furthermore, an industrial analysis has been performed using Porter's five </w:t>
      </w:r>
      <w:r w:rsidR="00834CDD" w:rsidRPr="00275CD9">
        <w:rPr>
          <w:rFonts w:cs="Arial"/>
          <w:sz w:val="22"/>
          <w:szCs w:val="22"/>
        </w:rPr>
        <w:t>frameworks</w:t>
      </w:r>
      <w:r w:rsidR="00834CDD" w:rsidRPr="00275CD9">
        <w:rPr>
          <w:rFonts w:cs="Arial"/>
          <w:sz w:val="22"/>
          <w:szCs w:val="22"/>
        </w:rPr>
        <w:t xml:space="preserve"> to gain insights into the </w:t>
      </w:r>
      <w:r w:rsidR="00834CDD" w:rsidRPr="00275CD9">
        <w:rPr>
          <w:rFonts w:cs="Arial"/>
          <w:sz w:val="22"/>
          <w:szCs w:val="22"/>
        </w:rPr>
        <w:t>a</w:t>
      </w:r>
      <w:r w:rsidR="00834CDD" w:rsidRPr="00275CD9">
        <w:rPr>
          <w:rFonts w:cs="Arial"/>
          <w:sz w:val="22"/>
          <w:szCs w:val="22"/>
        </w:rPr>
        <w:t>ccounting industry.</w:t>
      </w:r>
    </w:p>
    <w:p w14:paraId="79C677F7" w14:textId="77777777" w:rsidR="00EF3608" w:rsidRPr="00EF3608" w:rsidRDefault="00EF3608" w:rsidP="00EF3608">
      <w:pPr>
        <w:tabs>
          <w:tab w:val="left" w:pos="1540"/>
          <w:tab w:val="left" w:pos="1541"/>
        </w:tabs>
        <w:spacing w:before="1" w:line="360" w:lineRule="auto"/>
        <w:ind w:right="209"/>
        <w:rPr>
          <w:rFonts w:cs="Arial"/>
          <w:sz w:val="22"/>
          <w:szCs w:val="22"/>
        </w:rPr>
      </w:pPr>
      <w:r w:rsidRPr="00EF3608">
        <w:rPr>
          <w:rFonts w:cs="Arial"/>
          <w:sz w:val="22"/>
          <w:szCs w:val="22"/>
        </w:rPr>
        <w:t xml:space="preserve">Following the completion of commented analyses, a strategic direction was formulated, which gives a clear indicator of the organisation's distinct purpose by defining the overall goals, objectives, and aspirations that guide decision-making and action, thereby uniting </w:t>
      </w:r>
      <w:proofErr w:type="gramStart"/>
      <w:r w:rsidRPr="00EF3608">
        <w:rPr>
          <w:rFonts w:cs="Arial"/>
          <w:sz w:val="22"/>
          <w:szCs w:val="22"/>
        </w:rPr>
        <w:t>employees</w:t>
      </w:r>
      <w:proofErr w:type="gramEnd"/>
      <w:r w:rsidRPr="00EF3608">
        <w:rPr>
          <w:rFonts w:cs="Arial"/>
          <w:sz w:val="22"/>
          <w:szCs w:val="22"/>
        </w:rPr>
        <w:t xml:space="preserve"> and stakeholders around a common objective. It assists the company in prioritising its resources, efforts, and investments, ensuring organization-wide alignment and goal setting, providing a framework for the organisation to adapt and navigate uncertainty, and facilitating stakeholder communication and performance evaluation.</w:t>
      </w:r>
    </w:p>
    <w:p w14:paraId="7F1BBDEB" w14:textId="4BE9BF60" w:rsidR="00275CD9" w:rsidRPr="00275CD9" w:rsidRDefault="00EF3608" w:rsidP="00275CD9">
      <w:pPr>
        <w:tabs>
          <w:tab w:val="left" w:pos="1540"/>
          <w:tab w:val="left" w:pos="1541"/>
        </w:tabs>
        <w:spacing w:before="1" w:line="360" w:lineRule="auto"/>
        <w:ind w:right="209"/>
        <w:rPr>
          <w:rFonts w:cs="Arial"/>
          <w:sz w:val="22"/>
          <w:szCs w:val="22"/>
        </w:rPr>
      </w:pPr>
      <w:r w:rsidRPr="00EF3608">
        <w:rPr>
          <w:rFonts w:cs="Arial"/>
          <w:sz w:val="22"/>
          <w:szCs w:val="22"/>
        </w:rPr>
        <w:t>After conducting these analyses, we were able to formulate a strategic direction that provided the organisation with a distinct mission.</w:t>
      </w:r>
      <w:r>
        <w:rPr>
          <w:rFonts w:cs="Arial"/>
          <w:sz w:val="22"/>
          <w:szCs w:val="22"/>
        </w:rPr>
        <w:t xml:space="preserve"> </w:t>
      </w:r>
      <w:r w:rsidR="00275CD9" w:rsidRPr="00275CD9">
        <w:rPr>
          <w:rFonts w:cs="Arial"/>
          <w:sz w:val="22"/>
          <w:szCs w:val="22"/>
        </w:rPr>
        <w:t xml:space="preserve">The Association of Accounting Technicians is advised to adopt a strategic implementation process that involves the formation of a dedicated team responsible for overseeing and executing the implementation process. This process should entail the development of an action plan that breaks down the strategic objective into actionable steps and initiatives. Additionally, the identification of necessary resources, including financial, human, and technological, is crucial for the successful implementation of strategic initiatives. The recommended approach involves effectively communicating the strategic plan and objectives to all stakeholders and employees within the AAT, followed by monitoring progress and establishing key performance indicators (KPIs) and metrics to ensure the attainment of objectives. Flexibility should be maintained </w:t>
      </w:r>
      <w:r w:rsidR="00275CD9" w:rsidRPr="00275CD9">
        <w:rPr>
          <w:rFonts w:cs="Arial"/>
          <w:sz w:val="22"/>
          <w:szCs w:val="22"/>
        </w:rPr>
        <w:lastRenderedPageBreak/>
        <w:t>throughout the implementation process to enable adaptation and adjustment as necessary. Collaboration and coordination across departments and teams should be encouraged, and stakeholders should be provided with regular progress updates. Finally, the strategic plan should be periodically reviewed and renewed to ensure its continued relevance and effectiveness.</w:t>
      </w:r>
    </w:p>
    <w:p w14:paraId="6651CCF1" w14:textId="77777777" w:rsidR="00275CD9" w:rsidRPr="00275CD9" w:rsidRDefault="00275CD9" w:rsidP="00275CD9">
      <w:pPr>
        <w:tabs>
          <w:tab w:val="left" w:pos="1540"/>
          <w:tab w:val="left" w:pos="1541"/>
        </w:tabs>
        <w:spacing w:before="1" w:line="360" w:lineRule="auto"/>
        <w:ind w:right="209"/>
        <w:rPr>
          <w:rFonts w:cs="Arial"/>
          <w:sz w:val="22"/>
          <w:szCs w:val="22"/>
        </w:rPr>
      </w:pPr>
      <w:r w:rsidRPr="00275CD9">
        <w:rPr>
          <w:rFonts w:cs="Arial"/>
          <w:sz w:val="22"/>
          <w:szCs w:val="22"/>
        </w:rPr>
        <w:t>Adopting this approach can assist AAT in achieving Clear Focus and Alignment, optimising resource allocation, facilitating informed decision-making, enhancing performance and efficiency, fostering adaptability to change, ensuring long-term sustainability, promoting accountability and evaluation of outcomes, gaining stakeholder confidence, and ultimately fostering employee alignment and engagement.</w:t>
      </w:r>
    </w:p>
    <w:p w14:paraId="24755206" w14:textId="1CF72EFA" w:rsidR="00A418F7" w:rsidRPr="00275CD9" w:rsidRDefault="00275CD9" w:rsidP="00275CD9">
      <w:pPr>
        <w:tabs>
          <w:tab w:val="left" w:pos="1540"/>
          <w:tab w:val="left" w:pos="1541"/>
        </w:tabs>
        <w:spacing w:before="1" w:line="360" w:lineRule="auto"/>
        <w:ind w:right="209"/>
        <w:rPr>
          <w:rFonts w:cs="Arial"/>
        </w:rPr>
      </w:pPr>
      <w:r w:rsidRPr="00275CD9">
        <w:rPr>
          <w:rFonts w:cs="Arial"/>
          <w:sz w:val="22"/>
          <w:szCs w:val="22"/>
        </w:rPr>
        <w:t xml:space="preserve">In the event that AAT deviates from the suggested strategic approach, it may encounter difficulties in establishing a distinct sense of purpose and direction. This could result in </w:t>
      </w:r>
      <w:r w:rsidRPr="00275CD9">
        <w:rPr>
          <w:rFonts w:cs="Arial"/>
          <w:sz w:val="22"/>
          <w:szCs w:val="22"/>
        </w:rPr>
        <w:t xml:space="preserve">the </w:t>
      </w:r>
      <w:r w:rsidRPr="00275CD9">
        <w:rPr>
          <w:rFonts w:cs="Arial"/>
          <w:sz w:val="22"/>
          <w:szCs w:val="22"/>
        </w:rPr>
        <w:t>ineffective allocation of financial, human, and technological resources, leading to reactive decision-making. Additionally, various departments or teams within the organisation may operate independently, focusing solely on their own objectives without considering the broader context. Consequently, AAT may encounter challenges in adapting and responding to emerging trends, technological advancements, or changes in customer demands, potentially resulting in missed opportunities. Furthermore, unclear communication and stakeholder engagement may lead to a lack of accountability among employees.</w:t>
      </w:r>
      <w:r w:rsidR="00A418F7" w:rsidRPr="00304413">
        <w:rPr>
          <w:rFonts w:cs="Arial"/>
          <w:spacing w:val="-2"/>
        </w:rPr>
        <w:br w:type="page"/>
      </w:r>
    </w:p>
    <w:p w14:paraId="2B26387A" w14:textId="108DEB46" w:rsidR="00A7212D" w:rsidRDefault="00A418F7" w:rsidP="000F64A6">
      <w:pPr>
        <w:pStyle w:val="Heading1"/>
        <w:rPr>
          <w:rFonts w:cs="Arial"/>
          <w:lang w:val="en-GB"/>
        </w:rPr>
      </w:pPr>
      <w:bookmarkStart w:id="16" w:name="_Toc134099102"/>
      <w:r w:rsidRPr="00304413">
        <w:rPr>
          <w:rFonts w:cs="Arial"/>
          <w:lang w:val="en-GB"/>
        </w:rPr>
        <w:lastRenderedPageBreak/>
        <w:t>Reference</w:t>
      </w:r>
      <w:bookmarkEnd w:id="16"/>
    </w:p>
    <w:p w14:paraId="7EA5A914" w14:textId="77777777" w:rsidR="000F64A6" w:rsidRDefault="000F64A6" w:rsidP="000F64A6">
      <w:pPr>
        <w:rPr>
          <w:lang w:bidi="en-US"/>
        </w:rPr>
      </w:pPr>
    </w:p>
    <w:p w14:paraId="08062F5F"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Association of Accounting Technicians (2022). </w:t>
      </w:r>
      <w:r w:rsidRPr="00F4232E">
        <w:rPr>
          <w:rFonts w:ascii="Arial" w:hAnsi="Arial" w:cs="Arial"/>
          <w:i/>
          <w:iCs/>
          <w:sz w:val="22"/>
          <w:szCs w:val="22"/>
        </w:rPr>
        <w:t xml:space="preserve">The Association of Accounting Technicians </w:t>
      </w:r>
      <w:proofErr w:type="gramStart"/>
      <w:r w:rsidRPr="00F4232E">
        <w:rPr>
          <w:rFonts w:ascii="Arial" w:hAnsi="Arial" w:cs="Arial"/>
          <w:i/>
          <w:iCs/>
          <w:sz w:val="22"/>
          <w:szCs w:val="22"/>
        </w:rPr>
        <w:t>The</w:t>
      </w:r>
      <w:proofErr w:type="gramEnd"/>
      <w:r w:rsidRPr="00F4232E">
        <w:rPr>
          <w:rFonts w:ascii="Arial" w:hAnsi="Arial" w:cs="Arial"/>
          <w:i/>
          <w:iCs/>
          <w:sz w:val="22"/>
          <w:szCs w:val="22"/>
        </w:rPr>
        <w:t xml:space="preserve"> Association of Accounting Technicians | Annual Report 2022 | 2</w:t>
      </w:r>
      <w:r w:rsidRPr="00F4232E">
        <w:rPr>
          <w:rFonts w:ascii="Arial" w:hAnsi="Arial" w:cs="Arial"/>
          <w:sz w:val="22"/>
          <w:szCs w:val="22"/>
        </w:rPr>
        <w:t>. [online] Available at: https://www.aat.org.uk/prod/s3fs-public/assets/Responsive-agile-decisive-AAT-Annual-Report-2022.pdf [Accessed 28 Apr. 2023].</w:t>
      </w:r>
    </w:p>
    <w:p w14:paraId="7054023C"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CIPD (2021). </w:t>
      </w:r>
      <w:r w:rsidRPr="00F4232E">
        <w:rPr>
          <w:rFonts w:ascii="Arial" w:hAnsi="Arial" w:cs="Arial"/>
          <w:i/>
          <w:iCs/>
          <w:sz w:val="22"/>
          <w:szCs w:val="22"/>
        </w:rPr>
        <w:t>CIPD - Internal Server Error</w:t>
      </w:r>
      <w:r w:rsidRPr="00F4232E">
        <w:rPr>
          <w:rFonts w:ascii="Arial" w:hAnsi="Arial" w:cs="Arial"/>
          <w:sz w:val="22"/>
          <w:szCs w:val="22"/>
        </w:rPr>
        <w:t>. [online] www.cipd.org. Available at: https://www.cipd.org/uk/knowledge/factsheets/pestle-analysis-factsheet/ [Accessed 3 May 2023].</w:t>
      </w:r>
    </w:p>
    <w:p w14:paraId="61E6B6E0"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CIPD (2023). </w:t>
      </w:r>
      <w:r w:rsidRPr="00F4232E">
        <w:rPr>
          <w:rFonts w:ascii="Arial" w:hAnsi="Arial" w:cs="Arial"/>
          <w:i/>
          <w:iCs/>
          <w:sz w:val="22"/>
          <w:szCs w:val="22"/>
        </w:rPr>
        <w:t>Employment Law Updates UK</w:t>
      </w:r>
      <w:r w:rsidRPr="00F4232E">
        <w:rPr>
          <w:rFonts w:ascii="Arial" w:hAnsi="Arial" w:cs="Arial"/>
          <w:sz w:val="22"/>
          <w:szCs w:val="22"/>
        </w:rPr>
        <w:t>. [online] CIPD. Available at: https://www.cipd.co.uk/knowledge/fundamentals/emp-law/about/legislation-updates#gref [Accessed 16 Mar. 2023].</w:t>
      </w:r>
    </w:p>
    <w:p w14:paraId="6B028B9C"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Clark, D. (2023). </w:t>
      </w:r>
      <w:r w:rsidRPr="00F4232E">
        <w:rPr>
          <w:rFonts w:ascii="Arial" w:hAnsi="Arial" w:cs="Arial"/>
          <w:i/>
          <w:iCs/>
          <w:sz w:val="22"/>
          <w:szCs w:val="22"/>
        </w:rPr>
        <w:t>UK education inflation rate 2023</w:t>
      </w:r>
      <w:r w:rsidRPr="00F4232E">
        <w:rPr>
          <w:rFonts w:ascii="Arial" w:hAnsi="Arial" w:cs="Arial"/>
          <w:sz w:val="22"/>
          <w:szCs w:val="22"/>
        </w:rPr>
        <w:t>. [online] Statista. Available at: https://www.statista.com/statistics/621987/cpi-education-sector-uk/#:~:text=In%20January%202023%20the%20inflation [Accessed 16 Mar. 2023].</w:t>
      </w:r>
    </w:p>
    <w:p w14:paraId="5BB2D083"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proofErr w:type="spellStart"/>
      <w:r w:rsidRPr="00F4232E">
        <w:rPr>
          <w:rFonts w:ascii="Arial" w:hAnsi="Arial" w:cs="Arial"/>
          <w:sz w:val="22"/>
          <w:szCs w:val="22"/>
        </w:rPr>
        <w:t>Hutaibat</w:t>
      </w:r>
      <w:proofErr w:type="spellEnd"/>
      <w:r w:rsidRPr="00F4232E">
        <w:rPr>
          <w:rFonts w:ascii="Arial" w:hAnsi="Arial" w:cs="Arial"/>
          <w:sz w:val="22"/>
          <w:szCs w:val="22"/>
        </w:rPr>
        <w:t xml:space="preserve">, K.A. (2011). Value Chain for Strategic Management Accounting in Higher Education. </w:t>
      </w:r>
      <w:r w:rsidRPr="00F4232E">
        <w:rPr>
          <w:rFonts w:ascii="Arial" w:hAnsi="Arial" w:cs="Arial"/>
          <w:i/>
          <w:iCs/>
          <w:sz w:val="22"/>
          <w:szCs w:val="22"/>
        </w:rPr>
        <w:t>International Journal of Business and Management</w:t>
      </w:r>
      <w:r w:rsidRPr="00F4232E">
        <w:rPr>
          <w:rFonts w:ascii="Arial" w:hAnsi="Arial" w:cs="Arial"/>
          <w:sz w:val="22"/>
          <w:szCs w:val="22"/>
        </w:rPr>
        <w:t xml:space="preserve">, 6(11). </w:t>
      </w:r>
      <w:proofErr w:type="spellStart"/>
      <w:proofErr w:type="gramStart"/>
      <w:r w:rsidRPr="00F4232E">
        <w:rPr>
          <w:rFonts w:ascii="Arial" w:hAnsi="Arial" w:cs="Arial"/>
          <w:sz w:val="22"/>
          <w:szCs w:val="22"/>
        </w:rPr>
        <w:t>doi:https</w:t>
      </w:r>
      <w:proofErr w:type="spellEnd"/>
      <w:r w:rsidRPr="00F4232E">
        <w:rPr>
          <w:rFonts w:ascii="Arial" w:hAnsi="Arial" w:cs="Arial"/>
          <w:sz w:val="22"/>
          <w:szCs w:val="22"/>
        </w:rPr>
        <w:t>://doi.org/10.5539/ijbm.v6n11p206</w:t>
      </w:r>
      <w:proofErr w:type="gramEnd"/>
      <w:r w:rsidRPr="00F4232E">
        <w:rPr>
          <w:rFonts w:ascii="Arial" w:hAnsi="Arial" w:cs="Arial"/>
          <w:sz w:val="22"/>
          <w:szCs w:val="22"/>
        </w:rPr>
        <w:t>.</w:t>
      </w:r>
    </w:p>
    <w:p w14:paraId="75F620B5"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KPMG (2022). </w:t>
      </w:r>
      <w:r w:rsidRPr="00F4232E">
        <w:rPr>
          <w:rFonts w:ascii="Arial" w:hAnsi="Arial" w:cs="Arial"/>
          <w:i/>
          <w:iCs/>
          <w:sz w:val="22"/>
          <w:szCs w:val="22"/>
        </w:rPr>
        <w:t>Six pillars - KPMG Global</w:t>
      </w:r>
      <w:r w:rsidRPr="00F4232E">
        <w:rPr>
          <w:rFonts w:ascii="Arial" w:hAnsi="Arial" w:cs="Arial"/>
          <w:sz w:val="22"/>
          <w:szCs w:val="22"/>
        </w:rPr>
        <w:t>. [online] KPMG. Available at: https://kpmg.com/xx/en/home/insights/2020/01/customer-first-insights-six-pillars.html [Accessed 28 Apr. 2023].</w:t>
      </w:r>
    </w:p>
    <w:p w14:paraId="7E51A7E7"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McCulloch, F. (2022). </w:t>
      </w:r>
      <w:r w:rsidRPr="00F4232E">
        <w:rPr>
          <w:rFonts w:ascii="Arial" w:hAnsi="Arial" w:cs="Arial"/>
          <w:i/>
          <w:iCs/>
          <w:sz w:val="22"/>
          <w:szCs w:val="22"/>
        </w:rPr>
        <w:t xml:space="preserve">How many UK businesses fail in 1st year? </w:t>
      </w:r>
      <w:proofErr w:type="spellStart"/>
      <w:r w:rsidRPr="00F4232E">
        <w:rPr>
          <w:rFonts w:ascii="Arial" w:hAnsi="Arial" w:cs="Arial"/>
          <w:i/>
          <w:iCs/>
          <w:sz w:val="22"/>
          <w:szCs w:val="22"/>
        </w:rPr>
        <w:t>Startup</w:t>
      </w:r>
      <w:proofErr w:type="spellEnd"/>
      <w:r w:rsidRPr="00F4232E">
        <w:rPr>
          <w:rFonts w:ascii="Arial" w:hAnsi="Arial" w:cs="Arial"/>
          <w:i/>
          <w:iCs/>
          <w:sz w:val="22"/>
          <w:szCs w:val="22"/>
        </w:rPr>
        <w:t xml:space="preserve"> Statistics 2022</w:t>
      </w:r>
      <w:r w:rsidRPr="00F4232E">
        <w:rPr>
          <w:rFonts w:ascii="Arial" w:hAnsi="Arial" w:cs="Arial"/>
          <w:sz w:val="22"/>
          <w:szCs w:val="22"/>
        </w:rPr>
        <w:t xml:space="preserve">. [online] </w:t>
      </w:r>
      <w:proofErr w:type="spellStart"/>
      <w:r w:rsidRPr="00F4232E">
        <w:rPr>
          <w:rFonts w:ascii="Arial" w:hAnsi="Arial" w:cs="Arial"/>
          <w:sz w:val="22"/>
          <w:szCs w:val="22"/>
        </w:rPr>
        <w:t>resolvefinancial</w:t>
      </w:r>
      <w:proofErr w:type="spellEnd"/>
      <w:r w:rsidRPr="00F4232E">
        <w:rPr>
          <w:rFonts w:ascii="Arial" w:hAnsi="Arial" w:cs="Arial"/>
          <w:sz w:val="22"/>
          <w:szCs w:val="22"/>
        </w:rPr>
        <w:t>. Available at: https://www.resolvefinancial.co.uk/startup-failure-statistics/#:~:text=Number%20and%20Percentages%20of%20UK [Accessed 3 May 2023].</w:t>
      </w:r>
    </w:p>
    <w:p w14:paraId="1DA33557"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Mind Tools (2022). </w:t>
      </w:r>
      <w:r w:rsidRPr="00F4232E">
        <w:rPr>
          <w:rFonts w:ascii="Arial" w:hAnsi="Arial" w:cs="Arial"/>
          <w:i/>
          <w:iCs/>
          <w:sz w:val="22"/>
          <w:szCs w:val="22"/>
        </w:rPr>
        <w:t>Porter’s Five Forces - The Framework Explained</w:t>
      </w:r>
      <w:r w:rsidRPr="00F4232E">
        <w:rPr>
          <w:rFonts w:ascii="Arial" w:hAnsi="Arial" w:cs="Arial"/>
          <w:sz w:val="22"/>
          <w:szCs w:val="22"/>
        </w:rPr>
        <w:t>. [online] www.mindtools.com. Available at: https://www.mindtools.com/at7k8my/porter-s-five-forces [Accessed 3 May 2023].</w:t>
      </w:r>
    </w:p>
    <w:p w14:paraId="19421E27"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Mutebi, N. and Hobbs, A. (2022). The impact of remote and hybrid working on workers and organisations. Available at: https://post.parliament.uk/research-briefings/post-pb-0049/ [Accessed 16 Mar. 2023].</w:t>
      </w:r>
    </w:p>
    <w:p w14:paraId="188B85F4"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lastRenderedPageBreak/>
        <w:t xml:space="preserve">NetSuite.com (2021). </w:t>
      </w:r>
      <w:r w:rsidRPr="00F4232E">
        <w:rPr>
          <w:rFonts w:ascii="Arial" w:hAnsi="Arial" w:cs="Arial"/>
          <w:i/>
          <w:iCs/>
          <w:sz w:val="22"/>
          <w:szCs w:val="22"/>
        </w:rPr>
        <w:t>The 15 Biggest Accounting Challenges of 2021 (And Solutions)</w:t>
      </w:r>
      <w:r w:rsidRPr="00F4232E">
        <w:rPr>
          <w:rFonts w:ascii="Arial" w:hAnsi="Arial" w:cs="Arial"/>
          <w:sz w:val="22"/>
          <w:szCs w:val="22"/>
        </w:rPr>
        <w:t>. [online] Oracle NetSuite. Available at: https://www.netsuite.com/portal/resource/articles/accounting/accounting-challenges.shtml [Accessed 3 May 2023].</w:t>
      </w:r>
    </w:p>
    <w:p w14:paraId="3B9E9591"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Professional Academy (2023). </w:t>
      </w:r>
      <w:proofErr w:type="spellStart"/>
      <w:r w:rsidRPr="00F4232E">
        <w:rPr>
          <w:rFonts w:ascii="Arial" w:hAnsi="Arial" w:cs="Arial"/>
          <w:i/>
          <w:iCs/>
          <w:sz w:val="22"/>
          <w:szCs w:val="22"/>
        </w:rPr>
        <w:t>Mendelow’s</w:t>
      </w:r>
      <w:proofErr w:type="spellEnd"/>
      <w:r w:rsidRPr="00F4232E">
        <w:rPr>
          <w:rFonts w:ascii="Arial" w:hAnsi="Arial" w:cs="Arial"/>
          <w:i/>
          <w:iCs/>
          <w:sz w:val="22"/>
          <w:szCs w:val="22"/>
        </w:rPr>
        <w:t xml:space="preserve"> Matrix - Marketing Theories</w:t>
      </w:r>
      <w:r w:rsidRPr="00F4232E">
        <w:rPr>
          <w:rFonts w:ascii="Arial" w:hAnsi="Arial" w:cs="Arial"/>
          <w:sz w:val="22"/>
          <w:szCs w:val="22"/>
        </w:rPr>
        <w:t>. [online] www.professionalacademy.com. Available at: https://www.professionalacademy.com/blogs/mendelows-matrix-marketing-theories/#:~:text=Mendelow [Accessed 3 May 2023].</w:t>
      </w:r>
    </w:p>
    <w:p w14:paraId="4DDCB0CB"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Shafiq (2020). </w:t>
      </w:r>
      <w:r w:rsidRPr="00F4232E">
        <w:rPr>
          <w:rFonts w:ascii="Arial" w:hAnsi="Arial" w:cs="Arial"/>
          <w:i/>
          <w:iCs/>
          <w:sz w:val="22"/>
          <w:szCs w:val="22"/>
        </w:rPr>
        <w:t>Challenges Facing the UK Higher Education</w:t>
      </w:r>
      <w:r w:rsidRPr="00F4232E">
        <w:rPr>
          <w:rFonts w:ascii="Arial" w:hAnsi="Arial" w:cs="Arial"/>
          <w:sz w:val="22"/>
          <w:szCs w:val="22"/>
        </w:rPr>
        <w:t>. [online] Boost Education Service. Available at: https://www.boosteducationservice.co.uk/challenges-facing-the-uk-higher-education/ [Accessed 16 Mar. 2023].</w:t>
      </w:r>
    </w:p>
    <w:p w14:paraId="267742C6"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proofErr w:type="spellStart"/>
      <w:r w:rsidRPr="00F4232E">
        <w:rPr>
          <w:rFonts w:ascii="Arial" w:hAnsi="Arial" w:cs="Arial"/>
          <w:sz w:val="22"/>
          <w:szCs w:val="22"/>
        </w:rPr>
        <w:t>Skbthemes</w:t>
      </w:r>
      <w:proofErr w:type="spellEnd"/>
      <w:r w:rsidRPr="00F4232E">
        <w:rPr>
          <w:rFonts w:ascii="Arial" w:hAnsi="Arial" w:cs="Arial"/>
          <w:sz w:val="22"/>
          <w:szCs w:val="22"/>
        </w:rPr>
        <w:t xml:space="preserve"> and Rahman, M. (2021). </w:t>
      </w:r>
      <w:r w:rsidRPr="00F4232E">
        <w:rPr>
          <w:rFonts w:ascii="Arial" w:hAnsi="Arial" w:cs="Arial"/>
          <w:i/>
          <w:iCs/>
          <w:sz w:val="22"/>
          <w:szCs w:val="22"/>
        </w:rPr>
        <w:t>PESTEL analysis of the education industry</w:t>
      </w:r>
      <w:r w:rsidRPr="00F4232E">
        <w:rPr>
          <w:rFonts w:ascii="Arial" w:hAnsi="Arial" w:cs="Arial"/>
          <w:sz w:val="22"/>
          <w:szCs w:val="22"/>
        </w:rPr>
        <w:t>. [online] howandwhat.net. Available at: https://www.howandwhat.net/pestel-analysis-education-industry/ [Accessed 16 Mar. 2023].</w:t>
      </w:r>
    </w:p>
    <w:p w14:paraId="48497667"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Team, W.E. (2022). </w:t>
      </w:r>
      <w:r w:rsidRPr="00F4232E">
        <w:rPr>
          <w:rFonts w:ascii="Arial" w:hAnsi="Arial" w:cs="Arial"/>
          <w:i/>
          <w:iCs/>
          <w:sz w:val="22"/>
          <w:szCs w:val="22"/>
        </w:rPr>
        <w:t>Risk and Return</w:t>
      </w:r>
      <w:r w:rsidRPr="00F4232E">
        <w:rPr>
          <w:rFonts w:ascii="Arial" w:hAnsi="Arial" w:cs="Arial"/>
          <w:sz w:val="22"/>
          <w:szCs w:val="22"/>
        </w:rPr>
        <w:t xml:space="preserve">. [online] </w:t>
      </w:r>
      <w:proofErr w:type="spellStart"/>
      <w:r w:rsidRPr="00F4232E">
        <w:rPr>
          <w:rFonts w:ascii="Arial" w:hAnsi="Arial" w:cs="Arial"/>
          <w:sz w:val="22"/>
          <w:szCs w:val="22"/>
        </w:rPr>
        <w:t>WallStreetMojo</w:t>
      </w:r>
      <w:proofErr w:type="spellEnd"/>
      <w:r w:rsidRPr="00F4232E">
        <w:rPr>
          <w:rFonts w:ascii="Arial" w:hAnsi="Arial" w:cs="Arial"/>
          <w:sz w:val="22"/>
          <w:szCs w:val="22"/>
        </w:rPr>
        <w:t>. Available at: https://www.wallstreetmojo.com/risk-and-return/ [Accessed 3 May 2023].</w:t>
      </w:r>
    </w:p>
    <w:p w14:paraId="45502A67"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proofErr w:type="spellStart"/>
      <w:r w:rsidRPr="00F4232E">
        <w:rPr>
          <w:rFonts w:ascii="Arial" w:hAnsi="Arial" w:cs="Arial"/>
          <w:sz w:val="22"/>
          <w:szCs w:val="22"/>
        </w:rPr>
        <w:t>Teoli</w:t>
      </w:r>
      <w:proofErr w:type="spellEnd"/>
      <w:r w:rsidRPr="00F4232E">
        <w:rPr>
          <w:rFonts w:ascii="Arial" w:hAnsi="Arial" w:cs="Arial"/>
          <w:sz w:val="22"/>
          <w:szCs w:val="22"/>
        </w:rPr>
        <w:t xml:space="preserve">, D., </w:t>
      </w:r>
      <w:proofErr w:type="spellStart"/>
      <w:r w:rsidRPr="00F4232E">
        <w:rPr>
          <w:rFonts w:ascii="Arial" w:hAnsi="Arial" w:cs="Arial"/>
          <w:sz w:val="22"/>
          <w:szCs w:val="22"/>
        </w:rPr>
        <w:t>Sanvictores</w:t>
      </w:r>
      <w:proofErr w:type="spellEnd"/>
      <w:r w:rsidRPr="00F4232E">
        <w:rPr>
          <w:rFonts w:ascii="Arial" w:hAnsi="Arial" w:cs="Arial"/>
          <w:sz w:val="22"/>
          <w:szCs w:val="22"/>
        </w:rPr>
        <w:t xml:space="preserve">, T. and An, J. (2022). </w:t>
      </w:r>
      <w:r w:rsidRPr="00F4232E">
        <w:rPr>
          <w:rFonts w:ascii="Arial" w:hAnsi="Arial" w:cs="Arial"/>
          <w:i/>
          <w:iCs/>
          <w:sz w:val="22"/>
          <w:szCs w:val="22"/>
        </w:rPr>
        <w:t>SWOT Analysis</w:t>
      </w:r>
      <w:r w:rsidRPr="00F4232E">
        <w:rPr>
          <w:rFonts w:ascii="Arial" w:hAnsi="Arial" w:cs="Arial"/>
          <w:sz w:val="22"/>
          <w:szCs w:val="22"/>
        </w:rPr>
        <w:t>. [online] PubMed. Available at: https://www.ncbi.nlm.nih.gov/books/NBK537302/#:~:text=SWOT%20Analysis%20(short%20for%20strengths [Accessed 3 May 2023].</w:t>
      </w:r>
    </w:p>
    <w:p w14:paraId="2F779B38"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The Association of Accounting Technicians (2022). </w:t>
      </w:r>
      <w:r w:rsidRPr="00F4232E">
        <w:rPr>
          <w:rFonts w:ascii="Arial" w:hAnsi="Arial" w:cs="Arial"/>
          <w:i/>
          <w:iCs/>
          <w:sz w:val="22"/>
          <w:szCs w:val="22"/>
        </w:rPr>
        <w:t>Responsive Agile Decisive</w:t>
      </w:r>
      <w:r w:rsidRPr="00F4232E">
        <w:rPr>
          <w:rFonts w:ascii="Arial" w:hAnsi="Arial" w:cs="Arial"/>
          <w:sz w:val="22"/>
          <w:szCs w:val="22"/>
        </w:rPr>
        <w:t xml:space="preserve">. [online] </w:t>
      </w:r>
      <w:r w:rsidRPr="00F4232E">
        <w:rPr>
          <w:rFonts w:ascii="Arial" w:hAnsi="Arial" w:cs="Arial"/>
          <w:i/>
          <w:iCs/>
          <w:sz w:val="22"/>
          <w:szCs w:val="22"/>
        </w:rPr>
        <w:t>www.aat.org.uk</w:t>
      </w:r>
      <w:r w:rsidRPr="00F4232E">
        <w:rPr>
          <w:rFonts w:ascii="Arial" w:hAnsi="Arial" w:cs="Arial"/>
          <w:sz w:val="22"/>
          <w:szCs w:val="22"/>
        </w:rPr>
        <w:t>, p.6. Available at: https://www.aat.org.uk/prod/s3fs-public/assets/Responsive-agile-decisive-AAT-Annual-Report-2022.pdf [Accessed 8 Mar. 2023].</w:t>
      </w:r>
    </w:p>
    <w:p w14:paraId="1A8A791B" w14:textId="77777777" w:rsidR="00F4232E" w:rsidRPr="00F4232E" w:rsidRDefault="00F4232E" w:rsidP="00F4232E">
      <w:pPr>
        <w:pStyle w:val="NormalWeb"/>
        <w:spacing w:before="0" w:beforeAutospacing="0" w:after="240" w:afterAutospacing="0" w:line="360" w:lineRule="auto"/>
        <w:rPr>
          <w:rFonts w:ascii="Arial" w:hAnsi="Arial" w:cs="Arial"/>
          <w:sz w:val="22"/>
          <w:szCs w:val="22"/>
        </w:rPr>
      </w:pPr>
      <w:r w:rsidRPr="00F4232E">
        <w:rPr>
          <w:rFonts w:ascii="Arial" w:hAnsi="Arial" w:cs="Arial"/>
          <w:sz w:val="22"/>
          <w:szCs w:val="22"/>
        </w:rPr>
        <w:t xml:space="preserve">Zamora, E.A. (2016). Value Chain Analysis: A Brief Review. </w:t>
      </w:r>
      <w:r w:rsidRPr="00F4232E">
        <w:rPr>
          <w:rFonts w:ascii="Arial" w:hAnsi="Arial" w:cs="Arial"/>
          <w:i/>
          <w:iCs/>
          <w:sz w:val="22"/>
          <w:szCs w:val="22"/>
        </w:rPr>
        <w:t>Asian Journal of Innovation and Policy</w:t>
      </w:r>
      <w:r w:rsidRPr="00F4232E">
        <w:rPr>
          <w:rFonts w:ascii="Arial" w:hAnsi="Arial" w:cs="Arial"/>
          <w:sz w:val="22"/>
          <w:szCs w:val="22"/>
        </w:rPr>
        <w:t xml:space="preserve">, [online] 5(2), pp.116–128. </w:t>
      </w:r>
      <w:proofErr w:type="spellStart"/>
      <w:proofErr w:type="gramStart"/>
      <w:r w:rsidRPr="00F4232E">
        <w:rPr>
          <w:rFonts w:ascii="Arial" w:hAnsi="Arial" w:cs="Arial"/>
          <w:sz w:val="22"/>
          <w:szCs w:val="22"/>
        </w:rPr>
        <w:t>doi:https</w:t>
      </w:r>
      <w:proofErr w:type="spellEnd"/>
      <w:r w:rsidRPr="00F4232E">
        <w:rPr>
          <w:rFonts w:ascii="Arial" w:hAnsi="Arial" w:cs="Arial"/>
          <w:sz w:val="22"/>
          <w:szCs w:val="22"/>
        </w:rPr>
        <w:t>://doi.org/10.7545/ajip.2016.5.2.116</w:t>
      </w:r>
      <w:proofErr w:type="gramEnd"/>
      <w:r w:rsidRPr="00F4232E">
        <w:rPr>
          <w:rFonts w:ascii="Arial" w:hAnsi="Arial" w:cs="Arial"/>
          <w:sz w:val="22"/>
          <w:szCs w:val="22"/>
        </w:rPr>
        <w:t>.</w:t>
      </w:r>
    </w:p>
    <w:p w14:paraId="252BFAEE" w14:textId="77777777" w:rsidR="000F64A6" w:rsidRPr="000F64A6" w:rsidRDefault="000F64A6" w:rsidP="000F64A6">
      <w:pPr>
        <w:rPr>
          <w:lang w:bidi="en-US"/>
        </w:rPr>
      </w:pPr>
    </w:p>
    <w:sectPr w:rsidR="000F64A6" w:rsidRPr="000F64A6" w:rsidSect="00CC51F5">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A5D7E" w14:textId="77777777" w:rsidR="00FF1526" w:rsidRDefault="00FF1526" w:rsidP="00214D96">
      <w:pPr>
        <w:spacing w:after="0" w:line="240" w:lineRule="auto"/>
      </w:pPr>
      <w:r>
        <w:separator/>
      </w:r>
    </w:p>
  </w:endnote>
  <w:endnote w:type="continuationSeparator" w:id="0">
    <w:p w14:paraId="7FE910A4" w14:textId="77777777" w:rsidR="00FF1526" w:rsidRDefault="00FF1526" w:rsidP="00214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ira Sans Medium">
    <w:panose1 w:val="020B0603050000020004"/>
    <w:charset w:val="00"/>
    <w:family w:val="swiss"/>
    <w:pitch w:val="variable"/>
    <w:sig w:usb0="600002FF" w:usb1="00000001"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EB1E7" w14:textId="309749D3" w:rsidR="00CC51F5" w:rsidRPr="000703B9" w:rsidRDefault="00CC51F5">
    <w:pPr>
      <w:pStyle w:val="Footer"/>
      <w:jc w:val="right"/>
      <w:rPr>
        <w:color w:val="C00000"/>
      </w:rPr>
    </w:pPr>
    <w:r w:rsidRPr="000703B9">
      <w:rPr>
        <w:noProof/>
        <w:color w:val="C00000"/>
      </w:rPr>
      <w:drawing>
        <wp:anchor distT="0" distB="0" distL="114300" distR="114300" simplePos="0" relativeHeight="251659264" behindDoc="0" locked="0" layoutInCell="1" allowOverlap="1" wp14:anchorId="1CB51232" wp14:editId="394A5DD1">
          <wp:simplePos x="0" y="0"/>
          <wp:positionH relativeFrom="column">
            <wp:posOffset>-254940</wp:posOffset>
          </wp:positionH>
          <wp:positionV relativeFrom="paragraph">
            <wp:posOffset>-61707</wp:posOffset>
          </wp:positionV>
          <wp:extent cx="1604645" cy="671195"/>
          <wp:effectExtent l="0" t="0" r="0" b="1905"/>
          <wp:wrapThrough wrapText="bothSides">
            <wp:wrapPolygon edited="0">
              <wp:start x="0" y="0"/>
              <wp:lineTo x="0" y="21253"/>
              <wp:lineTo x="21369" y="21253"/>
              <wp:lineTo x="21369" y="0"/>
              <wp:lineTo x="0" y="0"/>
            </wp:wrapPolygon>
          </wp:wrapThrough>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1">
                    <a:alphaModFix amt="70000"/>
                    <a:extLst>
                      <a:ext uri="{28A0092B-C50C-407E-A947-70E740481C1C}">
                        <a14:useLocalDpi xmlns:a14="http://schemas.microsoft.com/office/drawing/2010/main" val="0"/>
                      </a:ext>
                    </a:extLst>
                  </a:blip>
                  <a:srcRect/>
                  <a:stretch>
                    <a:fillRect/>
                  </a:stretch>
                </pic:blipFill>
                <pic:spPr bwMode="auto">
                  <a:xfrm>
                    <a:off x="0" y="0"/>
                    <a:ext cx="1604645" cy="671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703B9">
      <w:rPr>
        <w:color w:val="C00000"/>
      </w:rPr>
      <w:t xml:space="preserve">pg. </w:t>
    </w:r>
    <w:r w:rsidRPr="000703B9">
      <w:rPr>
        <w:color w:val="C00000"/>
      </w:rPr>
      <w:fldChar w:fldCharType="begin"/>
    </w:r>
    <w:r w:rsidRPr="000703B9">
      <w:rPr>
        <w:color w:val="C00000"/>
      </w:rPr>
      <w:instrText xml:space="preserve"> PAGE  \* Arabic </w:instrText>
    </w:r>
    <w:r w:rsidRPr="000703B9">
      <w:rPr>
        <w:color w:val="C00000"/>
      </w:rPr>
      <w:fldChar w:fldCharType="separate"/>
    </w:r>
    <w:r w:rsidRPr="000703B9">
      <w:rPr>
        <w:noProof/>
        <w:color w:val="C00000"/>
      </w:rPr>
      <w:t>1</w:t>
    </w:r>
    <w:r w:rsidRPr="000703B9">
      <w:rPr>
        <w:color w:val="C00000"/>
      </w:rPr>
      <w:fldChar w:fldCharType="end"/>
    </w:r>
  </w:p>
  <w:p w14:paraId="4793AD43" w14:textId="3E071401" w:rsidR="00214D96" w:rsidRDefault="00214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3AA9B" w14:textId="77777777" w:rsidR="00FF1526" w:rsidRDefault="00FF1526" w:rsidP="00214D96">
      <w:pPr>
        <w:spacing w:after="0" w:line="240" w:lineRule="auto"/>
      </w:pPr>
      <w:r>
        <w:separator/>
      </w:r>
    </w:p>
  </w:footnote>
  <w:footnote w:type="continuationSeparator" w:id="0">
    <w:p w14:paraId="0EB6D27F" w14:textId="77777777" w:rsidR="00FF1526" w:rsidRDefault="00FF1526" w:rsidP="00214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94952"/>
    <w:multiLevelType w:val="hybridMultilevel"/>
    <w:tmpl w:val="265622D4"/>
    <w:lvl w:ilvl="0" w:tplc="03A6360E">
      <w:start w:val="2"/>
      <w:numFmt w:val="bullet"/>
      <w:lvlText w:val="-"/>
      <w:lvlJc w:val="left"/>
      <w:pPr>
        <w:ind w:left="720" w:hanging="360"/>
      </w:pPr>
      <w:rPr>
        <w:rFonts w:ascii="Fira Sans Medium" w:eastAsia="Fira Sans Medium" w:hAnsi="Fira Sans Medium" w:cs="Fira Sans Medium"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755A"/>
    <w:multiLevelType w:val="multilevel"/>
    <w:tmpl w:val="B0BA6478"/>
    <w:lvl w:ilvl="0">
      <w:start w:val="1"/>
      <w:numFmt w:val="bullet"/>
      <w:lvlText w:val="●"/>
      <w:lvlJc w:val="left"/>
      <w:pPr>
        <w:ind w:left="720" w:firstLine="360"/>
      </w:pPr>
      <w:rPr>
        <w:rFonts w:ascii="Arial" w:eastAsia="Arial" w:hAnsi="Arial" w:cs="Arial"/>
        <w:b/>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i w:val="0"/>
        <w:smallCaps w:val="0"/>
        <w:strike w:val="0"/>
        <w:color w:val="000000"/>
        <w:sz w:val="22"/>
        <w:u w:val="none"/>
        <w:vertAlign w:val="baseline"/>
      </w:rPr>
    </w:lvl>
  </w:abstractNum>
  <w:abstractNum w:abstractNumId="2" w15:restartNumberingAfterBreak="0">
    <w:nsid w:val="114C3B80"/>
    <w:multiLevelType w:val="hybridMultilevel"/>
    <w:tmpl w:val="93629E94"/>
    <w:lvl w:ilvl="0" w:tplc="7C6A7082">
      <w:start w:val="2"/>
      <w:numFmt w:val="bullet"/>
      <w:lvlText w:val="-"/>
      <w:lvlJc w:val="left"/>
      <w:pPr>
        <w:ind w:left="720" w:hanging="360"/>
      </w:pPr>
      <w:rPr>
        <w:rFonts w:ascii="Fira Sans Medium" w:eastAsia="Fira Sans Medium" w:hAnsi="Fira Sans Medium" w:cs="Fira Sans Medium"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83AA5"/>
    <w:multiLevelType w:val="hybridMultilevel"/>
    <w:tmpl w:val="039E3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C4A93"/>
    <w:multiLevelType w:val="hybridMultilevel"/>
    <w:tmpl w:val="7570D386"/>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E060E35"/>
    <w:multiLevelType w:val="multilevel"/>
    <w:tmpl w:val="7232864A"/>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6" w15:restartNumberingAfterBreak="0">
    <w:nsid w:val="1F891597"/>
    <w:multiLevelType w:val="hybridMultilevel"/>
    <w:tmpl w:val="DE40D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5C5408"/>
    <w:multiLevelType w:val="multilevel"/>
    <w:tmpl w:val="0CAC90A0"/>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8" w15:restartNumberingAfterBreak="0">
    <w:nsid w:val="2DE275BD"/>
    <w:multiLevelType w:val="hybridMultilevel"/>
    <w:tmpl w:val="36FC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A29BC"/>
    <w:multiLevelType w:val="multilevel"/>
    <w:tmpl w:val="74C2C1D8"/>
    <w:lvl w:ilvl="0">
      <w:start w:val="1"/>
      <w:numFmt w:val="bullet"/>
      <w:lvlText w:val="●"/>
      <w:lvlJc w:val="left"/>
      <w:pPr>
        <w:ind w:left="720" w:firstLine="360"/>
      </w:pPr>
      <w:rPr>
        <w:rFonts w:ascii="Arial" w:eastAsia="Arial" w:hAnsi="Arial" w:cs="Arial"/>
        <w:b/>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i w:val="0"/>
        <w:smallCaps w:val="0"/>
        <w:strike w:val="0"/>
        <w:color w:val="000000"/>
        <w:sz w:val="22"/>
        <w:u w:val="none"/>
        <w:vertAlign w:val="baseline"/>
      </w:rPr>
    </w:lvl>
  </w:abstractNum>
  <w:abstractNum w:abstractNumId="10" w15:restartNumberingAfterBreak="0">
    <w:nsid w:val="386A6B01"/>
    <w:multiLevelType w:val="hybridMultilevel"/>
    <w:tmpl w:val="C1623CC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4C39EC"/>
    <w:multiLevelType w:val="multilevel"/>
    <w:tmpl w:val="B51EB458"/>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2" w15:restartNumberingAfterBreak="0">
    <w:nsid w:val="49366FCF"/>
    <w:multiLevelType w:val="hybridMultilevel"/>
    <w:tmpl w:val="3320D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9E7354"/>
    <w:multiLevelType w:val="multilevel"/>
    <w:tmpl w:val="424264E8"/>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14" w15:restartNumberingAfterBreak="0">
    <w:nsid w:val="59F128AC"/>
    <w:multiLevelType w:val="hybridMultilevel"/>
    <w:tmpl w:val="F49E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BB4562"/>
    <w:multiLevelType w:val="hybridMultilevel"/>
    <w:tmpl w:val="085E5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692DEC"/>
    <w:multiLevelType w:val="hybridMultilevel"/>
    <w:tmpl w:val="E9446A1E"/>
    <w:lvl w:ilvl="0" w:tplc="7174F84C">
      <w:numFmt w:val="bullet"/>
      <w:lvlText w:val=""/>
      <w:lvlJc w:val="left"/>
      <w:pPr>
        <w:ind w:left="1180" w:hanging="360"/>
      </w:pPr>
      <w:rPr>
        <w:rFonts w:ascii="Symbol" w:eastAsia="Symbol" w:hAnsi="Symbol" w:cs="Symbol" w:hint="default"/>
        <w:b w:val="0"/>
        <w:bCs w:val="0"/>
        <w:i w:val="0"/>
        <w:iCs w:val="0"/>
        <w:w w:val="99"/>
        <w:sz w:val="20"/>
        <w:szCs w:val="20"/>
        <w:lang w:val="en-US" w:eastAsia="en-US" w:bidi="ar-SA"/>
      </w:rPr>
    </w:lvl>
    <w:lvl w:ilvl="1" w:tplc="1916B26A">
      <w:numFmt w:val="bullet"/>
      <w:lvlText w:val="•"/>
      <w:lvlJc w:val="left"/>
      <w:pPr>
        <w:ind w:left="1976" w:hanging="360"/>
      </w:pPr>
      <w:rPr>
        <w:rFonts w:hint="default"/>
        <w:lang w:val="en-US" w:eastAsia="en-US" w:bidi="ar-SA"/>
      </w:rPr>
    </w:lvl>
    <w:lvl w:ilvl="2" w:tplc="0602B3FA">
      <w:numFmt w:val="bullet"/>
      <w:lvlText w:val="•"/>
      <w:lvlJc w:val="left"/>
      <w:pPr>
        <w:ind w:left="2773" w:hanging="360"/>
      </w:pPr>
      <w:rPr>
        <w:rFonts w:hint="default"/>
        <w:lang w:val="en-US" w:eastAsia="en-US" w:bidi="ar-SA"/>
      </w:rPr>
    </w:lvl>
    <w:lvl w:ilvl="3" w:tplc="EDDEF25A">
      <w:numFmt w:val="bullet"/>
      <w:lvlText w:val="•"/>
      <w:lvlJc w:val="left"/>
      <w:pPr>
        <w:ind w:left="3569" w:hanging="360"/>
      </w:pPr>
      <w:rPr>
        <w:rFonts w:hint="default"/>
        <w:lang w:val="en-US" w:eastAsia="en-US" w:bidi="ar-SA"/>
      </w:rPr>
    </w:lvl>
    <w:lvl w:ilvl="4" w:tplc="E8EA1164">
      <w:numFmt w:val="bullet"/>
      <w:lvlText w:val="•"/>
      <w:lvlJc w:val="left"/>
      <w:pPr>
        <w:ind w:left="4366" w:hanging="360"/>
      </w:pPr>
      <w:rPr>
        <w:rFonts w:hint="default"/>
        <w:lang w:val="en-US" w:eastAsia="en-US" w:bidi="ar-SA"/>
      </w:rPr>
    </w:lvl>
    <w:lvl w:ilvl="5" w:tplc="7736CC3E">
      <w:numFmt w:val="bullet"/>
      <w:lvlText w:val="•"/>
      <w:lvlJc w:val="left"/>
      <w:pPr>
        <w:ind w:left="5163" w:hanging="360"/>
      </w:pPr>
      <w:rPr>
        <w:rFonts w:hint="default"/>
        <w:lang w:val="en-US" w:eastAsia="en-US" w:bidi="ar-SA"/>
      </w:rPr>
    </w:lvl>
    <w:lvl w:ilvl="6" w:tplc="F5EC0430">
      <w:numFmt w:val="bullet"/>
      <w:lvlText w:val="•"/>
      <w:lvlJc w:val="left"/>
      <w:pPr>
        <w:ind w:left="5959" w:hanging="360"/>
      </w:pPr>
      <w:rPr>
        <w:rFonts w:hint="default"/>
        <w:lang w:val="en-US" w:eastAsia="en-US" w:bidi="ar-SA"/>
      </w:rPr>
    </w:lvl>
    <w:lvl w:ilvl="7" w:tplc="13A852E4">
      <w:numFmt w:val="bullet"/>
      <w:lvlText w:val="•"/>
      <w:lvlJc w:val="left"/>
      <w:pPr>
        <w:ind w:left="6756" w:hanging="360"/>
      </w:pPr>
      <w:rPr>
        <w:rFonts w:hint="default"/>
        <w:lang w:val="en-US" w:eastAsia="en-US" w:bidi="ar-SA"/>
      </w:rPr>
    </w:lvl>
    <w:lvl w:ilvl="8" w:tplc="7EA87DC8">
      <w:numFmt w:val="bullet"/>
      <w:lvlText w:val="•"/>
      <w:lvlJc w:val="left"/>
      <w:pPr>
        <w:ind w:left="7553" w:hanging="360"/>
      </w:pPr>
      <w:rPr>
        <w:rFonts w:hint="default"/>
        <w:lang w:val="en-US" w:eastAsia="en-US" w:bidi="ar-SA"/>
      </w:rPr>
    </w:lvl>
  </w:abstractNum>
  <w:abstractNum w:abstractNumId="17" w15:restartNumberingAfterBreak="0">
    <w:nsid w:val="60811030"/>
    <w:multiLevelType w:val="hybridMultilevel"/>
    <w:tmpl w:val="573CF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1F3B82"/>
    <w:multiLevelType w:val="hybridMultilevel"/>
    <w:tmpl w:val="C5F01A14"/>
    <w:lvl w:ilvl="0" w:tplc="ED1839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ED77C7"/>
    <w:multiLevelType w:val="multilevel"/>
    <w:tmpl w:val="C986AAB4"/>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abstractNum w:abstractNumId="20" w15:restartNumberingAfterBreak="0">
    <w:nsid w:val="777E6C4E"/>
    <w:multiLevelType w:val="hybridMultilevel"/>
    <w:tmpl w:val="394C6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553856"/>
    <w:multiLevelType w:val="multilevel"/>
    <w:tmpl w:val="1744F4C0"/>
    <w:lvl w:ilvl="0">
      <w:start w:val="1"/>
      <w:numFmt w:val="bullet"/>
      <w:lvlText w:val="●"/>
      <w:lvlJc w:val="left"/>
      <w:pPr>
        <w:ind w:left="720" w:firstLine="360"/>
      </w:pPr>
      <w:rPr>
        <w:rFonts w:ascii="Arial" w:eastAsia="Arial" w:hAnsi="Arial" w:cs="Arial"/>
        <w:b w:val="0"/>
        <w:i w:val="0"/>
        <w:smallCaps w:val="0"/>
        <w:strike w:val="0"/>
        <w:color w:val="000000"/>
        <w:sz w:val="22"/>
        <w:u w:val="none"/>
        <w:vertAlign w:val="baseline"/>
      </w:rPr>
    </w:lvl>
    <w:lvl w:ilvl="1">
      <w:start w:val="1"/>
      <w:numFmt w:val="bullet"/>
      <w:lvlText w:val="○"/>
      <w:lvlJc w:val="left"/>
      <w:pPr>
        <w:ind w:left="1440" w:firstLine="1080"/>
      </w:pPr>
      <w:rPr>
        <w:rFonts w:ascii="Arial" w:eastAsia="Arial" w:hAnsi="Arial" w:cs="Arial"/>
        <w:b w:val="0"/>
        <w:i w:val="0"/>
        <w:smallCaps w:val="0"/>
        <w:strike w:val="0"/>
        <w:color w:val="000000"/>
        <w:sz w:val="22"/>
        <w:u w:val="none"/>
        <w:vertAlign w:val="baseline"/>
      </w:rPr>
    </w:lvl>
    <w:lvl w:ilvl="2">
      <w:start w:val="1"/>
      <w:numFmt w:val="bullet"/>
      <w:lvlText w:val="■"/>
      <w:lvlJc w:val="left"/>
      <w:pPr>
        <w:ind w:left="2160" w:firstLine="1800"/>
      </w:pPr>
      <w:rPr>
        <w:rFonts w:ascii="Arial" w:eastAsia="Arial" w:hAnsi="Arial" w:cs="Arial"/>
        <w:b w:val="0"/>
        <w:i w:val="0"/>
        <w:smallCaps w:val="0"/>
        <w:strike w:val="0"/>
        <w:color w:val="000000"/>
        <w:sz w:val="22"/>
        <w:u w:val="none"/>
        <w:vertAlign w:val="baseline"/>
      </w:rPr>
    </w:lvl>
    <w:lvl w:ilvl="3">
      <w:start w:val="1"/>
      <w:numFmt w:val="bullet"/>
      <w:lvlText w:val="●"/>
      <w:lvlJc w:val="left"/>
      <w:pPr>
        <w:ind w:left="2880" w:firstLine="2520"/>
      </w:pPr>
      <w:rPr>
        <w:rFonts w:ascii="Arial" w:eastAsia="Arial" w:hAnsi="Arial" w:cs="Arial"/>
        <w:b w:val="0"/>
        <w:i w:val="0"/>
        <w:smallCaps w:val="0"/>
        <w:strike w:val="0"/>
        <w:color w:val="000000"/>
        <w:sz w:val="22"/>
        <w:u w:val="none"/>
        <w:vertAlign w:val="baseline"/>
      </w:rPr>
    </w:lvl>
    <w:lvl w:ilvl="4">
      <w:start w:val="1"/>
      <w:numFmt w:val="bullet"/>
      <w:lvlText w:val="○"/>
      <w:lvlJc w:val="left"/>
      <w:pPr>
        <w:ind w:left="3600" w:firstLine="3240"/>
      </w:pPr>
      <w:rPr>
        <w:rFonts w:ascii="Arial" w:eastAsia="Arial" w:hAnsi="Arial" w:cs="Arial"/>
        <w:b w:val="0"/>
        <w:i w:val="0"/>
        <w:smallCaps w:val="0"/>
        <w:strike w:val="0"/>
        <w:color w:val="000000"/>
        <w:sz w:val="22"/>
        <w:u w:val="none"/>
        <w:vertAlign w:val="baseline"/>
      </w:rPr>
    </w:lvl>
    <w:lvl w:ilvl="5">
      <w:start w:val="1"/>
      <w:numFmt w:val="bullet"/>
      <w:lvlText w:val="■"/>
      <w:lvlJc w:val="left"/>
      <w:pPr>
        <w:ind w:left="4320" w:firstLine="3960"/>
      </w:pPr>
      <w:rPr>
        <w:rFonts w:ascii="Arial" w:eastAsia="Arial" w:hAnsi="Arial" w:cs="Arial"/>
        <w:b w:val="0"/>
        <w:i w:val="0"/>
        <w:smallCaps w:val="0"/>
        <w:strike w:val="0"/>
        <w:color w:val="000000"/>
        <w:sz w:val="22"/>
        <w:u w:val="none"/>
        <w:vertAlign w:val="baseline"/>
      </w:rPr>
    </w:lvl>
    <w:lvl w:ilvl="6">
      <w:start w:val="1"/>
      <w:numFmt w:val="bullet"/>
      <w:lvlText w:val="●"/>
      <w:lvlJc w:val="left"/>
      <w:pPr>
        <w:ind w:left="5040" w:firstLine="4680"/>
      </w:pPr>
      <w:rPr>
        <w:rFonts w:ascii="Arial" w:eastAsia="Arial" w:hAnsi="Arial" w:cs="Arial"/>
        <w:b w:val="0"/>
        <w:i w:val="0"/>
        <w:smallCaps w:val="0"/>
        <w:strike w:val="0"/>
        <w:color w:val="000000"/>
        <w:sz w:val="22"/>
        <w:u w:val="none"/>
        <w:vertAlign w:val="baseline"/>
      </w:rPr>
    </w:lvl>
    <w:lvl w:ilvl="7">
      <w:start w:val="1"/>
      <w:numFmt w:val="bullet"/>
      <w:lvlText w:val="○"/>
      <w:lvlJc w:val="left"/>
      <w:pPr>
        <w:ind w:left="5760" w:firstLine="5400"/>
      </w:pPr>
      <w:rPr>
        <w:rFonts w:ascii="Arial" w:eastAsia="Arial" w:hAnsi="Arial" w:cs="Arial"/>
        <w:b w:val="0"/>
        <w:i w:val="0"/>
        <w:smallCaps w:val="0"/>
        <w:strike w:val="0"/>
        <w:color w:val="000000"/>
        <w:sz w:val="22"/>
        <w:u w:val="none"/>
        <w:vertAlign w:val="baseline"/>
      </w:rPr>
    </w:lvl>
    <w:lvl w:ilvl="8">
      <w:start w:val="1"/>
      <w:numFmt w:val="bullet"/>
      <w:lvlText w:val="■"/>
      <w:lvlJc w:val="left"/>
      <w:pPr>
        <w:ind w:left="6480" w:firstLine="6120"/>
      </w:pPr>
      <w:rPr>
        <w:rFonts w:ascii="Arial" w:eastAsia="Arial" w:hAnsi="Arial" w:cs="Arial"/>
        <w:b w:val="0"/>
        <w:i w:val="0"/>
        <w:smallCaps w:val="0"/>
        <w:strike w:val="0"/>
        <w:color w:val="000000"/>
        <w:sz w:val="22"/>
        <w:u w:val="none"/>
        <w:vertAlign w:val="baseline"/>
      </w:rPr>
    </w:lvl>
  </w:abstractNum>
  <w:num w:numId="1" w16cid:durableId="750080957">
    <w:abstractNumId w:val="10"/>
  </w:num>
  <w:num w:numId="2" w16cid:durableId="644049865">
    <w:abstractNumId w:val="4"/>
  </w:num>
  <w:num w:numId="3" w16cid:durableId="461658462">
    <w:abstractNumId w:val="16"/>
  </w:num>
  <w:num w:numId="4" w16cid:durableId="540435429">
    <w:abstractNumId w:val="19"/>
  </w:num>
  <w:num w:numId="5" w16cid:durableId="594674354">
    <w:abstractNumId w:val="21"/>
  </w:num>
  <w:num w:numId="6" w16cid:durableId="465513494">
    <w:abstractNumId w:val="13"/>
  </w:num>
  <w:num w:numId="7" w16cid:durableId="1997028540">
    <w:abstractNumId w:val="11"/>
  </w:num>
  <w:num w:numId="8" w16cid:durableId="1122697808">
    <w:abstractNumId w:val="7"/>
  </w:num>
  <w:num w:numId="9" w16cid:durableId="1710490516">
    <w:abstractNumId w:val="5"/>
  </w:num>
  <w:num w:numId="10" w16cid:durableId="1843397839">
    <w:abstractNumId w:val="9"/>
  </w:num>
  <w:num w:numId="11" w16cid:durableId="725763936">
    <w:abstractNumId w:val="1"/>
  </w:num>
  <w:num w:numId="12" w16cid:durableId="716124559">
    <w:abstractNumId w:val="20"/>
  </w:num>
  <w:num w:numId="13" w16cid:durableId="1326593115">
    <w:abstractNumId w:val="12"/>
  </w:num>
  <w:num w:numId="14" w16cid:durableId="289945016">
    <w:abstractNumId w:val="0"/>
  </w:num>
  <w:num w:numId="15" w16cid:durableId="1326276181">
    <w:abstractNumId w:val="2"/>
  </w:num>
  <w:num w:numId="16" w16cid:durableId="721948341">
    <w:abstractNumId w:val="18"/>
  </w:num>
  <w:num w:numId="17" w16cid:durableId="1836915331">
    <w:abstractNumId w:val="15"/>
  </w:num>
  <w:num w:numId="18" w16cid:durableId="2036344891">
    <w:abstractNumId w:val="3"/>
  </w:num>
  <w:num w:numId="19" w16cid:durableId="137917201">
    <w:abstractNumId w:val="6"/>
  </w:num>
  <w:num w:numId="20" w16cid:durableId="326903452">
    <w:abstractNumId w:val="14"/>
  </w:num>
  <w:num w:numId="21" w16cid:durableId="2070374255">
    <w:abstractNumId w:val="17"/>
  </w:num>
  <w:num w:numId="22" w16cid:durableId="1841845004">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073"/>
    <w:rsid w:val="00003511"/>
    <w:rsid w:val="00010EF2"/>
    <w:rsid w:val="000314BC"/>
    <w:rsid w:val="000343A2"/>
    <w:rsid w:val="00057C3A"/>
    <w:rsid w:val="00065461"/>
    <w:rsid w:val="00066A67"/>
    <w:rsid w:val="000703B9"/>
    <w:rsid w:val="00075D5A"/>
    <w:rsid w:val="00084C4F"/>
    <w:rsid w:val="00085321"/>
    <w:rsid w:val="000875B4"/>
    <w:rsid w:val="000C5B75"/>
    <w:rsid w:val="000C6A7E"/>
    <w:rsid w:val="000D1E77"/>
    <w:rsid w:val="000D7129"/>
    <w:rsid w:val="000F2AC2"/>
    <w:rsid w:val="000F64A6"/>
    <w:rsid w:val="00107D67"/>
    <w:rsid w:val="0011653F"/>
    <w:rsid w:val="00126405"/>
    <w:rsid w:val="00127A74"/>
    <w:rsid w:val="00131E97"/>
    <w:rsid w:val="001329BB"/>
    <w:rsid w:val="0013386B"/>
    <w:rsid w:val="00160060"/>
    <w:rsid w:val="001A1001"/>
    <w:rsid w:val="001B6B39"/>
    <w:rsid w:val="001C30C5"/>
    <w:rsid w:val="001D580B"/>
    <w:rsid w:val="001E418D"/>
    <w:rsid w:val="00200012"/>
    <w:rsid w:val="002048EB"/>
    <w:rsid w:val="0021313F"/>
    <w:rsid w:val="00214D96"/>
    <w:rsid w:val="00217D2F"/>
    <w:rsid w:val="00224420"/>
    <w:rsid w:val="00234616"/>
    <w:rsid w:val="00244513"/>
    <w:rsid w:val="00261067"/>
    <w:rsid w:val="00263428"/>
    <w:rsid w:val="00275CD9"/>
    <w:rsid w:val="0028490A"/>
    <w:rsid w:val="002A3EB0"/>
    <w:rsid w:val="002A5E6F"/>
    <w:rsid w:val="002C3604"/>
    <w:rsid w:val="002D6FB3"/>
    <w:rsid w:val="002E1924"/>
    <w:rsid w:val="002F53E8"/>
    <w:rsid w:val="002F7A37"/>
    <w:rsid w:val="00304413"/>
    <w:rsid w:val="00305DC0"/>
    <w:rsid w:val="003150E2"/>
    <w:rsid w:val="00316E7A"/>
    <w:rsid w:val="00355924"/>
    <w:rsid w:val="003561A0"/>
    <w:rsid w:val="003579E2"/>
    <w:rsid w:val="003818E3"/>
    <w:rsid w:val="00396112"/>
    <w:rsid w:val="003C198A"/>
    <w:rsid w:val="003C6F08"/>
    <w:rsid w:val="003F0EE6"/>
    <w:rsid w:val="00421B72"/>
    <w:rsid w:val="0042640A"/>
    <w:rsid w:val="00437D45"/>
    <w:rsid w:val="00443FD4"/>
    <w:rsid w:val="004901E4"/>
    <w:rsid w:val="004909AA"/>
    <w:rsid w:val="004938D5"/>
    <w:rsid w:val="004E5C60"/>
    <w:rsid w:val="005344B6"/>
    <w:rsid w:val="005441FA"/>
    <w:rsid w:val="00547073"/>
    <w:rsid w:val="00552B2C"/>
    <w:rsid w:val="00555C60"/>
    <w:rsid w:val="00570C9A"/>
    <w:rsid w:val="00572365"/>
    <w:rsid w:val="00583C38"/>
    <w:rsid w:val="0059434C"/>
    <w:rsid w:val="005C55DC"/>
    <w:rsid w:val="005D78B0"/>
    <w:rsid w:val="005D7AAC"/>
    <w:rsid w:val="005F2BDD"/>
    <w:rsid w:val="005F2E66"/>
    <w:rsid w:val="00600711"/>
    <w:rsid w:val="00640647"/>
    <w:rsid w:val="00653BAF"/>
    <w:rsid w:val="006729DF"/>
    <w:rsid w:val="0069049E"/>
    <w:rsid w:val="006A38A8"/>
    <w:rsid w:val="006A5E18"/>
    <w:rsid w:val="006A781B"/>
    <w:rsid w:val="006B5C4B"/>
    <w:rsid w:val="006F40B1"/>
    <w:rsid w:val="00704D66"/>
    <w:rsid w:val="00707BD9"/>
    <w:rsid w:val="00713701"/>
    <w:rsid w:val="007536B6"/>
    <w:rsid w:val="00754322"/>
    <w:rsid w:val="00757896"/>
    <w:rsid w:val="00786821"/>
    <w:rsid w:val="007961F0"/>
    <w:rsid w:val="007A1C9B"/>
    <w:rsid w:val="007B0431"/>
    <w:rsid w:val="007D7705"/>
    <w:rsid w:val="007E07FA"/>
    <w:rsid w:val="007E314F"/>
    <w:rsid w:val="00811E07"/>
    <w:rsid w:val="00815A30"/>
    <w:rsid w:val="00823FA5"/>
    <w:rsid w:val="0082698D"/>
    <w:rsid w:val="00827907"/>
    <w:rsid w:val="00834CDD"/>
    <w:rsid w:val="00835718"/>
    <w:rsid w:val="00860EDC"/>
    <w:rsid w:val="0086272E"/>
    <w:rsid w:val="00863356"/>
    <w:rsid w:val="0087448E"/>
    <w:rsid w:val="00893AD0"/>
    <w:rsid w:val="008C165B"/>
    <w:rsid w:val="008C598C"/>
    <w:rsid w:val="008D54DA"/>
    <w:rsid w:val="00913FF5"/>
    <w:rsid w:val="00914241"/>
    <w:rsid w:val="00914CD8"/>
    <w:rsid w:val="009343AB"/>
    <w:rsid w:val="00951C4E"/>
    <w:rsid w:val="00952F5C"/>
    <w:rsid w:val="00954F43"/>
    <w:rsid w:val="009616C5"/>
    <w:rsid w:val="00961823"/>
    <w:rsid w:val="0096213A"/>
    <w:rsid w:val="009843A7"/>
    <w:rsid w:val="00995785"/>
    <w:rsid w:val="00997684"/>
    <w:rsid w:val="009A2E9D"/>
    <w:rsid w:val="009A7E20"/>
    <w:rsid w:val="009B7535"/>
    <w:rsid w:val="009C3151"/>
    <w:rsid w:val="009D21B7"/>
    <w:rsid w:val="009D6998"/>
    <w:rsid w:val="009E15D7"/>
    <w:rsid w:val="009E5F8F"/>
    <w:rsid w:val="009F75C7"/>
    <w:rsid w:val="00A20998"/>
    <w:rsid w:val="00A22B45"/>
    <w:rsid w:val="00A3377A"/>
    <w:rsid w:val="00A34226"/>
    <w:rsid w:val="00A415E1"/>
    <w:rsid w:val="00A418F7"/>
    <w:rsid w:val="00A470C2"/>
    <w:rsid w:val="00A7212D"/>
    <w:rsid w:val="00A73B40"/>
    <w:rsid w:val="00AB423D"/>
    <w:rsid w:val="00AB47FC"/>
    <w:rsid w:val="00AC311D"/>
    <w:rsid w:val="00AF4335"/>
    <w:rsid w:val="00AF4697"/>
    <w:rsid w:val="00B43274"/>
    <w:rsid w:val="00B6717F"/>
    <w:rsid w:val="00B703B3"/>
    <w:rsid w:val="00B9219C"/>
    <w:rsid w:val="00B95EB6"/>
    <w:rsid w:val="00BB035B"/>
    <w:rsid w:val="00BE65F9"/>
    <w:rsid w:val="00C1443D"/>
    <w:rsid w:val="00C2053C"/>
    <w:rsid w:val="00C25339"/>
    <w:rsid w:val="00C30EC2"/>
    <w:rsid w:val="00C44E29"/>
    <w:rsid w:val="00C55C24"/>
    <w:rsid w:val="00C610A4"/>
    <w:rsid w:val="00C65307"/>
    <w:rsid w:val="00C75C20"/>
    <w:rsid w:val="00C83F04"/>
    <w:rsid w:val="00CA05F2"/>
    <w:rsid w:val="00CA3333"/>
    <w:rsid w:val="00CA3A69"/>
    <w:rsid w:val="00CB7709"/>
    <w:rsid w:val="00CC51F5"/>
    <w:rsid w:val="00CE6463"/>
    <w:rsid w:val="00CF745E"/>
    <w:rsid w:val="00D2583C"/>
    <w:rsid w:val="00D4066B"/>
    <w:rsid w:val="00D7101A"/>
    <w:rsid w:val="00D84A37"/>
    <w:rsid w:val="00D96B85"/>
    <w:rsid w:val="00DA49E0"/>
    <w:rsid w:val="00DD16A5"/>
    <w:rsid w:val="00DD5CC0"/>
    <w:rsid w:val="00DD6234"/>
    <w:rsid w:val="00DD6660"/>
    <w:rsid w:val="00DE79A5"/>
    <w:rsid w:val="00DF157D"/>
    <w:rsid w:val="00E04D4A"/>
    <w:rsid w:val="00E123F2"/>
    <w:rsid w:val="00E1400F"/>
    <w:rsid w:val="00E3090C"/>
    <w:rsid w:val="00E61321"/>
    <w:rsid w:val="00E62015"/>
    <w:rsid w:val="00E76759"/>
    <w:rsid w:val="00E84DB8"/>
    <w:rsid w:val="00E9409C"/>
    <w:rsid w:val="00EB648F"/>
    <w:rsid w:val="00EC5C16"/>
    <w:rsid w:val="00ED0D92"/>
    <w:rsid w:val="00EE4C60"/>
    <w:rsid w:val="00EE6524"/>
    <w:rsid w:val="00EE71C0"/>
    <w:rsid w:val="00EF3608"/>
    <w:rsid w:val="00F05081"/>
    <w:rsid w:val="00F15D87"/>
    <w:rsid w:val="00F33DB2"/>
    <w:rsid w:val="00F3645A"/>
    <w:rsid w:val="00F4232E"/>
    <w:rsid w:val="00F56DB5"/>
    <w:rsid w:val="00F603B2"/>
    <w:rsid w:val="00F642CB"/>
    <w:rsid w:val="00F9276F"/>
    <w:rsid w:val="00FA00ED"/>
    <w:rsid w:val="00FA3DEE"/>
    <w:rsid w:val="00FA4CC8"/>
    <w:rsid w:val="00FB3C1A"/>
    <w:rsid w:val="00FF1526"/>
    <w:rsid w:val="00FF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BA121"/>
  <w15:chartTrackingRefBased/>
  <w15:docId w15:val="{71823E4A-069F-DE46-B801-FE106EBB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F04"/>
    <w:pPr>
      <w:spacing w:after="200" w:line="276" w:lineRule="auto"/>
      <w:jc w:val="both"/>
    </w:pPr>
    <w:rPr>
      <w:rFonts w:ascii="Arial" w:eastAsiaTheme="minorEastAsia" w:hAnsi="Arial"/>
      <w:sz w:val="20"/>
      <w:szCs w:val="20"/>
    </w:rPr>
  </w:style>
  <w:style w:type="paragraph" w:styleId="Heading1">
    <w:name w:val="heading 1"/>
    <w:basedOn w:val="Normal"/>
    <w:next w:val="Normal"/>
    <w:link w:val="Heading1Char"/>
    <w:autoRedefine/>
    <w:uiPriority w:val="9"/>
    <w:qFormat/>
    <w:rsid w:val="00A415E1"/>
    <w:pPr>
      <w:keepNext/>
      <w:keepLines/>
      <w:pBdr>
        <w:left w:val="triple" w:sz="4" w:space="4" w:color="auto"/>
        <w:bottom w:val="triple" w:sz="4" w:space="1" w:color="auto"/>
      </w:pBdr>
      <w:spacing w:before="480"/>
      <w:jc w:val="left"/>
      <w:outlineLvl w:val="0"/>
    </w:pPr>
    <w:rPr>
      <w:rFonts w:eastAsiaTheme="majorEastAsia" w:cstheme="majorBidi"/>
      <w:b/>
      <w:bCs/>
      <w:color w:val="C00000"/>
      <w:sz w:val="56"/>
      <w:szCs w:val="28"/>
      <w:lang w:val="en-US" w:bidi="en-US"/>
    </w:rPr>
  </w:style>
  <w:style w:type="paragraph" w:styleId="Heading2">
    <w:name w:val="heading 2"/>
    <w:basedOn w:val="Normal"/>
    <w:next w:val="Normal"/>
    <w:link w:val="Heading2Char"/>
    <w:uiPriority w:val="9"/>
    <w:unhideWhenUsed/>
    <w:qFormat/>
    <w:rsid w:val="004901E4"/>
    <w:pPr>
      <w:keepNext/>
      <w:keepLines/>
      <w:spacing w:before="40" w:after="0"/>
      <w:outlineLvl w:val="1"/>
    </w:pPr>
    <w:rPr>
      <w:rFonts w:asciiTheme="majorHAnsi" w:eastAsiaTheme="majorEastAsia" w:hAnsiTheme="majorHAnsi" w:cstheme="majorBidi"/>
      <w:b/>
      <w:color w:val="C00000"/>
      <w:sz w:val="40"/>
      <w:szCs w:val="26"/>
      <w:u w:val="single"/>
    </w:rPr>
  </w:style>
  <w:style w:type="paragraph" w:styleId="Heading3">
    <w:name w:val="heading 3"/>
    <w:basedOn w:val="Normal"/>
    <w:next w:val="Normal"/>
    <w:link w:val="Heading3Char"/>
    <w:uiPriority w:val="9"/>
    <w:unhideWhenUsed/>
    <w:qFormat/>
    <w:rsid w:val="004901E4"/>
    <w:pPr>
      <w:keepNext/>
      <w:keepLines/>
      <w:spacing w:before="40" w:after="0"/>
      <w:outlineLvl w:val="2"/>
    </w:pPr>
    <w:rPr>
      <w:rFonts w:eastAsiaTheme="majorEastAsia" w:cstheme="majorBidi"/>
      <w:b/>
      <w:color w:val="C00000"/>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5E1"/>
    <w:rPr>
      <w:rFonts w:ascii="Arial" w:eastAsiaTheme="majorEastAsia" w:hAnsi="Arial" w:cstheme="majorBidi"/>
      <w:b/>
      <w:bCs/>
      <w:color w:val="C00000"/>
      <w:sz w:val="56"/>
      <w:szCs w:val="28"/>
      <w:lang w:val="en-US" w:bidi="en-US"/>
    </w:rPr>
  </w:style>
  <w:style w:type="paragraph" w:styleId="Header">
    <w:name w:val="header"/>
    <w:basedOn w:val="Normal"/>
    <w:link w:val="HeaderChar"/>
    <w:uiPriority w:val="99"/>
    <w:unhideWhenUsed/>
    <w:rsid w:val="00214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D96"/>
    <w:rPr>
      <w:rFonts w:ascii="Arial" w:eastAsiaTheme="minorEastAsia" w:hAnsi="Arial"/>
      <w:sz w:val="20"/>
      <w:szCs w:val="20"/>
    </w:rPr>
  </w:style>
  <w:style w:type="paragraph" w:styleId="Footer">
    <w:name w:val="footer"/>
    <w:basedOn w:val="Normal"/>
    <w:link w:val="FooterChar"/>
    <w:uiPriority w:val="99"/>
    <w:unhideWhenUsed/>
    <w:rsid w:val="00214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D96"/>
    <w:rPr>
      <w:rFonts w:ascii="Arial" w:eastAsiaTheme="minorEastAsia" w:hAnsi="Arial"/>
      <w:sz w:val="20"/>
      <w:szCs w:val="20"/>
    </w:rPr>
  </w:style>
  <w:style w:type="character" w:customStyle="1" w:styleId="Heading2Char">
    <w:name w:val="Heading 2 Char"/>
    <w:basedOn w:val="DefaultParagraphFont"/>
    <w:link w:val="Heading2"/>
    <w:uiPriority w:val="9"/>
    <w:rsid w:val="004901E4"/>
    <w:rPr>
      <w:rFonts w:asciiTheme="majorHAnsi" w:eastAsiaTheme="majorEastAsia" w:hAnsiTheme="majorHAnsi" w:cstheme="majorBidi"/>
      <w:b/>
      <w:color w:val="C00000"/>
      <w:sz w:val="40"/>
      <w:szCs w:val="26"/>
      <w:u w:val="single"/>
    </w:rPr>
  </w:style>
  <w:style w:type="character" w:customStyle="1" w:styleId="Heading3Char">
    <w:name w:val="Heading 3 Char"/>
    <w:basedOn w:val="DefaultParagraphFont"/>
    <w:link w:val="Heading3"/>
    <w:uiPriority w:val="9"/>
    <w:rsid w:val="004901E4"/>
    <w:rPr>
      <w:rFonts w:ascii="Arial" w:eastAsiaTheme="majorEastAsia" w:hAnsi="Arial" w:cstheme="majorBidi"/>
      <w:b/>
      <w:color w:val="C00000"/>
      <w:sz w:val="28"/>
    </w:rPr>
  </w:style>
  <w:style w:type="paragraph" w:styleId="ListParagraph">
    <w:name w:val="List Paragraph"/>
    <w:basedOn w:val="Normal"/>
    <w:uiPriority w:val="1"/>
    <w:qFormat/>
    <w:rsid w:val="005C55DC"/>
    <w:pPr>
      <w:widowControl w:val="0"/>
      <w:autoSpaceDE w:val="0"/>
      <w:autoSpaceDN w:val="0"/>
      <w:spacing w:after="0" w:line="240" w:lineRule="auto"/>
      <w:ind w:left="1180" w:hanging="361"/>
      <w:jc w:val="left"/>
    </w:pPr>
    <w:rPr>
      <w:rFonts w:ascii="Calibri" w:eastAsia="Calibri" w:hAnsi="Calibri" w:cs="Calibri"/>
      <w:sz w:val="22"/>
      <w:szCs w:val="22"/>
      <w:lang w:val="en-US"/>
    </w:rPr>
  </w:style>
  <w:style w:type="paragraph" w:styleId="BodyText">
    <w:name w:val="Body Text"/>
    <w:basedOn w:val="Normal"/>
    <w:link w:val="BodyTextChar"/>
    <w:uiPriority w:val="1"/>
    <w:qFormat/>
    <w:rsid w:val="005C55DC"/>
    <w:pPr>
      <w:widowControl w:val="0"/>
      <w:autoSpaceDE w:val="0"/>
      <w:autoSpaceDN w:val="0"/>
      <w:spacing w:after="0" w:line="240" w:lineRule="auto"/>
      <w:ind w:left="1180"/>
      <w:jc w:val="left"/>
    </w:pPr>
    <w:rPr>
      <w:rFonts w:ascii="Calibri" w:eastAsia="Calibri" w:hAnsi="Calibri" w:cs="Calibri"/>
      <w:sz w:val="22"/>
      <w:szCs w:val="22"/>
      <w:lang w:val="en-US"/>
    </w:rPr>
  </w:style>
  <w:style w:type="character" w:customStyle="1" w:styleId="BodyTextChar">
    <w:name w:val="Body Text Char"/>
    <w:basedOn w:val="DefaultParagraphFont"/>
    <w:link w:val="BodyText"/>
    <w:uiPriority w:val="1"/>
    <w:rsid w:val="005C55DC"/>
    <w:rPr>
      <w:rFonts w:ascii="Calibri" w:eastAsia="Calibri" w:hAnsi="Calibri" w:cs="Calibri"/>
      <w:sz w:val="22"/>
      <w:szCs w:val="22"/>
      <w:lang w:val="en-US"/>
    </w:rPr>
  </w:style>
  <w:style w:type="character" w:styleId="Hyperlink">
    <w:name w:val="Hyperlink"/>
    <w:basedOn w:val="DefaultParagraphFont"/>
    <w:uiPriority w:val="99"/>
    <w:unhideWhenUsed/>
    <w:rsid w:val="005C55DC"/>
    <w:rPr>
      <w:color w:val="0563C1" w:themeColor="hyperlink"/>
      <w:u w:val="single"/>
    </w:rPr>
  </w:style>
  <w:style w:type="character" w:styleId="UnresolvedMention">
    <w:name w:val="Unresolved Mention"/>
    <w:basedOn w:val="DefaultParagraphFont"/>
    <w:uiPriority w:val="99"/>
    <w:semiHidden/>
    <w:unhideWhenUsed/>
    <w:rsid w:val="00B95EB6"/>
    <w:rPr>
      <w:color w:val="605E5C"/>
      <w:shd w:val="clear" w:color="auto" w:fill="E1DFDD"/>
    </w:rPr>
  </w:style>
  <w:style w:type="character" w:styleId="FollowedHyperlink">
    <w:name w:val="FollowedHyperlink"/>
    <w:basedOn w:val="DefaultParagraphFont"/>
    <w:uiPriority w:val="99"/>
    <w:semiHidden/>
    <w:unhideWhenUsed/>
    <w:rsid w:val="00B95EB6"/>
    <w:rPr>
      <w:color w:val="954F72" w:themeColor="followedHyperlink"/>
      <w:u w:val="single"/>
    </w:rPr>
  </w:style>
  <w:style w:type="paragraph" w:styleId="NormalWeb">
    <w:name w:val="Normal (Web)"/>
    <w:basedOn w:val="Normal"/>
    <w:uiPriority w:val="99"/>
    <w:semiHidden/>
    <w:unhideWhenUsed/>
    <w:rsid w:val="00DD623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40647"/>
    <w:pPr>
      <w:pBdr>
        <w:left w:val="none" w:sz="0" w:space="0" w:color="auto"/>
        <w:bottom w:val="none" w:sz="0" w:space="0" w:color="auto"/>
      </w:pBdr>
      <w:spacing w:after="0"/>
      <w:outlineLvl w:val="9"/>
    </w:pPr>
    <w:rPr>
      <w:rFonts w:asciiTheme="majorHAnsi" w:hAnsiTheme="majorHAnsi"/>
      <w:color w:val="2F5496" w:themeColor="accent1" w:themeShade="BF"/>
      <w:sz w:val="28"/>
      <w:lang w:bidi="ar-SA"/>
    </w:rPr>
  </w:style>
  <w:style w:type="paragraph" w:styleId="TOC1">
    <w:name w:val="toc 1"/>
    <w:basedOn w:val="Normal"/>
    <w:next w:val="Normal"/>
    <w:autoRedefine/>
    <w:uiPriority w:val="39"/>
    <w:unhideWhenUsed/>
    <w:rsid w:val="00640647"/>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640647"/>
    <w:pPr>
      <w:spacing w:before="120" w:after="0"/>
      <w:ind w:left="200"/>
      <w:jc w:val="left"/>
    </w:pPr>
    <w:rPr>
      <w:rFonts w:asciiTheme="minorHAnsi" w:hAnsiTheme="minorHAnsi" w:cstheme="minorHAnsi"/>
      <w:b/>
      <w:bCs/>
      <w:sz w:val="22"/>
      <w:szCs w:val="22"/>
    </w:rPr>
  </w:style>
  <w:style w:type="paragraph" w:styleId="TOC3">
    <w:name w:val="toc 3"/>
    <w:basedOn w:val="Normal"/>
    <w:next w:val="Normal"/>
    <w:autoRedefine/>
    <w:uiPriority w:val="39"/>
    <w:unhideWhenUsed/>
    <w:rsid w:val="00640647"/>
    <w:pPr>
      <w:spacing w:after="0"/>
      <w:ind w:left="400"/>
      <w:jc w:val="left"/>
    </w:pPr>
    <w:rPr>
      <w:rFonts w:asciiTheme="minorHAnsi" w:hAnsiTheme="minorHAnsi" w:cstheme="minorHAnsi"/>
    </w:rPr>
  </w:style>
  <w:style w:type="paragraph" w:styleId="TOC4">
    <w:name w:val="toc 4"/>
    <w:basedOn w:val="Normal"/>
    <w:next w:val="Normal"/>
    <w:autoRedefine/>
    <w:uiPriority w:val="39"/>
    <w:semiHidden/>
    <w:unhideWhenUsed/>
    <w:rsid w:val="00640647"/>
    <w:pPr>
      <w:spacing w:after="0"/>
      <w:ind w:left="600"/>
      <w:jc w:val="left"/>
    </w:pPr>
    <w:rPr>
      <w:rFonts w:asciiTheme="minorHAnsi" w:hAnsiTheme="minorHAnsi" w:cstheme="minorHAnsi"/>
    </w:rPr>
  </w:style>
  <w:style w:type="paragraph" w:styleId="TOC5">
    <w:name w:val="toc 5"/>
    <w:basedOn w:val="Normal"/>
    <w:next w:val="Normal"/>
    <w:autoRedefine/>
    <w:uiPriority w:val="39"/>
    <w:semiHidden/>
    <w:unhideWhenUsed/>
    <w:rsid w:val="00640647"/>
    <w:pPr>
      <w:spacing w:after="0"/>
      <w:ind w:left="800"/>
      <w:jc w:val="left"/>
    </w:pPr>
    <w:rPr>
      <w:rFonts w:asciiTheme="minorHAnsi" w:hAnsiTheme="minorHAnsi" w:cstheme="minorHAnsi"/>
    </w:rPr>
  </w:style>
  <w:style w:type="paragraph" w:styleId="TOC6">
    <w:name w:val="toc 6"/>
    <w:basedOn w:val="Normal"/>
    <w:next w:val="Normal"/>
    <w:autoRedefine/>
    <w:uiPriority w:val="39"/>
    <w:semiHidden/>
    <w:unhideWhenUsed/>
    <w:rsid w:val="00640647"/>
    <w:pPr>
      <w:spacing w:after="0"/>
      <w:ind w:left="1000"/>
      <w:jc w:val="left"/>
    </w:pPr>
    <w:rPr>
      <w:rFonts w:asciiTheme="minorHAnsi" w:hAnsiTheme="minorHAnsi" w:cstheme="minorHAnsi"/>
    </w:rPr>
  </w:style>
  <w:style w:type="paragraph" w:styleId="TOC7">
    <w:name w:val="toc 7"/>
    <w:basedOn w:val="Normal"/>
    <w:next w:val="Normal"/>
    <w:autoRedefine/>
    <w:uiPriority w:val="39"/>
    <w:semiHidden/>
    <w:unhideWhenUsed/>
    <w:rsid w:val="00640647"/>
    <w:pPr>
      <w:spacing w:after="0"/>
      <w:ind w:left="1200"/>
      <w:jc w:val="left"/>
    </w:pPr>
    <w:rPr>
      <w:rFonts w:asciiTheme="minorHAnsi" w:hAnsiTheme="minorHAnsi" w:cstheme="minorHAnsi"/>
    </w:rPr>
  </w:style>
  <w:style w:type="paragraph" w:styleId="TOC8">
    <w:name w:val="toc 8"/>
    <w:basedOn w:val="Normal"/>
    <w:next w:val="Normal"/>
    <w:autoRedefine/>
    <w:uiPriority w:val="39"/>
    <w:semiHidden/>
    <w:unhideWhenUsed/>
    <w:rsid w:val="00640647"/>
    <w:pPr>
      <w:spacing w:after="0"/>
      <w:ind w:left="1400"/>
      <w:jc w:val="left"/>
    </w:pPr>
    <w:rPr>
      <w:rFonts w:asciiTheme="minorHAnsi" w:hAnsiTheme="minorHAnsi" w:cstheme="minorHAnsi"/>
    </w:rPr>
  </w:style>
  <w:style w:type="paragraph" w:styleId="TOC9">
    <w:name w:val="toc 9"/>
    <w:basedOn w:val="Normal"/>
    <w:next w:val="Normal"/>
    <w:autoRedefine/>
    <w:uiPriority w:val="39"/>
    <w:semiHidden/>
    <w:unhideWhenUsed/>
    <w:rsid w:val="00640647"/>
    <w:pPr>
      <w:spacing w:after="0"/>
      <w:ind w:left="1600"/>
      <w:jc w:val="left"/>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7413">
      <w:bodyDiv w:val="1"/>
      <w:marLeft w:val="0"/>
      <w:marRight w:val="0"/>
      <w:marTop w:val="0"/>
      <w:marBottom w:val="0"/>
      <w:divBdr>
        <w:top w:val="none" w:sz="0" w:space="0" w:color="auto"/>
        <w:left w:val="none" w:sz="0" w:space="0" w:color="auto"/>
        <w:bottom w:val="none" w:sz="0" w:space="0" w:color="auto"/>
        <w:right w:val="none" w:sz="0" w:space="0" w:color="auto"/>
      </w:divBdr>
      <w:divsChild>
        <w:div w:id="1168443749">
          <w:marLeft w:val="0"/>
          <w:marRight w:val="0"/>
          <w:marTop w:val="0"/>
          <w:marBottom w:val="0"/>
          <w:divBdr>
            <w:top w:val="none" w:sz="0" w:space="0" w:color="auto"/>
            <w:left w:val="none" w:sz="0" w:space="0" w:color="auto"/>
            <w:bottom w:val="none" w:sz="0" w:space="0" w:color="auto"/>
            <w:right w:val="none" w:sz="0" w:space="0" w:color="auto"/>
          </w:divBdr>
        </w:div>
      </w:divsChild>
    </w:div>
    <w:div w:id="102920627">
      <w:bodyDiv w:val="1"/>
      <w:marLeft w:val="0"/>
      <w:marRight w:val="0"/>
      <w:marTop w:val="0"/>
      <w:marBottom w:val="0"/>
      <w:divBdr>
        <w:top w:val="none" w:sz="0" w:space="0" w:color="auto"/>
        <w:left w:val="none" w:sz="0" w:space="0" w:color="auto"/>
        <w:bottom w:val="none" w:sz="0" w:space="0" w:color="auto"/>
        <w:right w:val="none" w:sz="0" w:space="0" w:color="auto"/>
      </w:divBdr>
      <w:divsChild>
        <w:div w:id="1117065748">
          <w:marLeft w:val="0"/>
          <w:marRight w:val="0"/>
          <w:marTop w:val="0"/>
          <w:marBottom w:val="0"/>
          <w:divBdr>
            <w:top w:val="none" w:sz="0" w:space="0" w:color="auto"/>
            <w:left w:val="none" w:sz="0" w:space="0" w:color="auto"/>
            <w:bottom w:val="none" w:sz="0" w:space="0" w:color="auto"/>
            <w:right w:val="none" w:sz="0" w:space="0" w:color="auto"/>
          </w:divBdr>
        </w:div>
      </w:divsChild>
    </w:div>
    <w:div w:id="236090441">
      <w:bodyDiv w:val="1"/>
      <w:marLeft w:val="0"/>
      <w:marRight w:val="0"/>
      <w:marTop w:val="0"/>
      <w:marBottom w:val="0"/>
      <w:divBdr>
        <w:top w:val="none" w:sz="0" w:space="0" w:color="auto"/>
        <w:left w:val="none" w:sz="0" w:space="0" w:color="auto"/>
        <w:bottom w:val="none" w:sz="0" w:space="0" w:color="auto"/>
        <w:right w:val="none" w:sz="0" w:space="0" w:color="auto"/>
      </w:divBdr>
    </w:div>
    <w:div w:id="547187350">
      <w:bodyDiv w:val="1"/>
      <w:marLeft w:val="0"/>
      <w:marRight w:val="0"/>
      <w:marTop w:val="0"/>
      <w:marBottom w:val="0"/>
      <w:divBdr>
        <w:top w:val="none" w:sz="0" w:space="0" w:color="auto"/>
        <w:left w:val="none" w:sz="0" w:space="0" w:color="auto"/>
        <w:bottom w:val="none" w:sz="0" w:space="0" w:color="auto"/>
        <w:right w:val="none" w:sz="0" w:space="0" w:color="auto"/>
      </w:divBdr>
      <w:divsChild>
        <w:div w:id="668363938">
          <w:marLeft w:val="0"/>
          <w:marRight w:val="0"/>
          <w:marTop w:val="0"/>
          <w:marBottom w:val="0"/>
          <w:divBdr>
            <w:top w:val="single" w:sz="2" w:space="0" w:color="auto"/>
            <w:left w:val="single" w:sz="2" w:space="0" w:color="auto"/>
            <w:bottom w:val="single" w:sz="6" w:space="0" w:color="auto"/>
            <w:right w:val="single" w:sz="2" w:space="0" w:color="auto"/>
          </w:divBdr>
          <w:divsChild>
            <w:div w:id="1215332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1358222">
                  <w:marLeft w:val="0"/>
                  <w:marRight w:val="0"/>
                  <w:marTop w:val="0"/>
                  <w:marBottom w:val="0"/>
                  <w:divBdr>
                    <w:top w:val="single" w:sz="2" w:space="0" w:color="D9D9E3"/>
                    <w:left w:val="single" w:sz="2" w:space="0" w:color="D9D9E3"/>
                    <w:bottom w:val="single" w:sz="2" w:space="0" w:color="D9D9E3"/>
                    <w:right w:val="single" w:sz="2" w:space="0" w:color="D9D9E3"/>
                  </w:divBdr>
                  <w:divsChild>
                    <w:div w:id="1700088986">
                      <w:marLeft w:val="0"/>
                      <w:marRight w:val="0"/>
                      <w:marTop w:val="0"/>
                      <w:marBottom w:val="0"/>
                      <w:divBdr>
                        <w:top w:val="single" w:sz="2" w:space="0" w:color="D9D9E3"/>
                        <w:left w:val="single" w:sz="2" w:space="0" w:color="D9D9E3"/>
                        <w:bottom w:val="single" w:sz="2" w:space="0" w:color="D9D9E3"/>
                        <w:right w:val="single" w:sz="2" w:space="0" w:color="D9D9E3"/>
                      </w:divBdr>
                      <w:divsChild>
                        <w:div w:id="842743151">
                          <w:marLeft w:val="0"/>
                          <w:marRight w:val="0"/>
                          <w:marTop w:val="0"/>
                          <w:marBottom w:val="0"/>
                          <w:divBdr>
                            <w:top w:val="single" w:sz="2" w:space="0" w:color="D9D9E3"/>
                            <w:left w:val="single" w:sz="2" w:space="0" w:color="D9D9E3"/>
                            <w:bottom w:val="single" w:sz="2" w:space="0" w:color="D9D9E3"/>
                            <w:right w:val="single" w:sz="2" w:space="0" w:color="D9D9E3"/>
                          </w:divBdr>
                          <w:divsChild>
                            <w:div w:id="1176068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5895601">
      <w:bodyDiv w:val="1"/>
      <w:marLeft w:val="0"/>
      <w:marRight w:val="0"/>
      <w:marTop w:val="0"/>
      <w:marBottom w:val="0"/>
      <w:divBdr>
        <w:top w:val="none" w:sz="0" w:space="0" w:color="auto"/>
        <w:left w:val="none" w:sz="0" w:space="0" w:color="auto"/>
        <w:bottom w:val="none" w:sz="0" w:space="0" w:color="auto"/>
        <w:right w:val="none" w:sz="0" w:space="0" w:color="auto"/>
      </w:divBdr>
    </w:div>
    <w:div w:id="842860841">
      <w:bodyDiv w:val="1"/>
      <w:marLeft w:val="0"/>
      <w:marRight w:val="0"/>
      <w:marTop w:val="0"/>
      <w:marBottom w:val="0"/>
      <w:divBdr>
        <w:top w:val="none" w:sz="0" w:space="0" w:color="auto"/>
        <w:left w:val="none" w:sz="0" w:space="0" w:color="auto"/>
        <w:bottom w:val="none" w:sz="0" w:space="0" w:color="auto"/>
        <w:right w:val="none" w:sz="0" w:space="0" w:color="auto"/>
      </w:divBdr>
      <w:divsChild>
        <w:div w:id="1602642370">
          <w:marLeft w:val="0"/>
          <w:marRight w:val="0"/>
          <w:marTop w:val="0"/>
          <w:marBottom w:val="0"/>
          <w:divBdr>
            <w:top w:val="none" w:sz="0" w:space="0" w:color="auto"/>
            <w:left w:val="none" w:sz="0" w:space="0" w:color="auto"/>
            <w:bottom w:val="none" w:sz="0" w:space="0" w:color="auto"/>
            <w:right w:val="none" w:sz="0" w:space="0" w:color="auto"/>
          </w:divBdr>
          <w:divsChild>
            <w:div w:id="1819572486">
              <w:marLeft w:val="0"/>
              <w:marRight w:val="0"/>
              <w:marTop w:val="0"/>
              <w:marBottom w:val="0"/>
              <w:divBdr>
                <w:top w:val="none" w:sz="0" w:space="0" w:color="auto"/>
                <w:left w:val="none" w:sz="0" w:space="0" w:color="auto"/>
                <w:bottom w:val="none" w:sz="0" w:space="0" w:color="auto"/>
                <w:right w:val="none" w:sz="0" w:space="0" w:color="auto"/>
              </w:divBdr>
              <w:divsChild>
                <w:div w:id="584919706">
                  <w:marLeft w:val="0"/>
                  <w:marRight w:val="0"/>
                  <w:marTop w:val="0"/>
                  <w:marBottom w:val="0"/>
                  <w:divBdr>
                    <w:top w:val="none" w:sz="0" w:space="0" w:color="auto"/>
                    <w:left w:val="none" w:sz="0" w:space="0" w:color="auto"/>
                    <w:bottom w:val="none" w:sz="0" w:space="0" w:color="auto"/>
                    <w:right w:val="none" w:sz="0" w:space="0" w:color="auto"/>
                  </w:divBdr>
                </w:div>
              </w:divsChild>
            </w:div>
            <w:div w:id="1968125219">
              <w:marLeft w:val="0"/>
              <w:marRight w:val="0"/>
              <w:marTop w:val="0"/>
              <w:marBottom w:val="0"/>
              <w:divBdr>
                <w:top w:val="none" w:sz="0" w:space="0" w:color="auto"/>
                <w:left w:val="none" w:sz="0" w:space="0" w:color="auto"/>
                <w:bottom w:val="none" w:sz="0" w:space="0" w:color="auto"/>
                <w:right w:val="none" w:sz="0" w:space="0" w:color="auto"/>
              </w:divBdr>
              <w:divsChild>
                <w:div w:id="2030836387">
                  <w:marLeft w:val="0"/>
                  <w:marRight w:val="0"/>
                  <w:marTop w:val="0"/>
                  <w:marBottom w:val="0"/>
                  <w:divBdr>
                    <w:top w:val="none" w:sz="0" w:space="0" w:color="auto"/>
                    <w:left w:val="none" w:sz="0" w:space="0" w:color="auto"/>
                    <w:bottom w:val="none" w:sz="0" w:space="0" w:color="auto"/>
                    <w:right w:val="none" w:sz="0" w:space="0" w:color="auto"/>
                  </w:divBdr>
                </w:div>
              </w:divsChild>
            </w:div>
            <w:div w:id="1018849011">
              <w:marLeft w:val="0"/>
              <w:marRight w:val="0"/>
              <w:marTop w:val="0"/>
              <w:marBottom w:val="0"/>
              <w:divBdr>
                <w:top w:val="none" w:sz="0" w:space="0" w:color="auto"/>
                <w:left w:val="none" w:sz="0" w:space="0" w:color="auto"/>
                <w:bottom w:val="none" w:sz="0" w:space="0" w:color="auto"/>
                <w:right w:val="none" w:sz="0" w:space="0" w:color="auto"/>
              </w:divBdr>
              <w:divsChild>
                <w:div w:id="715544957">
                  <w:marLeft w:val="0"/>
                  <w:marRight w:val="0"/>
                  <w:marTop w:val="0"/>
                  <w:marBottom w:val="0"/>
                  <w:divBdr>
                    <w:top w:val="none" w:sz="0" w:space="0" w:color="auto"/>
                    <w:left w:val="none" w:sz="0" w:space="0" w:color="auto"/>
                    <w:bottom w:val="none" w:sz="0" w:space="0" w:color="auto"/>
                    <w:right w:val="none" w:sz="0" w:space="0" w:color="auto"/>
                  </w:divBdr>
                </w:div>
              </w:divsChild>
            </w:div>
            <w:div w:id="1931696333">
              <w:marLeft w:val="0"/>
              <w:marRight w:val="0"/>
              <w:marTop w:val="0"/>
              <w:marBottom w:val="0"/>
              <w:divBdr>
                <w:top w:val="none" w:sz="0" w:space="0" w:color="auto"/>
                <w:left w:val="none" w:sz="0" w:space="0" w:color="auto"/>
                <w:bottom w:val="none" w:sz="0" w:space="0" w:color="auto"/>
                <w:right w:val="none" w:sz="0" w:space="0" w:color="auto"/>
              </w:divBdr>
              <w:divsChild>
                <w:div w:id="330106690">
                  <w:marLeft w:val="0"/>
                  <w:marRight w:val="0"/>
                  <w:marTop w:val="0"/>
                  <w:marBottom w:val="0"/>
                  <w:divBdr>
                    <w:top w:val="none" w:sz="0" w:space="0" w:color="auto"/>
                    <w:left w:val="none" w:sz="0" w:space="0" w:color="auto"/>
                    <w:bottom w:val="none" w:sz="0" w:space="0" w:color="auto"/>
                    <w:right w:val="none" w:sz="0" w:space="0" w:color="auto"/>
                  </w:divBdr>
                </w:div>
              </w:divsChild>
            </w:div>
            <w:div w:id="2104522222">
              <w:marLeft w:val="0"/>
              <w:marRight w:val="0"/>
              <w:marTop w:val="0"/>
              <w:marBottom w:val="0"/>
              <w:divBdr>
                <w:top w:val="none" w:sz="0" w:space="0" w:color="auto"/>
                <w:left w:val="none" w:sz="0" w:space="0" w:color="auto"/>
                <w:bottom w:val="none" w:sz="0" w:space="0" w:color="auto"/>
                <w:right w:val="none" w:sz="0" w:space="0" w:color="auto"/>
              </w:divBdr>
              <w:divsChild>
                <w:div w:id="1701004636">
                  <w:marLeft w:val="0"/>
                  <w:marRight w:val="0"/>
                  <w:marTop w:val="0"/>
                  <w:marBottom w:val="0"/>
                  <w:divBdr>
                    <w:top w:val="none" w:sz="0" w:space="0" w:color="auto"/>
                    <w:left w:val="none" w:sz="0" w:space="0" w:color="auto"/>
                    <w:bottom w:val="none" w:sz="0" w:space="0" w:color="auto"/>
                    <w:right w:val="none" w:sz="0" w:space="0" w:color="auto"/>
                  </w:divBdr>
                </w:div>
              </w:divsChild>
            </w:div>
            <w:div w:id="513957584">
              <w:marLeft w:val="0"/>
              <w:marRight w:val="0"/>
              <w:marTop w:val="0"/>
              <w:marBottom w:val="0"/>
              <w:divBdr>
                <w:top w:val="none" w:sz="0" w:space="0" w:color="auto"/>
                <w:left w:val="none" w:sz="0" w:space="0" w:color="auto"/>
                <w:bottom w:val="none" w:sz="0" w:space="0" w:color="auto"/>
                <w:right w:val="none" w:sz="0" w:space="0" w:color="auto"/>
              </w:divBdr>
              <w:divsChild>
                <w:div w:id="1314988328">
                  <w:marLeft w:val="0"/>
                  <w:marRight w:val="0"/>
                  <w:marTop w:val="0"/>
                  <w:marBottom w:val="0"/>
                  <w:divBdr>
                    <w:top w:val="none" w:sz="0" w:space="0" w:color="auto"/>
                    <w:left w:val="none" w:sz="0" w:space="0" w:color="auto"/>
                    <w:bottom w:val="none" w:sz="0" w:space="0" w:color="auto"/>
                    <w:right w:val="none" w:sz="0" w:space="0" w:color="auto"/>
                  </w:divBdr>
                </w:div>
              </w:divsChild>
            </w:div>
            <w:div w:id="1791241839">
              <w:marLeft w:val="0"/>
              <w:marRight w:val="0"/>
              <w:marTop w:val="0"/>
              <w:marBottom w:val="0"/>
              <w:divBdr>
                <w:top w:val="none" w:sz="0" w:space="0" w:color="auto"/>
                <w:left w:val="none" w:sz="0" w:space="0" w:color="auto"/>
                <w:bottom w:val="none" w:sz="0" w:space="0" w:color="auto"/>
                <w:right w:val="none" w:sz="0" w:space="0" w:color="auto"/>
              </w:divBdr>
              <w:divsChild>
                <w:div w:id="1777601279">
                  <w:marLeft w:val="0"/>
                  <w:marRight w:val="0"/>
                  <w:marTop w:val="0"/>
                  <w:marBottom w:val="0"/>
                  <w:divBdr>
                    <w:top w:val="none" w:sz="0" w:space="0" w:color="auto"/>
                    <w:left w:val="none" w:sz="0" w:space="0" w:color="auto"/>
                    <w:bottom w:val="none" w:sz="0" w:space="0" w:color="auto"/>
                    <w:right w:val="none" w:sz="0" w:space="0" w:color="auto"/>
                  </w:divBdr>
                </w:div>
              </w:divsChild>
            </w:div>
            <w:div w:id="1484195422">
              <w:marLeft w:val="0"/>
              <w:marRight w:val="0"/>
              <w:marTop w:val="0"/>
              <w:marBottom w:val="0"/>
              <w:divBdr>
                <w:top w:val="none" w:sz="0" w:space="0" w:color="auto"/>
                <w:left w:val="none" w:sz="0" w:space="0" w:color="auto"/>
                <w:bottom w:val="none" w:sz="0" w:space="0" w:color="auto"/>
                <w:right w:val="none" w:sz="0" w:space="0" w:color="auto"/>
              </w:divBdr>
              <w:divsChild>
                <w:div w:id="1712652677">
                  <w:marLeft w:val="0"/>
                  <w:marRight w:val="0"/>
                  <w:marTop w:val="0"/>
                  <w:marBottom w:val="0"/>
                  <w:divBdr>
                    <w:top w:val="none" w:sz="0" w:space="0" w:color="auto"/>
                    <w:left w:val="none" w:sz="0" w:space="0" w:color="auto"/>
                    <w:bottom w:val="none" w:sz="0" w:space="0" w:color="auto"/>
                    <w:right w:val="none" w:sz="0" w:space="0" w:color="auto"/>
                  </w:divBdr>
                </w:div>
              </w:divsChild>
            </w:div>
            <w:div w:id="1728643324">
              <w:marLeft w:val="0"/>
              <w:marRight w:val="0"/>
              <w:marTop w:val="0"/>
              <w:marBottom w:val="0"/>
              <w:divBdr>
                <w:top w:val="none" w:sz="0" w:space="0" w:color="auto"/>
                <w:left w:val="none" w:sz="0" w:space="0" w:color="auto"/>
                <w:bottom w:val="none" w:sz="0" w:space="0" w:color="auto"/>
                <w:right w:val="none" w:sz="0" w:space="0" w:color="auto"/>
              </w:divBdr>
              <w:divsChild>
                <w:div w:id="1324698235">
                  <w:marLeft w:val="0"/>
                  <w:marRight w:val="0"/>
                  <w:marTop w:val="0"/>
                  <w:marBottom w:val="0"/>
                  <w:divBdr>
                    <w:top w:val="none" w:sz="0" w:space="0" w:color="auto"/>
                    <w:left w:val="none" w:sz="0" w:space="0" w:color="auto"/>
                    <w:bottom w:val="none" w:sz="0" w:space="0" w:color="auto"/>
                    <w:right w:val="none" w:sz="0" w:space="0" w:color="auto"/>
                  </w:divBdr>
                </w:div>
              </w:divsChild>
            </w:div>
            <w:div w:id="1304118788">
              <w:marLeft w:val="0"/>
              <w:marRight w:val="0"/>
              <w:marTop w:val="0"/>
              <w:marBottom w:val="0"/>
              <w:divBdr>
                <w:top w:val="none" w:sz="0" w:space="0" w:color="auto"/>
                <w:left w:val="none" w:sz="0" w:space="0" w:color="auto"/>
                <w:bottom w:val="none" w:sz="0" w:space="0" w:color="auto"/>
                <w:right w:val="none" w:sz="0" w:space="0" w:color="auto"/>
              </w:divBdr>
              <w:divsChild>
                <w:div w:id="1165975280">
                  <w:marLeft w:val="0"/>
                  <w:marRight w:val="0"/>
                  <w:marTop w:val="0"/>
                  <w:marBottom w:val="0"/>
                  <w:divBdr>
                    <w:top w:val="none" w:sz="0" w:space="0" w:color="auto"/>
                    <w:left w:val="none" w:sz="0" w:space="0" w:color="auto"/>
                    <w:bottom w:val="none" w:sz="0" w:space="0" w:color="auto"/>
                    <w:right w:val="none" w:sz="0" w:space="0" w:color="auto"/>
                  </w:divBdr>
                </w:div>
              </w:divsChild>
            </w:div>
            <w:div w:id="923102261">
              <w:marLeft w:val="0"/>
              <w:marRight w:val="0"/>
              <w:marTop w:val="0"/>
              <w:marBottom w:val="0"/>
              <w:divBdr>
                <w:top w:val="none" w:sz="0" w:space="0" w:color="auto"/>
                <w:left w:val="none" w:sz="0" w:space="0" w:color="auto"/>
                <w:bottom w:val="none" w:sz="0" w:space="0" w:color="auto"/>
                <w:right w:val="none" w:sz="0" w:space="0" w:color="auto"/>
              </w:divBdr>
              <w:divsChild>
                <w:div w:id="184354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940075">
          <w:marLeft w:val="0"/>
          <w:marRight w:val="0"/>
          <w:marTop w:val="0"/>
          <w:marBottom w:val="0"/>
          <w:divBdr>
            <w:top w:val="none" w:sz="0" w:space="0" w:color="auto"/>
            <w:left w:val="none" w:sz="0" w:space="0" w:color="auto"/>
            <w:bottom w:val="none" w:sz="0" w:space="0" w:color="auto"/>
            <w:right w:val="none" w:sz="0" w:space="0" w:color="auto"/>
          </w:divBdr>
          <w:divsChild>
            <w:div w:id="6029797">
              <w:marLeft w:val="0"/>
              <w:marRight w:val="0"/>
              <w:marTop w:val="0"/>
              <w:marBottom w:val="0"/>
              <w:divBdr>
                <w:top w:val="none" w:sz="0" w:space="0" w:color="auto"/>
                <w:left w:val="none" w:sz="0" w:space="0" w:color="auto"/>
                <w:bottom w:val="none" w:sz="0" w:space="0" w:color="auto"/>
                <w:right w:val="none" w:sz="0" w:space="0" w:color="auto"/>
              </w:divBdr>
              <w:divsChild>
                <w:div w:id="1742874186">
                  <w:marLeft w:val="0"/>
                  <w:marRight w:val="0"/>
                  <w:marTop w:val="0"/>
                  <w:marBottom w:val="0"/>
                  <w:divBdr>
                    <w:top w:val="none" w:sz="0" w:space="0" w:color="auto"/>
                    <w:left w:val="none" w:sz="0" w:space="0" w:color="auto"/>
                    <w:bottom w:val="none" w:sz="0" w:space="0" w:color="auto"/>
                    <w:right w:val="none" w:sz="0" w:space="0" w:color="auto"/>
                  </w:divBdr>
                </w:div>
              </w:divsChild>
            </w:div>
            <w:div w:id="1484739681">
              <w:marLeft w:val="0"/>
              <w:marRight w:val="0"/>
              <w:marTop w:val="0"/>
              <w:marBottom w:val="0"/>
              <w:divBdr>
                <w:top w:val="none" w:sz="0" w:space="0" w:color="auto"/>
                <w:left w:val="none" w:sz="0" w:space="0" w:color="auto"/>
                <w:bottom w:val="none" w:sz="0" w:space="0" w:color="auto"/>
                <w:right w:val="none" w:sz="0" w:space="0" w:color="auto"/>
              </w:divBdr>
              <w:divsChild>
                <w:div w:id="1087649014">
                  <w:marLeft w:val="0"/>
                  <w:marRight w:val="0"/>
                  <w:marTop w:val="0"/>
                  <w:marBottom w:val="0"/>
                  <w:divBdr>
                    <w:top w:val="none" w:sz="0" w:space="0" w:color="auto"/>
                    <w:left w:val="none" w:sz="0" w:space="0" w:color="auto"/>
                    <w:bottom w:val="none" w:sz="0" w:space="0" w:color="auto"/>
                    <w:right w:val="none" w:sz="0" w:space="0" w:color="auto"/>
                  </w:divBdr>
                </w:div>
              </w:divsChild>
            </w:div>
            <w:div w:id="1513488525">
              <w:marLeft w:val="0"/>
              <w:marRight w:val="0"/>
              <w:marTop w:val="0"/>
              <w:marBottom w:val="0"/>
              <w:divBdr>
                <w:top w:val="none" w:sz="0" w:space="0" w:color="auto"/>
                <w:left w:val="none" w:sz="0" w:space="0" w:color="auto"/>
                <w:bottom w:val="none" w:sz="0" w:space="0" w:color="auto"/>
                <w:right w:val="none" w:sz="0" w:space="0" w:color="auto"/>
              </w:divBdr>
              <w:divsChild>
                <w:div w:id="636690033">
                  <w:marLeft w:val="0"/>
                  <w:marRight w:val="0"/>
                  <w:marTop w:val="0"/>
                  <w:marBottom w:val="0"/>
                  <w:divBdr>
                    <w:top w:val="none" w:sz="0" w:space="0" w:color="auto"/>
                    <w:left w:val="none" w:sz="0" w:space="0" w:color="auto"/>
                    <w:bottom w:val="none" w:sz="0" w:space="0" w:color="auto"/>
                    <w:right w:val="none" w:sz="0" w:space="0" w:color="auto"/>
                  </w:divBdr>
                </w:div>
              </w:divsChild>
            </w:div>
            <w:div w:id="1053506484">
              <w:marLeft w:val="0"/>
              <w:marRight w:val="0"/>
              <w:marTop w:val="0"/>
              <w:marBottom w:val="0"/>
              <w:divBdr>
                <w:top w:val="none" w:sz="0" w:space="0" w:color="auto"/>
                <w:left w:val="none" w:sz="0" w:space="0" w:color="auto"/>
                <w:bottom w:val="none" w:sz="0" w:space="0" w:color="auto"/>
                <w:right w:val="none" w:sz="0" w:space="0" w:color="auto"/>
              </w:divBdr>
              <w:divsChild>
                <w:div w:id="583996983">
                  <w:marLeft w:val="0"/>
                  <w:marRight w:val="0"/>
                  <w:marTop w:val="0"/>
                  <w:marBottom w:val="0"/>
                  <w:divBdr>
                    <w:top w:val="none" w:sz="0" w:space="0" w:color="auto"/>
                    <w:left w:val="none" w:sz="0" w:space="0" w:color="auto"/>
                    <w:bottom w:val="none" w:sz="0" w:space="0" w:color="auto"/>
                    <w:right w:val="none" w:sz="0" w:space="0" w:color="auto"/>
                  </w:divBdr>
                </w:div>
              </w:divsChild>
            </w:div>
            <w:div w:id="788819160">
              <w:marLeft w:val="0"/>
              <w:marRight w:val="0"/>
              <w:marTop w:val="0"/>
              <w:marBottom w:val="0"/>
              <w:divBdr>
                <w:top w:val="none" w:sz="0" w:space="0" w:color="auto"/>
                <w:left w:val="none" w:sz="0" w:space="0" w:color="auto"/>
                <w:bottom w:val="none" w:sz="0" w:space="0" w:color="auto"/>
                <w:right w:val="none" w:sz="0" w:space="0" w:color="auto"/>
              </w:divBdr>
              <w:divsChild>
                <w:div w:id="1958022469">
                  <w:marLeft w:val="0"/>
                  <w:marRight w:val="0"/>
                  <w:marTop w:val="0"/>
                  <w:marBottom w:val="0"/>
                  <w:divBdr>
                    <w:top w:val="none" w:sz="0" w:space="0" w:color="auto"/>
                    <w:left w:val="none" w:sz="0" w:space="0" w:color="auto"/>
                    <w:bottom w:val="none" w:sz="0" w:space="0" w:color="auto"/>
                    <w:right w:val="none" w:sz="0" w:space="0" w:color="auto"/>
                  </w:divBdr>
                </w:div>
              </w:divsChild>
            </w:div>
            <w:div w:id="1073701225">
              <w:marLeft w:val="0"/>
              <w:marRight w:val="0"/>
              <w:marTop w:val="0"/>
              <w:marBottom w:val="0"/>
              <w:divBdr>
                <w:top w:val="none" w:sz="0" w:space="0" w:color="auto"/>
                <w:left w:val="none" w:sz="0" w:space="0" w:color="auto"/>
                <w:bottom w:val="none" w:sz="0" w:space="0" w:color="auto"/>
                <w:right w:val="none" w:sz="0" w:space="0" w:color="auto"/>
              </w:divBdr>
              <w:divsChild>
                <w:div w:id="987708622">
                  <w:marLeft w:val="0"/>
                  <w:marRight w:val="0"/>
                  <w:marTop w:val="0"/>
                  <w:marBottom w:val="0"/>
                  <w:divBdr>
                    <w:top w:val="none" w:sz="0" w:space="0" w:color="auto"/>
                    <w:left w:val="none" w:sz="0" w:space="0" w:color="auto"/>
                    <w:bottom w:val="none" w:sz="0" w:space="0" w:color="auto"/>
                    <w:right w:val="none" w:sz="0" w:space="0" w:color="auto"/>
                  </w:divBdr>
                </w:div>
              </w:divsChild>
            </w:div>
            <w:div w:id="1167012619">
              <w:marLeft w:val="0"/>
              <w:marRight w:val="0"/>
              <w:marTop w:val="0"/>
              <w:marBottom w:val="0"/>
              <w:divBdr>
                <w:top w:val="none" w:sz="0" w:space="0" w:color="auto"/>
                <w:left w:val="none" w:sz="0" w:space="0" w:color="auto"/>
                <w:bottom w:val="none" w:sz="0" w:space="0" w:color="auto"/>
                <w:right w:val="none" w:sz="0" w:space="0" w:color="auto"/>
              </w:divBdr>
              <w:divsChild>
                <w:div w:id="356003738">
                  <w:marLeft w:val="0"/>
                  <w:marRight w:val="0"/>
                  <w:marTop w:val="0"/>
                  <w:marBottom w:val="0"/>
                  <w:divBdr>
                    <w:top w:val="none" w:sz="0" w:space="0" w:color="auto"/>
                    <w:left w:val="none" w:sz="0" w:space="0" w:color="auto"/>
                    <w:bottom w:val="none" w:sz="0" w:space="0" w:color="auto"/>
                    <w:right w:val="none" w:sz="0" w:space="0" w:color="auto"/>
                  </w:divBdr>
                </w:div>
              </w:divsChild>
            </w:div>
            <w:div w:id="1654330359">
              <w:marLeft w:val="0"/>
              <w:marRight w:val="0"/>
              <w:marTop w:val="0"/>
              <w:marBottom w:val="0"/>
              <w:divBdr>
                <w:top w:val="none" w:sz="0" w:space="0" w:color="auto"/>
                <w:left w:val="none" w:sz="0" w:space="0" w:color="auto"/>
                <w:bottom w:val="none" w:sz="0" w:space="0" w:color="auto"/>
                <w:right w:val="none" w:sz="0" w:space="0" w:color="auto"/>
              </w:divBdr>
              <w:divsChild>
                <w:div w:id="889154049">
                  <w:marLeft w:val="0"/>
                  <w:marRight w:val="0"/>
                  <w:marTop w:val="0"/>
                  <w:marBottom w:val="0"/>
                  <w:divBdr>
                    <w:top w:val="none" w:sz="0" w:space="0" w:color="auto"/>
                    <w:left w:val="none" w:sz="0" w:space="0" w:color="auto"/>
                    <w:bottom w:val="none" w:sz="0" w:space="0" w:color="auto"/>
                    <w:right w:val="none" w:sz="0" w:space="0" w:color="auto"/>
                  </w:divBdr>
                </w:div>
              </w:divsChild>
            </w:div>
            <w:div w:id="580213056">
              <w:marLeft w:val="0"/>
              <w:marRight w:val="0"/>
              <w:marTop w:val="0"/>
              <w:marBottom w:val="0"/>
              <w:divBdr>
                <w:top w:val="none" w:sz="0" w:space="0" w:color="auto"/>
                <w:left w:val="none" w:sz="0" w:space="0" w:color="auto"/>
                <w:bottom w:val="none" w:sz="0" w:space="0" w:color="auto"/>
                <w:right w:val="none" w:sz="0" w:space="0" w:color="auto"/>
              </w:divBdr>
              <w:divsChild>
                <w:div w:id="193443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383162">
      <w:bodyDiv w:val="1"/>
      <w:marLeft w:val="0"/>
      <w:marRight w:val="0"/>
      <w:marTop w:val="0"/>
      <w:marBottom w:val="0"/>
      <w:divBdr>
        <w:top w:val="none" w:sz="0" w:space="0" w:color="auto"/>
        <w:left w:val="none" w:sz="0" w:space="0" w:color="auto"/>
        <w:bottom w:val="none" w:sz="0" w:space="0" w:color="auto"/>
        <w:right w:val="none" w:sz="0" w:space="0" w:color="auto"/>
      </w:divBdr>
    </w:div>
    <w:div w:id="1209613615">
      <w:bodyDiv w:val="1"/>
      <w:marLeft w:val="0"/>
      <w:marRight w:val="0"/>
      <w:marTop w:val="0"/>
      <w:marBottom w:val="0"/>
      <w:divBdr>
        <w:top w:val="none" w:sz="0" w:space="0" w:color="auto"/>
        <w:left w:val="none" w:sz="0" w:space="0" w:color="auto"/>
        <w:bottom w:val="none" w:sz="0" w:space="0" w:color="auto"/>
        <w:right w:val="none" w:sz="0" w:space="0" w:color="auto"/>
      </w:divBdr>
    </w:div>
    <w:div w:id="1684239046">
      <w:bodyDiv w:val="1"/>
      <w:marLeft w:val="0"/>
      <w:marRight w:val="0"/>
      <w:marTop w:val="0"/>
      <w:marBottom w:val="0"/>
      <w:divBdr>
        <w:top w:val="none" w:sz="0" w:space="0" w:color="auto"/>
        <w:left w:val="none" w:sz="0" w:space="0" w:color="auto"/>
        <w:bottom w:val="none" w:sz="0" w:space="0" w:color="auto"/>
        <w:right w:val="none" w:sz="0" w:space="0" w:color="auto"/>
      </w:divBdr>
    </w:div>
    <w:div w:id="1712805912">
      <w:bodyDiv w:val="1"/>
      <w:marLeft w:val="0"/>
      <w:marRight w:val="0"/>
      <w:marTop w:val="0"/>
      <w:marBottom w:val="0"/>
      <w:divBdr>
        <w:top w:val="none" w:sz="0" w:space="0" w:color="auto"/>
        <w:left w:val="none" w:sz="0" w:space="0" w:color="auto"/>
        <w:bottom w:val="none" w:sz="0" w:space="0" w:color="auto"/>
        <w:right w:val="none" w:sz="0" w:space="0" w:color="auto"/>
      </w:divBdr>
    </w:div>
    <w:div w:id="1884440005">
      <w:bodyDiv w:val="1"/>
      <w:marLeft w:val="0"/>
      <w:marRight w:val="0"/>
      <w:marTop w:val="0"/>
      <w:marBottom w:val="0"/>
      <w:divBdr>
        <w:top w:val="none" w:sz="0" w:space="0" w:color="auto"/>
        <w:left w:val="none" w:sz="0" w:space="0" w:color="auto"/>
        <w:bottom w:val="none" w:sz="0" w:space="0" w:color="auto"/>
        <w:right w:val="none" w:sz="0" w:space="0" w:color="auto"/>
      </w:divBdr>
    </w:div>
    <w:div w:id="1976988649">
      <w:bodyDiv w:val="1"/>
      <w:marLeft w:val="0"/>
      <w:marRight w:val="0"/>
      <w:marTop w:val="0"/>
      <w:marBottom w:val="0"/>
      <w:divBdr>
        <w:top w:val="none" w:sz="0" w:space="0" w:color="auto"/>
        <w:left w:val="none" w:sz="0" w:space="0" w:color="auto"/>
        <w:bottom w:val="none" w:sz="0" w:space="0" w:color="auto"/>
        <w:right w:val="none" w:sz="0" w:space="0" w:color="auto"/>
      </w:divBdr>
    </w:div>
    <w:div w:id="2063746197">
      <w:bodyDiv w:val="1"/>
      <w:marLeft w:val="0"/>
      <w:marRight w:val="0"/>
      <w:marTop w:val="0"/>
      <w:marBottom w:val="0"/>
      <w:divBdr>
        <w:top w:val="none" w:sz="0" w:space="0" w:color="auto"/>
        <w:left w:val="none" w:sz="0" w:space="0" w:color="auto"/>
        <w:bottom w:val="none" w:sz="0" w:space="0" w:color="auto"/>
        <w:right w:val="none" w:sz="0" w:space="0" w:color="auto"/>
      </w:divBdr>
    </w:div>
    <w:div w:id="2131167695">
      <w:bodyDiv w:val="1"/>
      <w:marLeft w:val="0"/>
      <w:marRight w:val="0"/>
      <w:marTop w:val="0"/>
      <w:marBottom w:val="0"/>
      <w:divBdr>
        <w:top w:val="none" w:sz="0" w:space="0" w:color="auto"/>
        <w:left w:val="none" w:sz="0" w:space="0" w:color="auto"/>
        <w:bottom w:val="none" w:sz="0" w:space="0" w:color="auto"/>
        <w:right w:val="none" w:sz="0" w:space="0" w:color="auto"/>
      </w:divBdr>
      <w:divsChild>
        <w:div w:id="46340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3D75A-D453-0547-8E94-7083B5B17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991</TotalTime>
  <Pages>23</Pages>
  <Words>6984</Words>
  <Characters>39815</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Abreu</dc:creator>
  <cp:keywords/>
  <dc:description/>
  <cp:lastModifiedBy>Diana Abreu</cp:lastModifiedBy>
  <cp:revision>88</cp:revision>
  <cp:lastPrinted>2023-04-28T13:58:00Z</cp:lastPrinted>
  <dcterms:created xsi:type="dcterms:W3CDTF">2023-03-06T16:46:00Z</dcterms:created>
  <dcterms:modified xsi:type="dcterms:W3CDTF">2023-05-04T12:24:00Z</dcterms:modified>
</cp:coreProperties>
</file>