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65F0FF" w14:textId="77777777" w:rsidR="00C066EE" w:rsidRPr="00C8143D" w:rsidRDefault="00C066EE" w:rsidP="00C8143D">
      <w:pPr>
        <w:jc w:val="center"/>
        <w:rPr>
          <w:rFonts w:ascii="Arial" w:hAnsi="Arial" w:cs="Arial"/>
          <w:b/>
          <w:sz w:val="22"/>
        </w:rPr>
      </w:pPr>
    </w:p>
    <w:p w14:paraId="3CDB232E" w14:textId="77777777" w:rsidR="00C066EE" w:rsidRPr="00C8143D" w:rsidRDefault="00C066EE" w:rsidP="00C8143D">
      <w:pPr>
        <w:jc w:val="center"/>
        <w:rPr>
          <w:rFonts w:ascii="Arial" w:hAnsi="Arial" w:cs="Arial"/>
          <w:b/>
          <w:sz w:val="22"/>
        </w:rPr>
      </w:pPr>
    </w:p>
    <w:p w14:paraId="3DE17AED" w14:textId="77777777" w:rsidR="00C066EE" w:rsidRPr="009E533D" w:rsidRDefault="00000000" w:rsidP="00C8143D">
      <w:pPr>
        <w:jc w:val="center"/>
        <w:rPr>
          <w:rFonts w:ascii="Arial" w:hAnsi="Arial" w:cs="Arial"/>
          <w:sz w:val="32"/>
          <w:szCs w:val="32"/>
        </w:rPr>
      </w:pPr>
      <w:r w:rsidRPr="009E533D">
        <w:rPr>
          <w:rFonts w:ascii="Arial" w:hAnsi="Arial" w:cs="Arial"/>
          <w:b/>
          <w:sz w:val="32"/>
          <w:szCs w:val="32"/>
        </w:rPr>
        <w:t>TYPE 2 DIABETES:</w:t>
      </w:r>
      <w:r w:rsidRPr="009E533D">
        <w:rPr>
          <w:rFonts w:ascii="Arial" w:hAnsi="Arial" w:cs="Arial"/>
          <w:b/>
          <w:sz w:val="32"/>
          <w:szCs w:val="32"/>
        </w:rPr>
        <w:br/>
        <w:t>BLOOD GLUCOSE REGULATION, MONITORING</w:t>
      </w:r>
      <w:r w:rsidRPr="009E533D">
        <w:rPr>
          <w:rFonts w:ascii="Arial" w:hAnsi="Arial" w:cs="Arial"/>
          <w:b/>
          <w:sz w:val="32"/>
          <w:szCs w:val="32"/>
        </w:rPr>
        <w:br/>
        <w:t>AND LIFESTYLE MANAGEMENT</w:t>
      </w:r>
    </w:p>
    <w:p w14:paraId="656E8046" w14:textId="77777777" w:rsidR="00D3055C" w:rsidRPr="00C8143D" w:rsidRDefault="00000000" w:rsidP="00C8143D">
      <w:pPr>
        <w:jc w:val="center"/>
        <w:rPr>
          <w:rFonts w:ascii="Arial" w:hAnsi="Arial" w:cs="Arial"/>
          <w:b/>
          <w:sz w:val="22"/>
        </w:rPr>
      </w:pPr>
      <w:r w:rsidRPr="00C8143D">
        <w:rPr>
          <w:rFonts w:ascii="Arial" w:hAnsi="Arial" w:cs="Arial"/>
          <w:b/>
          <w:sz w:val="22"/>
        </w:rPr>
        <w:br/>
      </w:r>
      <w:r w:rsidR="00D3055C" w:rsidRPr="00C8143D">
        <w:rPr>
          <w:rFonts w:ascii="Arial" w:hAnsi="Arial" w:cs="Arial"/>
          <w:b/>
          <w:sz w:val="22"/>
        </w:rPr>
        <w:t xml:space="preserve"> </w:t>
      </w:r>
    </w:p>
    <w:p w14:paraId="26B7AA73" w14:textId="77777777" w:rsidR="00D3055C" w:rsidRPr="00C8143D" w:rsidRDefault="00D3055C" w:rsidP="00C8143D">
      <w:pPr>
        <w:jc w:val="center"/>
        <w:rPr>
          <w:rFonts w:ascii="Arial" w:hAnsi="Arial" w:cs="Arial"/>
          <w:b/>
          <w:sz w:val="22"/>
        </w:rPr>
      </w:pPr>
    </w:p>
    <w:p w14:paraId="3D7421C6" w14:textId="77777777" w:rsidR="00D3055C" w:rsidRPr="00C8143D" w:rsidRDefault="00D3055C" w:rsidP="00C8143D">
      <w:pPr>
        <w:jc w:val="center"/>
        <w:rPr>
          <w:rFonts w:ascii="Arial" w:hAnsi="Arial" w:cs="Arial"/>
          <w:b/>
          <w:sz w:val="22"/>
        </w:rPr>
      </w:pPr>
    </w:p>
    <w:p w14:paraId="64B7934E" w14:textId="77777777" w:rsidR="00D3055C" w:rsidRPr="00C8143D" w:rsidRDefault="00D3055C" w:rsidP="00C8143D">
      <w:pPr>
        <w:jc w:val="center"/>
        <w:rPr>
          <w:rFonts w:ascii="Arial" w:hAnsi="Arial" w:cs="Arial"/>
          <w:b/>
          <w:sz w:val="22"/>
        </w:rPr>
      </w:pPr>
    </w:p>
    <w:p w14:paraId="6433AE34" w14:textId="77777777" w:rsidR="00D3055C" w:rsidRPr="00C8143D" w:rsidRDefault="00D3055C" w:rsidP="00C8143D">
      <w:pPr>
        <w:jc w:val="center"/>
        <w:rPr>
          <w:rFonts w:ascii="Arial" w:hAnsi="Arial" w:cs="Arial"/>
          <w:b/>
          <w:sz w:val="22"/>
        </w:rPr>
      </w:pPr>
    </w:p>
    <w:p w14:paraId="289F82E2" w14:textId="77777777" w:rsidR="00D3055C" w:rsidRPr="00C8143D" w:rsidRDefault="00D3055C" w:rsidP="00C8143D">
      <w:pPr>
        <w:jc w:val="center"/>
        <w:rPr>
          <w:rFonts w:ascii="Arial" w:hAnsi="Arial" w:cs="Arial"/>
          <w:b/>
          <w:sz w:val="22"/>
        </w:rPr>
      </w:pPr>
    </w:p>
    <w:p w14:paraId="0D1AE3CD" w14:textId="77777777" w:rsidR="00D3055C" w:rsidRPr="00C8143D" w:rsidRDefault="00D3055C" w:rsidP="00C8143D">
      <w:pPr>
        <w:jc w:val="center"/>
        <w:rPr>
          <w:rFonts w:ascii="Arial" w:hAnsi="Arial" w:cs="Arial"/>
          <w:b/>
          <w:sz w:val="22"/>
        </w:rPr>
      </w:pPr>
    </w:p>
    <w:p w14:paraId="0E35B2A3" w14:textId="3BF2A385" w:rsidR="00C066EE" w:rsidRPr="00C8143D" w:rsidRDefault="00C066EE" w:rsidP="00C8143D">
      <w:pPr>
        <w:rPr>
          <w:rFonts w:ascii="Arial" w:hAnsi="Arial" w:cs="Arial"/>
          <w:sz w:val="22"/>
        </w:rPr>
      </w:pPr>
    </w:p>
    <w:p w14:paraId="3D12D734" w14:textId="747786A7" w:rsidR="00C066EE" w:rsidRPr="00C8143D" w:rsidRDefault="00000000" w:rsidP="00C8143D">
      <w:pPr>
        <w:rPr>
          <w:rFonts w:ascii="Arial" w:hAnsi="Arial" w:cs="Arial"/>
          <w:sz w:val="22"/>
        </w:rPr>
      </w:pPr>
      <w:r w:rsidRPr="00C8143D">
        <w:rPr>
          <w:rFonts w:ascii="Arial" w:hAnsi="Arial" w:cs="Arial"/>
          <w:sz w:val="22"/>
        </w:rPr>
        <w:t>Student Name:</w:t>
      </w:r>
      <w:r w:rsidR="00D3055C" w:rsidRPr="00C8143D">
        <w:rPr>
          <w:rFonts w:ascii="Arial" w:hAnsi="Arial" w:cs="Arial"/>
          <w:sz w:val="22"/>
        </w:rPr>
        <w:t xml:space="preserve"> </w:t>
      </w:r>
      <w:r w:rsidRPr="00C8143D">
        <w:rPr>
          <w:rFonts w:ascii="Arial" w:hAnsi="Arial" w:cs="Arial"/>
          <w:sz w:val="22"/>
        </w:rPr>
        <w:t xml:space="preserve">Yvonne </w:t>
      </w:r>
      <w:r w:rsidR="00D3055C" w:rsidRPr="00C8143D">
        <w:rPr>
          <w:rFonts w:ascii="Arial" w:hAnsi="Arial" w:cs="Arial"/>
          <w:sz w:val="22"/>
        </w:rPr>
        <w:t xml:space="preserve">Cynthia Annobea </w:t>
      </w:r>
      <w:r w:rsidRPr="00C8143D">
        <w:rPr>
          <w:rFonts w:ascii="Arial" w:hAnsi="Arial" w:cs="Arial"/>
          <w:sz w:val="22"/>
        </w:rPr>
        <w:t>Annan</w:t>
      </w:r>
    </w:p>
    <w:p w14:paraId="16D6C461" w14:textId="0C817B34" w:rsidR="00C066EE" w:rsidRPr="00C8143D" w:rsidRDefault="00000000" w:rsidP="00C8143D">
      <w:pPr>
        <w:rPr>
          <w:rFonts w:ascii="Arial" w:hAnsi="Arial" w:cs="Arial"/>
          <w:sz w:val="22"/>
        </w:rPr>
      </w:pPr>
      <w:r w:rsidRPr="00C8143D">
        <w:rPr>
          <w:rFonts w:ascii="Arial" w:hAnsi="Arial" w:cs="Arial"/>
          <w:sz w:val="22"/>
        </w:rPr>
        <w:t xml:space="preserve">Student ID: </w:t>
      </w:r>
      <w:r w:rsidR="00D3055C" w:rsidRPr="00C8143D">
        <w:rPr>
          <w:rFonts w:ascii="Arial" w:hAnsi="Arial" w:cs="Arial"/>
          <w:sz w:val="22"/>
        </w:rPr>
        <w:t>2406246</w:t>
      </w:r>
    </w:p>
    <w:p w14:paraId="48387296" w14:textId="5168CAA5" w:rsidR="00C066EE" w:rsidRPr="00C8143D" w:rsidRDefault="0073072D" w:rsidP="00C8143D">
      <w:pPr>
        <w:rPr>
          <w:rFonts w:ascii="Arial" w:hAnsi="Arial" w:cs="Arial"/>
          <w:sz w:val="22"/>
        </w:rPr>
      </w:pPr>
      <w:r w:rsidRPr="00C8143D">
        <w:rPr>
          <w:rFonts w:ascii="Arial" w:hAnsi="Arial" w:cs="Arial"/>
          <w:sz w:val="22"/>
        </w:rPr>
        <w:t xml:space="preserve">Module Name: </w:t>
      </w:r>
      <w:r w:rsidR="0076151A" w:rsidRPr="00C8143D">
        <w:rPr>
          <w:rFonts w:ascii="Arial" w:hAnsi="Arial" w:cs="Arial"/>
          <w:sz w:val="22"/>
        </w:rPr>
        <w:t xml:space="preserve">Introduction to </w:t>
      </w:r>
      <w:r w:rsidRPr="00C8143D">
        <w:rPr>
          <w:rFonts w:ascii="Arial" w:hAnsi="Arial" w:cs="Arial"/>
          <w:sz w:val="22"/>
        </w:rPr>
        <w:t>Physiology</w:t>
      </w:r>
    </w:p>
    <w:p w14:paraId="2C6BE987" w14:textId="4F6E04FB" w:rsidR="005730DA" w:rsidRPr="00C8143D" w:rsidRDefault="005730DA" w:rsidP="00C8143D">
      <w:pPr>
        <w:rPr>
          <w:rFonts w:ascii="Arial" w:hAnsi="Arial" w:cs="Arial"/>
          <w:sz w:val="22"/>
        </w:rPr>
      </w:pPr>
      <w:r w:rsidRPr="00C8143D">
        <w:rPr>
          <w:rFonts w:ascii="Arial" w:hAnsi="Arial" w:cs="Arial"/>
          <w:sz w:val="22"/>
        </w:rPr>
        <w:t>Module Code: BMHP50</w:t>
      </w:r>
      <w:r w:rsidR="00ED26AA" w:rsidRPr="00C8143D">
        <w:rPr>
          <w:rFonts w:ascii="Arial" w:hAnsi="Arial" w:cs="Arial"/>
          <w:sz w:val="22"/>
        </w:rPr>
        <w:t>23</w:t>
      </w:r>
    </w:p>
    <w:p w14:paraId="7DA9C786" w14:textId="1613C3B6" w:rsidR="00264AEC" w:rsidRPr="00C8143D" w:rsidRDefault="00264AEC" w:rsidP="00C8143D">
      <w:pPr>
        <w:rPr>
          <w:rFonts w:ascii="Arial" w:hAnsi="Arial" w:cs="Arial"/>
          <w:sz w:val="22"/>
        </w:rPr>
      </w:pPr>
      <w:r w:rsidRPr="00C8143D">
        <w:rPr>
          <w:rFonts w:ascii="Arial" w:hAnsi="Arial" w:cs="Arial"/>
          <w:sz w:val="22"/>
        </w:rPr>
        <w:t xml:space="preserve">Title: Case Study </w:t>
      </w:r>
      <w:r w:rsidR="00DB778E" w:rsidRPr="00C8143D">
        <w:rPr>
          <w:rFonts w:ascii="Arial" w:hAnsi="Arial" w:cs="Arial"/>
          <w:sz w:val="22"/>
        </w:rPr>
        <w:t>Type 2 Diabetes</w:t>
      </w:r>
    </w:p>
    <w:p w14:paraId="5D726687" w14:textId="621936C4" w:rsidR="00D3055C" w:rsidRPr="00C8143D" w:rsidRDefault="00D3055C" w:rsidP="00C8143D">
      <w:pPr>
        <w:rPr>
          <w:rFonts w:ascii="Arial" w:hAnsi="Arial" w:cs="Arial"/>
          <w:sz w:val="22"/>
        </w:rPr>
      </w:pPr>
      <w:r w:rsidRPr="00C8143D">
        <w:rPr>
          <w:rFonts w:ascii="Arial" w:hAnsi="Arial" w:cs="Arial"/>
          <w:sz w:val="22"/>
        </w:rPr>
        <w:t>Lecturer:</w:t>
      </w:r>
      <w:r w:rsidR="005B747B" w:rsidRPr="00C8143D">
        <w:rPr>
          <w:rFonts w:ascii="Arial" w:hAnsi="Arial" w:cs="Arial"/>
          <w:sz w:val="22"/>
        </w:rPr>
        <w:t xml:space="preserve"> Gillian Weaver</w:t>
      </w:r>
    </w:p>
    <w:p w14:paraId="66E8D974" w14:textId="097C958E" w:rsidR="0076151A" w:rsidRPr="00C8143D" w:rsidRDefault="0076151A" w:rsidP="00C8143D">
      <w:pPr>
        <w:rPr>
          <w:rFonts w:ascii="Arial" w:hAnsi="Arial" w:cs="Arial"/>
          <w:sz w:val="22"/>
        </w:rPr>
      </w:pPr>
      <w:r w:rsidRPr="00C8143D">
        <w:rPr>
          <w:rFonts w:ascii="Arial" w:hAnsi="Arial" w:cs="Arial"/>
          <w:sz w:val="22"/>
        </w:rPr>
        <w:t>Date: 2</w:t>
      </w:r>
      <w:r w:rsidR="00863132" w:rsidRPr="00C8143D">
        <w:rPr>
          <w:rFonts w:ascii="Arial" w:hAnsi="Arial" w:cs="Arial"/>
          <w:sz w:val="22"/>
        </w:rPr>
        <w:t>6</w:t>
      </w:r>
      <w:r w:rsidRPr="00C8143D">
        <w:rPr>
          <w:rFonts w:ascii="Arial" w:hAnsi="Arial" w:cs="Arial"/>
          <w:sz w:val="22"/>
        </w:rPr>
        <w:t>/10/2026</w:t>
      </w:r>
    </w:p>
    <w:p w14:paraId="3890CAEC" w14:textId="77777777" w:rsidR="00C066EE" w:rsidRPr="00C8143D" w:rsidRDefault="00C066EE" w:rsidP="00C8143D">
      <w:pPr>
        <w:jc w:val="center"/>
        <w:rPr>
          <w:rFonts w:ascii="Arial" w:hAnsi="Arial" w:cs="Arial"/>
          <w:sz w:val="22"/>
        </w:rPr>
      </w:pPr>
    </w:p>
    <w:p w14:paraId="25C57ED3" w14:textId="77777777" w:rsidR="00C066EE" w:rsidRPr="00C8143D" w:rsidRDefault="00C066EE" w:rsidP="00C8143D">
      <w:pPr>
        <w:rPr>
          <w:rFonts w:ascii="Arial" w:hAnsi="Arial" w:cs="Arial"/>
          <w:sz w:val="22"/>
        </w:rPr>
      </w:pPr>
    </w:p>
    <w:p w14:paraId="0BD6FD54" w14:textId="167FE315" w:rsidR="00C066EE" w:rsidRPr="00C8143D" w:rsidRDefault="00000000" w:rsidP="00C8143D">
      <w:pPr>
        <w:rPr>
          <w:rFonts w:ascii="Arial" w:hAnsi="Arial" w:cs="Arial"/>
          <w:sz w:val="22"/>
        </w:rPr>
      </w:pPr>
      <w:r w:rsidRPr="00C8143D">
        <w:rPr>
          <w:rFonts w:ascii="Arial" w:hAnsi="Arial" w:cs="Arial"/>
          <w:sz w:val="22"/>
        </w:rPr>
        <w:lastRenderedPageBreak/>
        <w:br w:type="page"/>
      </w:r>
      <w:r w:rsidRPr="00C8143D">
        <w:rPr>
          <w:rFonts w:ascii="Arial" w:hAnsi="Arial" w:cs="Arial"/>
          <w:b/>
          <w:sz w:val="22"/>
        </w:rPr>
        <w:lastRenderedPageBreak/>
        <w:t>TABLE OF CONTENTS</w:t>
      </w:r>
    </w:p>
    <w:p w14:paraId="51C13B15" w14:textId="203E5257" w:rsidR="00C066EE" w:rsidRPr="00C8143D" w:rsidRDefault="00000000" w:rsidP="00C8143D">
      <w:pPr>
        <w:rPr>
          <w:rFonts w:ascii="Arial" w:hAnsi="Arial" w:cs="Arial"/>
          <w:sz w:val="22"/>
        </w:rPr>
      </w:pPr>
      <w:r w:rsidRPr="00C8143D">
        <w:rPr>
          <w:rFonts w:ascii="Arial" w:hAnsi="Arial" w:cs="Arial"/>
          <w:sz w:val="22"/>
        </w:rPr>
        <w:t>1.0    Introduction..........................................................................................................</w:t>
      </w:r>
      <w:r w:rsidR="006D683A" w:rsidRPr="00C8143D">
        <w:rPr>
          <w:rFonts w:ascii="Arial" w:hAnsi="Arial" w:cs="Arial"/>
          <w:sz w:val="22"/>
        </w:rPr>
        <w:t>.........</w:t>
      </w:r>
      <w:r w:rsidRPr="00C8143D">
        <w:rPr>
          <w:rFonts w:ascii="Arial" w:hAnsi="Arial" w:cs="Arial"/>
          <w:sz w:val="22"/>
        </w:rPr>
        <w:t>.3</w:t>
      </w:r>
    </w:p>
    <w:p w14:paraId="7D047DFA" w14:textId="186DA25A" w:rsidR="00C066EE" w:rsidRPr="00C8143D" w:rsidRDefault="00000000" w:rsidP="00C8143D">
      <w:pPr>
        <w:rPr>
          <w:rFonts w:ascii="Arial" w:hAnsi="Arial" w:cs="Arial"/>
          <w:sz w:val="22"/>
        </w:rPr>
      </w:pPr>
      <w:r w:rsidRPr="00C8143D">
        <w:rPr>
          <w:rFonts w:ascii="Arial" w:hAnsi="Arial" w:cs="Arial"/>
          <w:sz w:val="22"/>
        </w:rPr>
        <w:t>2.0   How Blood Sugar Levels Are Maintained at a Safe and Effective Level............</w:t>
      </w:r>
      <w:r w:rsidR="006D683A" w:rsidRPr="00C8143D">
        <w:rPr>
          <w:rFonts w:ascii="Arial" w:hAnsi="Arial" w:cs="Arial"/>
          <w:sz w:val="22"/>
        </w:rPr>
        <w:t>............</w:t>
      </w:r>
      <w:r w:rsidRPr="00C8143D">
        <w:rPr>
          <w:rFonts w:ascii="Arial" w:hAnsi="Arial" w:cs="Arial"/>
          <w:sz w:val="22"/>
        </w:rPr>
        <w:t>3</w:t>
      </w:r>
    </w:p>
    <w:p w14:paraId="3061C87F" w14:textId="789A52E1" w:rsidR="00C066EE" w:rsidRPr="00C8143D" w:rsidRDefault="00000000" w:rsidP="00C8143D">
      <w:pPr>
        <w:rPr>
          <w:rFonts w:ascii="Arial" w:hAnsi="Arial" w:cs="Arial"/>
          <w:sz w:val="22"/>
        </w:rPr>
      </w:pPr>
      <w:r w:rsidRPr="00C8143D">
        <w:rPr>
          <w:rFonts w:ascii="Arial" w:hAnsi="Arial" w:cs="Arial"/>
          <w:sz w:val="22"/>
        </w:rPr>
        <w:t>3.0 How Oxygen and Glucose Are Used to Produce Energy  Through Cell Metabolism....</w:t>
      </w:r>
      <w:r w:rsidR="006D683A" w:rsidRPr="00C8143D">
        <w:rPr>
          <w:rFonts w:ascii="Arial" w:hAnsi="Arial" w:cs="Arial"/>
          <w:sz w:val="22"/>
        </w:rPr>
        <w:t>...</w:t>
      </w:r>
      <w:r w:rsidRPr="00C8143D">
        <w:rPr>
          <w:rFonts w:ascii="Arial" w:hAnsi="Arial" w:cs="Arial"/>
          <w:sz w:val="22"/>
        </w:rPr>
        <w:t>5</w:t>
      </w:r>
    </w:p>
    <w:p w14:paraId="32558089" w14:textId="34FF773A" w:rsidR="00C066EE" w:rsidRPr="00C8143D" w:rsidRDefault="00000000" w:rsidP="00C8143D">
      <w:pPr>
        <w:rPr>
          <w:rFonts w:ascii="Arial" w:hAnsi="Arial" w:cs="Arial"/>
          <w:sz w:val="22"/>
        </w:rPr>
      </w:pPr>
      <w:r w:rsidRPr="00C8143D">
        <w:rPr>
          <w:rFonts w:ascii="Arial" w:hAnsi="Arial" w:cs="Arial"/>
          <w:sz w:val="22"/>
        </w:rPr>
        <w:t>4.0 How Recording and Tracking Blood Sugar Helps Individuals with Type 2 Diabetes....</w:t>
      </w:r>
      <w:r w:rsidR="006D683A" w:rsidRPr="00C8143D">
        <w:rPr>
          <w:rFonts w:ascii="Arial" w:hAnsi="Arial" w:cs="Arial"/>
          <w:sz w:val="22"/>
        </w:rPr>
        <w:t>....</w:t>
      </w:r>
      <w:r w:rsidRPr="00C8143D">
        <w:rPr>
          <w:rFonts w:ascii="Arial" w:hAnsi="Arial" w:cs="Arial"/>
          <w:sz w:val="22"/>
        </w:rPr>
        <w:t>5</w:t>
      </w:r>
    </w:p>
    <w:p w14:paraId="1530DDCA" w14:textId="51FF303B" w:rsidR="00C066EE" w:rsidRPr="00C8143D" w:rsidRDefault="00000000" w:rsidP="00C8143D">
      <w:pPr>
        <w:rPr>
          <w:rFonts w:ascii="Arial" w:hAnsi="Arial" w:cs="Arial"/>
          <w:sz w:val="22"/>
        </w:rPr>
      </w:pPr>
      <w:r w:rsidRPr="00C8143D">
        <w:rPr>
          <w:rFonts w:ascii="Arial" w:hAnsi="Arial" w:cs="Arial"/>
          <w:sz w:val="22"/>
        </w:rPr>
        <w:t>5.0 Evidence-Based Recommendations on How Lifestyle Changes Could Improve the Condition.................................................................................................................................6</w:t>
      </w:r>
    </w:p>
    <w:p w14:paraId="0EB955F1" w14:textId="747BF1FB" w:rsidR="00C066EE" w:rsidRPr="00C8143D" w:rsidRDefault="00000000" w:rsidP="00C8143D">
      <w:pPr>
        <w:rPr>
          <w:rFonts w:ascii="Arial" w:hAnsi="Arial" w:cs="Arial"/>
          <w:sz w:val="22"/>
        </w:rPr>
      </w:pPr>
      <w:r w:rsidRPr="00C8143D">
        <w:rPr>
          <w:rFonts w:ascii="Arial" w:hAnsi="Arial" w:cs="Arial"/>
          <w:sz w:val="22"/>
        </w:rPr>
        <w:t>6.0. Conclusion......................................................................................................................</w:t>
      </w:r>
      <w:r w:rsidR="001F68FA" w:rsidRPr="00C8143D">
        <w:rPr>
          <w:rFonts w:ascii="Arial" w:hAnsi="Arial" w:cs="Arial"/>
          <w:sz w:val="22"/>
        </w:rPr>
        <w:t>.</w:t>
      </w:r>
      <w:r w:rsidRPr="00C8143D">
        <w:rPr>
          <w:rFonts w:ascii="Arial" w:hAnsi="Arial" w:cs="Arial"/>
          <w:sz w:val="22"/>
        </w:rPr>
        <w:t>.6</w:t>
      </w:r>
    </w:p>
    <w:p w14:paraId="7722C3EE" w14:textId="11E98776" w:rsidR="00C066EE" w:rsidRPr="00C8143D" w:rsidRDefault="00000000" w:rsidP="00C8143D">
      <w:pPr>
        <w:rPr>
          <w:rFonts w:ascii="Arial" w:hAnsi="Arial" w:cs="Arial"/>
          <w:sz w:val="22"/>
        </w:rPr>
      </w:pPr>
      <w:r w:rsidRPr="00C8143D">
        <w:rPr>
          <w:rFonts w:ascii="Arial" w:hAnsi="Arial" w:cs="Arial"/>
          <w:sz w:val="22"/>
        </w:rPr>
        <w:t>References..............................................................................................................................</w:t>
      </w:r>
      <w:r w:rsidR="006D683A" w:rsidRPr="00C8143D">
        <w:rPr>
          <w:rFonts w:ascii="Arial" w:hAnsi="Arial" w:cs="Arial"/>
          <w:sz w:val="22"/>
        </w:rPr>
        <w:t>.</w:t>
      </w:r>
      <w:r w:rsidRPr="00C8143D">
        <w:rPr>
          <w:rFonts w:ascii="Arial" w:hAnsi="Arial" w:cs="Arial"/>
          <w:sz w:val="22"/>
        </w:rPr>
        <w:t>7</w:t>
      </w:r>
    </w:p>
    <w:p w14:paraId="0BC3894F" w14:textId="77777777" w:rsidR="00C066EE" w:rsidRPr="00C8143D" w:rsidRDefault="00C066EE" w:rsidP="00C8143D">
      <w:pPr>
        <w:rPr>
          <w:rFonts w:ascii="Arial" w:hAnsi="Arial" w:cs="Arial"/>
          <w:sz w:val="22"/>
        </w:rPr>
      </w:pPr>
    </w:p>
    <w:p w14:paraId="67775B50" w14:textId="77777777" w:rsidR="00C066EE" w:rsidRPr="00C8143D" w:rsidRDefault="00C066EE" w:rsidP="00C8143D">
      <w:pPr>
        <w:pStyle w:val="Heading1"/>
        <w:rPr>
          <w:rFonts w:ascii="Arial" w:hAnsi="Arial" w:cs="Arial"/>
          <w:sz w:val="22"/>
          <w:szCs w:val="22"/>
        </w:rPr>
      </w:pPr>
    </w:p>
    <w:p w14:paraId="68F6EE11" w14:textId="77777777" w:rsidR="00C066EE" w:rsidRPr="00C8143D" w:rsidRDefault="00C066EE" w:rsidP="00C8143D">
      <w:pPr>
        <w:pStyle w:val="Heading1"/>
        <w:rPr>
          <w:rFonts w:ascii="Arial" w:hAnsi="Arial" w:cs="Arial"/>
          <w:sz w:val="22"/>
          <w:szCs w:val="22"/>
        </w:rPr>
      </w:pPr>
    </w:p>
    <w:p w14:paraId="6417F27E" w14:textId="77777777" w:rsidR="00C066EE" w:rsidRPr="00C8143D" w:rsidRDefault="00C066EE" w:rsidP="00C8143D">
      <w:pPr>
        <w:rPr>
          <w:rFonts w:ascii="Arial" w:hAnsi="Arial" w:cs="Arial"/>
          <w:sz w:val="22"/>
        </w:rPr>
      </w:pPr>
    </w:p>
    <w:p w14:paraId="05BEB055" w14:textId="77777777" w:rsidR="00C066EE" w:rsidRPr="00C8143D" w:rsidRDefault="00C066EE" w:rsidP="00C8143D">
      <w:pPr>
        <w:rPr>
          <w:rFonts w:ascii="Arial" w:hAnsi="Arial" w:cs="Arial"/>
          <w:sz w:val="22"/>
        </w:rPr>
      </w:pPr>
    </w:p>
    <w:p w14:paraId="7F7F5736" w14:textId="77777777" w:rsidR="00C066EE" w:rsidRPr="00C8143D" w:rsidRDefault="00C066EE" w:rsidP="00C8143D">
      <w:pPr>
        <w:rPr>
          <w:rFonts w:ascii="Arial" w:hAnsi="Arial" w:cs="Arial"/>
          <w:sz w:val="22"/>
        </w:rPr>
      </w:pPr>
    </w:p>
    <w:p w14:paraId="5341A482" w14:textId="77777777" w:rsidR="00C066EE" w:rsidRPr="00C8143D" w:rsidRDefault="00C066EE" w:rsidP="00C8143D">
      <w:pPr>
        <w:pStyle w:val="Heading1"/>
        <w:rPr>
          <w:rFonts w:ascii="Arial" w:hAnsi="Arial" w:cs="Arial"/>
          <w:sz w:val="22"/>
          <w:szCs w:val="22"/>
        </w:rPr>
      </w:pPr>
    </w:p>
    <w:p w14:paraId="1850ECAA" w14:textId="77777777" w:rsidR="00C066EE" w:rsidRPr="00C8143D" w:rsidRDefault="00C066EE" w:rsidP="00C8143D">
      <w:pPr>
        <w:rPr>
          <w:rFonts w:ascii="Arial" w:hAnsi="Arial" w:cs="Arial"/>
          <w:sz w:val="22"/>
        </w:rPr>
      </w:pPr>
    </w:p>
    <w:p w14:paraId="7393FCA3" w14:textId="77777777" w:rsidR="00C066EE" w:rsidRPr="00C8143D" w:rsidRDefault="00C066EE" w:rsidP="00C8143D">
      <w:pPr>
        <w:rPr>
          <w:rFonts w:ascii="Arial" w:hAnsi="Arial" w:cs="Arial"/>
          <w:sz w:val="22"/>
        </w:rPr>
      </w:pPr>
    </w:p>
    <w:p w14:paraId="0F4FF2FA" w14:textId="77777777" w:rsidR="00C066EE" w:rsidRPr="00C8143D" w:rsidRDefault="00C066EE" w:rsidP="00C8143D">
      <w:pPr>
        <w:rPr>
          <w:rFonts w:ascii="Arial" w:hAnsi="Arial" w:cs="Arial"/>
          <w:sz w:val="22"/>
        </w:rPr>
      </w:pPr>
    </w:p>
    <w:p w14:paraId="09291ABE" w14:textId="77777777" w:rsidR="00C066EE" w:rsidRPr="00C8143D" w:rsidRDefault="00C066EE" w:rsidP="00C8143D">
      <w:pPr>
        <w:rPr>
          <w:rFonts w:ascii="Arial" w:hAnsi="Arial" w:cs="Arial"/>
          <w:sz w:val="22"/>
        </w:rPr>
      </w:pPr>
    </w:p>
    <w:p w14:paraId="08F3AE2A" w14:textId="77777777" w:rsidR="00C066EE" w:rsidRPr="00C8143D" w:rsidRDefault="00000000" w:rsidP="00C8143D">
      <w:pPr>
        <w:pStyle w:val="Heading1"/>
        <w:rPr>
          <w:rFonts w:ascii="Arial" w:hAnsi="Arial" w:cs="Arial"/>
          <w:sz w:val="22"/>
          <w:szCs w:val="22"/>
        </w:rPr>
      </w:pPr>
      <w:r w:rsidRPr="00C8143D">
        <w:rPr>
          <w:rFonts w:ascii="Arial" w:hAnsi="Arial" w:cs="Arial"/>
          <w:sz w:val="22"/>
          <w:szCs w:val="22"/>
        </w:rPr>
        <w:lastRenderedPageBreak/>
        <w:t>1.0  Introduction</w:t>
      </w:r>
    </w:p>
    <w:p w14:paraId="076D2B26" w14:textId="77777777" w:rsidR="00C066EE" w:rsidRPr="00C8143D" w:rsidRDefault="00000000" w:rsidP="00C8143D">
      <w:pPr>
        <w:jc w:val="both"/>
        <w:rPr>
          <w:rFonts w:ascii="Arial" w:hAnsi="Arial" w:cs="Arial"/>
          <w:sz w:val="22"/>
        </w:rPr>
      </w:pPr>
      <w:r w:rsidRPr="00C8143D">
        <w:rPr>
          <w:rFonts w:ascii="Arial" w:hAnsi="Arial" w:cs="Arial"/>
          <w:sz w:val="22"/>
        </w:rPr>
        <w:t>Diabetes mellitus is a long-term metabolic disorder marked by consistently high levels of blood sugar, known as hyperglycemia. The condition primarily manifests in two forms: type 1 and type 2 diabetes. In type 1 diabetes, an autoimmune response leads to the destruction of the insulin-producing beta cells in the pancreas, resulting in an absolute insulin deficiency. Conversely, type 2 diabetes (T2D) is characterized by a combination of insulin resistance and a gradual decline in beta-cell performance. Although insulin is still generated in T2D, the body's tissues gradually become resistant to its effects, and eventually, insulin production is insufficient to regulate glucose levels properly (Lee, Park, and Choi, 2022).</w:t>
      </w:r>
    </w:p>
    <w:p w14:paraId="021CF287" w14:textId="77777777" w:rsidR="00C066EE" w:rsidRPr="00C8143D" w:rsidRDefault="00000000" w:rsidP="00C8143D">
      <w:pPr>
        <w:jc w:val="both"/>
        <w:rPr>
          <w:rFonts w:ascii="Arial" w:hAnsi="Arial" w:cs="Arial"/>
          <w:sz w:val="22"/>
        </w:rPr>
      </w:pPr>
      <w:r w:rsidRPr="00C8143D">
        <w:rPr>
          <w:rFonts w:ascii="Arial" w:hAnsi="Arial" w:cs="Arial"/>
          <w:sz w:val="22"/>
        </w:rPr>
        <w:t>The onset of T2D is attributed to a range of interconnected risk factors rather than a single causative element. These factors include advancing age, genetic predisposition, a family history of diabetes, obesity, particularly increased abdominal fat, sedentary lifestyles, poor dietary habits, and smoking. Moreover, environmental influences, socioeconomic status, and other metabolic conditions can play a role. A recent review underscores the intricate interplay of genetic, dietary, environmental, microbiome, and metabolic elements in T2D development (Singh et al., 2024).</w:t>
      </w:r>
    </w:p>
    <w:p w14:paraId="2B90CE7B" w14:textId="77777777" w:rsidR="00C066EE" w:rsidRPr="00C8143D" w:rsidRDefault="00000000" w:rsidP="00C8143D">
      <w:pPr>
        <w:jc w:val="both"/>
        <w:rPr>
          <w:rFonts w:ascii="Arial" w:hAnsi="Arial" w:cs="Arial"/>
          <w:sz w:val="22"/>
        </w:rPr>
      </w:pPr>
      <w:r w:rsidRPr="00C8143D">
        <w:rPr>
          <w:rFonts w:ascii="Arial" w:hAnsi="Arial" w:cs="Arial"/>
          <w:sz w:val="22"/>
        </w:rPr>
        <w:t>The significance of this condition lies in the potential for persistent high blood sugar levels to lead to complications impacting the heart, kidneys, eyes, nerves, and other bodily systems. The global incidence of diabetes has been on the rise, with estimates suggesting that approximately 589 million adults between the ages of 20 and 79 were living with diabetes in 2024, predominantly type 2 diabetes (Sun et al., 2025). As a result, primary care plays a crucial role in educating patients about their condition, encouraging appropriate glucose monitoring, and supporting the adoption of sustainable lifestyle modifications.</w:t>
      </w:r>
    </w:p>
    <w:p w14:paraId="6D4E0951" w14:textId="77777777" w:rsidR="00C066EE" w:rsidRPr="00C8143D" w:rsidRDefault="00000000" w:rsidP="00C8143D">
      <w:pPr>
        <w:pStyle w:val="Heading1"/>
        <w:rPr>
          <w:rFonts w:ascii="Arial" w:hAnsi="Arial" w:cs="Arial"/>
          <w:sz w:val="22"/>
          <w:szCs w:val="22"/>
        </w:rPr>
      </w:pPr>
      <w:r w:rsidRPr="00C8143D">
        <w:rPr>
          <w:rFonts w:ascii="Arial" w:hAnsi="Arial" w:cs="Arial"/>
          <w:sz w:val="22"/>
          <w:szCs w:val="22"/>
        </w:rPr>
        <w:t>2.0  How Blood Sugar Levels Are Maintained at a Safe and Effective Level</w:t>
      </w:r>
    </w:p>
    <w:p w14:paraId="65C867F4" w14:textId="77777777" w:rsidR="00C066EE" w:rsidRPr="00C8143D" w:rsidRDefault="00000000" w:rsidP="00C8143D">
      <w:pPr>
        <w:jc w:val="both"/>
        <w:rPr>
          <w:rFonts w:ascii="Arial" w:hAnsi="Arial" w:cs="Arial"/>
          <w:sz w:val="22"/>
        </w:rPr>
      </w:pPr>
      <w:r w:rsidRPr="00C8143D">
        <w:rPr>
          <w:rFonts w:ascii="Arial" w:hAnsi="Arial" w:cs="Arial"/>
          <w:sz w:val="22"/>
        </w:rPr>
        <w:t>Blood glucose levels are controlled through a coordinated effort among the pancreas, liver, skeletal muscle, adipose tissue, and various hormones. When you eat a meal containing carbohydrates, glucose is absorbed from the digestive system into the bloodstream. This increase in blood glucose prompts the pancreatic beta cells to secrete insulin. Insulin facilitates the uptake and utilization of glucose by tissues sensitive to it, such as skeletal muscle and adipose tissue, and also encourages the liver and muscles to store glucose as glycogen. Additionally, insulin reduces the liver's production of glucose (Lee, Park, and Choi, 2022).</w:t>
      </w:r>
    </w:p>
    <w:p w14:paraId="5448DB79" w14:textId="77777777" w:rsidR="00C066EE" w:rsidRPr="00C8143D" w:rsidRDefault="00000000" w:rsidP="00C8143D">
      <w:pPr>
        <w:jc w:val="both"/>
        <w:rPr>
          <w:rFonts w:ascii="Arial" w:hAnsi="Arial" w:cs="Arial"/>
          <w:sz w:val="22"/>
        </w:rPr>
      </w:pPr>
      <w:r w:rsidRPr="00C8143D">
        <w:rPr>
          <w:rFonts w:ascii="Arial" w:hAnsi="Arial" w:cs="Arial"/>
          <w:sz w:val="22"/>
        </w:rPr>
        <w:lastRenderedPageBreak/>
        <w:t>The liver plays a crucial role as both a storage site and distributor of glucose. When glucose is abundant, insulin promotes glycogenesis, wherein glucose is converted into glycogen for storage. Between meals, as blood glucose levels drop, insulin secretion decreases, while the pancreatic alpha cells increase glucagon release. Glucagon stimulates hepatic glycogenolysis, breaking down glycogen, and gluconeogenesis, creating new glucose from substances like glycerol and amino acids (Habegger, 2022).</w:t>
      </w:r>
    </w:p>
    <w:p w14:paraId="0A189703" w14:textId="77777777" w:rsidR="00C066EE" w:rsidRPr="00C8143D" w:rsidRDefault="00000000" w:rsidP="00C8143D">
      <w:pPr>
        <w:jc w:val="both"/>
        <w:rPr>
          <w:rFonts w:ascii="Arial" w:hAnsi="Arial" w:cs="Arial"/>
          <w:sz w:val="22"/>
        </w:rPr>
      </w:pPr>
      <w:r w:rsidRPr="00C8143D">
        <w:rPr>
          <w:rFonts w:ascii="Arial" w:hAnsi="Arial" w:cs="Arial"/>
          <w:sz w:val="22"/>
        </w:rPr>
        <w:t>The balance between insulin and glucagon is essential to avoid both excessive blood glucose levels and dangerously low levels. Other hormones, such as adrenaline, cortisol, and growth hormone, also play roles, especially during fasting, stress, or low blood glucose situations. The liver continuously adjusts its production of glucose in response to nutritional and hormonal cues (Habegger, 2022).</w:t>
      </w:r>
    </w:p>
    <w:p w14:paraId="6C6610B3" w14:textId="77777777" w:rsidR="00C066EE" w:rsidRPr="00C8143D" w:rsidRDefault="00000000" w:rsidP="00C8143D">
      <w:pPr>
        <w:jc w:val="both"/>
        <w:rPr>
          <w:rFonts w:ascii="Arial" w:hAnsi="Arial" w:cs="Arial"/>
          <w:sz w:val="22"/>
        </w:rPr>
      </w:pPr>
      <w:r w:rsidRPr="00C8143D">
        <w:rPr>
          <w:rFonts w:ascii="Arial" w:hAnsi="Arial" w:cs="Arial"/>
          <w:sz w:val="22"/>
        </w:rPr>
        <w:t>In Type 2 Diabetes (T2D), this regulatory system becomes dysfunctional. Insulin resistance results in less effective responses of the muscle, adipose tissue, and liver to insulin. Consequently, glucose uptake may decrease while glucose production in the liver stays excessively high. Initially, the pancreas compensates by producing more insulin, but over time, beta-cell function may deteriorate. This leads to continuous elevated blood glucose levels both when fasting and after meals (Lee, Park, and Choi, 2022).</w:t>
      </w:r>
    </w:p>
    <w:p w14:paraId="229B8F3A" w14:textId="77777777" w:rsidR="00C066EE" w:rsidRPr="00C8143D" w:rsidRDefault="00000000" w:rsidP="00C8143D">
      <w:pPr>
        <w:jc w:val="both"/>
        <w:rPr>
          <w:rFonts w:ascii="Arial" w:hAnsi="Arial" w:cs="Arial"/>
          <w:sz w:val="22"/>
        </w:rPr>
      </w:pPr>
      <w:r w:rsidRPr="00C8143D">
        <w:rPr>
          <w:rFonts w:ascii="Arial" w:hAnsi="Arial" w:cs="Arial"/>
          <w:sz w:val="22"/>
        </w:rPr>
        <w:t>Glycated hemoglobin (HbA1c) is particularly useful for evaluating long-term glucose control as it reflects average blood glucose levels over the past two to three months. Monitoring blood glucose, when clinically necessary, provides additional insights into daily fluctuations and helps patients understand how diet, exercise, medication, and other behaviors impact their glucose levels.</w:t>
      </w:r>
    </w:p>
    <w:p w14:paraId="44D262A3" w14:textId="77777777" w:rsidR="00C066EE" w:rsidRPr="00C8143D" w:rsidRDefault="00000000" w:rsidP="00C8143D">
      <w:pPr>
        <w:pStyle w:val="Heading1"/>
        <w:rPr>
          <w:rFonts w:ascii="Arial" w:hAnsi="Arial" w:cs="Arial"/>
          <w:sz w:val="22"/>
          <w:szCs w:val="22"/>
        </w:rPr>
      </w:pPr>
      <w:r w:rsidRPr="00C8143D">
        <w:rPr>
          <w:rFonts w:ascii="Arial" w:hAnsi="Arial" w:cs="Arial"/>
          <w:sz w:val="22"/>
          <w:szCs w:val="22"/>
        </w:rPr>
        <w:t>3.0  How Oxygen and Glucose Are Used to Produce Energy Through Cell Metabolism</w:t>
      </w:r>
    </w:p>
    <w:p w14:paraId="561ED464" w14:textId="77777777" w:rsidR="00C066EE" w:rsidRPr="00C8143D" w:rsidRDefault="00000000" w:rsidP="00C8143D">
      <w:pPr>
        <w:jc w:val="both"/>
        <w:rPr>
          <w:rFonts w:ascii="Arial" w:hAnsi="Arial" w:cs="Arial"/>
          <w:sz w:val="22"/>
        </w:rPr>
      </w:pPr>
      <w:r w:rsidRPr="00C8143D">
        <w:rPr>
          <w:rFonts w:ascii="Arial" w:hAnsi="Arial" w:cs="Arial"/>
          <w:sz w:val="22"/>
        </w:rPr>
        <w:t>Glucose serves as a crucial energy source for cells. Once it permeates a cell's boundary, glucose undergoes glycolysis in the cytoplasm. This pathway converts one glucose molecule, comprised of six carbons, into two pyruvate molecules. Alongside, it generates a modest amount of immediate ATP and also produces reduced NADH (Su, Villard, and Manneville, 2023).</w:t>
      </w:r>
    </w:p>
    <w:p w14:paraId="77C6DD9C" w14:textId="77777777" w:rsidR="00C066EE" w:rsidRPr="00C8143D" w:rsidRDefault="00000000" w:rsidP="00C8143D">
      <w:pPr>
        <w:jc w:val="both"/>
        <w:rPr>
          <w:rFonts w:ascii="Arial" w:hAnsi="Arial" w:cs="Arial"/>
          <w:sz w:val="22"/>
        </w:rPr>
      </w:pPr>
      <w:r w:rsidRPr="00C8143D">
        <w:rPr>
          <w:rFonts w:ascii="Arial" w:hAnsi="Arial" w:cs="Arial"/>
          <w:sz w:val="22"/>
        </w:rPr>
        <w:t>When oxygen is plentiful, pyruvate is transported into the mitochondria, where it is transformed into acetyl-CoA. Acetyl-CoA then enters the tricarboxylic acid (TCA) cycle, or Krebs cycle. During this cycle, NADH and FADH</w:t>
      </w:r>
      <w:r w:rsidRPr="00C8143D">
        <w:rPr>
          <w:rFonts w:ascii="Cambria Math" w:hAnsi="Cambria Math" w:cs="Cambria Math"/>
          <w:sz w:val="22"/>
        </w:rPr>
        <w:t>₂</w:t>
      </w:r>
      <w:r w:rsidRPr="00C8143D">
        <w:rPr>
          <w:rFonts w:ascii="Arial" w:hAnsi="Arial" w:cs="Arial"/>
          <w:sz w:val="22"/>
        </w:rPr>
        <w:t xml:space="preserve"> are produced, which carry high-energy electrons to the </w:t>
      </w:r>
      <w:r w:rsidRPr="00C8143D">
        <w:rPr>
          <w:rFonts w:ascii="Arial" w:hAnsi="Arial" w:cs="Arial"/>
          <w:sz w:val="22"/>
        </w:rPr>
        <w:lastRenderedPageBreak/>
        <w:t>mitochondrial electron transport chain. Within this chain, electron passage generates a proton gradient across the membrane of the mitochondria. ATP synthase utilizes this gradient to synthesize ATP from ADP and inorganic phosphate, thus supplying energy for various cellular activities (Su, Villard, and Manneville, 2023).</w:t>
      </w:r>
    </w:p>
    <w:p w14:paraId="2330AF59" w14:textId="77777777" w:rsidR="00C066EE" w:rsidRPr="00C8143D" w:rsidRDefault="00000000" w:rsidP="00C8143D">
      <w:pPr>
        <w:jc w:val="both"/>
        <w:rPr>
          <w:rFonts w:ascii="Arial" w:hAnsi="Arial" w:cs="Arial"/>
          <w:sz w:val="22"/>
        </w:rPr>
      </w:pPr>
      <w:r w:rsidRPr="00C8143D">
        <w:rPr>
          <w:rFonts w:ascii="Arial" w:hAnsi="Arial" w:cs="Arial"/>
          <w:sz w:val="22"/>
        </w:rPr>
        <w:t>The presence of oxygen is vital for the last stage of oxidative phosphorylation as it serves as the final electron acceptor. This aerobic respiration process yields significantly more ATP per glucose molecule compared to glycolysis alone. If oxygen supply is inadequate, cells increasingly depend on anaerobic glycolysis, where pyruvate is converted to lactate. This permits glycolysis to persist, though with far less ATP production (Su, Villard, and Manneville, 2023).</w:t>
      </w:r>
    </w:p>
    <w:p w14:paraId="1DC39E9C" w14:textId="77777777" w:rsidR="00C066EE" w:rsidRPr="00C8143D" w:rsidRDefault="00000000" w:rsidP="00C8143D">
      <w:pPr>
        <w:jc w:val="both"/>
        <w:rPr>
          <w:rFonts w:ascii="Arial" w:hAnsi="Arial" w:cs="Arial"/>
          <w:sz w:val="22"/>
        </w:rPr>
      </w:pPr>
      <w:r w:rsidRPr="00C8143D">
        <w:rPr>
          <w:rFonts w:ascii="Arial" w:hAnsi="Arial" w:cs="Arial"/>
          <w:sz w:val="22"/>
        </w:rPr>
        <w:t>To simplify, the pathway can be illustrated as follows: Glucose → glycolysis → pyruvate → acetyl-CoA → TCA cycle → electron transport chain + oxygen → ATP + carbon dioxide + water. The ATP produced is then used for vital roles such as muscle contraction, active ion transport, maintaining cell membranes, and the synthesis of cellular components.</w:t>
      </w:r>
    </w:p>
    <w:p w14:paraId="74A87FC4" w14:textId="77777777" w:rsidR="00C066EE" w:rsidRPr="00C8143D" w:rsidRDefault="00000000" w:rsidP="00C8143D">
      <w:pPr>
        <w:pStyle w:val="Heading1"/>
        <w:rPr>
          <w:rFonts w:ascii="Arial" w:hAnsi="Arial" w:cs="Arial"/>
          <w:sz w:val="22"/>
          <w:szCs w:val="22"/>
        </w:rPr>
      </w:pPr>
      <w:r w:rsidRPr="00C8143D">
        <w:rPr>
          <w:rFonts w:ascii="Arial" w:hAnsi="Arial" w:cs="Arial"/>
          <w:sz w:val="22"/>
          <w:szCs w:val="22"/>
        </w:rPr>
        <w:t>4.0  How Recording and Tracking Blood Sugar Helps Individuals with Type 2 Diabetes</w:t>
      </w:r>
    </w:p>
    <w:p w14:paraId="7F3A6BC6" w14:textId="77777777" w:rsidR="00C066EE" w:rsidRPr="00C8143D" w:rsidRDefault="00000000" w:rsidP="00C8143D">
      <w:pPr>
        <w:jc w:val="both"/>
        <w:rPr>
          <w:rFonts w:ascii="Arial" w:hAnsi="Arial" w:cs="Arial"/>
          <w:sz w:val="22"/>
        </w:rPr>
      </w:pPr>
      <w:r w:rsidRPr="00C8143D">
        <w:rPr>
          <w:rFonts w:ascii="Arial" w:hAnsi="Arial" w:cs="Arial"/>
          <w:sz w:val="22"/>
        </w:rPr>
        <w:t>Monitoring blood glucose levels can help patients understand how their glucose levels react to daily activities. Depending on an individual's treatment plan, self-monitoring may include checking fasting, pre-meal, or post-meal glucose, or monitoring when symptoms of low or high blood sugar occur. It's important that the purpose goes beyond just gathering numbers; readings are most beneficial when assessed in conjunction with diet, physical activity, medication, and symptoms.</w:t>
      </w:r>
    </w:p>
    <w:p w14:paraId="7F458895" w14:textId="77777777" w:rsidR="00C066EE" w:rsidRPr="00C8143D" w:rsidRDefault="00000000" w:rsidP="00C8143D">
      <w:pPr>
        <w:jc w:val="both"/>
        <w:rPr>
          <w:rFonts w:ascii="Arial" w:hAnsi="Arial" w:cs="Arial"/>
          <w:sz w:val="22"/>
        </w:rPr>
      </w:pPr>
      <w:r w:rsidRPr="00C8143D">
        <w:rPr>
          <w:rFonts w:ascii="Arial" w:hAnsi="Arial" w:cs="Arial"/>
          <w:sz w:val="22"/>
        </w:rPr>
        <w:t>Structured self-monitoring can reveal patterns that might otherwise be overlooked. For instance, a patient might observe consistently higher readings after specific meals or notice better readings following physical activity. Discussing these patterns with a healthcare provider can facilitate conversations about lifestyle adjustments and, if necessary, changes in treatment.</w:t>
      </w:r>
    </w:p>
    <w:p w14:paraId="2995AD7F" w14:textId="77777777" w:rsidR="00C066EE" w:rsidRPr="00C8143D" w:rsidRDefault="00000000" w:rsidP="00C8143D">
      <w:pPr>
        <w:jc w:val="both"/>
        <w:rPr>
          <w:rFonts w:ascii="Arial" w:hAnsi="Arial" w:cs="Arial"/>
          <w:sz w:val="22"/>
        </w:rPr>
      </w:pPr>
      <w:r w:rsidRPr="00C8143D">
        <w:rPr>
          <w:rFonts w:ascii="Arial" w:hAnsi="Arial" w:cs="Arial"/>
          <w:sz w:val="22"/>
        </w:rPr>
        <w:t xml:space="preserve">Evidence shows that structured self-monitoring can lead to a modest improvement in HbA1c among adults with type 2 diabetes not treated with insulin. A systematic review and meta-analysis conducted in 2023 involving 5,372 participants reported a slight improvement in HbA1c and diabetes self-management confidence, although the authors noted variability and limitations in the evidence (Holmes-Truscott et al., 2023). Additionally, another meta-analysis indicated that </w:t>
      </w:r>
      <w:r w:rsidRPr="00C8143D">
        <w:rPr>
          <w:rFonts w:ascii="Arial" w:hAnsi="Arial" w:cs="Arial"/>
          <w:sz w:val="22"/>
        </w:rPr>
        <w:lastRenderedPageBreak/>
        <w:t>the success of self-monitoring may hinge on how it is integrated into a structured management strategy rather than just measuring glucose without further action (Zou et al., 2023).</w:t>
      </w:r>
    </w:p>
    <w:p w14:paraId="6E2DB43B" w14:textId="77777777" w:rsidR="00C066EE" w:rsidRPr="00C8143D" w:rsidRDefault="00000000" w:rsidP="00C8143D">
      <w:pPr>
        <w:jc w:val="both"/>
        <w:rPr>
          <w:rFonts w:ascii="Arial" w:hAnsi="Arial" w:cs="Arial"/>
          <w:sz w:val="22"/>
        </w:rPr>
      </w:pPr>
      <w:r w:rsidRPr="00C8143D">
        <w:rPr>
          <w:rFonts w:ascii="Arial" w:hAnsi="Arial" w:cs="Arial"/>
          <w:sz w:val="22"/>
        </w:rPr>
        <w:t>Therefore, patients should adhere to the monitoring schedule established with their healthcare provider. Testing excessively without a specific purpose can lead to needless anxiety and expense, while insufficient monitoring might miss critical patterns. Test results should be evaluated along with HbA1c levels and the individual's overall treatment regimen.</w:t>
      </w:r>
    </w:p>
    <w:p w14:paraId="6A682621" w14:textId="77777777" w:rsidR="00C066EE" w:rsidRPr="00C8143D" w:rsidRDefault="00000000" w:rsidP="00C8143D">
      <w:pPr>
        <w:pStyle w:val="Heading1"/>
        <w:rPr>
          <w:rFonts w:ascii="Arial" w:hAnsi="Arial" w:cs="Arial"/>
          <w:sz w:val="22"/>
          <w:szCs w:val="22"/>
        </w:rPr>
      </w:pPr>
      <w:r w:rsidRPr="00C8143D">
        <w:rPr>
          <w:rFonts w:ascii="Arial" w:hAnsi="Arial" w:cs="Arial"/>
          <w:sz w:val="22"/>
          <w:szCs w:val="22"/>
        </w:rPr>
        <w:t>5.0  Evidence-Based Recommendations on How Lifestyle Changes Could Improve the Condition</w:t>
      </w:r>
    </w:p>
    <w:p w14:paraId="388BB301" w14:textId="77777777" w:rsidR="00C066EE" w:rsidRPr="00C8143D" w:rsidRDefault="00000000" w:rsidP="00C8143D">
      <w:pPr>
        <w:pStyle w:val="Heading2"/>
        <w:rPr>
          <w:rFonts w:ascii="Arial" w:hAnsi="Arial" w:cs="Arial"/>
          <w:sz w:val="22"/>
          <w:szCs w:val="22"/>
        </w:rPr>
      </w:pPr>
      <w:r w:rsidRPr="00C8143D">
        <w:rPr>
          <w:rFonts w:ascii="Arial" w:hAnsi="Arial" w:cs="Arial"/>
          <w:sz w:val="22"/>
          <w:szCs w:val="22"/>
        </w:rPr>
        <w:t>Diet</w:t>
      </w:r>
    </w:p>
    <w:p w14:paraId="625F003B" w14:textId="77777777" w:rsidR="00C066EE" w:rsidRPr="00C8143D" w:rsidRDefault="00000000" w:rsidP="00C8143D">
      <w:pPr>
        <w:jc w:val="both"/>
        <w:rPr>
          <w:rFonts w:ascii="Arial" w:hAnsi="Arial" w:cs="Arial"/>
          <w:sz w:val="22"/>
        </w:rPr>
      </w:pPr>
      <w:r w:rsidRPr="00C8143D">
        <w:rPr>
          <w:rFonts w:ascii="Arial" w:hAnsi="Arial" w:cs="Arial"/>
          <w:sz w:val="22"/>
        </w:rPr>
        <w:t>Managing type 2 diabetes is all about tweaking your diet, but instead of jumping on the bandwagon of short-lived, super-restrictive diets, it's about finding a way of eating that you can actually stick with. The goal here is to build a habit of munching more veggies, whole grains, legumes, fiber-rich stuff, and healthy fats while cutting back on refined carbs, junk food, and sugary drinks. Oh, and watching those portion sizes and how many calories you're taking in is pretty key, especially if you're carrying around a bit more weight than you'd like.</w:t>
      </w:r>
    </w:p>
    <w:p w14:paraId="7198D396" w14:textId="77777777" w:rsidR="00C066EE" w:rsidRPr="00C8143D" w:rsidRDefault="00000000" w:rsidP="00C8143D">
      <w:pPr>
        <w:jc w:val="both"/>
        <w:rPr>
          <w:rFonts w:ascii="Arial" w:hAnsi="Arial" w:cs="Arial"/>
          <w:sz w:val="22"/>
        </w:rPr>
      </w:pPr>
      <w:r w:rsidRPr="00C8143D">
        <w:rPr>
          <w:rFonts w:ascii="Arial" w:hAnsi="Arial" w:cs="Arial"/>
          <w:sz w:val="22"/>
        </w:rPr>
        <w:t>There’s no one-size-fits-all when it comes to diet for T2D. In fact, a big analysis looking at 42 different studies with nearly 5,000 participants found that a bunch of different eating styles helped lower blood sugar levels. However, the strength of the proof varied from one diet to another (shoutout to Jing et al., 2023 for the deep dive!). On top of that, another review pointed out that Mediterranean, plant-based, low-carb, and low-GI diets can help different aspects of heart and metabolic health, although some of them have stronger evidence backing them up (props to Dyson et al., 2023 for that one).</w:t>
      </w:r>
    </w:p>
    <w:p w14:paraId="0EFA20E0" w14:textId="77777777" w:rsidR="00C066EE" w:rsidRPr="00C8143D" w:rsidRDefault="00000000" w:rsidP="00C8143D">
      <w:pPr>
        <w:jc w:val="both"/>
        <w:rPr>
          <w:rFonts w:ascii="Arial" w:hAnsi="Arial" w:cs="Arial"/>
          <w:sz w:val="22"/>
        </w:rPr>
      </w:pPr>
      <w:r w:rsidRPr="00C8143D">
        <w:rPr>
          <w:rFonts w:ascii="Arial" w:hAnsi="Arial" w:cs="Arial"/>
          <w:sz w:val="22"/>
        </w:rPr>
        <w:t>The Mediterranean diet is a shining star for T2D, thanks to its focus on veggies, fruits, beans, whole grains, nuts, fish, and good fats. A recent 2024 analysis even found improvements in key health markers like blood sugar, BMI, and blood pressure for those following this diet (hats off to Zheng et al., 2024). But remember, dietary advice isn’t a one-size-fits-all. It should always be tailored to fit what you like to eat, what you can afford, any meds you're on, and the nutritional goals you’re aiming for. Most importantly, choose changes you can stick with for the long haul!</w:t>
      </w:r>
    </w:p>
    <w:p w14:paraId="2CCBDCC3" w14:textId="77777777" w:rsidR="00C066EE" w:rsidRPr="00C8143D" w:rsidRDefault="00000000" w:rsidP="00C8143D">
      <w:pPr>
        <w:pStyle w:val="Heading2"/>
        <w:rPr>
          <w:rFonts w:ascii="Arial" w:hAnsi="Arial" w:cs="Arial"/>
          <w:sz w:val="22"/>
          <w:szCs w:val="22"/>
        </w:rPr>
      </w:pPr>
      <w:r w:rsidRPr="00C8143D">
        <w:rPr>
          <w:rFonts w:ascii="Arial" w:hAnsi="Arial" w:cs="Arial"/>
          <w:sz w:val="22"/>
          <w:szCs w:val="22"/>
        </w:rPr>
        <w:lastRenderedPageBreak/>
        <w:t>Physical Activity</w:t>
      </w:r>
    </w:p>
    <w:p w14:paraId="23E0DED6" w14:textId="77777777" w:rsidR="00C066EE" w:rsidRPr="00C8143D" w:rsidRDefault="00000000" w:rsidP="00C8143D">
      <w:pPr>
        <w:jc w:val="both"/>
        <w:rPr>
          <w:rFonts w:ascii="Arial" w:hAnsi="Arial" w:cs="Arial"/>
          <w:sz w:val="22"/>
        </w:rPr>
      </w:pPr>
      <w:r w:rsidRPr="00C8143D">
        <w:rPr>
          <w:rFonts w:ascii="Arial" w:hAnsi="Arial" w:cs="Arial"/>
          <w:sz w:val="22"/>
        </w:rPr>
        <w:t>Engaging in regular physical activity enhances the uptake of glucose by skeletal muscles and boosts insulin sensitivity. Consequently, exercise can enhance blood sugar regulation even without significant weight loss. It's advisable for individuals to gradually increase their activity level, considering their current fitness status, age, any complications they may have, and guidance from healthcare professionals.</w:t>
      </w:r>
    </w:p>
    <w:p w14:paraId="04D181DA" w14:textId="77777777" w:rsidR="00C066EE" w:rsidRPr="00C8143D" w:rsidRDefault="00C066EE" w:rsidP="00C8143D">
      <w:pPr>
        <w:jc w:val="both"/>
        <w:rPr>
          <w:rFonts w:ascii="Arial" w:hAnsi="Arial" w:cs="Arial"/>
          <w:sz w:val="22"/>
        </w:rPr>
      </w:pPr>
    </w:p>
    <w:p w14:paraId="746F2DF5" w14:textId="77777777" w:rsidR="00C066EE" w:rsidRPr="00C8143D" w:rsidRDefault="00000000" w:rsidP="00C8143D">
      <w:pPr>
        <w:jc w:val="both"/>
        <w:rPr>
          <w:rFonts w:ascii="Arial" w:hAnsi="Arial" w:cs="Arial"/>
          <w:sz w:val="22"/>
        </w:rPr>
      </w:pPr>
      <w:r w:rsidRPr="00C8143D">
        <w:rPr>
          <w:rFonts w:ascii="Arial" w:hAnsi="Arial" w:cs="Arial"/>
          <w:sz w:val="22"/>
        </w:rPr>
        <w:t>Both aerobic and resistance exercises are backed by current research. Asfaw and Dagne (2022) conducted a systematic review and meta-analysis revealing that physical activity can enhance glucose management in individuals with diabetes. Furthermore, another systematic review by Memelink et al. (2023) demonstrated that incorporating exercise into a diet with limited calorie intake offers additional advantages in terms of body weight, blood sugar control, and cardiorespiratory fitness for adults with excess weight or type 2 diabetes. Whenever feasible, adults should aim for regular, moderate-intensity physical activities, which include aerobic and strength-training exercises, while also minimizing prolonged periods of inactivity.</w:t>
      </w:r>
    </w:p>
    <w:p w14:paraId="6842FED2" w14:textId="77777777" w:rsidR="00C066EE" w:rsidRPr="00C8143D" w:rsidRDefault="00000000" w:rsidP="00C8143D">
      <w:pPr>
        <w:pStyle w:val="Heading2"/>
        <w:rPr>
          <w:rFonts w:ascii="Arial" w:hAnsi="Arial" w:cs="Arial"/>
          <w:sz w:val="22"/>
          <w:szCs w:val="22"/>
        </w:rPr>
      </w:pPr>
      <w:r w:rsidRPr="00C8143D">
        <w:rPr>
          <w:rFonts w:ascii="Arial" w:hAnsi="Arial" w:cs="Arial"/>
          <w:sz w:val="22"/>
          <w:szCs w:val="22"/>
        </w:rPr>
        <w:t>Weight Management</w:t>
      </w:r>
    </w:p>
    <w:p w14:paraId="6D36B100" w14:textId="77777777" w:rsidR="00C066EE" w:rsidRPr="00C8143D" w:rsidRDefault="00000000" w:rsidP="00C8143D">
      <w:pPr>
        <w:jc w:val="both"/>
        <w:rPr>
          <w:rFonts w:ascii="Arial" w:hAnsi="Arial" w:cs="Arial"/>
          <w:sz w:val="22"/>
        </w:rPr>
      </w:pPr>
      <w:r w:rsidRPr="00C8143D">
        <w:rPr>
          <w:rFonts w:ascii="Arial" w:hAnsi="Arial" w:cs="Arial"/>
          <w:sz w:val="22"/>
        </w:rPr>
        <w:t>For patients carrying excess weight, a gradual loss of weight can lead to better insulin sensitivity and improved blood sugar control. It's crucial that weight management is undertaken without any judgment. Implementing small, sustainable changes may be more practical than drastic dietary restrictions. Research from lifestyle intervention studies indicates a link between losing weight and enhanced glucose regulation (Jayedi et al., 2024).</w:t>
      </w:r>
    </w:p>
    <w:p w14:paraId="663150B9" w14:textId="77777777" w:rsidR="00C066EE" w:rsidRPr="00C8143D" w:rsidRDefault="00000000" w:rsidP="00C8143D">
      <w:pPr>
        <w:pStyle w:val="Heading2"/>
        <w:rPr>
          <w:rFonts w:ascii="Arial" w:hAnsi="Arial" w:cs="Arial"/>
          <w:sz w:val="22"/>
          <w:szCs w:val="22"/>
        </w:rPr>
      </w:pPr>
      <w:r w:rsidRPr="00C8143D">
        <w:rPr>
          <w:rFonts w:ascii="Arial" w:hAnsi="Arial" w:cs="Arial"/>
          <w:sz w:val="22"/>
          <w:szCs w:val="22"/>
        </w:rPr>
        <w:t>Smoking Cessation</w:t>
      </w:r>
    </w:p>
    <w:p w14:paraId="0CF2AFA3" w14:textId="77777777" w:rsidR="00C066EE" w:rsidRPr="00C8143D" w:rsidRDefault="00000000" w:rsidP="00C8143D">
      <w:pPr>
        <w:jc w:val="both"/>
        <w:rPr>
          <w:rFonts w:ascii="Arial" w:hAnsi="Arial" w:cs="Arial"/>
          <w:sz w:val="22"/>
        </w:rPr>
      </w:pPr>
      <w:r w:rsidRPr="00C8143D">
        <w:rPr>
          <w:rFonts w:ascii="Arial" w:hAnsi="Arial" w:cs="Arial"/>
          <w:sz w:val="22"/>
        </w:rPr>
        <w:t>Addressing smoking is crucial, as it is linked to adverse metabolic and cardiovascular health effects in individuals with diabetes. Those who smoke should receive proven cessation assistance, incorporating behavioral guidance and suitable pharmacological options when appropriate. Ongoing research explores the effects of quitting smoking on weight changes and diabetes risk, yet stopping smoking persists as a vital aspect of enhancing overall health (Yu et al., 2026).</w:t>
      </w:r>
    </w:p>
    <w:p w14:paraId="5548BF4E" w14:textId="77777777" w:rsidR="00C066EE" w:rsidRPr="00C8143D" w:rsidRDefault="00000000" w:rsidP="00C8143D">
      <w:pPr>
        <w:jc w:val="both"/>
        <w:rPr>
          <w:rFonts w:ascii="Arial" w:hAnsi="Arial" w:cs="Arial"/>
          <w:sz w:val="22"/>
        </w:rPr>
      </w:pPr>
      <w:r w:rsidRPr="00C8143D">
        <w:rPr>
          <w:rFonts w:ascii="Arial" w:hAnsi="Arial" w:cs="Arial"/>
          <w:sz w:val="22"/>
        </w:rPr>
        <w:t>Additionally, lifestyle changes must be tailored to be achievable and focused on the individual. Diabetes education that emphasizes self-management, along with goal setting, monitoring, and consistent follow-up, can aid patients in integrating this knowledge into their everyday habits.</w:t>
      </w:r>
    </w:p>
    <w:p w14:paraId="62DFEAED" w14:textId="77777777" w:rsidR="00C066EE" w:rsidRPr="00C8143D" w:rsidRDefault="00000000" w:rsidP="00C8143D">
      <w:pPr>
        <w:pStyle w:val="Heading1"/>
        <w:rPr>
          <w:rFonts w:ascii="Arial" w:hAnsi="Arial" w:cs="Arial"/>
          <w:sz w:val="22"/>
          <w:szCs w:val="22"/>
        </w:rPr>
      </w:pPr>
      <w:r w:rsidRPr="00C8143D">
        <w:rPr>
          <w:rFonts w:ascii="Arial" w:hAnsi="Arial" w:cs="Arial"/>
          <w:sz w:val="22"/>
          <w:szCs w:val="22"/>
        </w:rPr>
        <w:lastRenderedPageBreak/>
        <w:t>6.0  Conclusion</w:t>
      </w:r>
    </w:p>
    <w:p w14:paraId="43446CE6" w14:textId="77777777" w:rsidR="00C066EE" w:rsidRPr="00C8143D" w:rsidRDefault="00000000" w:rsidP="00C8143D">
      <w:pPr>
        <w:jc w:val="both"/>
        <w:rPr>
          <w:rFonts w:ascii="Arial" w:hAnsi="Arial" w:cs="Arial"/>
          <w:sz w:val="22"/>
        </w:rPr>
      </w:pPr>
      <w:r w:rsidRPr="00C8143D">
        <w:rPr>
          <w:rFonts w:ascii="Arial" w:hAnsi="Arial" w:cs="Arial"/>
          <w:sz w:val="22"/>
        </w:rPr>
        <w:t>Type 2 diabetes results from a combination of metabolic processes and lifestyle choices, notably insulin resistance along with the gradual malfunctioning of beta cells. The regulation of blood sugar levels involves the collaborative functioning of insulin, glucagon, the liver, muscles, and fat tissue. Glucose serves as a vital energy source that's transformed into ATP through glycolysis, the citric acid cycle, and oxidative phosphorylation, with oxygen facilitating efficient energy generation in aerobic conditions.</w:t>
      </w:r>
    </w:p>
    <w:p w14:paraId="3312957D" w14:textId="77777777" w:rsidR="00C066EE" w:rsidRPr="00C8143D" w:rsidRDefault="00C066EE" w:rsidP="00C8143D">
      <w:pPr>
        <w:jc w:val="both"/>
        <w:rPr>
          <w:rFonts w:ascii="Arial" w:hAnsi="Arial" w:cs="Arial"/>
          <w:sz w:val="22"/>
        </w:rPr>
      </w:pPr>
    </w:p>
    <w:p w14:paraId="6AFD9F65" w14:textId="77777777" w:rsidR="00C066EE" w:rsidRPr="00C8143D" w:rsidRDefault="00000000" w:rsidP="00C8143D">
      <w:pPr>
        <w:jc w:val="both"/>
        <w:rPr>
          <w:rFonts w:ascii="Arial" w:hAnsi="Arial" w:cs="Arial"/>
          <w:sz w:val="22"/>
        </w:rPr>
      </w:pPr>
      <w:r w:rsidRPr="00C8143D">
        <w:rPr>
          <w:rFonts w:ascii="Arial" w:hAnsi="Arial" w:cs="Arial"/>
          <w:sz w:val="22"/>
        </w:rPr>
        <w:t>For individuals with Type 2 diabetes, tracking glucose levels when necessary can reveal trends and aid informed self-care. Nonetheless, monitoring becomes most effective when paired with education and guidance from healthcare professionals. Research indicates that consistent enhancements in diet, regular exercise, weight control, and quitting smoking are beneficial. As a practice nurse, offering clear information and assisting patients in setting realistic goals can enhance their confidence and engagement in managing their diabetes.</w:t>
      </w:r>
    </w:p>
    <w:p w14:paraId="1ED8CE5E" w14:textId="77777777" w:rsidR="00C066EE" w:rsidRPr="00C8143D" w:rsidRDefault="00000000" w:rsidP="00C8143D">
      <w:pPr>
        <w:rPr>
          <w:rFonts w:ascii="Arial" w:hAnsi="Arial" w:cs="Arial"/>
          <w:sz w:val="22"/>
        </w:rPr>
      </w:pPr>
      <w:r w:rsidRPr="00C8143D">
        <w:rPr>
          <w:rFonts w:ascii="Arial" w:hAnsi="Arial" w:cs="Arial"/>
          <w:sz w:val="22"/>
        </w:rPr>
        <w:br w:type="page"/>
      </w:r>
    </w:p>
    <w:p w14:paraId="7E71BC8B" w14:textId="5576BBC6" w:rsidR="00C066EE" w:rsidRPr="00C8143D" w:rsidRDefault="00D3055C" w:rsidP="00C8143D">
      <w:pPr>
        <w:pStyle w:val="Heading1"/>
        <w:rPr>
          <w:rFonts w:ascii="Arial" w:hAnsi="Arial" w:cs="Arial"/>
          <w:sz w:val="22"/>
          <w:szCs w:val="22"/>
        </w:rPr>
      </w:pPr>
      <w:r w:rsidRPr="00C8143D">
        <w:rPr>
          <w:rFonts w:ascii="Arial" w:hAnsi="Arial" w:cs="Arial"/>
          <w:sz w:val="22"/>
          <w:szCs w:val="22"/>
        </w:rPr>
        <w:lastRenderedPageBreak/>
        <w:t xml:space="preserve">      References </w:t>
      </w:r>
    </w:p>
    <w:p w14:paraId="6C5B1CE0" w14:textId="54E92CD7" w:rsidR="00C066EE" w:rsidRPr="00C8143D" w:rsidRDefault="00D3055C" w:rsidP="00C8143D">
      <w:pPr>
        <w:ind w:left="360" w:hanging="360"/>
        <w:jc w:val="both"/>
        <w:rPr>
          <w:rFonts w:ascii="Arial" w:hAnsi="Arial" w:cs="Arial"/>
          <w:sz w:val="22"/>
        </w:rPr>
      </w:pPr>
      <w:r w:rsidRPr="00C8143D">
        <w:rPr>
          <w:rFonts w:ascii="Arial" w:hAnsi="Arial" w:cs="Arial"/>
          <w:sz w:val="22"/>
        </w:rPr>
        <w:t xml:space="preserve">      Asfaw, M.S. and Dagne, W.K. (2022) ‘Physical activity can improve diabetes patients' glucose control: A systematic review and meta-analysis’, Heliyon, 8(12), e12267. doi:10.1016/j.heliyon.2022.e12267.</w:t>
      </w:r>
    </w:p>
    <w:p w14:paraId="7E6FAB4B" w14:textId="02C22BF5" w:rsidR="00C066EE" w:rsidRPr="00C8143D" w:rsidRDefault="00D3055C" w:rsidP="00C8143D">
      <w:pPr>
        <w:ind w:left="360" w:hanging="360"/>
        <w:jc w:val="both"/>
        <w:rPr>
          <w:rFonts w:ascii="Arial" w:hAnsi="Arial" w:cs="Arial"/>
          <w:sz w:val="22"/>
        </w:rPr>
      </w:pPr>
      <w:r w:rsidRPr="00C8143D">
        <w:rPr>
          <w:rFonts w:ascii="Arial" w:hAnsi="Arial" w:cs="Arial"/>
          <w:sz w:val="22"/>
        </w:rPr>
        <w:t xml:space="preserve">      Dyson, P.A. et al. (2023) ‘Dietary patterns and cardiometabolic outcomes in type 2 diabetes: an umbrella review’.</w:t>
      </w:r>
    </w:p>
    <w:p w14:paraId="1D0B4812" w14:textId="20F86A14" w:rsidR="00C066EE" w:rsidRPr="00C8143D" w:rsidRDefault="00D3055C" w:rsidP="00C8143D">
      <w:pPr>
        <w:ind w:left="360" w:hanging="360"/>
        <w:jc w:val="both"/>
        <w:rPr>
          <w:rFonts w:ascii="Arial" w:hAnsi="Arial" w:cs="Arial"/>
          <w:sz w:val="22"/>
        </w:rPr>
      </w:pPr>
      <w:r w:rsidRPr="00C8143D">
        <w:rPr>
          <w:rFonts w:ascii="Arial" w:hAnsi="Arial" w:cs="Arial"/>
          <w:sz w:val="22"/>
        </w:rPr>
        <w:t xml:space="preserve">      Habegger, K.M. (2022) ‘Cross talk between insulin and glucagon receptor signaling in the hepatocyte’, Diabetes, 71(9), pp.1842–1851. doi:10.2337/dbi22-0002.</w:t>
      </w:r>
    </w:p>
    <w:p w14:paraId="54D89CB3" w14:textId="47D9A71F" w:rsidR="00C066EE" w:rsidRPr="00C8143D" w:rsidRDefault="00D3055C" w:rsidP="00C8143D">
      <w:pPr>
        <w:ind w:left="360" w:hanging="360"/>
        <w:jc w:val="both"/>
        <w:rPr>
          <w:rFonts w:ascii="Arial" w:hAnsi="Arial" w:cs="Arial"/>
          <w:sz w:val="22"/>
        </w:rPr>
      </w:pPr>
      <w:r w:rsidRPr="00C8143D">
        <w:rPr>
          <w:rFonts w:ascii="Arial" w:hAnsi="Arial" w:cs="Arial"/>
          <w:sz w:val="22"/>
        </w:rPr>
        <w:t xml:space="preserve">      Holmes-Truscott, E., Baptista, S., Ling, M. et al. (2023) ‘The impact of structured self-monitoring of blood glucose on clinical, behavioral, and psychosocial outcomes among adults with non-insulin-treated type 2 diabetes: a systematic review and meta-analysis’, Frontiers in Clinical Diabetes and Healthcare, 4, 1177030. doi:10.3389/fcdhc.2023.1177030.</w:t>
      </w:r>
    </w:p>
    <w:p w14:paraId="150067C8" w14:textId="6C773E1F" w:rsidR="00C066EE" w:rsidRPr="00C8143D" w:rsidRDefault="00D3055C" w:rsidP="00C8143D">
      <w:pPr>
        <w:ind w:left="360" w:hanging="360"/>
        <w:jc w:val="both"/>
        <w:rPr>
          <w:rFonts w:ascii="Arial" w:hAnsi="Arial" w:cs="Arial"/>
          <w:sz w:val="22"/>
        </w:rPr>
      </w:pPr>
      <w:r w:rsidRPr="00C8143D">
        <w:rPr>
          <w:rFonts w:ascii="Arial" w:hAnsi="Arial" w:cs="Arial"/>
          <w:sz w:val="22"/>
        </w:rPr>
        <w:t xml:space="preserve">      Jayedi, A., Soltani, S., Emadi, A. et al. (2024) ‘Efficacy of lifestyle weight loss interventions on regression to normoglycemia and progression to type 2 diabetes in individuals with prediabetes: a systematic review and pairwise and dose-response meta-analyses’, American Journal of Clinical Nutrition, 120(5), pp.1043–1052. doi:10.1016/j.ajcnut.2024.08.031.</w:t>
      </w:r>
    </w:p>
    <w:p w14:paraId="4B9A1496" w14:textId="2A206621" w:rsidR="00C066EE" w:rsidRPr="00C8143D" w:rsidRDefault="00D3055C" w:rsidP="00C8143D">
      <w:pPr>
        <w:ind w:left="360" w:hanging="360"/>
        <w:jc w:val="both"/>
        <w:rPr>
          <w:rFonts w:ascii="Arial" w:hAnsi="Arial" w:cs="Arial"/>
          <w:sz w:val="22"/>
        </w:rPr>
      </w:pPr>
      <w:r w:rsidRPr="00C8143D">
        <w:rPr>
          <w:rFonts w:ascii="Arial" w:hAnsi="Arial" w:cs="Arial"/>
          <w:sz w:val="22"/>
        </w:rPr>
        <w:t xml:space="preserve">      Jing, T., Zhang, S., Bai, M. et al. (2023) ‘Effect of dietary approaches on glycemic control in patients with type 2 diabetes: a systematic review with network meta-analysis of randomized trials’, Nutrients, 15(14), 3156. doi:10.3390/nu15143156.</w:t>
      </w:r>
    </w:p>
    <w:p w14:paraId="7114896B" w14:textId="0C581BF3" w:rsidR="00C066EE" w:rsidRPr="00C8143D" w:rsidRDefault="00D3055C" w:rsidP="00C8143D">
      <w:pPr>
        <w:ind w:left="360" w:hanging="360"/>
        <w:jc w:val="both"/>
        <w:rPr>
          <w:rFonts w:ascii="Arial" w:hAnsi="Arial" w:cs="Arial"/>
          <w:sz w:val="22"/>
        </w:rPr>
      </w:pPr>
      <w:r w:rsidRPr="00C8143D">
        <w:rPr>
          <w:rFonts w:ascii="Arial" w:hAnsi="Arial" w:cs="Arial"/>
          <w:sz w:val="22"/>
        </w:rPr>
        <w:t xml:space="preserve">      Lee, S-H., Park, S-Y. and Choi, C-S. (2022) ‘Insulin resistance: from mechanisms to therapeutic strategies’, Diabetes &amp; Metabolism Journal, 46(1), pp.15–37. doi:10.4093/dmj.2021.0280.</w:t>
      </w:r>
    </w:p>
    <w:p w14:paraId="3BE8C04A" w14:textId="1525D48D" w:rsidR="00C066EE" w:rsidRPr="00C8143D" w:rsidRDefault="00D3055C" w:rsidP="00C8143D">
      <w:pPr>
        <w:ind w:left="360" w:hanging="360"/>
        <w:jc w:val="both"/>
        <w:rPr>
          <w:rFonts w:ascii="Arial" w:hAnsi="Arial" w:cs="Arial"/>
          <w:sz w:val="22"/>
        </w:rPr>
      </w:pPr>
      <w:r w:rsidRPr="00C8143D">
        <w:rPr>
          <w:rFonts w:ascii="Arial" w:hAnsi="Arial" w:cs="Arial"/>
          <w:sz w:val="22"/>
        </w:rPr>
        <w:t xml:space="preserve">      Memelink, R.G., Hummel, M., Hijlkema, A. et al. (2023) ‘Additional effects of exercise to hypocaloric diet on body weight, body composition, glycaemic control and cardio-respiratory fitness in adults with overweight or obesity and type 2 diabetes: a systematic review and meta-analysis’, Diabetic Medicine, 40(7), e15096. doi:10.1111/dme.15096.</w:t>
      </w:r>
    </w:p>
    <w:p w14:paraId="6B259871" w14:textId="561905C9" w:rsidR="00C066EE" w:rsidRPr="00C8143D" w:rsidRDefault="00D3055C" w:rsidP="00C8143D">
      <w:pPr>
        <w:ind w:left="360" w:hanging="360"/>
        <w:jc w:val="both"/>
        <w:rPr>
          <w:rFonts w:ascii="Arial" w:hAnsi="Arial" w:cs="Arial"/>
          <w:sz w:val="22"/>
        </w:rPr>
      </w:pPr>
      <w:r w:rsidRPr="00C8143D">
        <w:rPr>
          <w:rFonts w:ascii="Arial" w:hAnsi="Arial" w:cs="Arial"/>
          <w:sz w:val="22"/>
        </w:rPr>
        <w:t xml:space="preserve">      Singh, S., Kriti, M., Anamika, K.S. et al. (2024) ‘Deciphering the complex interplay of risk factors in type 2 diabetes mellitus: a comprehensive review’, Metabolism Open, 22, 100287. doi:10.1016/j.metop.2024.100287.</w:t>
      </w:r>
    </w:p>
    <w:p w14:paraId="1C5624C8" w14:textId="39CD0274" w:rsidR="00C066EE" w:rsidRPr="00C8143D" w:rsidRDefault="00D3055C" w:rsidP="00C8143D">
      <w:pPr>
        <w:ind w:left="360" w:hanging="360"/>
        <w:jc w:val="both"/>
        <w:rPr>
          <w:rFonts w:ascii="Arial" w:hAnsi="Arial" w:cs="Arial"/>
          <w:sz w:val="22"/>
        </w:rPr>
      </w:pPr>
      <w:r w:rsidRPr="00C8143D">
        <w:rPr>
          <w:rFonts w:ascii="Arial" w:hAnsi="Arial" w:cs="Arial"/>
          <w:sz w:val="22"/>
        </w:rPr>
        <w:lastRenderedPageBreak/>
        <w:t xml:space="preserve">      Su, É., Villard, C. and Manneville, J-B. (2023) ‘Mitochondria: at the crossroads between mechanobiology and cell metabolism’, Biology of the Cell, 115(9), e2300010. doi:10.1111/boc.202300010.</w:t>
      </w:r>
    </w:p>
    <w:p w14:paraId="2FCDDEB4" w14:textId="55744E0F" w:rsidR="00C066EE" w:rsidRPr="00C8143D" w:rsidRDefault="00D3055C" w:rsidP="00C8143D">
      <w:pPr>
        <w:ind w:left="360" w:hanging="360"/>
        <w:jc w:val="both"/>
        <w:rPr>
          <w:rFonts w:ascii="Arial" w:hAnsi="Arial" w:cs="Arial"/>
          <w:sz w:val="22"/>
        </w:rPr>
      </w:pPr>
      <w:r w:rsidRPr="00C8143D">
        <w:rPr>
          <w:rFonts w:ascii="Arial" w:hAnsi="Arial" w:cs="Arial"/>
          <w:sz w:val="22"/>
        </w:rPr>
        <w:t xml:space="preserve">      Sun, H. et al. (2025) ‘IDF Diabetes Atlas: global estimates of diabetes prevalence for 2024 and projections for 2050’.</w:t>
      </w:r>
    </w:p>
    <w:p w14:paraId="07E57543" w14:textId="774119EA" w:rsidR="00C066EE" w:rsidRPr="00C8143D" w:rsidRDefault="00D3055C" w:rsidP="00C8143D">
      <w:pPr>
        <w:ind w:left="360" w:hanging="360"/>
        <w:jc w:val="both"/>
        <w:rPr>
          <w:rFonts w:ascii="Arial" w:hAnsi="Arial" w:cs="Arial"/>
          <w:sz w:val="22"/>
        </w:rPr>
      </w:pPr>
      <w:r w:rsidRPr="00C8143D">
        <w:rPr>
          <w:rFonts w:ascii="Arial" w:hAnsi="Arial" w:cs="Arial"/>
          <w:sz w:val="22"/>
        </w:rPr>
        <w:t xml:space="preserve">      Yu, Y., Li, Y., Nguyen, T.T. et al. (2026) ‘Association between smoking cessation and risk for type 2 diabetes, stratified by post-cessation weight change: a systematic review and meta-analysis’, Preventive Medicine, 202, 108429. doi:10.1016/j.ypmed.2025.108429.</w:t>
      </w:r>
    </w:p>
    <w:p w14:paraId="08D044F7" w14:textId="72C40BDA" w:rsidR="00C066EE" w:rsidRPr="00C8143D" w:rsidRDefault="00D3055C" w:rsidP="00C8143D">
      <w:pPr>
        <w:ind w:left="360" w:hanging="360"/>
        <w:jc w:val="both"/>
        <w:rPr>
          <w:rFonts w:ascii="Arial" w:hAnsi="Arial" w:cs="Arial"/>
          <w:sz w:val="22"/>
        </w:rPr>
      </w:pPr>
      <w:r w:rsidRPr="00C8143D">
        <w:rPr>
          <w:rFonts w:ascii="Arial" w:hAnsi="Arial" w:cs="Arial"/>
          <w:sz w:val="22"/>
        </w:rPr>
        <w:t xml:space="preserve">      Zheng, X., Zhang, W., Wan, X. et al. (2024) ‘The effects of Mediterranean diet on cardiovascular risk factors, glycemic control and weight loss in patients with type 2 diabetes: a meta-analysis’, BMC Nutrition, 10, 59. doi:10.1186/s40795-024-00836-y.</w:t>
      </w:r>
    </w:p>
    <w:p w14:paraId="38F25EFE" w14:textId="19779B84" w:rsidR="00C066EE" w:rsidRPr="00C8143D" w:rsidRDefault="00D3055C" w:rsidP="00C8143D">
      <w:pPr>
        <w:ind w:left="360" w:hanging="360"/>
        <w:jc w:val="both"/>
        <w:rPr>
          <w:rFonts w:ascii="Arial" w:hAnsi="Arial" w:cs="Arial"/>
          <w:sz w:val="22"/>
        </w:rPr>
      </w:pPr>
      <w:r w:rsidRPr="00C8143D">
        <w:rPr>
          <w:rFonts w:ascii="Arial" w:hAnsi="Arial" w:cs="Arial"/>
          <w:sz w:val="22"/>
        </w:rPr>
        <w:t xml:space="preserve">      Zou, Y., Zhao, S., Li, G. and Zhang, C. (2023) ‘The efficacy and frequency of self-monitoring of blood glucose in non-insulin-treated T2D patients: a systematic review and meta-analysis’, Journal of General Internal Medicine, 38(3), pp.755–764. doi:10.1007/s11606-022-07864-z.</w:t>
      </w:r>
    </w:p>
    <w:sectPr w:rsidR="00C066EE" w:rsidRPr="00C8143D">
      <w:headerReference w:type="default" r:id="rId8"/>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C77D67" w14:textId="77777777" w:rsidR="005C75CC" w:rsidRDefault="005C75CC">
      <w:pPr>
        <w:spacing w:after="0" w:line="240" w:lineRule="auto"/>
      </w:pPr>
      <w:r>
        <w:separator/>
      </w:r>
    </w:p>
  </w:endnote>
  <w:endnote w:type="continuationSeparator" w:id="0">
    <w:p w14:paraId="48B3046F" w14:textId="77777777" w:rsidR="005C75CC" w:rsidRDefault="005C75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21A0" w14:textId="77777777" w:rsidR="00C066EE" w:rsidRDefault="00000000">
    <w:pPr>
      <w:pStyle w:val="Header"/>
      <w:jc w:val="right"/>
    </w:pPr>
    <w:r>
      <w:fldChar w:fldCharType="begin"/>
    </w:r>
    <w:r>
      <w:instrText>PAGE</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0FE8FC" w14:textId="77777777" w:rsidR="005C75CC" w:rsidRDefault="005C75CC">
      <w:pPr>
        <w:spacing w:after="0" w:line="240" w:lineRule="auto"/>
      </w:pPr>
      <w:r>
        <w:separator/>
      </w:r>
    </w:p>
  </w:footnote>
  <w:footnote w:type="continuationSeparator" w:id="0">
    <w:p w14:paraId="6A29584E" w14:textId="77777777" w:rsidR="005C75CC" w:rsidRDefault="005C75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AE6A6" w14:textId="77777777" w:rsidR="00C066EE" w:rsidRDefault="00C066EE">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E4089024"/>
    <w:lvl w:ilvl="0">
      <w:start w:val="1"/>
      <w:numFmt w:val="decimal"/>
      <w:lvlText w:val="%1."/>
      <w:lvlJc w:val="left"/>
      <w:pPr>
        <w:tabs>
          <w:tab w:val="left" w:pos="1440"/>
        </w:tabs>
        <w:ind w:left="1440" w:hanging="360"/>
      </w:pPr>
    </w:lvl>
  </w:abstractNum>
  <w:abstractNum w:abstractNumId="1" w15:restartNumberingAfterBreak="0">
    <w:nsid w:val="00000002"/>
    <w:multiLevelType w:val="singleLevel"/>
    <w:tmpl w:val="FB12693A"/>
    <w:lvl w:ilvl="0">
      <w:start w:val="1"/>
      <w:numFmt w:val="decimal"/>
      <w:pStyle w:val="ListNumber3"/>
      <w:lvlText w:val="%1."/>
      <w:lvlJc w:val="left"/>
      <w:pPr>
        <w:tabs>
          <w:tab w:val="left" w:pos="1080"/>
        </w:tabs>
        <w:ind w:left="1080" w:hanging="360"/>
      </w:pPr>
    </w:lvl>
  </w:abstractNum>
  <w:abstractNum w:abstractNumId="2" w15:restartNumberingAfterBreak="0">
    <w:nsid w:val="00000003"/>
    <w:multiLevelType w:val="singleLevel"/>
    <w:tmpl w:val="38441652"/>
    <w:lvl w:ilvl="0">
      <w:start w:val="1"/>
      <w:numFmt w:val="decimal"/>
      <w:pStyle w:val="ListNumber2"/>
      <w:lvlText w:val="%1."/>
      <w:lvlJc w:val="left"/>
      <w:pPr>
        <w:tabs>
          <w:tab w:val="left" w:pos="720"/>
        </w:tabs>
        <w:ind w:left="720" w:hanging="360"/>
      </w:pPr>
    </w:lvl>
  </w:abstractNum>
  <w:abstractNum w:abstractNumId="3" w15:restartNumberingAfterBreak="0">
    <w:nsid w:val="00000004"/>
    <w:multiLevelType w:val="singleLevel"/>
    <w:tmpl w:val="171AC3A4"/>
    <w:lvl w:ilvl="0">
      <w:start w:val="1"/>
      <w:numFmt w:val="bullet"/>
      <w:lvlText w:val=""/>
      <w:lvlJc w:val="left"/>
      <w:pPr>
        <w:tabs>
          <w:tab w:val="left" w:pos="1440"/>
        </w:tabs>
        <w:ind w:left="1440" w:hanging="360"/>
      </w:pPr>
      <w:rPr>
        <w:rFonts w:ascii="Symbol" w:hAnsi="Symbol" w:hint="default"/>
      </w:rPr>
    </w:lvl>
  </w:abstractNum>
  <w:abstractNum w:abstractNumId="4" w15:restartNumberingAfterBreak="0">
    <w:nsid w:val="00000005"/>
    <w:multiLevelType w:val="singleLevel"/>
    <w:tmpl w:val="F3EAFDEC"/>
    <w:lvl w:ilvl="0">
      <w:start w:val="1"/>
      <w:numFmt w:val="bullet"/>
      <w:pStyle w:val="ListBullet3"/>
      <w:lvlText w:val=""/>
      <w:lvlJc w:val="left"/>
      <w:pPr>
        <w:tabs>
          <w:tab w:val="left" w:pos="1080"/>
        </w:tabs>
        <w:ind w:left="1080" w:hanging="360"/>
      </w:pPr>
      <w:rPr>
        <w:rFonts w:ascii="Symbol" w:hAnsi="Symbol" w:hint="default"/>
      </w:rPr>
    </w:lvl>
  </w:abstractNum>
  <w:abstractNum w:abstractNumId="5" w15:restartNumberingAfterBreak="0">
    <w:nsid w:val="00000006"/>
    <w:multiLevelType w:val="singleLevel"/>
    <w:tmpl w:val="3D1EFFD4"/>
    <w:lvl w:ilvl="0">
      <w:start w:val="1"/>
      <w:numFmt w:val="bullet"/>
      <w:pStyle w:val="ListBullet2"/>
      <w:lvlText w:val=""/>
      <w:lvlJc w:val="left"/>
      <w:pPr>
        <w:tabs>
          <w:tab w:val="left" w:pos="720"/>
        </w:tabs>
        <w:ind w:left="720" w:hanging="360"/>
      </w:pPr>
      <w:rPr>
        <w:rFonts w:ascii="Symbol" w:hAnsi="Symbol" w:hint="default"/>
      </w:rPr>
    </w:lvl>
  </w:abstractNum>
  <w:abstractNum w:abstractNumId="6" w15:restartNumberingAfterBreak="0">
    <w:nsid w:val="00000007"/>
    <w:multiLevelType w:val="singleLevel"/>
    <w:tmpl w:val="D0A62B40"/>
    <w:lvl w:ilvl="0">
      <w:start w:val="1"/>
      <w:numFmt w:val="decimal"/>
      <w:pStyle w:val="ListNumber"/>
      <w:lvlText w:val="%1."/>
      <w:lvlJc w:val="left"/>
      <w:pPr>
        <w:tabs>
          <w:tab w:val="left" w:pos="360"/>
        </w:tabs>
        <w:ind w:left="360" w:hanging="360"/>
      </w:pPr>
    </w:lvl>
  </w:abstractNum>
  <w:abstractNum w:abstractNumId="7" w15:restartNumberingAfterBreak="0">
    <w:nsid w:val="00000008"/>
    <w:multiLevelType w:val="singleLevel"/>
    <w:tmpl w:val="29761A62"/>
    <w:lvl w:ilvl="0">
      <w:start w:val="1"/>
      <w:numFmt w:val="bullet"/>
      <w:pStyle w:val="ListBullet"/>
      <w:lvlText w:val=""/>
      <w:lvlJc w:val="left"/>
      <w:pPr>
        <w:tabs>
          <w:tab w:val="left" w:pos="360"/>
        </w:tabs>
        <w:ind w:left="360" w:hanging="360"/>
      </w:pPr>
      <w:rPr>
        <w:rFonts w:ascii="Symbol" w:hAnsi="Symbol" w:hint="default"/>
      </w:rPr>
    </w:lvl>
  </w:abstractNum>
  <w:abstractNum w:abstractNumId="8" w15:restartNumberingAfterBreak="0">
    <w:nsid w:val="00000009"/>
    <w:multiLevelType w:val="hybridMultilevel"/>
    <w:tmpl w:val="4AD99B0A"/>
    <w:lvl w:ilvl="0" w:tplc="0409000F">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36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360"/>
      </w:pPr>
    </w:lvl>
  </w:abstractNum>
  <w:abstractNum w:abstractNumId="9" w15:restartNumberingAfterBreak="0">
    <w:nsid w:val="65361E59"/>
    <w:multiLevelType w:val="singleLevel"/>
    <w:tmpl w:val="C310EC42"/>
    <w:lvl w:ilvl="0">
      <w:start w:val="1"/>
      <w:numFmt w:val="decimal"/>
      <w:lvlText w:val="%1."/>
      <w:lvlJc w:val="left"/>
      <w:pPr>
        <w:tabs>
          <w:tab w:val="left" w:pos="1800"/>
        </w:tabs>
        <w:ind w:left="1800" w:hanging="360"/>
      </w:pPr>
    </w:lvl>
  </w:abstractNum>
  <w:num w:numId="1" w16cid:durableId="2104836895">
    <w:abstractNumId w:val="7"/>
  </w:num>
  <w:num w:numId="2" w16cid:durableId="445926688">
    <w:abstractNumId w:val="5"/>
  </w:num>
  <w:num w:numId="3" w16cid:durableId="1241331236">
    <w:abstractNumId w:val="4"/>
  </w:num>
  <w:num w:numId="4" w16cid:durableId="597448809">
    <w:abstractNumId w:val="6"/>
  </w:num>
  <w:num w:numId="5" w16cid:durableId="841046446">
    <w:abstractNumId w:val="2"/>
  </w:num>
  <w:num w:numId="6" w16cid:durableId="890534174">
    <w:abstractNumId w:val="1"/>
  </w:num>
  <w:num w:numId="7" w16cid:durableId="1146505989">
    <w:abstractNumId w:val="3"/>
  </w:num>
  <w:num w:numId="8" w16cid:durableId="421680850">
    <w:abstractNumId w:val="0"/>
  </w:num>
  <w:num w:numId="9" w16cid:durableId="1786002976">
    <w:abstractNumId w:val="9"/>
  </w:num>
  <w:num w:numId="10" w16cid:durableId="107793969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066EE"/>
    <w:rsid w:val="0004533A"/>
    <w:rsid w:val="001F68FA"/>
    <w:rsid w:val="00264AEC"/>
    <w:rsid w:val="002E0805"/>
    <w:rsid w:val="00330076"/>
    <w:rsid w:val="005730DA"/>
    <w:rsid w:val="005820FC"/>
    <w:rsid w:val="005B747B"/>
    <w:rsid w:val="005C75CC"/>
    <w:rsid w:val="006D683A"/>
    <w:rsid w:val="0073072D"/>
    <w:rsid w:val="0076151A"/>
    <w:rsid w:val="007D38AC"/>
    <w:rsid w:val="00863132"/>
    <w:rsid w:val="009E533D"/>
    <w:rsid w:val="00A4132E"/>
    <w:rsid w:val="00B92F86"/>
    <w:rsid w:val="00BF463F"/>
    <w:rsid w:val="00C066EE"/>
    <w:rsid w:val="00C8143D"/>
    <w:rsid w:val="00CC7B42"/>
    <w:rsid w:val="00D3055C"/>
    <w:rsid w:val="00DB778E"/>
    <w:rsid w:val="00EB4A08"/>
    <w:rsid w:val="00ED26A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41BC05E"/>
  <w15:docId w15:val="{DDA23917-D2BA-4809-9C6F-C6B8C82F5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SimSu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pPr>
    <w:rPr>
      <w:rFonts w:ascii="Times New Roman" w:hAnsi="Times New Roman"/>
      <w:sz w:val="24"/>
    </w:rPr>
  </w:style>
  <w:style w:type="paragraph" w:styleId="Heading1">
    <w:name w:val="heading 1"/>
    <w:basedOn w:val="Normal"/>
    <w:next w:val="Normal"/>
    <w:link w:val="Heading1Char"/>
    <w:uiPriority w:val="9"/>
    <w:qFormat/>
    <w:pPr>
      <w:keepNext/>
      <w:keepLines/>
      <w:spacing w:before="480" w:after="0"/>
      <w:outlineLvl w:val="0"/>
    </w:pPr>
    <w:rPr>
      <w:rFonts w:ascii="Calibri" w:eastAsia="MS Gothic" w:hAnsi="Calibri"/>
      <w:b/>
      <w:bCs/>
      <w:color w:val="365F91"/>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Calibri" w:eastAsia="MS Gothic" w:hAnsi="Calibri"/>
      <w:b/>
      <w:bCs/>
      <w:color w:val="4F81BD"/>
      <w:szCs w:val="26"/>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Calibri" w:eastAsia="MS Gothic" w:hAnsi="Calibri"/>
      <w:b/>
      <w:bCs/>
      <w:color w:val="4F81BD"/>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Calibri" w:eastAsia="MS Gothic" w:hAnsi="Calibri"/>
      <w:b/>
      <w:bCs/>
      <w:i/>
      <w:iCs/>
      <w:color w:val="4F81BD"/>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Calibri" w:eastAsia="MS Gothic" w:hAnsi="Calibri"/>
      <w:color w:val="243F60"/>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Calibri" w:eastAsia="MS Gothic" w:hAnsi="Calibri"/>
      <w:i/>
      <w:iCs/>
      <w:color w:val="243F60"/>
    </w:rPr>
  </w:style>
  <w:style w:type="paragraph" w:styleId="Heading7">
    <w:name w:val="heading 7"/>
    <w:basedOn w:val="Normal"/>
    <w:next w:val="Normal"/>
    <w:link w:val="Heading7Char"/>
    <w:uiPriority w:val="9"/>
    <w:qFormat/>
    <w:pPr>
      <w:keepNext/>
      <w:keepLines/>
      <w:spacing w:before="200" w:after="0"/>
      <w:outlineLvl w:val="6"/>
    </w:pPr>
    <w:rPr>
      <w:rFonts w:ascii="Calibri" w:eastAsia="MS Gothic" w:hAnsi="Calibri"/>
      <w:i/>
      <w:iCs/>
      <w:color w:val="404040"/>
    </w:rPr>
  </w:style>
  <w:style w:type="paragraph" w:styleId="Heading8">
    <w:name w:val="heading 8"/>
    <w:basedOn w:val="Normal"/>
    <w:next w:val="Normal"/>
    <w:link w:val="Heading8Char"/>
    <w:uiPriority w:val="9"/>
    <w:qFormat/>
    <w:pPr>
      <w:keepNext/>
      <w:keepLines/>
      <w:spacing w:before="200" w:after="0"/>
      <w:outlineLvl w:val="7"/>
    </w:pPr>
    <w:rPr>
      <w:rFonts w:ascii="Calibri" w:eastAsia="MS Gothic" w:hAnsi="Calibri"/>
      <w:color w:val="4F81BD"/>
      <w:sz w:val="20"/>
      <w:szCs w:val="20"/>
    </w:rPr>
  </w:style>
  <w:style w:type="paragraph" w:styleId="Heading9">
    <w:name w:val="heading 9"/>
    <w:basedOn w:val="Normal"/>
    <w:next w:val="Normal"/>
    <w:link w:val="Heading9Char"/>
    <w:uiPriority w:val="9"/>
    <w:qFormat/>
    <w:pPr>
      <w:keepNext/>
      <w:keepLines/>
      <w:spacing w:before="200" w:after="0"/>
      <w:outlineLvl w:val="8"/>
    </w:pPr>
    <w:rPr>
      <w:rFonts w:ascii="Calibri" w:eastAsia="MS Gothic" w:hAnsi="Calibri"/>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NoSpacing">
    <w:name w:val="No Spacing"/>
    <w:uiPriority w:val="1"/>
    <w:qFormat/>
    <w:pPr>
      <w:spacing w:after="0" w:line="240" w:lineRule="auto"/>
    </w:pPr>
  </w:style>
  <w:style w:type="character" w:customStyle="1" w:styleId="Heading1Char">
    <w:name w:val="Heading 1 Char"/>
    <w:basedOn w:val="DefaultParagraphFont"/>
    <w:link w:val="Heading1"/>
    <w:uiPriority w:val="9"/>
    <w:rPr>
      <w:rFonts w:ascii="Calibri" w:eastAsia="MS Gothic" w:hAnsi="Calibri" w:cs="SimSun"/>
      <w:b/>
      <w:bCs/>
      <w:color w:val="365F91"/>
      <w:sz w:val="28"/>
      <w:szCs w:val="28"/>
    </w:rPr>
  </w:style>
  <w:style w:type="character" w:customStyle="1" w:styleId="Heading2Char">
    <w:name w:val="Heading 2 Char"/>
    <w:basedOn w:val="DefaultParagraphFont"/>
    <w:link w:val="Heading2"/>
    <w:uiPriority w:val="9"/>
    <w:rPr>
      <w:rFonts w:ascii="Calibri" w:eastAsia="MS Gothic" w:hAnsi="Calibri" w:cs="SimSun"/>
      <w:b/>
      <w:bCs/>
      <w:color w:val="4F81BD"/>
      <w:sz w:val="26"/>
      <w:szCs w:val="26"/>
    </w:rPr>
  </w:style>
  <w:style w:type="character" w:customStyle="1" w:styleId="Heading3Char">
    <w:name w:val="Heading 3 Char"/>
    <w:basedOn w:val="DefaultParagraphFont"/>
    <w:link w:val="Heading3"/>
    <w:uiPriority w:val="9"/>
    <w:rPr>
      <w:rFonts w:ascii="Calibri" w:eastAsia="MS Gothic" w:hAnsi="Calibri" w:cs="SimSun"/>
      <w:b/>
      <w:bCs/>
      <w:color w:val="4F81BD"/>
    </w:rPr>
  </w:style>
  <w:style w:type="paragraph" w:styleId="Title">
    <w:name w:val="Title"/>
    <w:basedOn w:val="Normal"/>
    <w:next w:val="Normal"/>
    <w:link w:val="TitleChar"/>
    <w:uiPriority w:val="10"/>
    <w:qFormat/>
    <w:pPr>
      <w:pBdr>
        <w:bottom w:val="single" w:sz="8" w:space="4" w:color="4F81BD"/>
      </w:pBdr>
      <w:spacing w:after="300" w:line="240" w:lineRule="auto"/>
      <w:contextualSpacing/>
    </w:pPr>
    <w:rPr>
      <w:rFonts w:ascii="Calibri" w:eastAsia="MS Gothic" w:hAnsi="Calibri"/>
      <w:color w:val="17365D"/>
      <w:spacing w:val="5"/>
      <w:kern w:val="28"/>
      <w:sz w:val="52"/>
      <w:szCs w:val="52"/>
    </w:rPr>
  </w:style>
  <w:style w:type="character" w:customStyle="1" w:styleId="TitleChar">
    <w:name w:val="Title Char"/>
    <w:basedOn w:val="DefaultParagraphFont"/>
    <w:link w:val="Title"/>
    <w:uiPriority w:val="10"/>
    <w:rPr>
      <w:rFonts w:ascii="Calibri" w:eastAsia="MS Gothic" w:hAnsi="Calibri" w:cs="SimSun"/>
      <w:color w:val="17365D"/>
      <w:spacing w:val="5"/>
      <w:kern w:val="28"/>
      <w:sz w:val="52"/>
      <w:szCs w:val="52"/>
    </w:rPr>
  </w:style>
  <w:style w:type="paragraph" w:styleId="Subtitle">
    <w:name w:val="Subtitle"/>
    <w:basedOn w:val="Normal"/>
    <w:next w:val="Normal"/>
    <w:link w:val="SubtitleChar"/>
    <w:uiPriority w:val="11"/>
    <w:qFormat/>
    <w:pPr>
      <w:numPr>
        <w:ilvl w:val="1"/>
      </w:numPr>
    </w:pPr>
    <w:rPr>
      <w:rFonts w:ascii="Calibri" w:eastAsia="MS Gothic" w:hAnsi="Calibri"/>
      <w:i/>
      <w:iCs/>
      <w:color w:val="4F81BD"/>
      <w:spacing w:val="15"/>
      <w:szCs w:val="24"/>
    </w:rPr>
  </w:style>
  <w:style w:type="character" w:customStyle="1" w:styleId="SubtitleChar">
    <w:name w:val="Subtitle Char"/>
    <w:basedOn w:val="DefaultParagraphFont"/>
    <w:link w:val="Subtitle"/>
    <w:uiPriority w:val="11"/>
    <w:rPr>
      <w:rFonts w:ascii="Calibri" w:eastAsia="MS Gothic" w:hAnsi="Calibri" w:cs="SimSun"/>
      <w:i/>
      <w:iCs/>
      <w:color w:val="4F81BD"/>
      <w:spacing w:val="15"/>
      <w:sz w:val="24"/>
      <w:szCs w:val="24"/>
    </w:rPr>
  </w:style>
  <w:style w:type="paragraph" w:styleId="ListParagraph">
    <w:name w:val="List Paragraph"/>
    <w:basedOn w:val="Normal"/>
    <w:uiPriority w:val="34"/>
    <w:qFormat/>
    <w:pPr>
      <w:ind w:left="720"/>
      <w:contextualSpacing/>
    </w:pPr>
  </w:style>
  <w:style w:type="paragraph" w:styleId="BodyText">
    <w:name w:val="Body Text"/>
    <w:basedOn w:val="Normal"/>
    <w:link w:val="BodyTextChar"/>
    <w:uiPriority w:val="99"/>
    <w:pPr>
      <w:spacing w:after="120"/>
    </w:pPr>
  </w:style>
  <w:style w:type="character" w:customStyle="1" w:styleId="BodyTextChar">
    <w:name w:val="Body Text Char"/>
    <w:basedOn w:val="DefaultParagraphFont"/>
    <w:link w:val="BodyText"/>
    <w:uiPriority w:val="99"/>
  </w:style>
  <w:style w:type="paragraph" w:styleId="BodyText2">
    <w:name w:val="Body Text 2"/>
    <w:basedOn w:val="Normal"/>
    <w:link w:val="BodyText2Char"/>
    <w:uiPriority w:val="99"/>
    <w:pPr>
      <w:spacing w:after="120" w:line="480" w:lineRule="auto"/>
    </w:pPr>
  </w:style>
  <w:style w:type="character" w:customStyle="1" w:styleId="BodyText2Char">
    <w:name w:val="Body Text 2 Char"/>
    <w:basedOn w:val="DefaultParagraphFont"/>
    <w:link w:val="BodyText2"/>
    <w:uiPriority w:val="99"/>
  </w:style>
  <w:style w:type="paragraph" w:styleId="BodyText3">
    <w:name w:val="Body Text 3"/>
    <w:basedOn w:val="Normal"/>
    <w:link w:val="BodyText3Char"/>
    <w:uiPriority w:val="99"/>
    <w:pPr>
      <w:spacing w:after="120"/>
    </w:pPr>
    <w:rPr>
      <w:sz w:val="16"/>
      <w:szCs w:val="16"/>
    </w:rPr>
  </w:style>
  <w:style w:type="character" w:customStyle="1" w:styleId="BodyText3Char">
    <w:name w:val="Body Text 3 Char"/>
    <w:basedOn w:val="DefaultParagraphFont"/>
    <w:link w:val="BodyText3"/>
    <w:uiPriority w:val="99"/>
    <w:rPr>
      <w:sz w:val="16"/>
      <w:szCs w:val="16"/>
    </w:rPr>
  </w:style>
  <w:style w:type="paragraph" w:styleId="List">
    <w:name w:val="List"/>
    <w:basedOn w:val="Normal"/>
    <w:uiPriority w:val="99"/>
    <w:pPr>
      <w:ind w:left="360" w:hanging="360"/>
      <w:contextualSpacing/>
    </w:pPr>
  </w:style>
  <w:style w:type="paragraph" w:styleId="List2">
    <w:name w:val="List 2"/>
    <w:basedOn w:val="Normal"/>
    <w:uiPriority w:val="99"/>
    <w:pPr>
      <w:ind w:left="720" w:hanging="360"/>
      <w:contextualSpacing/>
    </w:pPr>
  </w:style>
  <w:style w:type="paragraph" w:styleId="List3">
    <w:name w:val="List 3"/>
    <w:basedOn w:val="Normal"/>
    <w:uiPriority w:val="99"/>
    <w:pPr>
      <w:ind w:left="1080" w:hanging="360"/>
      <w:contextualSpacing/>
    </w:pPr>
  </w:style>
  <w:style w:type="paragraph" w:styleId="ListBullet">
    <w:name w:val="List Bullet"/>
    <w:basedOn w:val="Normal"/>
    <w:uiPriority w:val="99"/>
    <w:pPr>
      <w:numPr>
        <w:numId w:val="1"/>
      </w:numPr>
      <w:contextualSpacing/>
    </w:pPr>
  </w:style>
  <w:style w:type="paragraph" w:styleId="ListBullet2">
    <w:name w:val="List Bullet 2"/>
    <w:basedOn w:val="Normal"/>
    <w:uiPriority w:val="99"/>
    <w:pPr>
      <w:numPr>
        <w:numId w:val="2"/>
      </w:numPr>
      <w:contextualSpacing/>
    </w:pPr>
  </w:style>
  <w:style w:type="paragraph" w:styleId="ListBullet3">
    <w:name w:val="List Bullet 3"/>
    <w:basedOn w:val="Normal"/>
    <w:uiPriority w:val="99"/>
    <w:pPr>
      <w:numPr>
        <w:numId w:val="3"/>
      </w:numPr>
      <w:contextualSpacing/>
    </w:pPr>
  </w:style>
  <w:style w:type="paragraph" w:styleId="ListNumber">
    <w:name w:val="List Number"/>
    <w:basedOn w:val="Normal"/>
    <w:uiPriority w:val="99"/>
    <w:pPr>
      <w:numPr>
        <w:numId w:val="4"/>
      </w:numPr>
      <w:contextualSpacing/>
    </w:pPr>
  </w:style>
  <w:style w:type="paragraph" w:styleId="ListNumber2">
    <w:name w:val="List Number 2"/>
    <w:basedOn w:val="Normal"/>
    <w:uiPriority w:val="99"/>
    <w:pPr>
      <w:numPr>
        <w:numId w:val="5"/>
      </w:numPr>
      <w:contextualSpacing/>
    </w:pPr>
  </w:style>
  <w:style w:type="paragraph" w:styleId="ListNumber3">
    <w:name w:val="List Number 3"/>
    <w:basedOn w:val="Normal"/>
    <w:uiPriority w:val="99"/>
    <w:pPr>
      <w:numPr>
        <w:numId w:val="6"/>
      </w:numPr>
      <w:contextualSpacing/>
    </w:pPr>
  </w:style>
  <w:style w:type="paragraph" w:styleId="ListContinue">
    <w:name w:val="List Continue"/>
    <w:basedOn w:val="Normal"/>
    <w:uiPriority w:val="99"/>
    <w:pPr>
      <w:spacing w:after="120"/>
      <w:ind w:left="360"/>
      <w:contextualSpacing/>
    </w:pPr>
  </w:style>
  <w:style w:type="paragraph" w:styleId="ListContinue2">
    <w:name w:val="List Continue 2"/>
    <w:basedOn w:val="Normal"/>
    <w:uiPriority w:val="99"/>
    <w:pPr>
      <w:spacing w:after="120"/>
      <w:ind w:left="720"/>
      <w:contextualSpacing/>
    </w:pPr>
  </w:style>
  <w:style w:type="paragraph" w:styleId="ListContinue3">
    <w:name w:val="List Continue 3"/>
    <w:basedOn w:val="Normal"/>
    <w:uiPriority w:val="99"/>
    <w:pPr>
      <w:spacing w:after="120"/>
      <w:ind w:left="1080"/>
      <w:contextualSpacing/>
    </w:pPr>
  </w:style>
  <w:style w:type="paragraph" w:styleId="MacroText">
    <w:name w:val="macro"/>
    <w:link w:val="MacroTextChar"/>
    <w:uiPriority w:val="99"/>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Pr>
      <w:rFonts w:ascii="Courier" w:hAnsi="Courier"/>
      <w:sz w:val="20"/>
      <w:szCs w:val="20"/>
    </w:rPr>
  </w:style>
  <w:style w:type="paragraph" w:styleId="Quote">
    <w:name w:val="Quote"/>
    <w:basedOn w:val="Normal"/>
    <w:next w:val="Normal"/>
    <w:link w:val="QuoteChar"/>
    <w:uiPriority w:val="29"/>
    <w:qFormat/>
    <w:rPr>
      <w:i/>
      <w:iCs/>
      <w:color w:val="000000"/>
    </w:rPr>
  </w:style>
  <w:style w:type="character" w:customStyle="1" w:styleId="QuoteChar">
    <w:name w:val="Quote Char"/>
    <w:basedOn w:val="DefaultParagraphFont"/>
    <w:link w:val="Quote"/>
    <w:uiPriority w:val="29"/>
    <w:rPr>
      <w:i/>
      <w:iCs/>
      <w:color w:val="000000"/>
    </w:rPr>
  </w:style>
  <w:style w:type="character" w:customStyle="1" w:styleId="Heading4Char">
    <w:name w:val="Heading 4 Char"/>
    <w:basedOn w:val="DefaultParagraphFont"/>
    <w:link w:val="Heading4"/>
    <w:uiPriority w:val="9"/>
    <w:rPr>
      <w:rFonts w:ascii="Calibri" w:eastAsia="MS Gothic" w:hAnsi="Calibri" w:cs="SimSun"/>
      <w:b/>
      <w:bCs/>
      <w:i/>
      <w:iCs/>
      <w:color w:val="4F81BD"/>
    </w:rPr>
  </w:style>
  <w:style w:type="character" w:customStyle="1" w:styleId="Heading5Char">
    <w:name w:val="Heading 5 Char"/>
    <w:basedOn w:val="DefaultParagraphFont"/>
    <w:link w:val="Heading5"/>
    <w:uiPriority w:val="9"/>
    <w:rPr>
      <w:rFonts w:ascii="Calibri" w:eastAsia="MS Gothic" w:hAnsi="Calibri" w:cs="SimSun"/>
      <w:color w:val="243F60"/>
    </w:rPr>
  </w:style>
  <w:style w:type="character" w:customStyle="1" w:styleId="Heading6Char">
    <w:name w:val="Heading 6 Char"/>
    <w:basedOn w:val="DefaultParagraphFont"/>
    <w:link w:val="Heading6"/>
    <w:uiPriority w:val="9"/>
    <w:rPr>
      <w:rFonts w:ascii="Calibri" w:eastAsia="MS Gothic" w:hAnsi="Calibri" w:cs="SimSun"/>
      <w:i/>
      <w:iCs/>
      <w:color w:val="243F60"/>
    </w:rPr>
  </w:style>
  <w:style w:type="character" w:customStyle="1" w:styleId="Heading7Char">
    <w:name w:val="Heading 7 Char"/>
    <w:basedOn w:val="DefaultParagraphFont"/>
    <w:link w:val="Heading7"/>
    <w:uiPriority w:val="9"/>
    <w:rPr>
      <w:rFonts w:ascii="Calibri" w:eastAsia="MS Gothic" w:hAnsi="Calibri" w:cs="SimSun"/>
      <w:i/>
      <w:iCs/>
      <w:color w:val="404040"/>
    </w:rPr>
  </w:style>
  <w:style w:type="character" w:customStyle="1" w:styleId="Heading8Char">
    <w:name w:val="Heading 8 Char"/>
    <w:basedOn w:val="DefaultParagraphFont"/>
    <w:link w:val="Heading8"/>
    <w:uiPriority w:val="9"/>
    <w:rPr>
      <w:rFonts w:ascii="Calibri" w:eastAsia="MS Gothic" w:hAnsi="Calibri" w:cs="SimSun"/>
      <w:color w:val="4F81BD"/>
      <w:sz w:val="20"/>
      <w:szCs w:val="20"/>
    </w:rPr>
  </w:style>
  <w:style w:type="character" w:customStyle="1" w:styleId="Heading9Char">
    <w:name w:val="Heading 9 Char"/>
    <w:basedOn w:val="DefaultParagraphFont"/>
    <w:link w:val="Heading9"/>
    <w:uiPriority w:val="9"/>
    <w:rPr>
      <w:rFonts w:ascii="Calibri" w:eastAsia="MS Gothic" w:hAnsi="Calibri" w:cs="SimSun"/>
      <w:i/>
      <w:iCs/>
      <w:color w:val="404040"/>
      <w:sz w:val="20"/>
      <w:szCs w:val="20"/>
    </w:rPr>
  </w:style>
  <w:style w:type="paragraph" w:styleId="Caption">
    <w:name w:val="caption"/>
    <w:basedOn w:val="Normal"/>
    <w:next w:val="Normal"/>
    <w:uiPriority w:val="35"/>
    <w:qFormat/>
    <w:pPr>
      <w:spacing w:line="240" w:lineRule="auto"/>
    </w:pPr>
    <w:rPr>
      <w:b/>
      <w:bCs/>
      <w:color w:val="4F81BD"/>
      <w:sz w:val="18"/>
      <w:szCs w:val="18"/>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IntenseQuote">
    <w:name w:val="Intense Quote"/>
    <w:basedOn w:val="Normal"/>
    <w:next w:val="Normal"/>
    <w:link w:val="IntenseQuoteChar"/>
    <w:uiPriority w:val="30"/>
    <w:qFormat/>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Pr>
      <w:b/>
      <w:bCs/>
      <w:i/>
      <w:iCs/>
      <w:color w:val="4F81BD"/>
    </w:rPr>
  </w:style>
  <w:style w:type="character" w:styleId="SubtleEmphasis">
    <w:name w:val="Subtle Emphasis"/>
    <w:basedOn w:val="DefaultParagraphFont"/>
    <w:uiPriority w:val="19"/>
    <w:qFormat/>
    <w:rPr>
      <w:i/>
      <w:iCs/>
      <w:color w:val="808080"/>
    </w:rPr>
  </w:style>
  <w:style w:type="character" w:styleId="IntenseEmphasis">
    <w:name w:val="Intense Emphasis"/>
    <w:basedOn w:val="DefaultParagraphFont"/>
    <w:uiPriority w:val="21"/>
    <w:qFormat/>
    <w:rPr>
      <w:b/>
      <w:bCs/>
      <w:i/>
      <w:iCs/>
      <w:color w:val="4F81BD"/>
    </w:rPr>
  </w:style>
  <w:style w:type="character" w:styleId="SubtleReference">
    <w:name w:val="Subtle Reference"/>
    <w:basedOn w:val="DefaultParagraphFont"/>
    <w:uiPriority w:val="31"/>
    <w:qFormat/>
    <w:rPr>
      <w:smallCaps/>
      <w:color w:val="C0504D"/>
      <w:u w:val="single"/>
    </w:rPr>
  </w:style>
  <w:style w:type="character" w:styleId="IntenseReference">
    <w:name w:val="Intense Reference"/>
    <w:basedOn w:val="DefaultParagraphFont"/>
    <w:uiPriority w:val="32"/>
    <w:qFormat/>
    <w:rPr>
      <w:b/>
      <w:bCs/>
      <w:smallCaps/>
      <w:color w:val="C0504D"/>
      <w:spacing w:val="5"/>
      <w:u w:val="single"/>
    </w:rPr>
  </w:style>
  <w:style w:type="character" w:styleId="BookTitle">
    <w:name w:val="Book Title"/>
    <w:basedOn w:val="DefaultParagraphFont"/>
    <w:uiPriority w:val="33"/>
    <w:qFormat/>
    <w:rPr>
      <w:b/>
      <w:bCs/>
      <w:smallCaps/>
      <w:spacing w:val="5"/>
    </w:rPr>
  </w:style>
  <w:style w:type="paragraph" w:styleId="TOCHeading">
    <w:name w:val="TOC Heading"/>
    <w:basedOn w:val="Heading1"/>
    <w:next w:val="Normal"/>
    <w:uiPriority w:val="39"/>
    <w:qFormat/>
    <w:pPr>
      <w:outlineLvl w:val="9"/>
    </w:p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pPr>
      <w:spacing w:after="0" w:line="240" w:lineRule="auto"/>
    </w:pPr>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pPr>
      <w:spacing w:after="0" w:line="240" w:lineRule="auto"/>
    </w:pPr>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pPr>
      <w:spacing w:after="0" w:line="240" w:lineRule="auto"/>
    </w:pPr>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pPr>
      <w:spacing w:after="0" w:line="240" w:lineRule="auto"/>
    </w:pPr>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pPr>
      <w:spacing w:after="0" w:line="240" w:lineRule="auto"/>
    </w:pPr>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pPr>
      <w:spacing w:after="0" w:line="240" w:lineRule="auto"/>
    </w:pPr>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LightList">
    <w:name w:val="Light List"/>
    <w:basedOn w:val="TableNormal"/>
    <w:uiPriority w:val="61"/>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pPr>
      <w:spacing w:after="0" w:line="240" w:lineRule="auto"/>
    </w:p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pPr>
      <w:spacing w:after="0" w:line="240" w:lineRule="auto"/>
    </w:p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pPr>
      <w:spacing w:after="0" w:line="240" w:lineRule="auto"/>
    </w:p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pPr>
      <w:spacing w:after="0" w:line="240" w:lineRule="auto"/>
    </w:p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pPr>
      <w:spacing w:after="0" w:line="240" w:lineRule="auto"/>
    </w:p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Grid">
    <w:name w:val="Light Grid"/>
    <w:basedOn w:val="TableNormal"/>
    <w:uiPriority w:val="62"/>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MS Gothic" w:hAnsi="Calibri" w:cs="SimSu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MS Gothic" w:hAnsi="Calibri" w:cs="SimSu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MS Gothic" w:hAnsi="Calibri" w:cs="SimSun"/>
        <w:b/>
        <w:bCs/>
      </w:rPr>
    </w:tblStylePr>
    <w:tblStylePr w:type="lastCol">
      <w:rPr>
        <w:rFonts w:ascii="Calibri" w:eastAsia="MS Gothic" w:hAnsi="Calibri" w:cs="SimSu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w:eastAsia="MS Gothic" w:hAnsi="Calibri" w:cs="SimSu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w:eastAsia="MS Gothic" w:hAnsi="Calibri" w:cs="SimSu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w:eastAsia="MS Gothic" w:hAnsi="Calibri" w:cs="SimSun"/>
        <w:b/>
        <w:bCs/>
      </w:rPr>
    </w:tblStylePr>
    <w:tblStylePr w:type="lastCol">
      <w:rPr>
        <w:rFonts w:ascii="Calibri" w:eastAsia="MS Gothic" w:hAnsi="Calibri" w:cs="SimSu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pPr>
      <w:spacing w:after="0" w:line="240" w:lineRule="auto"/>
    </w:p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libri" w:eastAsia="MS Gothic" w:hAnsi="Calibri" w:cs="SimSu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libri" w:eastAsia="MS Gothic" w:hAnsi="Calibri" w:cs="SimSu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w:eastAsia="MS Gothic" w:hAnsi="Calibri" w:cs="SimSun"/>
        <w:b/>
        <w:bCs/>
      </w:rPr>
    </w:tblStylePr>
    <w:tblStylePr w:type="lastCol">
      <w:rPr>
        <w:rFonts w:ascii="Calibri" w:eastAsia="MS Gothic" w:hAnsi="Calibri" w:cs="SimSu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pPr>
      <w:spacing w:after="0" w:line="240" w:lineRule="auto"/>
    </w:p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libri" w:eastAsia="MS Gothic" w:hAnsi="Calibri" w:cs="SimSu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libri" w:eastAsia="MS Gothic" w:hAnsi="Calibri" w:cs="SimSu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libri" w:eastAsia="MS Gothic" w:hAnsi="Calibri" w:cs="SimSun"/>
        <w:b/>
        <w:bCs/>
      </w:rPr>
    </w:tblStylePr>
    <w:tblStylePr w:type="lastCol">
      <w:rPr>
        <w:rFonts w:ascii="Calibri" w:eastAsia="MS Gothic" w:hAnsi="Calibri" w:cs="SimSu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pPr>
      <w:spacing w:after="0" w:line="240" w:lineRule="auto"/>
    </w:p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SimSu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SimSu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SimSun"/>
        <w:b/>
        <w:bCs/>
      </w:rPr>
    </w:tblStylePr>
    <w:tblStylePr w:type="lastCol">
      <w:rPr>
        <w:rFonts w:ascii="Calibri" w:eastAsia="MS Gothic" w:hAnsi="Calibri" w:cs="SimSu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pPr>
      <w:spacing w:after="0" w:line="240" w:lineRule="auto"/>
    </w:p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w:eastAsia="MS Gothic" w:hAnsi="Calibri" w:cs="SimSu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w:eastAsia="MS Gothic" w:hAnsi="Calibri" w:cs="SimSu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w:eastAsia="MS Gothic" w:hAnsi="Calibri" w:cs="SimSun"/>
        <w:b/>
        <w:bCs/>
      </w:rPr>
    </w:tblStylePr>
    <w:tblStylePr w:type="lastCol">
      <w:rPr>
        <w:rFonts w:ascii="Calibri" w:eastAsia="MS Gothic" w:hAnsi="Calibri" w:cs="SimSu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pPr>
      <w:spacing w:after="0" w:line="240" w:lineRule="auto"/>
    </w:p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libri" w:eastAsia="MS Gothic" w:hAnsi="Calibri" w:cs="SimSu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libri" w:eastAsia="MS Gothic" w:hAnsi="Calibri" w:cs="SimSu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libri" w:eastAsia="MS Gothic" w:hAnsi="Calibri" w:cs="SimSun"/>
        <w:b/>
        <w:bCs/>
      </w:rPr>
    </w:tblStylePr>
    <w:tblStylePr w:type="lastCol">
      <w:rPr>
        <w:rFonts w:ascii="Calibri" w:eastAsia="MS Gothic" w:hAnsi="Calibri" w:cs="SimSu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MediumShading1">
    <w:name w:val="Medium Shading 1"/>
    <w:basedOn w:val="TableNormal"/>
    <w:uiPriority w:val="63"/>
    <w:pPr>
      <w:spacing w:after="0" w:line="240" w:lineRule="auto"/>
    </w:p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pPr>
      <w:spacing w:after="0" w:line="240" w:lineRule="auto"/>
    </w:p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pPr>
      <w:spacing w:after="0" w:line="240" w:lineRule="auto"/>
    </w:p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pPr>
      <w:spacing w:after="0" w:line="240" w:lineRule="auto"/>
    </w:p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pPr>
      <w:spacing w:after="0" w:line="240" w:lineRule="auto"/>
    </w:p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pPr>
      <w:spacing w:after="0" w:line="240" w:lineRule="auto"/>
    </w:p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rPr>
        <w:rFonts w:ascii="Calibri" w:eastAsia="MS Gothic" w:hAnsi="Calibri" w:cs="SimSu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pPr>
      <w:spacing w:after="0" w:line="240" w:lineRule="auto"/>
    </w:pPr>
    <w:rPr>
      <w:color w:val="000000"/>
    </w:rPr>
    <w:tblPr>
      <w:tblStyleRowBandSize w:val="1"/>
      <w:tblStyleColBandSize w:val="1"/>
      <w:tblBorders>
        <w:top w:val="single" w:sz="8" w:space="0" w:color="4F81BD"/>
        <w:bottom w:val="single" w:sz="8" w:space="0" w:color="4F81BD"/>
      </w:tblBorders>
    </w:tblPr>
    <w:tblStylePr w:type="firstRow">
      <w:rPr>
        <w:rFonts w:ascii="Calibri" w:eastAsia="MS Gothic" w:hAnsi="Calibri" w:cs="SimSu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pPr>
      <w:spacing w:after="0" w:line="240" w:lineRule="auto"/>
    </w:pPr>
    <w:rPr>
      <w:color w:val="000000"/>
    </w:rPr>
    <w:tblPr>
      <w:tblStyleRowBandSize w:val="1"/>
      <w:tblStyleColBandSize w:val="1"/>
      <w:tblBorders>
        <w:top w:val="single" w:sz="8" w:space="0" w:color="C0504D"/>
        <w:bottom w:val="single" w:sz="8" w:space="0" w:color="C0504D"/>
      </w:tblBorders>
    </w:tblPr>
    <w:tblStylePr w:type="firstRow">
      <w:rPr>
        <w:rFonts w:ascii="Calibri" w:eastAsia="MS Gothic" w:hAnsi="Calibri" w:cs="SimSu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pPr>
      <w:spacing w:after="0" w:line="240" w:lineRule="auto"/>
    </w:pPr>
    <w:rPr>
      <w:color w:val="000000"/>
    </w:rPr>
    <w:tblPr>
      <w:tblStyleRowBandSize w:val="1"/>
      <w:tblStyleColBandSize w:val="1"/>
      <w:tblBorders>
        <w:top w:val="single" w:sz="8" w:space="0" w:color="9BBB59"/>
        <w:bottom w:val="single" w:sz="8" w:space="0" w:color="9BBB59"/>
      </w:tblBorders>
    </w:tblPr>
    <w:tblStylePr w:type="firstRow">
      <w:rPr>
        <w:rFonts w:ascii="Calibri" w:eastAsia="MS Gothic" w:hAnsi="Calibri" w:cs="SimSu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pPr>
      <w:spacing w:after="0" w:line="240" w:lineRule="auto"/>
    </w:pPr>
    <w:rPr>
      <w:color w:val="000000"/>
    </w:rPr>
    <w:tblPr>
      <w:tblStyleRowBandSize w:val="1"/>
      <w:tblStyleColBandSize w:val="1"/>
      <w:tblBorders>
        <w:top w:val="single" w:sz="8" w:space="0" w:color="8064A2"/>
        <w:bottom w:val="single" w:sz="8" w:space="0" w:color="8064A2"/>
      </w:tblBorders>
    </w:tblPr>
    <w:tblStylePr w:type="firstRow">
      <w:rPr>
        <w:rFonts w:ascii="Calibri" w:eastAsia="MS Gothic" w:hAnsi="Calibri" w:cs="SimSu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pPr>
      <w:spacing w:after="0" w:line="240" w:lineRule="auto"/>
    </w:pPr>
    <w:rPr>
      <w:color w:val="000000"/>
    </w:rPr>
    <w:tblPr>
      <w:tblStyleRowBandSize w:val="1"/>
      <w:tblStyleColBandSize w:val="1"/>
      <w:tblBorders>
        <w:top w:val="single" w:sz="8" w:space="0" w:color="4BACC6"/>
        <w:bottom w:val="single" w:sz="8" w:space="0" w:color="4BACC6"/>
      </w:tblBorders>
    </w:tblPr>
    <w:tblStylePr w:type="firstRow">
      <w:rPr>
        <w:rFonts w:ascii="Calibri" w:eastAsia="MS Gothic" w:hAnsi="Calibri" w:cs="SimSu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pPr>
      <w:spacing w:after="0" w:line="240" w:lineRule="auto"/>
    </w:pPr>
    <w:rPr>
      <w:color w:val="000000"/>
    </w:rPr>
    <w:tblPr>
      <w:tblStyleRowBandSize w:val="1"/>
      <w:tblStyleColBandSize w:val="1"/>
      <w:tblBorders>
        <w:top w:val="single" w:sz="8" w:space="0" w:color="F79646"/>
        <w:bottom w:val="single" w:sz="8" w:space="0" w:color="F79646"/>
      </w:tblBorders>
    </w:tblPr>
    <w:tblStylePr w:type="firstRow">
      <w:rPr>
        <w:rFonts w:ascii="Calibri" w:eastAsia="MS Gothic" w:hAnsi="Calibri" w:cs="SimSu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Grid1">
    <w:name w:val="Medium Grid 1"/>
    <w:basedOn w:val="TableNormal"/>
    <w:uiPriority w:val="67"/>
    <w:pPr>
      <w:spacing w:after="0" w:line="240" w:lineRule="auto"/>
    </w:p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shd w:val="clear" w:color="auto" w:fill="C0C0C0"/>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shd w:val="clear" w:color="auto" w:fill="D3DFEE"/>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pPr>
      <w:spacing w:after="0" w:line="240" w:lineRule="auto"/>
    </w:p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shd w:val="clear" w:color="auto" w:fill="EFD3D2"/>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pPr>
      <w:spacing w:after="0" w:line="240" w:lineRule="auto"/>
    </w:p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shd w:val="clear" w:color="auto" w:fill="E6EED5"/>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pPr>
      <w:spacing w:after="0" w:line="240" w:lineRule="auto"/>
    </w:p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shd w:val="clear" w:color="auto" w:fill="DFD8E8"/>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pPr>
      <w:spacing w:after="0" w:line="240" w:lineRule="auto"/>
    </w:p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shd w:val="clear" w:color="auto" w:fill="D2EAF1"/>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pPr>
      <w:spacing w:after="0" w:line="240" w:lineRule="auto"/>
    </w:p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shd w:val="clear" w:color="auto" w:fill="FDE4D0"/>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C0C0C0"/>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shd w:val="clear" w:color="auto" w:fill="D3DFEE"/>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shd w:val="clear" w:color="auto" w:fill="EFD3D2"/>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shd w:val="clear" w:color="auto" w:fill="E6EED5"/>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shd w:val="clear" w:color="auto" w:fill="DFD8E8"/>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shd w:val="clear" w:color="auto" w:fill="D2EAF1"/>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shd w:val="clear" w:color="auto" w:fill="FDE4D0"/>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C0C0C0"/>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3DFEE"/>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EFD3D2"/>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E6EED5"/>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FD8E8"/>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2EAF1"/>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FDE4D0"/>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DarkList">
    <w:name w:val="Dark List"/>
    <w:basedOn w:val="TableNormal"/>
    <w:uiPriority w:val="70"/>
    <w:pPr>
      <w:spacing w:after="0" w:line="240" w:lineRule="auto"/>
    </w:pPr>
    <w:rPr>
      <w:color w:val="FFFFFF"/>
    </w:rPr>
    <w:tblPr>
      <w:tblStyleRowBandSize w:val="1"/>
      <w:tblStyleColBandSize w:val="1"/>
      <w:shd w:val="clear" w:color="auto" w:fill="000000"/>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pPr>
      <w:spacing w:after="0" w:line="240" w:lineRule="auto"/>
    </w:pPr>
    <w:rPr>
      <w:color w:val="FFFFFF"/>
    </w:rPr>
    <w:tblPr>
      <w:tblStyleRowBandSize w:val="1"/>
      <w:tblStyleColBandSize w:val="1"/>
      <w:shd w:val="clear" w:color="auto" w:fill="4F81BD"/>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pPr>
      <w:spacing w:after="0" w:line="240" w:lineRule="auto"/>
    </w:pPr>
    <w:rPr>
      <w:color w:val="FFFFFF"/>
    </w:rPr>
    <w:tblPr>
      <w:tblStyleRowBandSize w:val="1"/>
      <w:tblStyleColBandSize w:val="1"/>
      <w:shd w:val="clear" w:color="auto" w:fill="C0504D"/>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pPr>
      <w:spacing w:after="0" w:line="240" w:lineRule="auto"/>
    </w:pPr>
    <w:rPr>
      <w:color w:val="FFFFFF"/>
    </w:rPr>
    <w:tblPr>
      <w:tblStyleRowBandSize w:val="1"/>
      <w:tblStyleColBandSize w:val="1"/>
      <w:shd w:val="clear" w:color="auto" w:fill="9BBB59"/>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pPr>
      <w:spacing w:after="0" w:line="240" w:lineRule="auto"/>
    </w:pPr>
    <w:rPr>
      <w:color w:val="FFFFFF"/>
    </w:rPr>
    <w:tblPr>
      <w:tblStyleRowBandSize w:val="1"/>
      <w:tblStyleColBandSize w:val="1"/>
      <w:shd w:val="clear" w:color="auto" w:fill="8064A2"/>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pPr>
      <w:spacing w:after="0" w:line="240" w:lineRule="auto"/>
    </w:pPr>
    <w:rPr>
      <w:color w:val="FFFFFF"/>
    </w:rPr>
    <w:tblPr>
      <w:tblStyleRowBandSize w:val="1"/>
      <w:tblStyleColBandSize w:val="1"/>
      <w:shd w:val="clear" w:color="auto" w:fill="4BACC6"/>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pPr>
      <w:spacing w:after="0" w:line="240" w:lineRule="auto"/>
    </w:pPr>
    <w:rPr>
      <w:color w:val="FFFFFF"/>
    </w:rPr>
    <w:tblPr>
      <w:tblStyleRowBandSize w:val="1"/>
      <w:tblStyleColBandSize w:val="1"/>
      <w:shd w:val="clear" w:color="auto" w:fill="F79646"/>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ColourfulShading">
    <w:name w:val="Colorful Shading"/>
    <w:basedOn w:val="TableNormal"/>
    <w:uiPriority w:val="71"/>
    <w:pPr>
      <w:spacing w:after="0" w:line="240" w:lineRule="auto"/>
    </w:pPr>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shd w:val="clear" w:color="auto" w:fill="E6E6E6"/>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urfulShadingAccent1">
    <w:name w:val="Colorful Shading Accent 1"/>
    <w:basedOn w:val="TableNormal"/>
    <w:uiPriority w:val="71"/>
    <w:pPr>
      <w:spacing w:after="0" w:line="240" w:lineRule="auto"/>
    </w:pPr>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shd w:val="clear" w:color="auto" w:fill="EDF2F8"/>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urfulShadingAccent2">
    <w:name w:val="Colorful Shading Accent 2"/>
    <w:basedOn w:val="TableNormal"/>
    <w:uiPriority w:val="71"/>
    <w:pPr>
      <w:spacing w:after="0" w:line="240" w:lineRule="auto"/>
    </w:pPr>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shd w:val="clear" w:color="auto" w:fill="F8EDED"/>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urfulShadingAccent3">
    <w:name w:val="Colorful Shading Accent 3"/>
    <w:basedOn w:val="TableNormal"/>
    <w:uiPriority w:val="71"/>
    <w:pPr>
      <w:spacing w:after="0" w:line="240" w:lineRule="auto"/>
    </w:pPr>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shd w:val="clear" w:color="auto" w:fill="F5F8EE"/>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urfulShadingAccent4">
    <w:name w:val="Colorful Shading Accent 4"/>
    <w:basedOn w:val="TableNormal"/>
    <w:uiPriority w:val="71"/>
    <w:pPr>
      <w:spacing w:after="0" w:line="240" w:lineRule="auto"/>
    </w:pPr>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shd w:val="clear" w:color="auto" w:fill="F2EFF6"/>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urfulShadingAccent5">
    <w:name w:val="Colorful Shading Accent 5"/>
    <w:basedOn w:val="TableNormal"/>
    <w:uiPriority w:val="71"/>
    <w:pPr>
      <w:spacing w:after="0" w:line="240" w:lineRule="auto"/>
    </w:pPr>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shd w:val="clear" w:color="auto" w:fill="EDF6F9"/>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urfulShadingAccent6">
    <w:name w:val="Colorful Shading Accent 6"/>
    <w:basedOn w:val="TableNormal"/>
    <w:uiPriority w:val="71"/>
    <w:pPr>
      <w:spacing w:after="0" w:line="240" w:lineRule="auto"/>
    </w:pPr>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shd w:val="clear" w:color="auto" w:fill="FEF4EC"/>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ColourfulList">
    <w:name w:val="Colorful List"/>
    <w:basedOn w:val="TableNormal"/>
    <w:uiPriority w:val="72"/>
    <w:pPr>
      <w:spacing w:after="0" w:line="240" w:lineRule="auto"/>
    </w:pPr>
    <w:rPr>
      <w:color w:val="000000"/>
    </w:rPr>
    <w:tblPr>
      <w:tblStyleRowBandSize w:val="1"/>
      <w:tblStyleColBandSize w:val="1"/>
      <w:shd w:val="clear" w:color="auto" w:fill="E6E6E6"/>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urfulListAccent1">
    <w:name w:val="Colorful List Accent 1"/>
    <w:basedOn w:val="TableNormal"/>
    <w:uiPriority w:val="72"/>
    <w:pPr>
      <w:spacing w:after="0" w:line="240" w:lineRule="auto"/>
    </w:pPr>
    <w:rPr>
      <w:color w:val="000000"/>
    </w:rPr>
    <w:tblPr>
      <w:tblStyleRowBandSize w:val="1"/>
      <w:tblStyleColBandSize w:val="1"/>
      <w:shd w:val="clear" w:color="auto" w:fill="EDF2F8"/>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urfulListAccent2">
    <w:name w:val="Colorful List Accent 2"/>
    <w:basedOn w:val="TableNormal"/>
    <w:uiPriority w:val="72"/>
    <w:pPr>
      <w:spacing w:after="0" w:line="240" w:lineRule="auto"/>
    </w:pPr>
    <w:rPr>
      <w:color w:val="000000"/>
    </w:rPr>
    <w:tblPr>
      <w:tblStyleRowBandSize w:val="1"/>
      <w:tblStyleColBandSize w:val="1"/>
      <w:shd w:val="clear" w:color="auto" w:fill="F8EDED"/>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urfulListAccent3">
    <w:name w:val="Colorful List Accent 3"/>
    <w:basedOn w:val="TableNormal"/>
    <w:uiPriority w:val="72"/>
    <w:pPr>
      <w:spacing w:after="0" w:line="240" w:lineRule="auto"/>
    </w:pPr>
    <w:rPr>
      <w:color w:val="000000"/>
    </w:rPr>
    <w:tblPr>
      <w:tblStyleRowBandSize w:val="1"/>
      <w:tblStyleColBandSize w:val="1"/>
      <w:shd w:val="clear" w:color="auto" w:fill="F5F8EE"/>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urfulListAccent4">
    <w:name w:val="Colorful List Accent 4"/>
    <w:basedOn w:val="TableNormal"/>
    <w:uiPriority w:val="72"/>
    <w:pPr>
      <w:spacing w:after="0" w:line="240" w:lineRule="auto"/>
    </w:pPr>
    <w:rPr>
      <w:color w:val="000000"/>
    </w:rPr>
    <w:tblPr>
      <w:tblStyleRowBandSize w:val="1"/>
      <w:tblStyleColBandSize w:val="1"/>
      <w:shd w:val="clear" w:color="auto" w:fill="F2EFF6"/>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urfulListAccent5">
    <w:name w:val="Colorful List Accent 5"/>
    <w:basedOn w:val="TableNormal"/>
    <w:uiPriority w:val="72"/>
    <w:pPr>
      <w:spacing w:after="0" w:line="240" w:lineRule="auto"/>
    </w:pPr>
    <w:rPr>
      <w:color w:val="000000"/>
    </w:rPr>
    <w:tblPr>
      <w:tblStyleRowBandSize w:val="1"/>
      <w:tblStyleColBandSize w:val="1"/>
      <w:shd w:val="clear" w:color="auto" w:fill="EDF6F9"/>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urfulListAccent6">
    <w:name w:val="Colorful List Accent 6"/>
    <w:basedOn w:val="TableNormal"/>
    <w:uiPriority w:val="72"/>
    <w:pPr>
      <w:spacing w:after="0" w:line="240" w:lineRule="auto"/>
    </w:pPr>
    <w:rPr>
      <w:color w:val="000000"/>
    </w:rPr>
    <w:tblPr>
      <w:tblStyleRowBandSize w:val="1"/>
      <w:tblStyleColBandSize w:val="1"/>
      <w:shd w:val="clear" w:color="auto" w:fill="FEF4EC"/>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urfulGrid">
    <w:name w:val="Colorful Grid"/>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CCCCCC"/>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urfulGridAccent1">
    <w:name w:val="Colorful Grid Accent 1"/>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DBE5F1"/>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urfulGridAccent2">
    <w:name w:val="Colorful Grid Accent 2"/>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F2DBDB"/>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urfulGridAccent3">
    <w:name w:val="Colorful Grid Accent 3"/>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EAF1DD"/>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urfulGridAccent4">
    <w:name w:val="Colorful Grid Accent 4"/>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E5DFEC"/>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urfulGridAccent5">
    <w:name w:val="Colorful Grid Accent 5"/>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DAEEF3"/>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urfulGridAccent6">
    <w:name w:val="Colorful Grid Accent 6"/>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FDE9D9"/>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11</Pages>
  <Words>2720</Words>
  <Characters>15506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Yvonne Annan</dc:creator>
  <dc:description>generated by python-docx</dc:description>
  <cp:lastModifiedBy>Yvonne Cynthia Annobea Annan</cp:lastModifiedBy>
  <cp:revision>18</cp:revision>
  <dcterms:created xsi:type="dcterms:W3CDTF">2026-10-14T21:35:00Z</dcterms:created>
  <dcterms:modified xsi:type="dcterms:W3CDTF">2026-10-25T06:49:00Z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b123d6a5080b4bdd9f564c163ae89c7a</vt:lpwstr>
  </property>
</Properties>
</file>