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B9A1A" w14:textId="77777777" w:rsidR="00027741" w:rsidRDefault="00027741" w:rsidP="00554B4D">
      <w:pPr>
        <w:rPr>
          <w:b/>
          <w:bCs/>
          <w:sz w:val="32"/>
          <w:szCs w:val="32"/>
        </w:rPr>
      </w:pPr>
    </w:p>
    <w:p w14:paraId="1DF2F87D" w14:textId="77777777" w:rsidR="006B7557" w:rsidRDefault="006B7557" w:rsidP="006B7557">
      <w:pPr>
        <w:ind w:left="1651"/>
        <w:rPr>
          <w:rFonts w:ascii="Arial" w:eastAsia="Arial" w:hAnsi="Arial" w:cs="Arial"/>
          <w:b/>
          <w:bCs/>
        </w:rPr>
      </w:pPr>
      <w:bookmarkStart w:id="0" w:name="_ttnw31nwdyy0" w:colFirst="0" w:colLast="0"/>
      <w:bookmarkEnd w:id="0"/>
      <w:r>
        <w:rPr>
          <w:rFonts w:ascii="Arial" w:eastAsia="Arial" w:hAnsi="Arial" w:cs="Arial"/>
          <w:b/>
          <w:bCs/>
          <w:noProof/>
        </w:rPr>
        <w:drawing>
          <wp:inline distT="0" distB="0" distL="0" distR="0" wp14:anchorId="6E042492" wp14:editId="688BB7C2">
            <wp:extent cx="3379851" cy="1352550"/>
            <wp:effectExtent l="0" t="0" r="0" b="0"/>
            <wp:docPr id="1109703539" name="image1.jpg" descr="A close 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1109703539" name="image1.jpg" descr="A close up of black text&#10;&#10;AI-generated content may be incorrect."/>
                    <pic:cNvPicPr preferRelativeResize="0"/>
                  </pic:nvPicPr>
                  <pic:blipFill>
                    <a:blip r:embed="rId8"/>
                    <a:srcRect/>
                    <a:stretch>
                      <a:fillRect/>
                    </a:stretch>
                  </pic:blipFill>
                  <pic:spPr>
                    <a:xfrm>
                      <a:off x="0" y="0"/>
                      <a:ext cx="3379851" cy="1352550"/>
                    </a:xfrm>
                    <a:prstGeom prst="rect">
                      <a:avLst/>
                    </a:prstGeom>
                    <a:ln/>
                  </pic:spPr>
                </pic:pic>
              </a:graphicData>
            </a:graphic>
          </wp:inline>
        </w:drawing>
      </w:r>
    </w:p>
    <w:p w14:paraId="0D338684" w14:textId="77777777" w:rsidR="006B7557" w:rsidRDefault="006B7557" w:rsidP="006B7557">
      <w:pPr>
        <w:spacing w:before="333"/>
        <w:rPr>
          <w:rFonts w:ascii="Arial" w:eastAsia="Arial" w:hAnsi="Arial" w:cs="Arial"/>
          <w:b/>
          <w:bCs/>
          <w:sz w:val="32"/>
          <w:szCs w:val="32"/>
        </w:rPr>
      </w:pPr>
    </w:p>
    <w:p w14:paraId="28DBFAA7" w14:textId="750349A4" w:rsidR="006B7557" w:rsidRDefault="006B7557" w:rsidP="004B16FD">
      <w:pPr>
        <w:spacing w:before="1"/>
        <w:ind w:left="893" w:right="901"/>
        <w:jc w:val="center"/>
        <w:rPr>
          <w:rFonts w:ascii="Arial" w:eastAsia="Arial" w:hAnsi="Arial" w:cs="Arial"/>
          <w:b/>
          <w:bCs/>
          <w:sz w:val="32"/>
          <w:szCs w:val="32"/>
        </w:rPr>
      </w:pPr>
      <w:r>
        <w:rPr>
          <w:rFonts w:ascii="Arial" w:eastAsia="Arial" w:hAnsi="Arial" w:cs="Arial"/>
          <w:b/>
          <w:bCs/>
          <w:sz w:val="32"/>
          <w:szCs w:val="32"/>
        </w:rPr>
        <w:t xml:space="preserve">Student Name: Kevin Thakarshibhai Maniya </w:t>
      </w:r>
    </w:p>
    <w:p w14:paraId="1A2BA506" w14:textId="4D509718" w:rsidR="006B7557" w:rsidRDefault="006B7557" w:rsidP="006B7557">
      <w:pPr>
        <w:spacing w:before="1"/>
        <w:ind w:left="893" w:right="901"/>
        <w:jc w:val="center"/>
        <w:rPr>
          <w:rFonts w:ascii="Arial" w:eastAsia="Arial" w:hAnsi="Arial" w:cs="Arial"/>
          <w:b/>
          <w:bCs/>
          <w:sz w:val="32"/>
          <w:szCs w:val="32"/>
        </w:rPr>
      </w:pPr>
      <w:r>
        <w:rPr>
          <w:rFonts w:ascii="Arial" w:eastAsia="Arial" w:hAnsi="Arial" w:cs="Arial"/>
          <w:b/>
          <w:bCs/>
          <w:sz w:val="32"/>
          <w:szCs w:val="32"/>
        </w:rPr>
        <w:t>Student ID: 243741</w:t>
      </w:r>
      <w:r w:rsidR="004B16FD">
        <w:rPr>
          <w:rFonts w:ascii="Arial" w:eastAsia="Arial" w:hAnsi="Arial" w:cs="Arial"/>
          <w:b/>
          <w:bCs/>
          <w:sz w:val="32"/>
          <w:szCs w:val="32"/>
        </w:rPr>
        <w:t>6</w:t>
      </w:r>
    </w:p>
    <w:p w14:paraId="3FD740F4" w14:textId="77777777" w:rsidR="004B16FD" w:rsidRDefault="004B16FD" w:rsidP="006B7557">
      <w:pPr>
        <w:spacing w:before="1"/>
        <w:ind w:left="893" w:right="901"/>
        <w:jc w:val="center"/>
        <w:rPr>
          <w:rFonts w:ascii="Arial" w:eastAsia="Arial" w:hAnsi="Arial" w:cs="Arial"/>
          <w:b/>
          <w:bCs/>
          <w:sz w:val="32"/>
          <w:szCs w:val="32"/>
        </w:rPr>
      </w:pPr>
    </w:p>
    <w:p w14:paraId="17668E2E" w14:textId="7AA82159" w:rsidR="006B7557" w:rsidRDefault="006B7557" w:rsidP="006B7557">
      <w:pPr>
        <w:spacing w:before="1"/>
        <w:ind w:left="893" w:right="901"/>
        <w:jc w:val="center"/>
        <w:rPr>
          <w:rFonts w:ascii="Arial" w:eastAsia="Arial" w:hAnsi="Arial" w:cs="Arial"/>
          <w:b/>
          <w:bCs/>
          <w:sz w:val="32"/>
          <w:szCs w:val="32"/>
        </w:rPr>
      </w:pPr>
      <w:r>
        <w:rPr>
          <w:rFonts w:ascii="Arial" w:eastAsia="Arial" w:hAnsi="Arial" w:cs="Arial"/>
          <w:b/>
          <w:bCs/>
          <w:sz w:val="32"/>
          <w:szCs w:val="32"/>
        </w:rPr>
        <w:t xml:space="preserve">Module Name: </w:t>
      </w:r>
      <w:r w:rsidR="004B16FD" w:rsidRPr="004B16FD">
        <w:rPr>
          <w:rFonts w:ascii="Arial" w:eastAsia="Arial" w:hAnsi="Arial" w:cs="Arial"/>
          <w:b/>
          <w:bCs/>
          <w:sz w:val="32"/>
          <w:szCs w:val="32"/>
        </w:rPr>
        <w:t>Financial Management</w:t>
      </w:r>
    </w:p>
    <w:p w14:paraId="54693AA0" w14:textId="25383FFB" w:rsidR="006B7557" w:rsidRDefault="006B7557" w:rsidP="006B7557">
      <w:pPr>
        <w:ind w:left="896" w:right="901"/>
        <w:jc w:val="center"/>
        <w:rPr>
          <w:rFonts w:ascii="Arial" w:eastAsia="Arial" w:hAnsi="Arial" w:cs="Arial"/>
          <w:b/>
          <w:bCs/>
          <w:sz w:val="32"/>
          <w:szCs w:val="32"/>
        </w:rPr>
      </w:pPr>
      <w:r>
        <w:rPr>
          <w:rFonts w:ascii="Arial" w:eastAsia="Arial" w:hAnsi="Arial" w:cs="Arial"/>
          <w:b/>
          <w:bCs/>
          <w:sz w:val="32"/>
          <w:szCs w:val="32"/>
        </w:rPr>
        <w:t xml:space="preserve">Module  Code: </w:t>
      </w:r>
      <w:r w:rsidR="004B16FD" w:rsidRPr="004B16FD">
        <w:rPr>
          <w:rFonts w:ascii="Arial" w:eastAsia="Arial" w:hAnsi="Arial" w:cs="Arial"/>
          <w:b/>
          <w:bCs/>
          <w:sz w:val="32"/>
          <w:szCs w:val="32"/>
        </w:rPr>
        <w:t>LCMB7002</w:t>
      </w:r>
    </w:p>
    <w:p w14:paraId="1A7227F0" w14:textId="5CE541D1" w:rsidR="004B16FD" w:rsidRDefault="004B16FD" w:rsidP="004B16FD">
      <w:pPr>
        <w:spacing w:before="1"/>
        <w:ind w:left="893" w:right="901"/>
        <w:jc w:val="center"/>
        <w:rPr>
          <w:rFonts w:ascii="Arial" w:eastAsia="Arial" w:hAnsi="Arial" w:cs="Arial"/>
          <w:b/>
          <w:bCs/>
          <w:sz w:val="32"/>
          <w:szCs w:val="32"/>
        </w:rPr>
      </w:pPr>
      <w:r w:rsidRPr="004B16FD">
        <w:rPr>
          <w:rFonts w:ascii="Arial" w:eastAsia="Arial" w:hAnsi="Arial" w:cs="Arial"/>
          <w:b/>
          <w:bCs/>
          <w:sz w:val="32"/>
          <w:szCs w:val="32"/>
        </w:rPr>
        <w:t>Assignment Title:</w:t>
      </w:r>
      <w:r w:rsidRPr="004B16FD">
        <w:t xml:space="preserve"> </w:t>
      </w:r>
      <w:r w:rsidRPr="004B16FD">
        <w:rPr>
          <w:rFonts w:ascii="Arial" w:eastAsia="Arial" w:hAnsi="Arial" w:cs="Arial"/>
          <w:b/>
          <w:bCs/>
          <w:sz w:val="32"/>
          <w:szCs w:val="32"/>
        </w:rPr>
        <w:t>Financial performance and management</w:t>
      </w:r>
    </w:p>
    <w:p w14:paraId="63FAE3A4" w14:textId="77777777" w:rsidR="006B7557" w:rsidRDefault="006B7557" w:rsidP="006B7557">
      <w:pPr>
        <w:spacing w:before="184"/>
        <w:rPr>
          <w:rFonts w:ascii="Arial" w:eastAsia="Arial" w:hAnsi="Arial" w:cs="Arial"/>
          <w:b/>
          <w:bCs/>
          <w:sz w:val="32"/>
          <w:szCs w:val="32"/>
        </w:rPr>
      </w:pPr>
    </w:p>
    <w:p w14:paraId="2AFBEA6A" w14:textId="79EEA575" w:rsidR="006B7557" w:rsidRDefault="006B7557" w:rsidP="006B7557">
      <w:pPr>
        <w:ind w:left="755" w:right="762"/>
        <w:jc w:val="center"/>
        <w:rPr>
          <w:rFonts w:ascii="Arial" w:eastAsia="Arial" w:hAnsi="Arial" w:cs="Arial"/>
          <w:b/>
          <w:bCs/>
          <w:sz w:val="32"/>
          <w:szCs w:val="32"/>
        </w:rPr>
      </w:pPr>
      <w:r>
        <w:rPr>
          <w:rFonts w:ascii="Arial" w:eastAsia="Arial" w:hAnsi="Arial" w:cs="Arial"/>
          <w:b/>
          <w:bCs/>
          <w:sz w:val="32"/>
          <w:szCs w:val="32"/>
        </w:rPr>
        <w:t xml:space="preserve">Lecturer's Name: </w:t>
      </w:r>
      <w:r w:rsidR="004B16FD" w:rsidRPr="004B16FD">
        <w:rPr>
          <w:rFonts w:ascii="Arial" w:eastAsia="Arial" w:hAnsi="Arial" w:cs="Arial"/>
          <w:b/>
          <w:bCs/>
          <w:sz w:val="32"/>
          <w:szCs w:val="32"/>
        </w:rPr>
        <w:t>Shengfeng Mei (London)</w:t>
      </w:r>
    </w:p>
    <w:p w14:paraId="1DF5CC80" w14:textId="77777777" w:rsidR="004B16FD" w:rsidRDefault="004B16FD" w:rsidP="006B7557">
      <w:pPr>
        <w:ind w:left="900" w:right="901"/>
        <w:jc w:val="center"/>
        <w:rPr>
          <w:rFonts w:ascii="Arial" w:eastAsia="Arial" w:hAnsi="Arial" w:cs="Arial"/>
          <w:b/>
          <w:bCs/>
          <w:sz w:val="32"/>
          <w:szCs w:val="32"/>
        </w:rPr>
      </w:pPr>
    </w:p>
    <w:p w14:paraId="640E64A3" w14:textId="6A04C9AC" w:rsidR="00027741" w:rsidRPr="00924A4E" w:rsidRDefault="006B7557" w:rsidP="00924A4E">
      <w:pPr>
        <w:ind w:left="900" w:right="901"/>
        <w:jc w:val="center"/>
        <w:rPr>
          <w:rFonts w:ascii="Arial" w:eastAsia="Arial" w:hAnsi="Arial" w:cs="Arial"/>
          <w:b/>
          <w:bCs/>
          <w:sz w:val="32"/>
          <w:szCs w:val="32"/>
        </w:rPr>
      </w:pPr>
      <w:r>
        <w:rPr>
          <w:rFonts w:ascii="Arial" w:eastAsia="Arial" w:hAnsi="Arial" w:cs="Arial"/>
          <w:b/>
          <w:bCs/>
          <w:sz w:val="32"/>
          <w:szCs w:val="32"/>
        </w:rPr>
        <w:t xml:space="preserve">Words Count : </w:t>
      </w:r>
      <w:r w:rsidR="008442F4">
        <w:rPr>
          <w:rFonts w:ascii="Arial" w:eastAsia="Arial" w:hAnsi="Arial" w:cs="Arial"/>
          <w:b/>
          <w:bCs/>
          <w:sz w:val="32"/>
          <w:szCs w:val="32"/>
        </w:rPr>
        <w:t>5224</w:t>
      </w:r>
    </w:p>
    <w:p w14:paraId="569123E2" w14:textId="77777777" w:rsidR="00554B4D" w:rsidRDefault="00554B4D">
      <w:pPr>
        <w:jc w:val="center"/>
        <w:rPr>
          <w:b/>
          <w:sz w:val="28"/>
        </w:rPr>
      </w:pPr>
    </w:p>
    <w:p w14:paraId="5C5643AF" w14:textId="37AF2E54" w:rsidR="00027741" w:rsidRDefault="00027741">
      <w:pPr>
        <w:jc w:val="center"/>
        <w:rPr>
          <w:b/>
          <w:sz w:val="28"/>
        </w:rPr>
      </w:pPr>
      <w:r>
        <w:rPr>
          <w:b/>
          <w:sz w:val="28"/>
        </w:rPr>
        <w:lastRenderedPageBreak/>
        <w:t>Table of Contents</w:t>
      </w:r>
    </w:p>
    <w:p w14:paraId="79D0587C" w14:textId="1699E862" w:rsidR="00027741" w:rsidRPr="00C13083" w:rsidRDefault="00027741">
      <w:pPr>
        <w:pStyle w:val="TOC1"/>
        <w:tabs>
          <w:tab w:val="right" w:leader="dot" w:pos="9350"/>
        </w:tabs>
        <w:rPr>
          <w:rFonts w:ascii="Arial" w:hAnsi="Arial" w:cs="Arial"/>
          <w:noProof/>
        </w:rPr>
      </w:pPr>
      <w:r>
        <w:fldChar w:fldCharType="begin"/>
      </w:r>
      <w:r>
        <w:instrText xml:space="preserve"> TOC \o "1-3" \h \z \u </w:instrText>
      </w:r>
      <w:r>
        <w:fldChar w:fldCharType="separate"/>
      </w:r>
      <w:hyperlink w:anchor="_Toc213759696" w:history="1">
        <w:r w:rsidRPr="00C13083">
          <w:rPr>
            <w:rStyle w:val="Hyperlink"/>
            <w:rFonts w:ascii="Arial" w:hAnsi="Arial" w:cs="Arial"/>
            <w:noProof/>
          </w:rPr>
          <w:t>1.0 Introduction</w:t>
        </w:r>
        <w:r w:rsidRPr="00C13083">
          <w:rPr>
            <w:rFonts w:ascii="Arial" w:hAnsi="Arial" w:cs="Arial"/>
            <w:noProof/>
            <w:webHidden/>
          </w:rPr>
          <w:tab/>
        </w:r>
        <w:r w:rsidRPr="00C13083">
          <w:rPr>
            <w:rFonts w:ascii="Arial" w:hAnsi="Arial" w:cs="Arial"/>
            <w:noProof/>
            <w:webHidden/>
          </w:rPr>
          <w:fldChar w:fldCharType="begin"/>
        </w:r>
        <w:r w:rsidRPr="00C13083">
          <w:rPr>
            <w:rFonts w:ascii="Arial" w:hAnsi="Arial" w:cs="Arial"/>
            <w:noProof/>
            <w:webHidden/>
          </w:rPr>
          <w:instrText xml:space="preserve"> PAGEREF _Toc213759696 \h </w:instrText>
        </w:r>
        <w:r w:rsidRPr="00C13083">
          <w:rPr>
            <w:rFonts w:ascii="Arial" w:hAnsi="Arial" w:cs="Arial"/>
            <w:noProof/>
            <w:webHidden/>
          </w:rPr>
        </w:r>
        <w:r w:rsidRPr="00C13083">
          <w:rPr>
            <w:rFonts w:ascii="Arial" w:hAnsi="Arial" w:cs="Arial"/>
            <w:noProof/>
            <w:webHidden/>
          </w:rPr>
          <w:fldChar w:fldCharType="separate"/>
        </w:r>
        <w:r w:rsidRPr="00C13083">
          <w:rPr>
            <w:rFonts w:ascii="Arial" w:hAnsi="Arial" w:cs="Arial"/>
            <w:noProof/>
            <w:webHidden/>
          </w:rPr>
          <w:t>5</w:t>
        </w:r>
        <w:r w:rsidRPr="00C13083">
          <w:rPr>
            <w:rFonts w:ascii="Arial" w:hAnsi="Arial" w:cs="Arial"/>
            <w:noProof/>
            <w:webHidden/>
          </w:rPr>
          <w:fldChar w:fldCharType="end"/>
        </w:r>
      </w:hyperlink>
    </w:p>
    <w:p w14:paraId="48DF8DC6" w14:textId="208B4ABB" w:rsidR="00027741" w:rsidRPr="00C13083" w:rsidRDefault="00027741">
      <w:pPr>
        <w:pStyle w:val="TOC1"/>
        <w:tabs>
          <w:tab w:val="right" w:leader="dot" w:pos="9350"/>
        </w:tabs>
        <w:rPr>
          <w:rFonts w:ascii="Arial" w:hAnsi="Arial" w:cs="Arial"/>
          <w:noProof/>
        </w:rPr>
      </w:pPr>
      <w:hyperlink w:anchor="_Toc213759697" w:history="1">
        <w:r w:rsidRPr="00C13083">
          <w:rPr>
            <w:rStyle w:val="Hyperlink"/>
            <w:rFonts w:ascii="Arial" w:hAnsi="Arial" w:cs="Arial"/>
            <w:noProof/>
          </w:rPr>
          <w:t>2.0 Financial Health Check and Diagnosis</w:t>
        </w:r>
        <w:r w:rsidRPr="00C13083">
          <w:rPr>
            <w:rFonts w:ascii="Arial" w:hAnsi="Arial" w:cs="Arial"/>
            <w:noProof/>
            <w:webHidden/>
          </w:rPr>
          <w:tab/>
        </w:r>
        <w:r w:rsidRPr="00C13083">
          <w:rPr>
            <w:rFonts w:ascii="Arial" w:hAnsi="Arial" w:cs="Arial"/>
            <w:noProof/>
            <w:webHidden/>
          </w:rPr>
          <w:fldChar w:fldCharType="begin"/>
        </w:r>
        <w:r w:rsidRPr="00C13083">
          <w:rPr>
            <w:rFonts w:ascii="Arial" w:hAnsi="Arial" w:cs="Arial"/>
            <w:noProof/>
            <w:webHidden/>
          </w:rPr>
          <w:instrText xml:space="preserve"> PAGEREF _Toc213759697 \h </w:instrText>
        </w:r>
        <w:r w:rsidRPr="00C13083">
          <w:rPr>
            <w:rFonts w:ascii="Arial" w:hAnsi="Arial" w:cs="Arial"/>
            <w:noProof/>
            <w:webHidden/>
          </w:rPr>
        </w:r>
        <w:r w:rsidRPr="00C13083">
          <w:rPr>
            <w:rFonts w:ascii="Arial" w:hAnsi="Arial" w:cs="Arial"/>
            <w:noProof/>
            <w:webHidden/>
          </w:rPr>
          <w:fldChar w:fldCharType="separate"/>
        </w:r>
        <w:r w:rsidRPr="00C13083">
          <w:rPr>
            <w:rFonts w:ascii="Arial" w:hAnsi="Arial" w:cs="Arial"/>
            <w:noProof/>
            <w:webHidden/>
          </w:rPr>
          <w:t>5</w:t>
        </w:r>
        <w:r w:rsidRPr="00C13083">
          <w:rPr>
            <w:rFonts w:ascii="Arial" w:hAnsi="Arial" w:cs="Arial"/>
            <w:noProof/>
            <w:webHidden/>
          </w:rPr>
          <w:fldChar w:fldCharType="end"/>
        </w:r>
      </w:hyperlink>
    </w:p>
    <w:p w14:paraId="434EC12B" w14:textId="78D6281E" w:rsidR="00027741" w:rsidRPr="00C13083" w:rsidRDefault="00027741">
      <w:pPr>
        <w:pStyle w:val="TOC2"/>
        <w:tabs>
          <w:tab w:val="right" w:leader="dot" w:pos="9350"/>
        </w:tabs>
        <w:rPr>
          <w:rFonts w:ascii="Arial" w:hAnsi="Arial" w:cs="Arial"/>
          <w:noProof/>
        </w:rPr>
      </w:pPr>
      <w:hyperlink w:anchor="_Toc213759698" w:history="1">
        <w:r w:rsidRPr="00C13083">
          <w:rPr>
            <w:rStyle w:val="Hyperlink"/>
            <w:rFonts w:ascii="Arial" w:hAnsi="Arial" w:cs="Arial"/>
            <w:noProof/>
          </w:rPr>
          <w:t>2.1 Overview of Five-Year Financial Performance</w:t>
        </w:r>
        <w:r w:rsidRPr="00C13083">
          <w:rPr>
            <w:rFonts w:ascii="Arial" w:hAnsi="Arial" w:cs="Arial"/>
            <w:noProof/>
            <w:webHidden/>
          </w:rPr>
          <w:tab/>
        </w:r>
        <w:r w:rsidRPr="00C13083">
          <w:rPr>
            <w:rFonts w:ascii="Arial" w:hAnsi="Arial" w:cs="Arial"/>
            <w:noProof/>
            <w:webHidden/>
          </w:rPr>
          <w:fldChar w:fldCharType="begin"/>
        </w:r>
        <w:r w:rsidRPr="00C13083">
          <w:rPr>
            <w:rFonts w:ascii="Arial" w:hAnsi="Arial" w:cs="Arial"/>
            <w:noProof/>
            <w:webHidden/>
          </w:rPr>
          <w:instrText xml:space="preserve"> PAGEREF _Toc213759698 \h </w:instrText>
        </w:r>
        <w:r w:rsidRPr="00C13083">
          <w:rPr>
            <w:rFonts w:ascii="Arial" w:hAnsi="Arial" w:cs="Arial"/>
            <w:noProof/>
            <w:webHidden/>
          </w:rPr>
        </w:r>
        <w:r w:rsidRPr="00C13083">
          <w:rPr>
            <w:rFonts w:ascii="Arial" w:hAnsi="Arial" w:cs="Arial"/>
            <w:noProof/>
            <w:webHidden/>
          </w:rPr>
          <w:fldChar w:fldCharType="separate"/>
        </w:r>
        <w:r w:rsidRPr="00C13083">
          <w:rPr>
            <w:rFonts w:ascii="Arial" w:hAnsi="Arial" w:cs="Arial"/>
            <w:noProof/>
            <w:webHidden/>
          </w:rPr>
          <w:t>5</w:t>
        </w:r>
        <w:r w:rsidRPr="00C13083">
          <w:rPr>
            <w:rFonts w:ascii="Arial" w:hAnsi="Arial" w:cs="Arial"/>
            <w:noProof/>
            <w:webHidden/>
          </w:rPr>
          <w:fldChar w:fldCharType="end"/>
        </w:r>
      </w:hyperlink>
    </w:p>
    <w:p w14:paraId="3F55591A" w14:textId="680E6D93" w:rsidR="00027741" w:rsidRPr="00C13083" w:rsidRDefault="00027741">
      <w:pPr>
        <w:pStyle w:val="TOC2"/>
        <w:tabs>
          <w:tab w:val="right" w:leader="dot" w:pos="9350"/>
        </w:tabs>
        <w:rPr>
          <w:rFonts w:ascii="Arial" w:hAnsi="Arial" w:cs="Arial"/>
          <w:noProof/>
        </w:rPr>
      </w:pPr>
      <w:hyperlink w:anchor="_Toc213759699" w:history="1">
        <w:r w:rsidRPr="00C13083">
          <w:rPr>
            <w:rStyle w:val="Hyperlink"/>
            <w:rFonts w:ascii="Arial" w:hAnsi="Arial" w:cs="Arial"/>
            <w:noProof/>
          </w:rPr>
          <w:t>2.2 Comprehensive Ratio Analysis</w:t>
        </w:r>
        <w:r w:rsidRPr="00C13083">
          <w:rPr>
            <w:rFonts w:ascii="Arial" w:hAnsi="Arial" w:cs="Arial"/>
            <w:noProof/>
            <w:webHidden/>
          </w:rPr>
          <w:tab/>
        </w:r>
        <w:r w:rsidRPr="00C13083">
          <w:rPr>
            <w:rFonts w:ascii="Arial" w:hAnsi="Arial" w:cs="Arial"/>
            <w:noProof/>
            <w:webHidden/>
          </w:rPr>
          <w:fldChar w:fldCharType="begin"/>
        </w:r>
        <w:r w:rsidRPr="00C13083">
          <w:rPr>
            <w:rFonts w:ascii="Arial" w:hAnsi="Arial" w:cs="Arial"/>
            <w:noProof/>
            <w:webHidden/>
          </w:rPr>
          <w:instrText xml:space="preserve"> PAGEREF _Toc213759699 \h </w:instrText>
        </w:r>
        <w:r w:rsidRPr="00C13083">
          <w:rPr>
            <w:rFonts w:ascii="Arial" w:hAnsi="Arial" w:cs="Arial"/>
            <w:noProof/>
            <w:webHidden/>
          </w:rPr>
        </w:r>
        <w:r w:rsidRPr="00C13083">
          <w:rPr>
            <w:rFonts w:ascii="Arial" w:hAnsi="Arial" w:cs="Arial"/>
            <w:noProof/>
            <w:webHidden/>
          </w:rPr>
          <w:fldChar w:fldCharType="separate"/>
        </w:r>
        <w:r w:rsidRPr="00C13083">
          <w:rPr>
            <w:rFonts w:ascii="Arial" w:hAnsi="Arial" w:cs="Arial"/>
            <w:noProof/>
            <w:webHidden/>
          </w:rPr>
          <w:t>6</w:t>
        </w:r>
        <w:r w:rsidRPr="00C13083">
          <w:rPr>
            <w:rFonts w:ascii="Arial" w:hAnsi="Arial" w:cs="Arial"/>
            <w:noProof/>
            <w:webHidden/>
          </w:rPr>
          <w:fldChar w:fldCharType="end"/>
        </w:r>
      </w:hyperlink>
    </w:p>
    <w:p w14:paraId="4848030D" w14:textId="7FC9F5A0" w:rsidR="00027741" w:rsidRPr="00C13083" w:rsidRDefault="00027741">
      <w:pPr>
        <w:pStyle w:val="TOC3"/>
        <w:tabs>
          <w:tab w:val="right" w:leader="dot" w:pos="9350"/>
        </w:tabs>
        <w:rPr>
          <w:rFonts w:ascii="Arial" w:hAnsi="Arial" w:cs="Arial"/>
          <w:noProof/>
        </w:rPr>
      </w:pPr>
      <w:hyperlink w:anchor="_Toc213759700" w:history="1">
        <w:r w:rsidRPr="00C13083">
          <w:rPr>
            <w:rStyle w:val="Hyperlink"/>
            <w:rFonts w:ascii="Arial" w:hAnsi="Arial" w:cs="Arial"/>
            <w:noProof/>
          </w:rPr>
          <w:t>2.2.1 Profitability Analysis</w:t>
        </w:r>
        <w:r w:rsidRPr="00C13083">
          <w:rPr>
            <w:rFonts w:ascii="Arial" w:hAnsi="Arial" w:cs="Arial"/>
            <w:noProof/>
            <w:webHidden/>
          </w:rPr>
          <w:tab/>
        </w:r>
        <w:r w:rsidRPr="00C13083">
          <w:rPr>
            <w:rFonts w:ascii="Arial" w:hAnsi="Arial" w:cs="Arial"/>
            <w:noProof/>
            <w:webHidden/>
          </w:rPr>
          <w:fldChar w:fldCharType="begin"/>
        </w:r>
        <w:r w:rsidRPr="00C13083">
          <w:rPr>
            <w:rFonts w:ascii="Arial" w:hAnsi="Arial" w:cs="Arial"/>
            <w:noProof/>
            <w:webHidden/>
          </w:rPr>
          <w:instrText xml:space="preserve"> PAGEREF _Toc213759700 \h </w:instrText>
        </w:r>
        <w:r w:rsidRPr="00C13083">
          <w:rPr>
            <w:rFonts w:ascii="Arial" w:hAnsi="Arial" w:cs="Arial"/>
            <w:noProof/>
            <w:webHidden/>
          </w:rPr>
        </w:r>
        <w:r w:rsidRPr="00C13083">
          <w:rPr>
            <w:rFonts w:ascii="Arial" w:hAnsi="Arial" w:cs="Arial"/>
            <w:noProof/>
            <w:webHidden/>
          </w:rPr>
          <w:fldChar w:fldCharType="separate"/>
        </w:r>
        <w:r w:rsidRPr="00C13083">
          <w:rPr>
            <w:rFonts w:ascii="Arial" w:hAnsi="Arial" w:cs="Arial"/>
            <w:noProof/>
            <w:webHidden/>
          </w:rPr>
          <w:t>6</w:t>
        </w:r>
        <w:r w:rsidRPr="00C13083">
          <w:rPr>
            <w:rFonts w:ascii="Arial" w:hAnsi="Arial" w:cs="Arial"/>
            <w:noProof/>
            <w:webHidden/>
          </w:rPr>
          <w:fldChar w:fldCharType="end"/>
        </w:r>
      </w:hyperlink>
    </w:p>
    <w:p w14:paraId="0DA9E3F1" w14:textId="7725FD98" w:rsidR="00027741" w:rsidRPr="00C13083" w:rsidRDefault="00027741">
      <w:pPr>
        <w:pStyle w:val="TOC3"/>
        <w:tabs>
          <w:tab w:val="right" w:leader="dot" w:pos="9350"/>
        </w:tabs>
        <w:rPr>
          <w:rFonts w:ascii="Arial" w:hAnsi="Arial" w:cs="Arial"/>
          <w:noProof/>
        </w:rPr>
      </w:pPr>
      <w:hyperlink w:anchor="_Toc213759701" w:history="1">
        <w:r w:rsidRPr="00C13083">
          <w:rPr>
            <w:rStyle w:val="Hyperlink"/>
            <w:rFonts w:ascii="Arial" w:hAnsi="Arial" w:cs="Arial"/>
            <w:noProof/>
          </w:rPr>
          <w:t>2.2.2 Liquidity Analysis</w:t>
        </w:r>
        <w:r w:rsidRPr="00C13083">
          <w:rPr>
            <w:rFonts w:ascii="Arial" w:hAnsi="Arial" w:cs="Arial"/>
            <w:noProof/>
            <w:webHidden/>
          </w:rPr>
          <w:tab/>
        </w:r>
        <w:r w:rsidRPr="00C13083">
          <w:rPr>
            <w:rFonts w:ascii="Arial" w:hAnsi="Arial" w:cs="Arial"/>
            <w:noProof/>
            <w:webHidden/>
          </w:rPr>
          <w:fldChar w:fldCharType="begin"/>
        </w:r>
        <w:r w:rsidRPr="00C13083">
          <w:rPr>
            <w:rFonts w:ascii="Arial" w:hAnsi="Arial" w:cs="Arial"/>
            <w:noProof/>
            <w:webHidden/>
          </w:rPr>
          <w:instrText xml:space="preserve"> PAGEREF _Toc213759701 \h </w:instrText>
        </w:r>
        <w:r w:rsidRPr="00C13083">
          <w:rPr>
            <w:rFonts w:ascii="Arial" w:hAnsi="Arial" w:cs="Arial"/>
            <w:noProof/>
            <w:webHidden/>
          </w:rPr>
        </w:r>
        <w:r w:rsidRPr="00C13083">
          <w:rPr>
            <w:rFonts w:ascii="Arial" w:hAnsi="Arial" w:cs="Arial"/>
            <w:noProof/>
            <w:webHidden/>
          </w:rPr>
          <w:fldChar w:fldCharType="separate"/>
        </w:r>
        <w:r w:rsidRPr="00C13083">
          <w:rPr>
            <w:rFonts w:ascii="Arial" w:hAnsi="Arial" w:cs="Arial"/>
            <w:noProof/>
            <w:webHidden/>
          </w:rPr>
          <w:t>7</w:t>
        </w:r>
        <w:r w:rsidRPr="00C13083">
          <w:rPr>
            <w:rFonts w:ascii="Arial" w:hAnsi="Arial" w:cs="Arial"/>
            <w:noProof/>
            <w:webHidden/>
          </w:rPr>
          <w:fldChar w:fldCharType="end"/>
        </w:r>
      </w:hyperlink>
    </w:p>
    <w:p w14:paraId="499A3C56" w14:textId="15C329CD" w:rsidR="00027741" w:rsidRPr="00C13083" w:rsidRDefault="00027741">
      <w:pPr>
        <w:pStyle w:val="TOC3"/>
        <w:tabs>
          <w:tab w:val="right" w:leader="dot" w:pos="9350"/>
        </w:tabs>
        <w:rPr>
          <w:rFonts w:ascii="Arial" w:hAnsi="Arial" w:cs="Arial"/>
          <w:noProof/>
        </w:rPr>
      </w:pPr>
      <w:hyperlink w:anchor="_Toc213759702" w:history="1">
        <w:r w:rsidRPr="00C13083">
          <w:rPr>
            <w:rStyle w:val="Hyperlink"/>
            <w:rFonts w:ascii="Arial" w:hAnsi="Arial" w:cs="Arial"/>
            <w:noProof/>
          </w:rPr>
          <w:t>2.2.3 Efficiency Analysis</w:t>
        </w:r>
        <w:r w:rsidRPr="00C13083">
          <w:rPr>
            <w:rFonts w:ascii="Arial" w:hAnsi="Arial" w:cs="Arial"/>
            <w:noProof/>
            <w:webHidden/>
          </w:rPr>
          <w:tab/>
        </w:r>
        <w:r w:rsidRPr="00C13083">
          <w:rPr>
            <w:rFonts w:ascii="Arial" w:hAnsi="Arial" w:cs="Arial"/>
            <w:noProof/>
            <w:webHidden/>
          </w:rPr>
          <w:fldChar w:fldCharType="begin"/>
        </w:r>
        <w:r w:rsidRPr="00C13083">
          <w:rPr>
            <w:rFonts w:ascii="Arial" w:hAnsi="Arial" w:cs="Arial"/>
            <w:noProof/>
            <w:webHidden/>
          </w:rPr>
          <w:instrText xml:space="preserve"> PAGEREF _Toc213759702 \h </w:instrText>
        </w:r>
        <w:r w:rsidRPr="00C13083">
          <w:rPr>
            <w:rFonts w:ascii="Arial" w:hAnsi="Arial" w:cs="Arial"/>
            <w:noProof/>
            <w:webHidden/>
          </w:rPr>
        </w:r>
        <w:r w:rsidRPr="00C13083">
          <w:rPr>
            <w:rFonts w:ascii="Arial" w:hAnsi="Arial" w:cs="Arial"/>
            <w:noProof/>
            <w:webHidden/>
          </w:rPr>
          <w:fldChar w:fldCharType="separate"/>
        </w:r>
        <w:r w:rsidRPr="00C13083">
          <w:rPr>
            <w:rFonts w:ascii="Arial" w:hAnsi="Arial" w:cs="Arial"/>
            <w:noProof/>
            <w:webHidden/>
          </w:rPr>
          <w:t>8</w:t>
        </w:r>
        <w:r w:rsidRPr="00C13083">
          <w:rPr>
            <w:rFonts w:ascii="Arial" w:hAnsi="Arial" w:cs="Arial"/>
            <w:noProof/>
            <w:webHidden/>
          </w:rPr>
          <w:fldChar w:fldCharType="end"/>
        </w:r>
      </w:hyperlink>
    </w:p>
    <w:p w14:paraId="3D099A64" w14:textId="3824A4AC" w:rsidR="00027741" w:rsidRPr="00C13083" w:rsidRDefault="00027741">
      <w:pPr>
        <w:pStyle w:val="TOC3"/>
        <w:tabs>
          <w:tab w:val="right" w:leader="dot" w:pos="9350"/>
        </w:tabs>
        <w:rPr>
          <w:rFonts w:ascii="Arial" w:hAnsi="Arial" w:cs="Arial"/>
          <w:noProof/>
        </w:rPr>
      </w:pPr>
      <w:hyperlink w:anchor="_Toc213759703" w:history="1">
        <w:r w:rsidRPr="00C13083">
          <w:rPr>
            <w:rStyle w:val="Hyperlink"/>
            <w:rFonts w:ascii="Arial" w:hAnsi="Arial" w:cs="Arial"/>
            <w:noProof/>
          </w:rPr>
          <w:t>2.2.4 Gearing (Leverage) Analysis</w:t>
        </w:r>
        <w:r w:rsidRPr="00C13083">
          <w:rPr>
            <w:rFonts w:ascii="Arial" w:hAnsi="Arial" w:cs="Arial"/>
            <w:noProof/>
            <w:webHidden/>
          </w:rPr>
          <w:tab/>
        </w:r>
        <w:r w:rsidRPr="00C13083">
          <w:rPr>
            <w:rFonts w:ascii="Arial" w:hAnsi="Arial" w:cs="Arial"/>
            <w:noProof/>
            <w:webHidden/>
          </w:rPr>
          <w:fldChar w:fldCharType="begin"/>
        </w:r>
        <w:r w:rsidRPr="00C13083">
          <w:rPr>
            <w:rFonts w:ascii="Arial" w:hAnsi="Arial" w:cs="Arial"/>
            <w:noProof/>
            <w:webHidden/>
          </w:rPr>
          <w:instrText xml:space="preserve"> PAGEREF _Toc213759703 \h </w:instrText>
        </w:r>
        <w:r w:rsidRPr="00C13083">
          <w:rPr>
            <w:rFonts w:ascii="Arial" w:hAnsi="Arial" w:cs="Arial"/>
            <w:noProof/>
            <w:webHidden/>
          </w:rPr>
        </w:r>
        <w:r w:rsidRPr="00C13083">
          <w:rPr>
            <w:rFonts w:ascii="Arial" w:hAnsi="Arial" w:cs="Arial"/>
            <w:noProof/>
            <w:webHidden/>
          </w:rPr>
          <w:fldChar w:fldCharType="separate"/>
        </w:r>
        <w:r w:rsidRPr="00C13083">
          <w:rPr>
            <w:rFonts w:ascii="Arial" w:hAnsi="Arial" w:cs="Arial"/>
            <w:noProof/>
            <w:webHidden/>
          </w:rPr>
          <w:t>9</w:t>
        </w:r>
        <w:r w:rsidRPr="00C13083">
          <w:rPr>
            <w:rFonts w:ascii="Arial" w:hAnsi="Arial" w:cs="Arial"/>
            <w:noProof/>
            <w:webHidden/>
          </w:rPr>
          <w:fldChar w:fldCharType="end"/>
        </w:r>
      </w:hyperlink>
    </w:p>
    <w:p w14:paraId="3474BE6D" w14:textId="016D7BDE" w:rsidR="00027741" w:rsidRPr="00C13083" w:rsidRDefault="00027741">
      <w:pPr>
        <w:pStyle w:val="TOC3"/>
        <w:tabs>
          <w:tab w:val="right" w:leader="dot" w:pos="9350"/>
        </w:tabs>
        <w:rPr>
          <w:rFonts w:ascii="Arial" w:hAnsi="Arial" w:cs="Arial"/>
          <w:noProof/>
        </w:rPr>
      </w:pPr>
      <w:hyperlink w:anchor="_Toc213759704" w:history="1">
        <w:r w:rsidRPr="00C13083">
          <w:rPr>
            <w:rStyle w:val="Hyperlink"/>
            <w:rFonts w:ascii="Arial" w:hAnsi="Arial" w:cs="Arial"/>
            <w:noProof/>
          </w:rPr>
          <w:t>2.2.5 Investment Analysis</w:t>
        </w:r>
        <w:r w:rsidRPr="00C13083">
          <w:rPr>
            <w:rFonts w:ascii="Arial" w:hAnsi="Arial" w:cs="Arial"/>
            <w:noProof/>
            <w:webHidden/>
          </w:rPr>
          <w:tab/>
        </w:r>
        <w:r w:rsidRPr="00C13083">
          <w:rPr>
            <w:rFonts w:ascii="Arial" w:hAnsi="Arial" w:cs="Arial"/>
            <w:noProof/>
            <w:webHidden/>
          </w:rPr>
          <w:fldChar w:fldCharType="begin"/>
        </w:r>
        <w:r w:rsidRPr="00C13083">
          <w:rPr>
            <w:rFonts w:ascii="Arial" w:hAnsi="Arial" w:cs="Arial"/>
            <w:noProof/>
            <w:webHidden/>
          </w:rPr>
          <w:instrText xml:space="preserve"> PAGEREF _Toc213759704 \h </w:instrText>
        </w:r>
        <w:r w:rsidRPr="00C13083">
          <w:rPr>
            <w:rFonts w:ascii="Arial" w:hAnsi="Arial" w:cs="Arial"/>
            <w:noProof/>
            <w:webHidden/>
          </w:rPr>
        </w:r>
        <w:r w:rsidRPr="00C13083">
          <w:rPr>
            <w:rFonts w:ascii="Arial" w:hAnsi="Arial" w:cs="Arial"/>
            <w:noProof/>
            <w:webHidden/>
          </w:rPr>
          <w:fldChar w:fldCharType="separate"/>
        </w:r>
        <w:r w:rsidRPr="00C13083">
          <w:rPr>
            <w:rFonts w:ascii="Arial" w:hAnsi="Arial" w:cs="Arial"/>
            <w:noProof/>
            <w:webHidden/>
          </w:rPr>
          <w:t>10</w:t>
        </w:r>
        <w:r w:rsidRPr="00C13083">
          <w:rPr>
            <w:rFonts w:ascii="Arial" w:hAnsi="Arial" w:cs="Arial"/>
            <w:noProof/>
            <w:webHidden/>
          </w:rPr>
          <w:fldChar w:fldCharType="end"/>
        </w:r>
      </w:hyperlink>
    </w:p>
    <w:p w14:paraId="7DBA3C1A" w14:textId="2515C077" w:rsidR="00027741" w:rsidRPr="00C13083" w:rsidRDefault="00027741">
      <w:pPr>
        <w:pStyle w:val="TOC3"/>
        <w:tabs>
          <w:tab w:val="right" w:leader="dot" w:pos="9350"/>
        </w:tabs>
        <w:rPr>
          <w:rFonts w:ascii="Arial" w:hAnsi="Arial" w:cs="Arial"/>
          <w:noProof/>
        </w:rPr>
      </w:pPr>
      <w:hyperlink w:anchor="_Toc213759705" w:history="1">
        <w:r w:rsidRPr="00C13083">
          <w:rPr>
            <w:rStyle w:val="Hyperlink"/>
            <w:rFonts w:ascii="Arial" w:hAnsi="Arial" w:cs="Arial"/>
            <w:noProof/>
          </w:rPr>
          <w:t>2.2.7 Market Ratio</w:t>
        </w:r>
        <w:r w:rsidRPr="00C13083">
          <w:rPr>
            <w:rFonts w:ascii="Arial" w:hAnsi="Arial" w:cs="Arial"/>
            <w:noProof/>
            <w:webHidden/>
          </w:rPr>
          <w:tab/>
        </w:r>
        <w:r w:rsidRPr="00C13083">
          <w:rPr>
            <w:rFonts w:ascii="Arial" w:hAnsi="Arial" w:cs="Arial"/>
            <w:noProof/>
            <w:webHidden/>
          </w:rPr>
          <w:fldChar w:fldCharType="begin"/>
        </w:r>
        <w:r w:rsidRPr="00C13083">
          <w:rPr>
            <w:rFonts w:ascii="Arial" w:hAnsi="Arial" w:cs="Arial"/>
            <w:noProof/>
            <w:webHidden/>
          </w:rPr>
          <w:instrText xml:space="preserve"> PAGEREF _Toc213759705 \h </w:instrText>
        </w:r>
        <w:r w:rsidRPr="00C13083">
          <w:rPr>
            <w:rFonts w:ascii="Arial" w:hAnsi="Arial" w:cs="Arial"/>
            <w:noProof/>
            <w:webHidden/>
          </w:rPr>
        </w:r>
        <w:r w:rsidRPr="00C13083">
          <w:rPr>
            <w:rFonts w:ascii="Arial" w:hAnsi="Arial" w:cs="Arial"/>
            <w:noProof/>
            <w:webHidden/>
          </w:rPr>
          <w:fldChar w:fldCharType="separate"/>
        </w:r>
        <w:r w:rsidRPr="00C13083">
          <w:rPr>
            <w:rFonts w:ascii="Arial" w:hAnsi="Arial" w:cs="Arial"/>
            <w:noProof/>
            <w:webHidden/>
          </w:rPr>
          <w:t>11</w:t>
        </w:r>
        <w:r w:rsidRPr="00C13083">
          <w:rPr>
            <w:rFonts w:ascii="Arial" w:hAnsi="Arial" w:cs="Arial"/>
            <w:noProof/>
            <w:webHidden/>
          </w:rPr>
          <w:fldChar w:fldCharType="end"/>
        </w:r>
      </w:hyperlink>
    </w:p>
    <w:p w14:paraId="6CA0AFD9" w14:textId="2A2BD4C1" w:rsidR="00027741" w:rsidRDefault="00027741">
      <w:pPr>
        <w:pStyle w:val="TOC3"/>
        <w:tabs>
          <w:tab w:val="right" w:leader="dot" w:pos="9350"/>
        </w:tabs>
        <w:rPr>
          <w:noProof/>
        </w:rPr>
      </w:pPr>
      <w:hyperlink w:anchor="_Toc213759706" w:history="1">
        <w:r w:rsidRPr="00123AFC">
          <w:rPr>
            <w:rStyle w:val="Hyperlink"/>
            <w:noProof/>
          </w:rPr>
          <w:t>2.2.6 Cash Flow Analysis</w:t>
        </w:r>
        <w:r>
          <w:rPr>
            <w:noProof/>
            <w:webHidden/>
          </w:rPr>
          <w:tab/>
        </w:r>
        <w:r>
          <w:rPr>
            <w:noProof/>
            <w:webHidden/>
          </w:rPr>
          <w:fldChar w:fldCharType="begin"/>
        </w:r>
        <w:r>
          <w:rPr>
            <w:noProof/>
            <w:webHidden/>
          </w:rPr>
          <w:instrText xml:space="preserve"> PAGEREF _Toc213759706 \h </w:instrText>
        </w:r>
        <w:r>
          <w:rPr>
            <w:noProof/>
            <w:webHidden/>
          </w:rPr>
        </w:r>
        <w:r>
          <w:rPr>
            <w:noProof/>
            <w:webHidden/>
          </w:rPr>
          <w:fldChar w:fldCharType="separate"/>
        </w:r>
        <w:r>
          <w:rPr>
            <w:noProof/>
            <w:webHidden/>
          </w:rPr>
          <w:t>12</w:t>
        </w:r>
        <w:r>
          <w:rPr>
            <w:noProof/>
            <w:webHidden/>
          </w:rPr>
          <w:fldChar w:fldCharType="end"/>
        </w:r>
      </w:hyperlink>
    </w:p>
    <w:p w14:paraId="6B870227" w14:textId="4BED6A5D" w:rsidR="00027741" w:rsidRDefault="00027741">
      <w:pPr>
        <w:pStyle w:val="TOC2"/>
        <w:tabs>
          <w:tab w:val="right" w:leader="dot" w:pos="9350"/>
        </w:tabs>
        <w:rPr>
          <w:noProof/>
        </w:rPr>
      </w:pPr>
      <w:hyperlink w:anchor="_Toc213759707" w:history="1">
        <w:r w:rsidRPr="00123AFC">
          <w:rPr>
            <w:rStyle w:val="Hyperlink"/>
            <w:noProof/>
          </w:rPr>
          <w:t>2.3 Analysis of Key Trends and Inter-relationships</w:t>
        </w:r>
        <w:r>
          <w:rPr>
            <w:noProof/>
            <w:webHidden/>
          </w:rPr>
          <w:tab/>
        </w:r>
        <w:r>
          <w:rPr>
            <w:noProof/>
            <w:webHidden/>
          </w:rPr>
          <w:fldChar w:fldCharType="begin"/>
        </w:r>
        <w:r>
          <w:rPr>
            <w:noProof/>
            <w:webHidden/>
          </w:rPr>
          <w:instrText xml:space="preserve"> PAGEREF _Toc213759707 \h </w:instrText>
        </w:r>
        <w:r>
          <w:rPr>
            <w:noProof/>
            <w:webHidden/>
          </w:rPr>
        </w:r>
        <w:r>
          <w:rPr>
            <w:noProof/>
            <w:webHidden/>
          </w:rPr>
          <w:fldChar w:fldCharType="separate"/>
        </w:r>
        <w:r>
          <w:rPr>
            <w:noProof/>
            <w:webHidden/>
          </w:rPr>
          <w:t>12</w:t>
        </w:r>
        <w:r>
          <w:rPr>
            <w:noProof/>
            <w:webHidden/>
          </w:rPr>
          <w:fldChar w:fldCharType="end"/>
        </w:r>
      </w:hyperlink>
    </w:p>
    <w:p w14:paraId="356A88C8" w14:textId="7495E2AC" w:rsidR="00027741" w:rsidRDefault="00027741">
      <w:pPr>
        <w:pStyle w:val="TOC2"/>
        <w:tabs>
          <w:tab w:val="right" w:leader="dot" w:pos="9350"/>
        </w:tabs>
        <w:rPr>
          <w:noProof/>
        </w:rPr>
      </w:pPr>
      <w:hyperlink w:anchor="_Toc213759708" w:history="1">
        <w:r w:rsidRPr="00123AFC">
          <w:rPr>
            <w:rStyle w:val="Hyperlink"/>
            <w:noProof/>
          </w:rPr>
          <w:t>2.4 Identification of Core Financial Strengths and Threats</w:t>
        </w:r>
        <w:r>
          <w:rPr>
            <w:noProof/>
            <w:webHidden/>
          </w:rPr>
          <w:tab/>
        </w:r>
        <w:r>
          <w:rPr>
            <w:noProof/>
            <w:webHidden/>
          </w:rPr>
          <w:fldChar w:fldCharType="begin"/>
        </w:r>
        <w:r>
          <w:rPr>
            <w:noProof/>
            <w:webHidden/>
          </w:rPr>
          <w:instrText xml:space="preserve"> PAGEREF _Toc213759708 \h </w:instrText>
        </w:r>
        <w:r>
          <w:rPr>
            <w:noProof/>
            <w:webHidden/>
          </w:rPr>
        </w:r>
        <w:r>
          <w:rPr>
            <w:noProof/>
            <w:webHidden/>
          </w:rPr>
          <w:fldChar w:fldCharType="separate"/>
        </w:r>
        <w:r>
          <w:rPr>
            <w:noProof/>
            <w:webHidden/>
          </w:rPr>
          <w:t>13</w:t>
        </w:r>
        <w:r>
          <w:rPr>
            <w:noProof/>
            <w:webHidden/>
          </w:rPr>
          <w:fldChar w:fldCharType="end"/>
        </w:r>
      </w:hyperlink>
    </w:p>
    <w:p w14:paraId="530E28D0" w14:textId="742D56C4" w:rsidR="00027741" w:rsidRDefault="00027741">
      <w:pPr>
        <w:pStyle w:val="TOC2"/>
        <w:tabs>
          <w:tab w:val="right" w:leader="dot" w:pos="9350"/>
        </w:tabs>
        <w:rPr>
          <w:noProof/>
        </w:rPr>
      </w:pPr>
      <w:hyperlink w:anchor="_Toc213759709" w:history="1">
        <w:r w:rsidRPr="00123AFC">
          <w:rPr>
            <w:rStyle w:val="Hyperlink"/>
            <w:noProof/>
          </w:rPr>
          <w:t>2.5 Corporate Failure Prediction Modelling</w:t>
        </w:r>
        <w:r>
          <w:rPr>
            <w:noProof/>
            <w:webHidden/>
          </w:rPr>
          <w:tab/>
        </w:r>
        <w:r>
          <w:rPr>
            <w:noProof/>
            <w:webHidden/>
          </w:rPr>
          <w:fldChar w:fldCharType="begin"/>
        </w:r>
        <w:r>
          <w:rPr>
            <w:noProof/>
            <w:webHidden/>
          </w:rPr>
          <w:instrText xml:space="preserve"> PAGEREF _Toc213759709 \h </w:instrText>
        </w:r>
        <w:r>
          <w:rPr>
            <w:noProof/>
            <w:webHidden/>
          </w:rPr>
        </w:r>
        <w:r>
          <w:rPr>
            <w:noProof/>
            <w:webHidden/>
          </w:rPr>
          <w:fldChar w:fldCharType="separate"/>
        </w:r>
        <w:r>
          <w:rPr>
            <w:noProof/>
            <w:webHidden/>
          </w:rPr>
          <w:t>13</w:t>
        </w:r>
        <w:r>
          <w:rPr>
            <w:noProof/>
            <w:webHidden/>
          </w:rPr>
          <w:fldChar w:fldCharType="end"/>
        </w:r>
      </w:hyperlink>
    </w:p>
    <w:p w14:paraId="61408A54" w14:textId="3C31E061" w:rsidR="00027741" w:rsidRDefault="00027741">
      <w:pPr>
        <w:pStyle w:val="TOC1"/>
        <w:tabs>
          <w:tab w:val="right" w:leader="dot" w:pos="9350"/>
        </w:tabs>
        <w:rPr>
          <w:noProof/>
        </w:rPr>
      </w:pPr>
      <w:hyperlink w:anchor="_Toc213759710" w:history="1">
        <w:r w:rsidRPr="00123AFC">
          <w:rPr>
            <w:rStyle w:val="Hyperlink"/>
            <w:noProof/>
          </w:rPr>
          <w:t>3.0 Working Capital Management Analysis</w:t>
        </w:r>
        <w:r>
          <w:rPr>
            <w:noProof/>
            <w:webHidden/>
          </w:rPr>
          <w:tab/>
        </w:r>
        <w:r>
          <w:rPr>
            <w:noProof/>
            <w:webHidden/>
          </w:rPr>
          <w:fldChar w:fldCharType="begin"/>
        </w:r>
        <w:r>
          <w:rPr>
            <w:noProof/>
            <w:webHidden/>
          </w:rPr>
          <w:instrText xml:space="preserve"> PAGEREF _Toc213759710 \h </w:instrText>
        </w:r>
        <w:r>
          <w:rPr>
            <w:noProof/>
            <w:webHidden/>
          </w:rPr>
        </w:r>
        <w:r>
          <w:rPr>
            <w:noProof/>
            <w:webHidden/>
          </w:rPr>
          <w:fldChar w:fldCharType="separate"/>
        </w:r>
        <w:r>
          <w:rPr>
            <w:noProof/>
            <w:webHidden/>
          </w:rPr>
          <w:t>14</w:t>
        </w:r>
        <w:r>
          <w:rPr>
            <w:noProof/>
            <w:webHidden/>
          </w:rPr>
          <w:fldChar w:fldCharType="end"/>
        </w:r>
      </w:hyperlink>
    </w:p>
    <w:p w14:paraId="04079F65" w14:textId="1336408E" w:rsidR="00027741" w:rsidRDefault="00027741">
      <w:pPr>
        <w:pStyle w:val="TOC2"/>
        <w:tabs>
          <w:tab w:val="right" w:leader="dot" w:pos="9350"/>
        </w:tabs>
        <w:rPr>
          <w:noProof/>
        </w:rPr>
      </w:pPr>
      <w:hyperlink w:anchor="_Toc213759711" w:history="1">
        <w:r w:rsidRPr="00123AFC">
          <w:rPr>
            <w:rStyle w:val="Hyperlink"/>
            <w:noProof/>
          </w:rPr>
          <w:t>3.1 Assessment of the Cash Operating Cycle (CCC)</w:t>
        </w:r>
        <w:r>
          <w:rPr>
            <w:noProof/>
            <w:webHidden/>
          </w:rPr>
          <w:tab/>
        </w:r>
        <w:r>
          <w:rPr>
            <w:noProof/>
            <w:webHidden/>
          </w:rPr>
          <w:fldChar w:fldCharType="begin"/>
        </w:r>
        <w:r>
          <w:rPr>
            <w:noProof/>
            <w:webHidden/>
          </w:rPr>
          <w:instrText xml:space="preserve"> PAGEREF _Toc213759711 \h </w:instrText>
        </w:r>
        <w:r>
          <w:rPr>
            <w:noProof/>
            <w:webHidden/>
          </w:rPr>
        </w:r>
        <w:r>
          <w:rPr>
            <w:noProof/>
            <w:webHidden/>
          </w:rPr>
          <w:fldChar w:fldCharType="separate"/>
        </w:r>
        <w:r>
          <w:rPr>
            <w:noProof/>
            <w:webHidden/>
          </w:rPr>
          <w:t>14</w:t>
        </w:r>
        <w:r>
          <w:rPr>
            <w:noProof/>
            <w:webHidden/>
          </w:rPr>
          <w:fldChar w:fldCharType="end"/>
        </w:r>
      </w:hyperlink>
    </w:p>
    <w:p w14:paraId="337AA83B" w14:textId="2AD3438B" w:rsidR="00027741" w:rsidRDefault="00027741">
      <w:pPr>
        <w:pStyle w:val="TOC2"/>
        <w:tabs>
          <w:tab w:val="right" w:leader="dot" w:pos="9350"/>
        </w:tabs>
        <w:rPr>
          <w:noProof/>
        </w:rPr>
      </w:pPr>
      <w:hyperlink w:anchor="_Toc213759712" w:history="1">
        <w:r w:rsidRPr="00123AFC">
          <w:rPr>
            <w:rStyle w:val="Hyperlink"/>
            <w:noProof/>
          </w:rPr>
          <w:t>3.2 Recommended Strategies for Working Capital Reform</w:t>
        </w:r>
        <w:r>
          <w:rPr>
            <w:noProof/>
            <w:webHidden/>
          </w:rPr>
          <w:tab/>
        </w:r>
        <w:r>
          <w:rPr>
            <w:noProof/>
            <w:webHidden/>
          </w:rPr>
          <w:fldChar w:fldCharType="begin"/>
        </w:r>
        <w:r>
          <w:rPr>
            <w:noProof/>
            <w:webHidden/>
          </w:rPr>
          <w:instrText xml:space="preserve"> PAGEREF _Toc213759712 \h </w:instrText>
        </w:r>
        <w:r>
          <w:rPr>
            <w:noProof/>
            <w:webHidden/>
          </w:rPr>
        </w:r>
        <w:r>
          <w:rPr>
            <w:noProof/>
            <w:webHidden/>
          </w:rPr>
          <w:fldChar w:fldCharType="separate"/>
        </w:r>
        <w:r>
          <w:rPr>
            <w:noProof/>
            <w:webHidden/>
          </w:rPr>
          <w:t>15</w:t>
        </w:r>
        <w:r>
          <w:rPr>
            <w:noProof/>
            <w:webHidden/>
          </w:rPr>
          <w:fldChar w:fldCharType="end"/>
        </w:r>
      </w:hyperlink>
    </w:p>
    <w:p w14:paraId="03949E4D" w14:textId="5BE19BAB" w:rsidR="00027741" w:rsidRDefault="00027741">
      <w:pPr>
        <w:pStyle w:val="TOC3"/>
        <w:tabs>
          <w:tab w:val="right" w:leader="dot" w:pos="9350"/>
        </w:tabs>
        <w:rPr>
          <w:noProof/>
        </w:rPr>
      </w:pPr>
      <w:hyperlink w:anchor="_Toc213759713" w:history="1">
        <w:r w:rsidRPr="00123AFC">
          <w:rPr>
            <w:rStyle w:val="Hyperlink"/>
            <w:noProof/>
          </w:rPr>
          <w:t>3.2.1 Inventory Management</w:t>
        </w:r>
        <w:r>
          <w:rPr>
            <w:noProof/>
            <w:webHidden/>
          </w:rPr>
          <w:tab/>
        </w:r>
        <w:r>
          <w:rPr>
            <w:noProof/>
            <w:webHidden/>
          </w:rPr>
          <w:fldChar w:fldCharType="begin"/>
        </w:r>
        <w:r>
          <w:rPr>
            <w:noProof/>
            <w:webHidden/>
          </w:rPr>
          <w:instrText xml:space="preserve"> PAGEREF _Toc213759713 \h </w:instrText>
        </w:r>
        <w:r>
          <w:rPr>
            <w:noProof/>
            <w:webHidden/>
          </w:rPr>
        </w:r>
        <w:r>
          <w:rPr>
            <w:noProof/>
            <w:webHidden/>
          </w:rPr>
          <w:fldChar w:fldCharType="separate"/>
        </w:r>
        <w:r>
          <w:rPr>
            <w:noProof/>
            <w:webHidden/>
          </w:rPr>
          <w:t>15</w:t>
        </w:r>
        <w:r>
          <w:rPr>
            <w:noProof/>
            <w:webHidden/>
          </w:rPr>
          <w:fldChar w:fldCharType="end"/>
        </w:r>
      </w:hyperlink>
    </w:p>
    <w:p w14:paraId="7789B2A8" w14:textId="13E78AD7" w:rsidR="00027741" w:rsidRDefault="00027741">
      <w:pPr>
        <w:pStyle w:val="TOC3"/>
        <w:tabs>
          <w:tab w:val="right" w:leader="dot" w:pos="9350"/>
        </w:tabs>
        <w:rPr>
          <w:noProof/>
        </w:rPr>
      </w:pPr>
      <w:hyperlink w:anchor="_Toc213759714" w:history="1">
        <w:r w:rsidRPr="00123AFC">
          <w:rPr>
            <w:rStyle w:val="Hyperlink"/>
            <w:noProof/>
          </w:rPr>
          <w:t>3.2.2 Accounts Receivable Management</w:t>
        </w:r>
        <w:r>
          <w:rPr>
            <w:noProof/>
            <w:webHidden/>
          </w:rPr>
          <w:tab/>
        </w:r>
        <w:r>
          <w:rPr>
            <w:noProof/>
            <w:webHidden/>
          </w:rPr>
          <w:fldChar w:fldCharType="begin"/>
        </w:r>
        <w:r>
          <w:rPr>
            <w:noProof/>
            <w:webHidden/>
          </w:rPr>
          <w:instrText xml:space="preserve"> PAGEREF _Toc213759714 \h </w:instrText>
        </w:r>
        <w:r>
          <w:rPr>
            <w:noProof/>
            <w:webHidden/>
          </w:rPr>
        </w:r>
        <w:r>
          <w:rPr>
            <w:noProof/>
            <w:webHidden/>
          </w:rPr>
          <w:fldChar w:fldCharType="separate"/>
        </w:r>
        <w:r>
          <w:rPr>
            <w:noProof/>
            <w:webHidden/>
          </w:rPr>
          <w:t>16</w:t>
        </w:r>
        <w:r>
          <w:rPr>
            <w:noProof/>
            <w:webHidden/>
          </w:rPr>
          <w:fldChar w:fldCharType="end"/>
        </w:r>
      </w:hyperlink>
    </w:p>
    <w:p w14:paraId="7897CA31" w14:textId="3639B253" w:rsidR="00027741" w:rsidRDefault="00027741">
      <w:pPr>
        <w:pStyle w:val="TOC3"/>
        <w:tabs>
          <w:tab w:val="right" w:leader="dot" w:pos="9350"/>
        </w:tabs>
        <w:rPr>
          <w:noProof/>
        </w:rPr>
      </w:pPr>
      <w:hyperlink w:anchor="_Toc213759715" w:history="1">
        <w:r w:rsidRPr="00123AFC">
          <w:rPr>
            <w:rStyle w:val="Hyperlink"/>
            <w:noProof/>
          </w:rPr>
          <w:t>3.2.3 Accounts Payable Management</w:t>
        </w:r>
        <w:r>
          <w:rPr>
            <w:noProof/>
            <w:webHidden/>
          </w:rPr>
          <w:tab/>
        </w:r>
        <w:r>
          <w:rPr>
            <w:noProof/>
            <w:webHidden/>
          </w:rPr>
          <w:fldChar w:fldCharType="begin"/>
        </w:r>
        <w:r>
          <w:rPr>
            <w:noProof/>
            <w:webHidden/>
          </w:rPr>
          <w:instrText xml:space="preserve"> PAGEREF _Toc213759715 \h </w:instrText>
        </w:r>
        <w:r>
          <w:rPr>
            <w:noProof/>
            <w:webHidden/>
          </w:rPr>
        </w:r>
        <w:r>
          <w:rPr>
            <w:noProof/>
            <w:webHidden/>
          </w:rPr>
          <w:fldChar w:fldCharType="separate"/>
        </w:r>
        <w:r>
          <w:rPr>
            <w:noProof/>
            <w:webHidden/>
          </w:rPr>
          <w:t>16</w:t>
        </w:r>
        <w:r>
          <w:rPr>
            <w:noProof/>
            <w:webHidden/>
          </w:rPr>
          <w:fldChar w:fldCharType="end"/>
        </w:r>
      </w:hyperlink>
    </w:p>
    <w:p w14:paraId="7234C10B" w14:textId="5BF87144" w:rsidR="00027741" w:rsidRDefault="00027741">
      <w:pPr>
        <w:pStyle w:val="TOC2"/>
        <w:tabs>
          <w:tab w:val="right" w:leader="dot" w:pos="9350"/>
        </w:tabs>
        <w:rPr>
          <w:noProof/>
        </w:rPr>
      </w:pPr>
      <w:hyperlink w:anchor="_Toc213759716" w:history="1">
        <w:r w:rsidRPr="00123AFC">
          <w:rPr>
            <w:rStyle w:val="Hyperlink"/>
            <w:noProof/>
          </w:rPr>
          <w:t>3.3 Evaluation of Short-Term vs. Long-Term Financing Options</w:t>
        </w:r>
        <w:r>
          <w:rPr>
            <w:noProof/>
            <w:webHidden/>
          </w:rPr>
          <w:tab/>
        </w:r>
        <w:r>
          <w:rPr>
            <w:noProof/>
            <w:webHidden/>
          </w:rPr>
          <w:fldChar w:fldCharType="begin"/>
        </w:r>
        <w:r>
          <w:rPr>
            <w:noProof/>
            <w:webHidden/>
          </w:rPr>
          <w:instrText xml:space="preserve"> PAGEREF _Toc213759716 \h </w:instrText>
        </w:r>
        <w:r>
          <w:rPr>
            <w:noProof/>
            <w:webHidden/>
          </w:rPr>
        </w:r>
        <w:r>
          <w:rPr>
            <w:noProof/>
            <w:webHidden/>
          </w:rPr>
          <w:fldChar w:fldCharType="separate"/>
        </w:r>
        <w:r>
          <w:rPr>
            <w:noProof/>
            <w:webHidden/>
          </w:rPr>
          <w:t>16</w:t>
        </w:r>
        <w:r>
          <w:rPr>
            <w:noProof/>
            <w:webHidden/>
          </w:rPr>
          <w:fldChar w:fldCharType="end"/>
        </w:r>
      </w:hyperlink>
    </w:p>
    <w:p w14:paraId="6CDEBDF3" w14:textId="55B8889E" w:rsidR="00027741" w:rsidRDefault="00027741">
      <w:pPr>
        <w:pStyle w:val="TOC3"/>
        <w:tabs>
          <w:tab w:val="right" w:leader="dot" w:pos="9350"/>
        </w:tabs>
        <w:rPr>
          <w:noProof/>
        </w:rPr>
      </w:pPr>
      <w:hyperlink w:anchor="_Toc213759717" w:history="1">
        <w:r w:rsidRPr="00123AFC">
          <w:rPr>
            <w:rStyle w:val="Hyperlink"/>
            <w:noProof/>
          </w:rPr>
          <w:t>3.3.1 Suitability of Short-Term Options</w:t>
        </w:r>
        <w:r>
          <w:rPr>
            <w:noProof/>
            <w:webHidden/>
          </w:rPr>
          <w:tab/>
        </w:r>
        <w:r>
          <w:rPr>
            <w:noProof/>
            <w:webHidden/>
          </w:rPr>
          <w:fldChar w:fldCharType="begin"/>
        </w:r>
        <w:r>
          <w:rPr>
            <w:noProof/>
            <w:webHidden/>
          </w:rPr>
          <w:instrText xml:space="preserve"> PAGEREF _Toc213759717 \h </w:instrText>
        </w:r>
        <w:r>
          <w:rPr>
            <w:noProof/>
            <w:webHidden/>
          </w:rPr>
        </w:r>
        <w:r>
          <w:rPr>
            <w:noProof/>
            <w:webHidden/>
          </w:rPr>
          <w:fldChar w:fldCharType="separate"/>
        </w:r>
        <w:r>
          <w:rPr>
            <w:noProof/>
            <w:webHidden/>
          </w:rPr>
          <w:t>16</w:t>
        </w:r>
        <w:r>
          <w:rPr>
            <w:noProof/>
            <w:webHidden/>
          </w:rPr>
          <w:fldChar w:fldCharType="end"/>
        </w:r>
      </w:hyperlink>
    </w:p>
    <w:p w14:paraId="382A1654" w14:textId="61A11E48" w:rsidR="00027741" w:rsidRDefault="00027741">
      <w:pPr>
        <w:pStyle w:val="TOC3"/>
        <w:tabs>
          <w:tab w:val="right" w:leader="dot" w:pos="9350"/>
        </w:tabs>
        <w:rPr>
          <w:noProof/>
        </w:rPr>
      </w:pPr>
      <w:hyperlink w:anchor="_Toc213759718" w:history="1">
        <w:r w:rsidRPr="00123AFC">
          <w:rPr>
            <w:rStyle w:val="Hyperlink"/>
            <w:noProof/>
          </w:rPr>
          <w:t>3.3.2 Suitability of Long-Term Options</w:t>
        </w:r>
        <w:r>
          <w:rPr>
            <w:noProof/>
            <w:webHidden/>
          </w:rPr>
          <w:tab/>
        </w:r>
        <w:r>
          <w:rPr>
            <w:noProof/>
            <w:webHidden/>
          </w:rPr>
          <w:fldChar w:fldCharType="begin"/>
        </w:r>
        <w:r>
          <w:rPr>
            <w:noProof/>
            <w:webHidden/>
          </w:rPr>
          <w:instrText xml:space="preserve"> PAGEREF _Toc213759718 \h </w:instrText>
        </w:r>
        <w:r>
          <w:rPr>
            <w:noProof/>
            <w:webHidden/>
          </w:rPr>
        </w:r>
        <w:r>
          <w:rPr>
            <w:noProof/>
            <w:webHidden/>
          </w:rPr>
          <w:fldChar w:fldCharType="separate"/>
        </w:r>
        <w:r>
          <w:rPr>
            <w:noProof/>
            <w:webHidden/>
          </w:rPr>
          <w:t>17</w:t>
        </w:r>
        <w:r>
          <w:rPr>
            <w:noProof/>
            <w:webHidden/>
          </w:rPr>
          <w:fldChar w:fldCharType="end"/>
        </w:r>
      </w:hyperlink>
    </w:p>
    <w:p w14:paraId="41A76284" w14:textId="1A89DC5F" w:rsidR="00027741" w:rsidRDefault="00027741">
      <w:pPr>
        <w:pStyle w:val="TOC3"/>
        <w:tabs>
          <w:tab w:val="right" w:leader="dot" w:pos="9350"/>
        </w:tabs>
        <w:rPr>
          <w:noProof/>
        </w:rPr>
      </w:pPr>
      <w:hyperlink w:anchor="_Toc213759719" w:history="1">
        <w:r w:rsidRPr="00123AFC">
          <w:rPr>
            <w:rStyle w:val="Hyperlink"/>
            <w:noProof/>
          </w:rPr>
          <w:t>3.3.3 Recommendation on Financing the Working Capital Deficit</w:t>
        </w:r>
        <w:r>
          <w:rPr>
            <w:noProof/>
            <w:webHidden/>
          </w:rPr>
          <w:tab/>
        </w:r>
        <w:r>
          <w:rPr>
            <w:noProof/>
            <w:webHidden/>
          </w:rPr>
          <w:fldChar w:fldCharType="begin"/>
        </w:r>
        <w:r>
          <w:rPr>
            <w:noProof/>
            <w:webHidden/>
          </w:rPr>
          <w:instrText xml:space="preserve"> PAGEREF _Toc213759719 \h </w:instrText>
        </w:r>
        <w:r>
          <w:rPr>
            <w:noProof/>
            <w:webHidden/>
          </w:rPr>
        </w:r>
        <w:r>
          <w:rPr>
            <w:noProof/>
            <w:webHidden/>
          </w:rPr>
          <w:fldChar w:fldCharType="separate"/>
        </w:r>
        <w:r>
          <w:rPr>
            <w:noProof/>
            <w:webHidden/>
          </w:rPr>
          <w:t>17</w:t>
        </w:r>
        <w:r>
          <w:rPr>
            <w:noProof/>
            <w:webHidden/>
          </w:rPr>
          <w:fldChar w:fldCharType="end"/>
        </w:r>
      </w:hyperlink>
    </w:p>
    <w:p w14:paraId="4D7B3F2A" w14:textId="27D677A9" w:rsidR="00027741" w:rsidRDefault="00027741">
      <w:pPr>
        <w:pStyle w:val="TOC1"/>
        <w:tabs>
          <w:tab w:val="right" w:leader="dot" w:pos="9350"/>
        </w:tabs>
        <w:rPr>
          <w:noProof/>
        </w:rPr>
      </w:pPr>
      <w:hyperlink w:anchor="_Toc213759720" w:history="1">
        <w:r w:rsidRPr="00123AFC">
          <w:rPr>
            <w:rStyle w:val="Hyperlink"/>
            <w:noProof/>
          </w:rPr>
          <w:t>4.0 Strategic Financial Restructuring Plan</w:t>
        </w:r>
        <w:r>
          <w:rPr>
            <w:noProof/>
            <w:webHidden/>
          </w:rPr>
          <w:tab/>
        </w:r>
        <w:r>
          <w:rPr>
            <w:noProof/>
            <w:webHidden/>
          </w:rPr>
          <w:fldChar w:fldCharType="begin"/>
        </w:r>
        <w:r>
          <w:rPr>
            <w:noProof/>
            <w:webHidden/>
          </w:rPr>
          <w:instrText xml:space="preserve"> PAGEREF _Toc213759720 \h </w:instrText>
        </w:r>
        <w:r>
          <w:rPr>
            <w:noProof/>
            <w:webHidden/>
          </w:rPr>
        </w:r>
        <w:r>
          <w:rPr>
            <w:noProof/>
            <w:webHidden/>
          </w:rPr>
          <w:fldChar w:fldCharType="separate"/>
        </w:r>
        <w:r>
          <w:rPr>
            <w:noProof/>
            <w:webHidden/>
          </w:rPr>
          <w:t>17</w:t>
        </w:r>
        <w:r>
          <w:rPr>
            <w:noProof/>
            <w:webHidden/>
          </w:rPr>
          <w:fldChar w:fldCharType="end"/>
        </w:r>
      </w:hyperlink>
    </w:p>
    <w:p w14:paraId="0C33069A" w14:textId="288BECBB" w:rsidR="00027741" w:rsidRDefault="00027741">
      <w:pPr>
        <w:pStyle w:val="TOC2"/>
        <w:tabs>
          <w:tab w:val="right" w:leader="dot" w:pos="9350"/>
        </w:tabs>
        <w:rPr>
          <w:noProof/>
        </w:rPr>
      </w:pPr>
      <w:hyperlink w:anchor="_Toc213759721" w:history="1">
        <w:r w:rsidRPr="00123AFC">
          <w:rPr>
            <w:rStyle w:val="Hyperlink"/>
            <w:noProof/>
          </w:rPr>
          <w:t>4.1 The Case for Radical Financial Restructuring</w:t>
        </w:r>
        <w:r>
          <w:rPr>
            <w:noProof/>
            <w:webHidden/>
          </w:rPr>
          <w:tab/>
        </w:r>
        <w:r>
          <w:rPr>
            <w:noProof/>
            <w:webHidden/>
          </w:rPr>
          <w:fldChar w:fldCharType="begin"/>
        </w:r>
        <w:r>
          <w:rPr>
            <w:noProof/>
            <w:webHidden/>
          </w:rPr>
          <w:instrText xml:space="preserve"> PAGEREF _Toc213759721 \h </w:instrText>
        </w:r>
        <w:r>
          <w:rPr>
            <w:noProof/>
            <w:webHidden/>
          </w:rPr>
        </w:r>
        <w:r>
          <w:rPr>
            <w:noProof/>
            <w:webHidden/>
          </w:rPr>
          <w:fldChar w:fldCharType="separate"/>
        </w:r>
        <w:r>
          <w:rPr>
            <w:noProof/>
            <w:webHidden/>
          </w:rPr>
          <w:t>17</w:t>
        </w:r>
        <w:r>
          <w:rPr>
            <w:noProof/>
            <w:webHidden/>
          </w:rPr>
          <w:fldChar w:fldCharType="end"/>
        </w:r>
      </w:hyperlink>
    </w:p>
    <w:p w14:paraId="1C90FB58" w14:textId="6F747DD8" w:rsidR="00027741" w:rsidRDefault="00027741">
      <w:pPr>
        <w:pStyle w:val="TOC2"/>
        <w:tabs>
          <w:tab w:val="right" w:leader="dot" w:pos="9350"/>
        </w:tabs>
        <w:rPr>
          <w:noProof/>
        </w:rPr>
      </w:pPr>
      <w:hyperlink w:anchor="_Toc213759722" w:history="1">
        <w:r w:rsidRPr="00123AFC">
          <w:rPr>
            <w:rStyle w:val="Hyperlink"/>
            <w:noProof/>
          </w:rPr>
          <w:t>4.2 Critical Evaluation of Restructuring Options</w:t>
        </w:r>
        <w:r>
          <w:rPr>
            <w:noProof/>
            <w:webHidden/>
          </w:rPr>
          <w:tab/>
        </w:r>
        <w:r>
          <w:rPr>
            <w:noProof/>
            <w:webHidden/>
          </w:rPr>
          <w:fldChar w:fldCharType="begin"/>
        </w:r>
        <w:r>
          <w:rPr>
            <w:noProof/>
            <w:webHidden/>
          </w:rPr>
          <w:instrText xml:space="preserve"> PAGEREF _Toc213759722 \h </w:instrText>
        </w:r>
        <w:r>
          <w:rPr>
            <w:noProof/>
            <w:webHidden/>
          </w:rPr>
        </w:r>
        <w:r>
          <w:rPr>
            <w:noProof/>
            <w:webHidden/>
          </w:rPr>
          <w:fldChar w:fldCharType="separate"/>
        </w:r>
        <w:r>
          <w:rPr>
            <w:noProof/>
            <w:webHidden/>
          </w:rPr>
          <w:t>18</w:t>
        </w:r>
        <w:r>
          <w:rPr>
            <w:noProof/>
            <w:webHidden/>
          </w:rPr>
          <w:fldChar w:fldCharType="end"/>
        </w:r>
      </w:hyperlink>
    </w:p>
    <w:p w14:paraId="010717B2" w14:textId="4D50CA2B" w:rsidR="00027741" w:rsidRDefault="00027741">
      <w:pPr>
        <w:pStyle w:val="TOC3"/>
        <w:tabs>
          <w:tab w:val="right" w:leader="dot" w:pos="9350"/>
        </w:tabs>
        <w:rPr>
          <w:noProof/>
        </w:rPr>
      </w:pPr>
      <w:hyperlink w:anchor="_Toc213759723" w:history="1">
        <w:r w:rsidRPr="00123AFC">
          <w:rPr>
            <w:rStyle w:val="Hyperlink"/>
            <w:noProof/>
          </w:rPr>
          <w:t>4.2.1 Option 1: Divestiture</w:t>
        </w:r>
        <w:r>
          <w:rPr>
            <w:noProof/>
            <w:webHidden/>
          </w:rPr>
          <w:tab/>
        </w:r>
        <w:r>
          <w:rPr>
            <w:noProof/>
            <w:webHidden/>
          </w:rPr>
          <w:fldChar w:fldCharType="begin"/>
        </w:r>
        <w:r>
          <w:rPr>
            <w:noProof/>
            <w:webHidden/>
          </w:rPr>
          <w:instrText xml:space="preserve"> PAGEREF _Toc213759723 \h </w:instrText>
        </w:r>
        <w:r>
          <w:rPr>
            <w:noProof/>
            <w:webHidden/>
          </w:rPr>
        </w:r>
        <w:r>
          <w:rPr>
            <w:noProof/>
            <w:webHidden/>
          </w:rPr>
          <w:fldChar w:fldCharType="separate"/>
        </w:r>
        <w:r>
          <w:rPr>
            <w:noProof/>
            <w:webHidden/>
          </w:rPr>
          <w:t>18</w:t>
        </w:r>
        <w:r>
          <w:rPr>
            <w:noProof/>
            <w:webHidden/>
          </w:rPr>
          <w:fldChar w:fldCharType="end"/>
        </w:r>
      </w:hyperlink>
    </w:p>
    <w:p w14:paraId="0824A809" w14:textId="191B1108" w:rsidR="00027741" w:rsidRDefault="00027741">
      <w:pPr>
        <w:pStyle w:val="TOC3"/>
        <w:tabs>
          <w:tab w:val="right" w:leader="dot" w:pos="9350"/>
        </w:tabs>
        <w:rPr>
          <w:noProof/>
        </w:rPr>
      </w:pPr>
      <w:hyperlink w:anchor="_Toc213759724" w:history="1">
        <w:r w:rsidRPr="00123AFC">
          <w:rPr>
            <w:rStyle w:val="Hyperlink"/>
            <w:noProof/>
          </w:rPr>
          <w:t>4.2.2 Option 2: Merger or Strategic Acquisition (M&amp;A)</w:t>
        </w:r>
        <w:r>
          <w:rPr>
            <w:noProof/>
            <w:webHidden/>
          </w:rPr>
          <w:tab/>
        </w:r>
        <w:r>
          <w:rPr>
            <w:noProof/>
            <w:webHidden/>
          </w:rPr>
          <w:fldChar w:fldCharType="begin"/>
        </w:r>
        <w:r>
          <w:rPr>
            <w:noProof/>
            <w:webHidden/>
          </w:rPr>
          <w:instrText xml:space="preserve"> PAGEREF _Toc213759724 \h </w:instrText>
        </w:r>
        <w:r>
          <w:rPr>
            <w:noProof/>
            <w:webHidden/>
          </w:rPr>
        </w:r>
        <w:r>
          <w:rPr>
            <w:noProof/>
            <w:webHidden/>
          </w:rPr>
          <w:fldChar w:fldCharType="separate"/>
        </w:r>
        <w:r>
          <w:rPr>
            <w:noProof/>
            <w:webHidden/>
          </w:rPr>
          <w:t>18</w:t>
        </w:r>
        <w:r>
          <w:rPr>
            <w:noProof/>
            <w:webHidden/>
          </w:rPr>
          <w:fldChar w:fldCharType="end"/>
        </w:r>
      </w:hyperlink>
    </w:p>
    <w:p w14:paraId="014F26BC" w14:textId="11EA2F3B" w:rsidR="00027741" w:rsidRDefault="00027741">
      <w:pPr>
        <w:pStyle w:val="TOC3"/>
        <w:tabs>
          <w:tab w:val="right" w:leader="dot" w:pos="9350"/>
        </w:tabs>
        <w:rPr>
          <w:noProof/>
        </w:rPr>
      </w:pPr>
      <w:hyperlink w:anchor="_Toc213759725" w:history="1">
        <w:r w:rsidRPr="00123AFC">
          <w:rPr>
            <w:rStyle w:val="Hyperlink"/>
            <w:noProof/>
          </w:rPr>
          <w:t>4.2.3 Option 3: New Equity Injection</w:t>
        </w:r>
        <w:r>
          <w:rPr>
            <w:noProof/>
            <w:webHidden/>
          </w:rPr>
          <w:tab/>
        </w:r>
        <w:r>
          <w:rPr>
            <w:noProof/>
            <w:webHidden/>
          </w:rPr>
          <w:fldChar w:fldCharType="begin"/>
        </w:r>
        <w:r>
          <w:rPr>
            <w:noProof/>
            <w:webHidden/>
          </w:rPr>
          <w:instrText xml:space="preserve"> PAGEREF _Toc213759725 \h </w:instrText>
        </w:r>
        <w:r>
          <w:rPr>
            <w:noProof/>
            <w:webHidden/>
          </w:rPr>
        </w:r>
        <w:r>
          <w:rPr>
            <w:noProof/>
            <w:webHidden/>
          </w:rPr>
          <w:fldChar w:fldCharType="separate"/>
        </w:r>
        <w:r>
          <w:rPr>
            <w:noProof/>
            <w:webHidden/>
          </w:rPr>
          <w:t>18</w:t>
        </w:r>
        <w:r>
          <w:rPr>
            <w:noProof/>
            <w:webHidden/>
          </w:rPr>
          <w:fldChar w:fldCharType="end"/>
        </w:r>
      </w:hyperlink>
    </w:p>
    <w:p w14:paraId="548DA185" w14:textId="21E33E77" w:rsidR="00027741" w:rsidRDefault="00027741">
      <w:pPr>
        <w:pStyle w:val="TOC3"/>
        <w:tabs>
          <w:tab w:val="right" w:leader="dot" w:pos="9350"/>
        </w:tabs>
        <w:rPr>
          <w:noProof/>
        </w:rPr>
      </w:pPr>
      <w:hyperlink w:anchor="_Toc213759726" w:history="1">
        <w:r w:rsidRPr="00123AFC">
          <w:rPr>
            <w:rStyle w:val="Hyperlink"/>
            <w:noProof/>
          </w:rPr>
          <w:t>4.2.4 Option 4: Debt Restructuring</w:t>
        </w:r>
        <w:r>
          <w:rPr>
            <w:noProof/>
            <w:webHidden/>
          </w:rPr>
          <w:tab/>
        </w:r>
        <w:r>
          <w:rPr>
            <w:noProof/>
            <w:webHidden/>
          </w:rPr>
          <w:fldChar w:fldCharType="begin"/>
        </w:r>
        <w:r>
          <w:rPr>
            <w:noProof/>
            <w:webHidden/>
          </w:rPr>
          <w:instrText xml:space="preserve"> PAGEREF _Toc213759726 \h </w:instrText>
        </w:r>
        <w:r>
          <w:rPr>
            <w:noProof/>
            <w:webHidden/>
          </w:rPr>
        </w:r>
        <w:r>
          <w:rPr>
            <w:noProof/>
            <w:webHidden/>
          </w:rPr>
          <w:fldChar w:fldCharType="separate"/>
        </w:r>
        <w:r>
          <w:rPr>
            <w:noProof/>
            <w:webHidden/>
          </w:rPr>
          <w:t>19</w:t>
        </w:r>
        <w:r>
          <w:rPr>
            <w:noProof/>
            <w:webHidden/>
          </w:rPr>
          <w:fldChar w:fldCharType="end"/>
        </w:r>
      </w:hyperlink>
    </w:p>
    <w:p w14:paraId="587A5BBF" w14:textId="4CDB078B" w:rsidR="00027741" w:rsidRDefault="00027741">
      <w:pPr>
        <w:pStyle w:val="TOC2"/>
        <w:tabs>
          <w:tab w:val="right" w:leader="dot" w:pos="9350"/>
        </w:tabs>
        <w:rPr>
          <w:noProof/>
        </w:rPr>
      </w:pPr>
      <w:hyperlink w:anchor="_Toc213759727" w:history="1">
        <w:r w:rsidRPr="00123AFC">
          <w:rPr>
            <w:rStyle w:val="Hyperlink"/>
            <w:noProof/>
          </w:rPr>
          <w:t>4.3 The Proposed Restructuring Strategy</w:t>
        </w:r>
        <w:r>
          <w:rPr>
            <w:noProof/>
            <w:webHidden/>
          </w:rPr>
          <w:tab/>
        </w:r>
        <w:r>
          <w:rPr>
            <w:noProof/>
            <w:webHidden/>
          </w:rPr>
          <w:fldChar w:fldCharType="begin"/>
        </w:r>
        <w:r>
          <w:rPr>
            <w:noProof/>
            <w:webHidden/>
          </w:rPr>
          <w:instrText xml:space="preserve"> PAGEREF _Toc213759727 \h </w:instrText>
        </w:r>
        <w:r>
          <w:rPr>
            <w:noProof/>
            <w:webHidden/>
          </w:rPr>
        </w:r>
        <w:r>
          <w:rPr>
            <w:noProof/>
            <w:webHidden/>
          </w:rPr>
          <w:fldChar w:fldCharType="separate"/>
        </w:r>
        <w:r>
          <w:rPr>
            <w:noProof/>
            <w:webHidden/>
          </w:rPr>
          <w:t>19</w:t>
        </w:r>
        <w:r>
          <w:rPr>
            <w:noProof/>
            <w:webHidden/>
          </w:rPr>
          <w:fldChar w:fldCharType="end"/>
        </w:r>
      </w:hyperlink>
    </w:p>
    <w:p w14:paraId="691E95B6" w14:textId="4CF93649" w:rsidR="00027741" w:rsidRDefault="00027741">
      <w:pPr>
        <w:pStyle w:val="TOC3"/>
        <w:tabs>
          <w:tab w:val="right" w:leader="dot" w:pos="9350"/>
        </w:tabs>
        <w:rPr>
          <w:noProof/>
        </w:rPr>
      </w:pPr>
      <w:hyperlink w:anchor="_Toc213759728" w:history="1">
        <w:r w:rsidRPr="00123AFC">
          <w:rPr>
            <w:rStyle w:val="Hyperlink"/>
            <w:noProof/>
          </w:rPr>
          <w:t>4.3.1 Projected Impact on Shareholder Value</w:t>
        </w:r>
        <w:r>
          <w:rPr>
            <w:noProof/>
            <w:webHidden/>
          </w:rPr>
          <w:tab/>
        </w:r>
        <w:r>
          <w:rPr>
            <w:noProof/>
            <w:webHidden/>
          </w:rPr>
          <w:fldChar w:fldCharType="begin"/>
        </w:r>
        <w:r>
          <w:rPr>
            <w:noProof/>
            <w:webHidden/>
          </w:rPr>
          <w:instrText xml:space="preserve"> PAGEREF _Toc213759728 \h </w:instrText>
        </w:r>
        <w:r>
          <w:rPr>
            <w:noProof/>
            <w:webHidden/>
          </w:rPr>
        </w:r>
        <w:r>
          <w:rPr>
            <w:noProof/>
            <w:webHidden/>
          </w:rPr>
          <w:fldChar w:fldCharType="separate"/>
        </w:r>
        <w:r>
          <w:rPr>
            <w:noProof/>
            <w:webHidden/>
          </w:rPr>
          <w:t>19</w:t>
        </w:r>
        <w:r>
          <w:rPr>
            <w:noProof/>
            <w:webHidden/>
          </w:rPr>
          <w:fldChar w:fldCharType="end"/>
        </w:r>
      </w:hyperlink>
    </w:p>
    <w:p w14:paraId="55625376" w14:textId="7EAC4C7A" w:rsidR="00027741" w:rsidRDefault="00027741">
      <w:pPr>
        <w:pStyle w:val="TOC3"/>
        <w:tabs>
          <w:tab w:val="right" w:leader="dot" w:pos="9350"/>
        </w:tabs>
        <w:rPr>
          <w:noProof/>
        </w:rPr>
      </w:pPr>
      <w:hyperlink w:anchor="_Toc213759729" w:history="1">
        <w:r w:rsidRPr="00123AFC">
          <w:rPr>
            <w:rStyle w:val="Hyperlink"/>
            <w:noProof/>
          </w:rPr>
          <w:t>4.3.2 Projected Impact on Debt Structure and Credit Rating</w:t>
        </w:r>
        <w:r>
          <w:rPr>
            <w:noProof/>
            <w:webHidden/>
          </w:rPr>
          <w:tab/>
        </w:r>
        <w:r>
          <w:rPr>
            <w:noProof/>
            <w:webHidden/>
          </w:rPr>
          <w:fldChar w:fldCharType="begin"/>
        </w:r>
        <w:r>
          <w:rPr>
            <w:noProof/>
            <w:webHidden/>
          </w:rPr>
          <w:instrText xml:space="preserve"> PAGEREF _Toc213759729 \h </w:instrText>
        </w:r>
        <w:r>
          <w:rPr>
            <w:noProof/>
            <w:webHidden/>
          </w:rPr>
        </w:r>
        <w:r>
          <w:rPr>
            <w:noProof/>
            <w:webHidden/>
          </w:rPr>
          <w:fldChar w:fldCharType="separate"/>
        </w:r>
        <w:r>
          <w:rPr>
            <w:noProof/>
            <w:webHidden/>
          </w:rPr>
          <w:t>19</w:t>
        </w:r>
        <w:r>
          <w:rPr>
            <w:noProof/>
            <w:webHidden/>
          </w:rPr>
          <w:fldChar w:fldCharType="end"/>
        </w:r>
      </w:hyperlink>
    </w:p>
    <w:p w14:paraId="3828C8BC" w14:textId="06195BAB" w:rsidR="00027741" w:rsidRDefault="00027741">
      <w:pPr>
        <w:pStyle w:val="TOC3"/>
        <w:tabs>
          <w:tab w:val="right" w:leader="dot" w:pos="9350"/>
        </w:tabs>
        <w:rPr>
          <w:noProof/>
        </w:rPr>
      </w:pPr>
      <w:hyperlink w:anchor="_Toc213759730" w:history="1">
        <w:r w:rsidRPr="00123AFC">
          <w:rPr>
            <w:rStyle w:val="Hyperlink"/>
            <w:noProof/>
          </w:rPr>
          <w:t>4.3.3 Enhancing Operational and Strategic Flexibility</w:t>
        </w:r>
        <w:r>
          <w:rPr>
            <w:noProof/>
            <w:webHidden/>
          </w:rPr>
          <w:tab/>
        </w:r>
        <w:r>
          <w:rPr>
            <w:noProof/>
            <w:webHidden/>
          </w:rPr>
          <w:fldChar w:fldCharType="begin"/>
        </w:r>
        <w:r>
          <w:rPr>
            <w:noProof/>
            <w:webHidden/>
          </w:rPr>
          <w:instrText xml:space="preserve"> PAGEREF _Toc213759730 \h </w:instrText>
        </w:r>
        <w:r>
          <w:rPr>
            <w:noProof/>
            <w:webHidden/>
          </w:rPr>
        </w:r>
        <w:r>
          <w:rPr>
            <w:noProof/>
            <w:webHidden/>
          </w:rPr>
          <w:fldChar w:fldCharType="separate"/>
        </w:r>
        <w:r>
          <w:rPr>
            <w:noProof/>
            <w:webHidden/>
          </w:rPr>
          <w:t>19</w:t>
        </w:r>
        <w:r>
          <w:rPr>
            <w:noProof/>
            <w:webHidden/>
          </w:rPr>
          <w:fldChar w:fldCharType="end"/>
        </w:r>
      </w:hyperlink>
    </w:p>
    <w:p w14:paraId="0FA9993C" w14:textId="75C0CEEB" w:rsidR="00027741" w:rsidRDefault="00027741">
      <w:pPr>
        <w:pStyle w:val="TOC2"/>
        <w:tabs>
          <w:tab w:val="right" w:leader="dot" w:pos="9350"/>
        </w:tabs>
        <w:rPr>
          <w:noProof/>
        </w:rPr>
      </w:pPr>
      <w:hyperlink w:anchor="_Toc213759731" w:history="1">
        <w:r w:rsidRPr="00123AFC">
          <w:rPr>
            <w:rStyle w:val="Hyperlink"/>
            <w:noProof/>
          </w:rPr>
          <w:t>4.4 International and Ethical Considerations of the Strategy</w:t>
        </w:r>
        <w:r>
          <w:rPr>
            <w:noProof/>
            <w:webHidden/>
          </w:rPr>
          <w:tab/>
        </w:r>
        <w:r>
          <w:rPr>
            <w:noProof/>
            <w:webHidden/>
          </w:rPr>
          <w:fldChar w:fldCharType="begin"/>
        </w:r>
        <w:r>
          <w:rPr>
            <w:noProof/>
            <w:webHidden/>
          </w:rPr>
          <w:instrText xml:space="preserve"> PAGEREF _Toc213759731 \h </w:instrText>
        </w:r>
        <w:r>
          <w:rPr>
            <w:noProof/>
            <w:webHidden/>
          </w:rPr>
        </w:r>
        <w:r>
          <w:rPr>
            <w:noProof/>
            <w:webHidden/>
          </w:rPr>
          <w:fldChar w:fldCharType="separate"/>
        </w:r>
        <w:r>
          <w:rPr>
            <w:noProof/>
            <w:webHidden/>
          </w:rPr>
          <w:t>20</w:t>
        </w:r>
        <w:r>
          <w:rPr>
            <w:noProof/>
            <w:webHidden/>
          </w:rPr>
          <w:fldChar w:fldCharType="end"/>
        </w:r>
      </w:hyperlink>
    </w:p>
    <w:p w14:paraId="78684A77" w14:textId="79D4FA60" w:rsidR="00027741" w:rsidRDefault="00027741">
      <w:pPr>
        <w:pStyle w:val="TOC3"/>
        <w:tabs>
          <w:tab w:val="right" w:leader="dot" w:pos="9350"/>
        </w:tabs>
        <w:rPr>
          <w:noProof/>
        </w:rPr>
      </w:pPr>
      <w:hyperlink w:anchor="_Toc213759732" w:history="1">
        <w:r w:rsidRPr="00123AFC">
          <w:rPr>
            <w:rStyle w:val="Hyperlink"/>
            <w:noProof/>
          </w:rPr>
          <w:t>4.4.1 Global Financial Risks</w:t>
        </w:r>
        <w:r>
          <w:rPr>
            <w:noProof/>
            <w:webHidden/>
          </w:rPr>
          <w:tab/>
        </w:r>
        <w:r>
          <w:rPr>
            <w:noProof/>
            <w:webHidden/>
          </w:rPr>
          <w:fldChar w:fldCharType="begin"/>
        </w:r>
        <w:r>
          <w:rPr>
            <w:noProof/>
            <w:webHidden/>
          </w:rPr>
          <w:instrText xml:space="preserve"> PAGEREF _Toc213759732 \h </w:instrText>
        </w:r>
        <w:r>
          <w:rPr>
            <w:noProof/>
            <w:webHidden/>
          </w:rPr>
        </w:r>
        <w:r>
          <w:rPr>
            <w:noProof/>
            <w:webHidden/>
          </w:rPr>
          <w:fldChar w:fldCharType="separate"/>
        </w:r>
        <w:r>
          <w:rPr>
            <w:noProof/>
            <w:webHidden/>
          </w:rPr>
          <w:t>20</w:t>
        </w:r>
        <w:r>
          <w:rPr>
            <w:noProof/>
            <w:webHidden/>
          </w:rPr>
          <w:fldChar w:fldCharType="end"/>
        </w:r>
      </w:hyperlink>
    </w:p>
    <w:p w14:paraId="53FDB5DC" w14:textId="0F4165AC" w:rsidR="00027741" w:rsidRDefault="00027741">
      <w:pPr>
        <w:pStyle w:val="TOC3"/>
        <w:tabs>
          <w:tab w:val="right" w:leader="dot" w:pos="9350"/>
        </w:tabs>
        <w:rPr>
          <w:noProof/>
        </w:rPr>
      </w:pPr>
      <w:hyperlink w:anchor="_Toc213759733" w:history="1">
        <w:r w:rsidRPr="00123AFC">
          <w:rPr>
            <w:rStyle w:val="Hyperlink"/>
            <w:noProof/>
          </w:rPr>
          <w:t>4.4.2 International Taxation and Transfer Pricing Implications</w:t>
        </w:r>
        <w:r>
          <w:rPr>
            <w:noProof/>
            <w:webHidden/>
          </w:rPr>
          <w:tab/>
        </w:r>
        <w:r>
          <w:rPr>
            <w:noProof/>
            <w:webHidden/>
          </w:rPr>
          <w:fldChar w:fldCharType="begin"/>
        </w:r>
        <w:r>
          <w:rPr>
            <w:noProof/>
            <w:webHidden/>
          </w:rPr>
          <w:instrText xml:space="preserve"> PAGEREF _Toc213759733 \h </w:instrText>
        </w:r>
        <w:r>
          <w:rPr>
            <w:noProof/>
            <w:webHidden/>
          </w:rPr>
        </w:r>
        <w:r>
          <w:rPr>
            <w:noProof/>
            <w:webHidden/>
          </w:rPr>
          <w:fldChar w:fldCharType="separate"/>
        </w:r>
        <w:r>
          <w:rPr>
            <w:noProof/>
            <w:webHidden/>
          </w:rPr>
          <w:t>20</w:t>
        </w:r>
        <w:r>
          <w:rPr>
            <w:noProof/>
            <w:webHidden/>
          </w:rPr>
          <w:fldChar w:fldCharType="end"/>
        </w:r>
      </w:hyperlink>
    </w:p>
    <w:p w14:paraId="473691DD" w14:textId="2E0EE523" w:rsidR="00027741" w:rsidRDefault="00027741">
      <w:pPr>
        <w:pStyle w:val="TOC3"/>
        <w:tabs>
          <w:tab w:val="right" w:leader="dot" w:pos="9350"/>
        </w:tabs>
        <w:rPr>
          <w:noProof/>
        </w:rPr>
      </w:pPr>
      <w:hyperlink w:anchor="_Toc213759734" w:history="1">
        <w:r w:rsidRPr="00123AFC">
          <w:rPr>
            <w:rStyle w:val="Hyperlink"/>
            <w:noProof/>
          </w:rPr>
          <w:t>4.4.3 Corporate Social Responsibility (CSR) and Ethical Obligations</w:t>
        </w:r>
        <w:r>
          <w:rPr>
            <w:noProof/>
            <w:webHidden/>
          </w:rPr>
          <w:tab/>
        </w:r>
        <w:r>
          <w:rPr>
            <w:noProof/>
            <w:webHidden/>
          </w:rPr>
          <w:fldChar w:fldCharType="begin"/>
        </w:r>
        <w:r>
          <w:rPr>
            <w:noProof/>
            <w:webHidden/>
          </w:rPr>
          <w:instrText xml:space="preserve"> PAGEREF _Toc213759734 \h </w:instrText>
        </w:r>
        <w:r>
          <w:rPr>
            <w:noProof/>
            <w:webHidden/>
          </w:rPr>
        </w:r>
        <w:r>
          <w:rPr>
            <w:noProof/>
            <w:webHidden/>
          </w:rPr>
          <w:fldChar w:fldCharType="separate"/>
        </w:r>
        <w:r>
          <w:rPr>
            <w:noProof/>
            <w:webHidden/>
          </w:rPr>
          <w:t>20</w:t>
        </w:r>
        <w:r>
          <w:rPr>
            <w:noProof/>
            <w:webHidden/>
          </w:rPr>
          <w:fldChar w:fldCharType="end"/>
        </w:r>
      </w:hyperlink>
    </w:p>
    <w:p w14:paraId="13869611" w14:textId="2D29F349" w:rsidR="00027741" w:rsidRDefault="00027741">
      <w:pPr>
        <w:pStyle w:val="TOC1"/>
        <w:tabs>
          <w:tab w:val="right" w:leader="dot" w:pos="9350"/>
        </w:tabs>
        <w:rPr>
          <w:noProof/>
        </w:rPr>
      </w:pPr>
      <w:hyperlink w:anchor="_Toc213759735" w:history="1">
        <w:r w:rsidRPr="00123AFC">
          <w:rPr>
            <w:rStyle w:val="Hyperlink"/>
            <w:noProof/>
          </w:rPr>
          <w:t>5.0 Investment Appraisal and Capital Budgeting</w:t>
        </w:r>
        <w:r>
          <w:rPr>
            <w:noProof/>
            <w:webHidden/>
          </w:rPr>
          <w:tab/>
        </w:r>
        <w:r>
          <w:rPr>
            <w:noProof/>
            <w:webHidden/>
          </w:rPr>
          <w:fldChar w:fldCharType="begin"/>
        </w:r>
        <w:r>
          <w:rPr>
            <w:noProof/>
            <w:webHidden/>
          </w:rPr>
          <w:instrText xml:space="preserve"> PAGEREF _Toc213759735 \h </w:instrText>
        </w:r>
        <w:r>
          <w:rPr>
            <w:noProof/>
            <w:webHidden/>
          </w:rPr>
        </w:r>
        <w:r>
          <w:rPr>
            <w:noProof/>
            <w:webHidden/>
          </w:rPr>
          <w:fldChar w:fldCharType="separate"/>
        </w:r>
        <w:r>
          <w:rPr>
            <w:noProof/>
            <w:webHidden/>
          </w:rPr>
          <w:t>21</w:t>
        </w:r>
        <w:r>
          <w:rPr>
            <w:noProof/>
            <w:webHidden/>
          </w:rPr>
          <w:fldChar w:fldCharType="end"/>
        </w:r>
      </w:hyperlink>
    </w:p>
    <w:p w14:paraId="2D37C84B" w14:textId="19C732EB" w:rsidR="00027741" w:rsidRDefault="00027741">
      <w:pPr>
        <w:pStyle w:val="TOC2"/>
        <w:tabs>
          <w:tab w:val="right" w:leader="dot" w:pos="9350"/>
        </w:tabs>
        <w:rPr>
          <w:noProof/>
        </w:rPr>
      </w:pPr>
      <w:hyperlink w:anchor="_Toc213759736" w:history="1">
        <w:r w:rsidRPr="00123AFC">
          <w:rPr>
            <w:rStyle w:val="Hyperlink"/>
            <w:noProof/>
          </w:rPr>
          <w:t>5.1 Introduction to the Proposed Investment Projects</w:t>
        </w:r>
        <w:r>
          <w:rPr>
            <w:noProof/>
            <w:webHidden/>
          </w:rPr>
          <w:tab/>
        </w:r>
        <w:r>
          <w:rPr>
            <w:noProof/>
            <w:webHidden/>
          </w:rPr>
          <w:fldChar w:fldCharType="begin"/>
        </w:r>
        <w:r>
          <w:rPr>
            <w:noProof/>
            <w:webHidden/>
          </w:rPr>
          <w:instrText xml:space="preserve"> PAGEREF _Toc213759736 \h </w:instrText>
        </w:r>
        <w:r>
          <w:rPr>
            <w:noProof/>
            <w:webHidden/>
          </w:rPr>
        </w:r>
        <w:r>
          <w:rPr>
            <w:noProof/>
            <w:webHidden/>
          </w:rPr>
          <w:fldChar w:fldCharType="separate"/>
        </w:r>
        <w:r>
          <w:rPr>
            <w:noProof/>
            <w:webHidden/>
          </w:rPr>
          <w:t>21</w:t>
        </w:r>
        <w:r>
          <w:rPr>
            <w:noProof/>
            <w:webHidden/>
          </w:rPr>
          <w:fldChar w:fldCharType="end"/>
        </w:r>
      </w:hyperlink>
    </w:p>
    <w:p w14:paraId="500BAEFA" w14:textId="6B981601" w:rsidR="00027741" w:rsidRDefault="00027741">
      <w:pPr>
        <w:pStyle w:val="TOC2"/>
        <w:tabs>
          <w:tab w:val="right" w:leader="dot" w:pos="9350"/>
        </w:tabs>
        <w:rPr>
          <w:noProof/>
        </w:rPr>
      </w:pPr>
      <w:hyperlink w:anchor="_Toc213759737" w:history="1">
        <w:r w:rsidRPr="00123AFC">
          <w:rPr>
            <w:rStyle w:val="Hyperlink"/>
            <w:noProof/>
          </w:rPr>
          <w:t>5.3 Project Evaluation: Non-Discounted Cash Flow Methods</w:t>
        </w:r>
        <w:r>
          <w:rPr>
            <w:noProof/>
            <w:webHidden/>
          </w:rPr>
          <w:tab/>
        </w:r>
        <w:r>
          <w:rPr>
            <w:noProof/>
            <w:webHidden/>
          </w:rPr>
          <w:fldChar w:fldCharType="begin"/>
        </w:r>
        <w:r>
          <w:rPr>
            <w:noProof/>
            <w:webHidden/>
          </w:rPr>
          <w:instrText xml:space="preserve"> PAGEREF _Toc213759737 \h </w:instrText>
        </w:r>
        <w:r>
          <w:rPr>
            <w:noProof/>
            <w:webHidden/>
          </w:rPr>
        </w:r>
        <w:r>
          <w:rPr>
            <w:noProof/>
            <w:webHidden/>
          </w:rPr>
          <w:fldChar w:fldCharType="separate"/>
        </w:r>
        <w:r>
          <w:rPr>
            <w:noProof/>
            <w:webHidden/>
          </w:rPr>
          <w:t>22</w:t>
        </w:r>
        <w:r>
          <w:rPr>
            <w:noProof/>
            <w:webHidden/>
          </w:rPr>
          <w:fldChar w:fldCharType="end"/>
        </w:r>
      </w:hyperlink>
    </w:p>
    <w:p w14:paraId="6B447C77" w14:textId="5AA01099" w:rsidR="00027741" w:rsidRDefault="00027741">
      <w:pPr>
        <w:pStyle w:val="TOC3"/>
        <w:tabs>
          <w:tab w:val="right" w:leader="dot" w:pos="9350"/>
        </w:tabs>
        <w:rPr>
          <w:noProof/>
        </w:rPr>
      </w:pPr>
      <w:hyperlink w:anchor="_Toc213759738" w:history="1">
        <w:r w:rsidRPr="00123AFC">
          <w:rPr>
            <w:rStyle w:val="Hyperlink"/>
            <w:noProof/>
          </w:rPr>
          <w:t>5.3.1 Payback Period (PBP)</w:t>
        </w:r>
        <w:r>
          <w:rPr>
            <w:noProof/>
            <w:webHidden/>
          </w:rPr>
          <w:tab/>
        </w:r>
        <w:r>
          <w:rPr>
            <w:noProof/>
            <w:webHidden/>
          </w:rPr>
          <w:fldChar w:fldCharType="begin"/>
        </w:r>
        <w:r>
          <w:rPr>
            <w:noProof/>
            <w:webHidden/>
          </w:rPr>
          <w:instrText xml:space="preserve"> PAGEREF _Toc213759738 \h </w:instrText>
        </w:r>
        <w:r>
          <w:rPr>
            <w:noProof/>
            <w:webHidden/>
          </w:rPr>
        </w:r>
        <w:r>
          <w:rPr>
            <w:noProof/>
            <w:webHidden/>
          </w:rPr>
          <w:fldChar w:fldCharType="separate"/>
        </w:r>
        <w:r>
          <w:rPr>
            <w:noProof/>
            <w:webHidden/>
          </w:rPr>
          <w:t>22</w:t>
        </w:r>
        <w:r>
          <w:rPr>
            <w:noProof/>
            <w:webHidden/>
          </w:rPr>
          <w:fldChar w:fldCharType="end"/>
        </w:r>
      </w:hyperlink>
    </w:p>
    <w:p w14:paraId="3D67E4A8" w14:textId="483700A7" w:rsidR="00027741" w:rsidRDefault="00027741">
      <w:pPr>
        <w:pStyle w:val="TOC3"/>
        <w:tabs>
          <w:tab w:val="right" w:leader="dot" w:pos="9350"/>
        </w:tabs>
        <w:rPr>
          <w:noProof/>
        </w:rPr>
      </w:pPr>
      <w:hyperlink w:anchor="_Toc213759739" w:history="1">
        <w:r w:rsidRPr="00123AFC">
          <w:rPr>
            <w:rStyle w:val="Hyperlink"/>
            <w:noProof/>
          </w:rPr>
          <w:t>5.3.2 Accounting Rate of Return (ARR)</w:t>
        </w:r>
        <w:r>
          <w:rPr>
            <w:noProof/>
            <w:webHidden/>
          </w:rPr>
          <w:tab/>
        </w:r>
        <w:r>
          <w:rPr>
            <w:noProof/>
            <w:webHidden/>
          </w:rPr>
          <w:fldChar w:fldCharType="begin"/>
        </w:r>
        <w:r>
          <w:rPr>
            <w:noProof/>
            <w:webHidden/>
          </w:rPr>
          <w:instrText xml:space="preserve"> PAGEREF _Toc213759739 \h </w:instrText>
        </w:r>
        <w:r>
          <w:rPr>
            <w:noProof/>
            <w:webHidden/>
          </w:rPr>
        </w:r>
        <w:r>
          <w:rPr>
            <w:noProof/>
            <w:webHidden/>
          </w:rPr>
          <w:fldChar w:fldCharType="separate"/>
        </w:r>
        <w:r>
          <w:rPr>
            <w:noProof/>
            <w:webHidden/>
          </w:rPr>
          <w:t>23</w:t>
        </w:r>
        <w:r>
          <w:rPr>
            <w:noProof/>
            <w:webHidden/>
          </w:rPr>
          <w:fldChar w:fldCharType="end"/>
        </w:r>
      </w:hyperlink>
    </w:p>
    <w:p w14:paraId="55BBCB95" w14:textId="65297DB4" w:rsidR="00027741" w:rsidRDefault="00027741">
      <w:pPr>
        <w:pStyle w:val="TOC2"/>
        <w:tabs>
          <w:tab w:val="right" w:leader="dot" w:pos="9350"/>
        </w:tabs>
        <w:rPr>
          <w:noProof/>
        </w:rPr>
      </w:pPr>
      <w:hyperlink w:anchor="_Toc213759740" w:history="1">
        <w:r w:rsidRPr="00123AFC">
          <w:rPr>
            <w:rStyle w:val="Hyperlink"/>
            <w:noProof/>
          </w:rPr>
          <w:t>5.4 Project Evaluation: Discounted Cash Flow (DCF) Methods</w:t>
        </w:r>
        <w:r>
          <w:rPr>
            <w:noProof/>
            <w:webHidden/>
          </w:rPr>
          <w:tab/>
        </w:r>
        <w:r>
          <w:rPr>
            <w:noProof/>
            <w:webHidden/>
          </w:rPr>
          <w:fldChar w:fldCharType="begin"/>
        </w:r>
        <w:r>
          <w:rPr>
            <w:noProof/>
            <w:webHidden/>
          </w:rPr>
          <w:instrText xml:space="preserve"> PAGEREF _Toc213759740 \h </w:instrText>
        </w:r>
        <w:r>
          <w:rPr>
            <w:noProof/>
            <w:webHidden/>
          </w:rPr>
        </w:r>
        <w:r>
          <w:rPr>
            <w:noProof/>
            <w:webHidden/>
          </w:rPr>
          <w:fldChar w:fldCharType="separate"/>
        </w:r>
        <w:r>
          <w:rPr>
            <w:noProof/>
            <w:webHidden/>
          </w:rPr>
          <w:t>24</w:t>
        </w:r>
        <w:r>
          <w:rPr>
            <w:noProof/>
            <w:webHidden/>
          </w:rPr>
          <w:fldChar w:fldCharType="end"/>
        </w:r>
      </w:hyperlink>
    </w:p>
    <w:p w14:paraId="207E0911" w14:textId="761D30DF" w:rsidR="00027741" w:rsidRDefault="00027741">
      <w:pPr>
        <w:pStyle w:val="TOC3"/>
        <w:tabs>
          <w:tab w:val="right" w:leader="dot" w:pos="9350"/>
        </w:tabs>
        <w:rPr>
          <w:noProof/>
        </w:rPr>
      </w:pPr>
      <w:hyperlink w:anchor="_Toc213759741" w:history="1">
        <w:r w:rsidRPr="00123AFC">
          <w:rPr>
            <w:rStyle w:val="Hyperlink"/>
            <w:noProof/>
          </w:rPr>
          <w:t>5.4.1 Net Present Value (NPV)</w:t>
        </w:r>
        <w:r>
          <w:rPr>
            <w:noProof/>
            <w:webHidden/>
          </w:rPr>
          <w:tab/>
        </w:r>
        <w:r>
          <w:rPr>
            <w:noProof/>
            <w:webHidden/>
          </w:rPr>
          <w:fldChar w:fldCharType="begin"/>
        </w:r>
        <w:r>
          <w:rPr>
            <w:noProof/>
            <w:webHidden/>
          </w:rPr>
          <w:instrText xml:space="preserve"> PAGEREF _Toc213759741 \h </w:instrText>
        </w:r>
        <w:r>
          <w:rPr>
            <w:noProof/>
            <w:webHidden/>
          </w:rPr>
        </w:r>
        <w:r>
          <w:rPr>
            <w:noProof/>
            <w:webHidden/>
          </w:rPr>
          <w:fldChar w:fldCharType="separate"/>
        </w:r>
        <w:r>
          <w:rPr>
            <w:noProof/>
            <w:webHidden/>
          </w:rPr>
          <w:t>24</w:t>
        </w:r>
        <w:r>
          <w:rPr>
            <w:noProof/>
            <w:webHidden/>
          </w:rPr>
          <w:fldChar w:fldCharType="end"/>
        </w:r>
      </w:hyperlink>
    </w:p>
    <w:p w14:paraId="1E2EA745" w14:textId="795A8EFF" w:rsidR="00027741" w:rsidRDefault="00027741">
      <w:pPr>
        <w:pStyle w:val="TOC3"/>
        <w:tabs>
          <w:tab w:val="right" w:leader="dot" w:pos="9350"/>
        </w:tabs>
        <w:rPr>
          <w:noProof/>
        </w:rPr>
      </w:pPr>
      <w:hyperlink w:anchor="_Toc213759742" w:history="1">
        <w:r w:rsidRPr="00123AFC">
          <w:rPr>
            <w:rStyle w:val="Hyperlink"/>
            <w:noProof/>
          </w:rPr>
          <w:t>5.4.2 Internal Rate of Return (IRR)</w:t>
        </w:r>
        <w:r>
          <w:rPr>
            <w:noProof/>
            <w:webHidden/>
          </w:rPr>
          <w:tab/>
        </w:r>
        <w:r>
          <w:rPr>
            <w:noProof/>
            <w:webHidden/>
          </w:rPr>
          <w:fldChar w:fldCharType="begin"/>
        </w:r>
        <w:r>
          <w:rPr>
            <w:noProof/>
            <w:webHidden/>
          </w:rPr>
          <w:instrText xml:space="preserve"> PAGEREF _Toc213759742 \h </w:instrText>
        </w:r>
        <w:r>
          <w:rPr>
            <w:noProof/>
            <w:webHidden/>
          </w:rPr>
        </w:r>
        <w:r>
          <w:rPr>
            <w:noProof/>
            <w:webHidden/>
          </w:rPr>
          <w:fldChar w:fldCharType="separate"/>
        </w:r>
        <w:r>
          <w:rPr>
            <w:noProof/>
            <w:webHidden/>
          </w:rPr>
          <w:t>25</w:t>
        </w:r>
        <w:r>
          <w:rPr>
            <w:noProof/>
            <w:webHidden/>
          </w:rPr>
          <w:fldChar w:fldCharType="end"/>
        </w:r>
      </w:hyperlink>
    </w:p>
    <w:p w14:paraId="7ED3D096" w14:textId="25B74A2B" w:rsidR="00027741" w:rsidRDefault="00027741">
      <w:pPr>
        <w:pStyle w:val="TOC3"/>
        <w:tabs>
          <w:tab w:val="right" w:leader="dot" w:pos="9350"/>
        </w:tabs>
        <w:rPr>
          <w:noProof/>
        </w:rPr>
      </w:pPr>
      <w:hyperlink w:anchor="_Toc213759743" w:history="1">
        <w:r w:rsidRPr="00123AFC">
          <w:rPr>
            <w:rStyle w:val="Hyperlink"/>
            <w:noProof/>
          </w:rPr>
          <w:t>5.4.3 Profitability Index (PI)</w:t>
        </w:r>
        <w:r>
          <w:rPr>
            <w:noProof/>
            <w:webHidden/>
          </w:rPr>
          <w:tab/>
        </w:r>
        <w:r>
          <w:rPr>
            <w:noProof/>
            <w:webHidden/>
          </w:rPr>
          <w:fldChar w:fldCharType="begin"/>
        </w:r>
        <w:r>
          <w:rPr>
            <w:noProof/>
            <w:webHidden/>
          </w:rPr>
          <w:instrText xml:space="preserve"> PAGEREF _Toc213759743 \h </w:instrText>
        </w:r>
        <w:r>
          <w:rPr>
            <w:noProof/>
            <w:webHidden/>
          </w:rPr>
        </w:r>
        <w:r>
          <w:rPr>
            <w:noProof/>
            <w:webHidden/>
          </w:rPr>
          <w:fldChar w:fldCharType="separate"/>
        </w:r>
        <w:r>
          <w:rPr>
            <w:noProof/>
            <w:webHidden/>
          </w:rPr>
          <w:t>26</w:t>
        </w:r>
        <w:r>
          <w:rPr>
            <w:noProof/>
            <w:webHidden/>
          </w:rPr>
          <w:fldChar w:fldCharType="end"/>
        </w:r>
      </w:hyperlink>
    </w:p>
    <w:p w14:paraId="1EF6187C" w14:textId="0FB8A842" w:rsidR="00027741" w:rsidRDefault="00027741">
      <w:pPr>
        <w:pStyle w:val="TOC2"/>
        <w:tabs>
          <w:tab w:val="right" w:leader="dot" w:pos="9350"/>
        </w:tabs>
        <w:rPr>
          <w:noProof/>
        </w:rPr>
      </w:pPr>
      <w:hyperlink w:anchor="_Toc213759744" w:history="1">
        <w:r w:rsidRPr="00123AFC">
          <w:rPr>
            <w:rStyle w:val="Hyperlink"/>
            <w:noProof/>
          </w:rPr>
          <w:t>5.5 Recommendation Under Capital Rationing</w:t>
        </w:r>
        <w:r>
          <w:rPr>
            <w:noProof/>
            <w:webHidden/>
          </w:rPr>
          <w:tab/>
        </w:r>
        <w:r>
          <w:rPr>
            <w:noProof/>
            <w:webHidden/>
          </w:rPr>
          <w:fldChar w:fldCharType="begin"/>
        </w:r>
        <w:r>
          <w:rPr>
            <w:noProof/>
            <w:webHidden/>
          </w:rPr>
          <w:instrText xml:space="preserve"> PAGEREF _Toc213759744 \h </w:instrText>
        </w:r>
        <w:r>
          <w:rPr>
            <w:noProof/>
            <w:webHidden/>
          </w:rPr>
        </w:r>
        <w:r>
          <w:rPr>
            <w:noProof/>
            <w:webHidden/>
          </w:rPr>
          <w:fldChar w:fldCharType="separate"/>
        </w:r>
        <w:r>
          <w:rPr>
            <w:noProof/>
            <w:webHidden/>
          </w:rPr>
          <w:t>26</w:t>
        </w:r>
        <w:r>
          <w:rPr>
            <w:noProof/>
            <w:webHidden/>
          </w:rPr>
          <w:fldChar w:fldCharType="end"/>
        </w:r>
      </w:hyperlink>
    </w:p>
    <w:p w14:paraId="6216089D" w14:textId="31F85506" w:rsidR="00027741" w:rsidRDefault="00027741">
      <w:pPr>
        <w:pStyle w:val="TOC2"/>
        <w:tabs>
          <w:tab w:val="right" w:leader="dot" w:pos="9350"/>
        </w:tabs>
        <w:rPr>
          <w:noProof/>
        </w:rPr>
      </w:pPr>
      <w:hyperlink w:anchor="_Toc213759745" w:history="1">
        <w:r w:rsidRPr="00123AFC">
          <w:rPr>
            <w:rStyle w:val="Hyperlink"/>
            <w:noProof/>
          </w:rPr>
          <w:t>5.6 Final Investment Recommendation and Justification</w:t>
        </w:r>
        <w:r>
          <w:rPr>
            <w:noProof/>
            <w:webHidden/>
          </w:rPr>
          <w:tab/>
        </w:r>
        <w:r>
          <w:rPr>
            <w:noProof/>
            <w:webHidden/>
          </w:rPr>
          <w:fldChar w:fldCharType="begin"/>
        </w:r>
        <w:r>
          <w:rPr>
            <w:noProof/>
            <w:webHidden/>
          </w:rPr>
          <w:instrText xml:space="preserve"> PAGEREF _Toc213759745 \h </w:instrText>
        </w:r>
        <w:r>
          <w:rPr>
            <w:noProof/>
            <w:webHidden/>
          </w:rPr>
        </w:r>
        <w:r>
          <w:rPr>
            <w:noProof/>
            <w:webHidden/>
          </w:rPr>
          <w:fldChar w:fldCharType="separate"/>
        </w:r>
        <w:r>
          <w:rPr>
            <w:noProof/>
            <w:webHidden/>
          </w:rPr>
          <w:t>27</w:t>
        </w:r>
        <w:r>
          <w:rPr>
            <w:noProof/>
            <w:webHidden/>
          </w:rPr>
          <w:fldChar w:fldCharType="end"/>
        </w:r>
      </w:hyperlink>
    </w:p>
    <w:p w14:paraId="02555863" w14:textId="6C1816CE" w:rsidR="00027741" w:rsidRDefault="00027741">
      <w:pPr>
        <w:pStyle w:val="TOC3"/>
        <w:tabs>
          <w:tab w:val="right" w:leader="dot" w:pos="9350"/>
        </w:tabs>
        <w:rPr>
          <w:noProof/>
        </w:rPr>
      </w:pPr>
      <w:hyperlink w:anchor="_Toc213759746" w:history="1">
        <w:r w:rsidRPr="00123AFC">
          <w:rPr>
            <w:rStyle w:val="Hyperlink"/>
            <w:noProof/>
          </w:rPr>
          <w:t>5.7.1 Linking the Decision to the Turnaround Strategy</w:t>
        </w:r>
        <w:r>
          <w:rPr>
            <w:noProof/>
            <w:webHidden/>
          </w:rPr>
          <w:tab/>
        </w:r>
        <w:r>
          <w:rPr>
            <w:noProof/>
            <w:webHidden/>
          </w:rPr>
          <w:fldChar w:fldCharType="begin"/>
        </w:r>
        <w:r>
          <w:rPr>
            <w:noProof/>
            <w:webHidden/>
          </w:rPr>
          <w:instrText xml:space="preserve"> PAGEREF _Toc213759746 \h </w:instrText>
        </w:r>
        <w:r>
          <w:rPr>
            <w:noProof/>
            <w:webHidden/>
          </w:rPr>
        </w:r>
        <w:r>
          <w:rPr>
            <w:noProof/>
            <w:webHidden/>
          </w:rPr>
          <w:fldChar w:fldCharType="separate"/>
        </w:r>
        <w:r>
          <w:rPr>
            <w:noProof/>
            <w:webHidden/>
          </w:rPr>
          <w:t>27</w:t>
        </w:r>
        <w:r>
          <w:rPr>
            <w:noProof/>
            <w:webHidden/>
          </w:rPr>
          <w:fldChar w:fldCharType="end"/>
        </w:r>
      </w:hyperlink>
    </w:p>
    <w:p w14:paraId="1F2C9047" w14:textId="28BF7382" w:rsidR="00027741" w:rsidRDefault="00027741">
      <w:pPr>
        <w:pStyle w:val="TOC3"/>
        <w:tabs>
          <w:tab w:val="right" w:leader="dot" w:pos="9350"/>
        </w:tabs>
        <w:rPr>
          <w:noProof/>
        </w:rPr>
      </w:pPr>
      <w:hyperlink w:anchor="_Toc213759747" w:history="1">
        <w:r w:rsidRPr="00123AFC">
          <w:rPr>
            <w:rStyle w:val="Hyperlink"/>
            <w:noProof/>
          </w:rPr>
          <w:t>5.7.2 Aligning with the Firm's Financial Performance</w:t>
        </w:r>
        <w:r>
          <w:rPr>
            <w:noProof/>
            <w:webHidden/>
          </w:rPr>
          <w:tab/>
        </w:r>
        <w:r>
          <w:rPr>
            <w:noProof/>
            <w:webHidden/>
          </w:rPr>
          <w:fldChar w:fldCharType="begin"/>
        </w:r>
        <w:r>
          <w:rPr>
            <w:noProof/>
            <w:webHidden/>
          </w:rPr>
          <w:instrText xml:space="preserve"> PAGEREF _Toc213759747 \h </w:instrText>
        </w:r>
        <w:r>
          <w:rPr>
            <w:noProof/>
            <w:webHidden/>
          </w:rPr>
        </w:r>
        <w:r>
          <w:rPr>
            <w:noProof/>
            <w:webHidden/>
          </w:rPr>
          <w:fldChar w:fldCharType="separate"/>
        </w:r>
        <w:r>
          <w:rPr>
            <w:noProof/>
            <w:webHidden/>
          </w:rPr>
          <w:t>27</w:t>
        </w:r>
        <w:r>
          <w:rPr>
            <w:noProof/>
            <w:webHidden/>
          </w:rPr>
          <w:fldChar w:fldCharType="end"/>
        </w:r>
      </w:hyperlink>
    </w:p>
    <w:p w14:paraId="0BA7C41F" w14:textId="41C8ACE1" w:rsidR="00027741" w:rsidRDefault="00027741">
      <w:pPr>
        <w:pStyle w:val="TOC3"/>
        <w:tabs>
          <w:tab w:val="right" w:leader="dot" w:pos="9350"/>
        </w:tabs>
        <w:rPr>
          <w:noProof/>
        </w:rPr>
      </w:pPr>
      <w:hyperlink w:anchor="_Toc213759748" w:history="1">
        <w:r w:rsidRPr="00123AFC">
          <w:rPr>
            <w:rStyle w:val="Hyperlink"/>
            <w:noProof/>
          </w:rPr>
          <w:t>5.7.3 Evaluating Project Risk Characteristics</w:t>
        </w:r>
        <w:r>
          <w:rPr>
            <w:noProof/>
            <w:webHidden/>
          </w:rPr>
          <w:tab/>
        </w:r>
        <w:r>
          <w:rPr>
            <w:noProof/>
            <w:webHidden/>
          </w:rPr>
          <w:fldChar w:fldCharType="begin"/>
        </w:r>
        <w:r>
          <w:rPr>
            <w:noProof/>
            <w:webHidden/>
          </w:rPr>
          <w:instrText xml:space="preserve"> PAGEREF _Toc213759748 \h </w:instrText>
        </w:r>
        <w:r>
          <w:rPr>
            <w:noProof/>
            <w:webHidden/>
          </w:rPr>
        </w:r>
        <w:r>
          <w:rPr>
            <w:noProof/>
            <w:webHidden/>
          </w:rPr>
          <w:fldChar w:fldCharType="separate"/>
        </w:r>
        <w:r>
          <w:rPr>
            <w:noProof/>
            <w:webHidden/>
          </w:rPr>
          <w:t>27</w:t>
        </w:r>
        <w:r>
          <w:rPr>
            <w:noProof/>
            <w:webHidden/>
          </w:rPr>
          <w:fldChar w:fldCharType="end"/>
        </w:r>
      </w:hyperlink>
    </w:p>
    <w:p w14:paraId="3E1B98F4" w14:textId="1000826E" w:rsidR="00027741" w:rsidRDefault="00027741">
      <w:pPr>
        <w:pStyle w:val="TOC1"/>
        <w:tabs>
          <w:tab w:val="right" w:leader="dot" w:pos="9350"/>
        </w:tabs>
        <w:rPr>
          <w:noProof/>
        </w:rPr>
      </w:pPr>
      <w:hyperlink w:anchor="_Toc213759749" w:history="1">
        <w:r w:rsidRPr="00123AFC">
          <w:rPr>
            <w:rStyle w:val="Hyperlink"/>
            <w:noProof/>
          </w:rPr>
          <w:t>6.0 Conclusion and Final Recommendations to the Board</w:t>
        </w:r>
        <w:r>
          <w:rPr>
            <w:noProof/>
            <w:webHidden/>
          </w:rPr>
          <w:tab/>
        </w:r>
        <w:r>
          <w:rPr>
            <w:noProof/>
            <w:webHidden/>
          </w:rPr>
          <w:fldChar w:fldCharType="begin"/>
        </w:r>
        <w:r>
          <w:rPr>
            <w:noProof/>
            <w:webHidden/>
          </w:rPr>
          <w:instrText xml:space="preserve"> PAGEREF _Toc213759749 \h </w:instrText>
        </w:r>
        <w:r>
          <w:rPr>
            <w:noProof/>
            <w:webHidden/>
          </w:rPr>
        </w:r>
        <w:r>
          <w:rPr>
            <w:noProof/>
            <w:webHidden/>
          </w:rPr>
          <w:fldChar w:fldCharType="separate"/>
        </w:r>
        <w:r>
          <w:rPr>
            <w:noProof/>
            <w:webHidden/>
          </w:rPr>
          <w:t>27</w:t>
        </w:r>
        <w:r>
          <w:rPr>
            <w:noProof/>
            <w:webHidden/>
          </w:rPr>
          <w:fldChar w:fldCharType="end"/>
        </w:r>
      </w:hyperlink>
    </w:p>
    <w:p w14:paraId="43C78B41" w14:textId="68720F1D" w:rsidR="00027741" w:rsidRDefault="00027741">
      <w:pPr>
        <w:pStyle w:val="TOC1"/>
        <w:tabs>
          <w:tab w:val="right" w:leader="dot" w:pos="9350"/>
        </w:tabs>
        <w:rPr>
          <w:noProof/>
        </w:rPr>
      </w:pPr>
      <w:hyperlink w:anchor="_Toc213759750" w:history="1">
        <w:r w:rsidRPr="00123AFC">
          <w:rPr>
            <w:rStyle w:val="Hyperlink"/>
            <w:noProof/>
          </w:rPr>
          <w:t>Reference List</w:t>
        </w:r>
        <w:r>
          <w:rPr>
            <w:noProof/>
            <w:webHidden/>
          </w:rPr>
          <w:tab/>
        </w:r>
        <w:r>
          <w:rPr>
            <w:noProof/>
            <w:webHidden/>
          </w:rPr>
          <w:fldChar w:fldCharType="begin"/>
        </w:r>
        <w:r>
          <w:rPr>
            <w:noProof/>
            <w:webHidden/>
          </w:rPr>
          <w:instrText xml:space="preserve"> PAGEREF _Toc213759750 \h </w:instrText>
        </w:r>
        <w:r>
          <w:rPr>
            <w:noProof/>
            <w:webHidden/>
          </w:rPr>
        </w:r>
        <w:r>
          <w:rPr>
            <w:noProof/>
            <w:webHidden/>
          </w:rPr>
          <w:fldChar w:fldCharType="separate"/>
        </w:r>
        <w:r>
          <w:rPr>
            <w:noProof/>
            <w:webHidden/>
          </w:rPr>
          <w:t>29</w:t>
        </w:r>
        <w:r>
          <w:rPr>
            <w:noProof/>
            <w:webHidden/>
          </w:rPr>
          <w:fldChar w:fldCharType="end"/>
        </w:r>
      </w:hyperlink>
    </w:p>
    <w:p w14:paraId="59360272" w14:textId="3E5A2C57" w:rsidR="00027741" w:rsidRDefault="00027741">
      <w:pPr>
        <w:pStyle w:val="TOC2"/>
        <w:tabs>
          <w:tab w:val="right" w:leader="dot" w:pos="9350"/>
        </w:tabs>
        <w:rPr>
          <w:noProof/>
        </w:rPr>
      </w:pPr>
      <w:hyperlink w:anchor="_Toc213759751" w:history="1">
        <w:r w:rsidRPr="00123AFC">
          <w:rPr>
            <w:rStyle w:val="Hyperlink"/>
            <w:noProof/>
          </w:rPr>
          <w:t>Appendix A: Detailed Ratio Analysis Tables (5-Year Data)</w:t>
        </w:r>
        <w:r>
          <w:rPr>
            <w:noProof/>
            <w:webHidden/>
          </w:rPr>
          <w:tab/>
        </w:r>
        <w:r>
          <w:rPr>
            <w:noProof/>
            <w:webHidden/>
          </w:rPr>
          <w:fldChar w:fldCharType="begin"/>
        </w:r>
        <w:r>
          <w:rPr>
            <w:noProof/>
            <w:webHidden/>
          </w:rPr>
          <w:instrText xml:space="preserve"> PAGEREF _Toc213759751 \h </w:instrText>
        </w:r>
        <w:r>
          <w:rPr>
            <w:noProof/>
            <w:webHidden/>
          </w:rPr>
        </w:r>
        <w:r>
          <w:rPr>
            <w:noProof/>
            <w:webHidden/>
          </w:rPr>
          <w:fldChar w:fldCharType="separate"/>
        </w:r>
        <w:r>
          <w:rPr>
            <w:noProof/>
            <w:webHidden/>
          </w:rPr>
          <w:t>34</w:t>
        </w:r>
        <w:r>
          <w:rPr>
            <w:noProof/>
            <w:webHidden/>
          </w:rPr>
          <w:fldChar w:fldCharType="end"/>
        </w:r>
      </w:hyperlink>
    </w:p>
    <w:p w14:paraId="0808B459" w14:textId="7E7B2FD1" w:rsidR="00027741" w:rsidRDefault="00027741">
      <w:pPr>
        <w:pStyle w:val="TOC2"/>
        <w:tabs>
          <w:tab w:val="right" w:leader="dot" w:pos="9350"/>
        </w:tabs>
        <w:rPr>
          <w:noProof/>
        </w:rPr>
      </w:pPr>
      <w:hyperlink w:anchor="_Toc213759752" w:history="1">
        <w:r w:rsidRPr="00123AFC">
          <w:rPr>
            <w:rStyle w:val="Hyperlink"/>
            <w:noProof/>
          </w:rPr>
          <w:t>Appendix B: Detailed Cash Operating Cycle (CCC) Calculation</w:t>
        </w:r>
        <w:r>
          <w:rPr>
            <w:noProof/>
            <w:webHidden/>
          </w:rPr>
          <w:tab/>
        </w:r>
        <w:r>
          <w:rPr>
            <w:noProof/>
            <w:webHidden/>
          </w:rPr>
          <w:fldChar w:fldCharType="begin"/>
        </w:r>
        <w:r>
          <w:rPr>
            <w:noProof/>
            <w:webHidden/>
          </w:rPr>
          <w:instrText xml:space="preserve"> PAGEREF _Toc213759752 \h </w:instrText>
        </w:r>
        <w:r>
          <w:rPr>
            <w:noProof/>
            <w:webHidden/>
          </w:rPr>
        </w:r>
        <w:r>
          <w:rPr>
            <w:noProof/>
            <w:webHidden/>
          </w:rPr>
          <w:fldChar w:fldCharType="separate"/>
        </w:r>
        <w:r>
          <w:rPr>
            <w:noProof/>
            <w:webHidden/>
          </w:rPr>
          <w:t>36</w:t>
        </w:r>
        <w:r>
          <w:rPr>
            <w:noProof/>
            <w:webHidden/>
          </w:rPr>
          <w:fldChar w:fldCharType="end"/>
        </w:r>
      </w:hyperlink>
    </w:p>
    <w:p w14:paraId="50FB6125" w14:textId="66F068A4" w:rsidR="00027741" w:rsidRDefault="00027741">
      <w:pPr>
        <w:pStyle w:val="TOC2"/>
        <w:tabs>
          <w:tab w:val="right" w:leader="dot" w:pos="9350"/>
        </w:tabs>
        <w:rPr>
          <w:noProof/>
        </w:rPr>
      </w:pPr>
      <w:hyperlink w:anchor="_Toc213759753" w:history="1">
        <w:r w:rsidRPr="00123AFC">
          <w:rPr>
            <w:rStyle w:val="Hyperlink"/>
            <w:noProof/>
          </w:rPr>
          <w:t>Appendix C: Detailed Investment Appraisal Calculations (PBP, ARR)</w:t>
        </w:r>
        <w:r>
          <w:rPr>
            <w:noProof/>
            <w:webHidden/>
          </w:rPr>
          <w:tab/>
        </w:r>
        <w:r>
          <w:rPr>
            <w:noProof/>
            <w:webHidden/>
          </w:rPr>
          <w:fldChar w:fldCharType="begin"/>
        </w:r>
        <w:r>
          <w:rPr>
            <w:noProof/>
            <w:webHidden/>
          </w:rPr>
          <w:instrText xml:space="preserve"> PAGEREF _Toc213759753 \h </w:instrText>
        </w:r>
        <w:r>
          <w:rPr>
            <w:noProof/>
            <w:webHidden/>
          </w:rPr>
        </w:r>
        <w:r>
          <w:rPr>
            <w:noProof/>
            <w:webHidden/>
          </w:rPr>
          <w:fldChar w:fldCharType="separate"/>
        </w:r>
        <w:r>
          <w:rPr>
            <w:noProof/>
            <w:webHidden/>
          </w:rPr>
          <w:t>37</w:t>
        </w:r>
        <w:r>
          <w:rPr>
            <w:noProof/>
            <w:webHidden/>
          </w:rPr>
          <w:fldChar w:fldCharType="end"/>
        </w:r>
      </w:hyperlink>
    </w:p>
    <w:p w14:paraId="56CAA5BA" w14:textId="67B000CD" w:rsidR="00027741" w:rsidRDefault="00027741">
      <w:pPr>
        <w:pStyle w:val="TOC2"/>
        <w:tabs>
          <w:tab w:val="right" w:leader="dot" w:pos="9350"/>
        </w:tabs>
        <w:rPr>
          <w:noProof/>
        </w:rPr>
      </w:pPr>
      <w:hyperlink w:anchor="_Toc213759754" w:history="1">
        <w:r w:rsidRPr="00123AFC">
          <w:rPr>
            <w:rStyle w:val="Hyperlink"/>
            <w:noProof/>
          </w:rPr>
          <w:t>Appendix D: Detailed DCF Calculations (NPV, IRR, PI) and Excel Outputs</w:t>
        </w:r>
        <w:r>
          <w:rPr>
            <w:noProof/>
            <w:webHidden/>
          </w:rPr>
          <w:tab/>
        </w:r>
        <w:r>
          <w:rPr>
            <w:noProof/>
            <w:webHidden/>
          </w:rPr>
          <w:fldChar w:fldCharType="begin"/>
        </w:r>
        <w:r>
          <w:rPr>
            <w:noProof/>
            <w:webHidden/>
          </w:rPr>
          <w:instrText xml:space="preserve"> PAGEREF _Toc213759754 \h </w:instrText>
        </w:r>
        <w:r>
          <w:rPr>
            <w:noProof/>
            <w:webHidden/>
          </w:rPr>
        </w:r>
        <w:r>
          <w:rPr>
            <w:noProof/>
            <w:webHidden/>
          </w:rPr>
          <w:fldChar w:fldCharType="separate"/>
        </w:r>
        <w:r>
          <w:rPr>
            <w:noProof/>
            <w:webHidden/>
          </w:rPr>
          <w:t>39</w:t>
        </w:r>
        <w:r>
          <w:rPr>
            <w:noProof/>
            <w:webHidden/>
          </w:rPr>
          <w:fldChar w:fldCharType="end"/>
        </w:r>
      </w:hyperlink>
    </w:p>
    <w:p w14:paraId="3744AFE1" w14:textId="14D8378E" w:rsidR="00027741" w:rsidRDefault="00027741">
      <w:pPr>
        <w:pStyle w:val="TOC2"/>
        <w:tabs>
          <w:tab w:val="right" w:leader="dot" w:pos="9350"/>
        </w:tabs>
        <w:rPr>
          <w:noProof/>
        </w:rPr>
      </w:pPr>
      <w:hyperlink w:anchor="_Toc213759755" w:history="1">
        <w:r w:rsidRPr="00123AFC">
          <w:rPr>
            <w:rStyle w:val="Hyperlink"/>
            <w:noProof/>
          </w:rPr>
          <w:t>Appendix E: Capital Rationing (Profitability Index)</w:t>
        </w:r>
        <w:r>
          <w:rPr>
            <w:noProof/>
            <w:webHidden/>
          </w:rPr>
          <w:tab/>
        </w:r>
        <w:r>
          <w:rPr>
            <w:noProof/>
            <w:webHidden/>
          </w:rPr>
          <w:fldChar w:fldCharType="begin"/>
        </w:r>
        <w:r>
          <w:rPr>
            <w:noProof/>
            <w:webHidden/>
          </w:rPr>
          <w:instrText xml:space="preserve"> PAGEREF _Toc213759755 \h </w:instrText>
        </w:r>
        <w:r>
          <w:rPr>
            <w:noProof/>
            <w:webHidden/>
          </w:rPr>
        </w:r>
        <w:r>
          <w:rPr>
            <w:noProof/>
            <w:webHidden/>
          </w:rPr>
          <w:fldChar w:fldCharType="separate"/>
        </w:r>
        <w:r>
          <w:rPr>
            <w:noProof/>
            <w:webHidden/>
          </w:rPr>
          <w:t>41</w:t>
        </w:r>
        <w:r>
          <w:rPr>
            <w:noProof/>
            <w:webHidden/>
          </w:rPr>
          <w:fldChar w:fldCharType="end"/>
        </w:r>
      </w:hyperlink>
    </w:p>
    <w:p w14:paraId="00000001" w14:textId="11150C4E" w:rsidR="00723379" w:rsidRDefault="00027741">
      <w:pPr>
        <w:jc w:val="center"/>
        <w:rPr>
          <w:b/>
          <w:bCs/>
          <w:sz w:val="32"/>
          <w:szCs w:val="32"/>
        </w:rPr>
      </w:pPr>
      <w:r>
        <w:fldChar w:fldCharType="end"/>
      </w:r>
      <w:r w:rsidR="00250930">
        <w:br w:type="page"/>
      </w:r>
    </w:p>
    <w:p w14:paraId="00000002" w14:textId="77777777" w:rsidR="00723379" w:rsidRDefault="00250930">
      <w:pPr>
        <w:pStyle w:val="Heading1"/>
        <w:keepNext w:val="0"/>
        <w:keepLines w:val="0"/>
        <w:spacing w:before="280" w:after="80"/>
      </w:pPr>
      <w:bookmarkStart w:id="1" w:name="_g7svqjopfu8a" w:colFirst="0" w:colLast="0"/>
      <w:bookmarkStart w:id="2" w:name="_Toc213759696"/>
      <w:bookmarkEnd w:id="1"/>
      <w:r>
        <w:lastRenderedPageBreak/>
        <w:t>1.0 Introduction</w:t>
      </w:r>
      <w:bookmarkEnd w:id="2"/>
    </w:p>
    <w:p w14:paraId="00000003" w14:textId="77777777" w:rsidR="00723379" w:rsidRDefault="00250930">
      <w:r>
        <w:t>This report has been prepared on behalf of the newly appointed Chief Financial Officer (CFO) to propose a solution to a very risky financial situation facing General Electronics, which is an international company in the consumer electronics industry. The fundamental focus is to have a strict five year retrospective study on the financial performances so as to effectively diagnose the systemic vulnerabilities that lead to the crisis at hand. The resulting methodology is organized in four crucial sections: a overall financial health check with the help of predictive models; the evaluation of working capital efficacy; the recommendation of a financially viable and ethically sound strategic restructuring plan; and, lastly, a critical capital budgeting recommendation provided under conditions of capital rationing, therefore, providing the Board with an evidence-based roadmap to organizational renewal.</w:t>
      </w:r>
    </w:p>
    <w:p w14:paraId="00000004" w14:textId="77777777" w:rsidR="00723379" w:rsidRDefault="00250930">
      <w:pPr>
        <w:pStyle w:val="Heading1"/>
        <w:keepNext w:val="0"/>
        <w:keepLines w:val="0"/>
        <w:spacing w:before="280" w:after="80"/>
      </w:pPr>
      <w:bookmarkStart w:id="3" w:name="_xd3bv4yx5epl" w:colFirst="0" w:colLast="0"/>
      <w:bookmarkStart w:id="4" w:name="_Toc213759697"/>
      <w:bookmarkEnd w:id="3"/>
      <w:r>
        <w:t>2.0 Financial Health Check and Diagnosis</w:t>
      </w:r>
      <w:bookmarkEnd w:id="4"/>
      <w:r>
        <w:t xml:space="preserve"> </w:t>
      </w:r>
    </w:p>
    <w:p w14:paraId="00000005" w14:textId="4669B7EF" w:rsidR="00723379" w:rsidRDefault="00250930">
      <w:pPr>
        <w:pStyle w:val="Heading2"/>
        <w:spacing w:before="240" w:after="240"/>
        <w:jc w:val="left"/>
      </w:pPr>
      <w:bookmarkStart w:id="5" w:name="_as05bc6f6k21" w:colFirst="0" w:colLast="0"/>
      <w:bookmarkStart w:id="6" w:name="_Toc213759698"/>
      <w:bookmarkEnd w:id="5"/>
      <w:r>
        <w:t>2.1 Overview of Five-Year Financial Performance</w:t>
      </w:r>
      <w:bookmarkEnd w:id="6"/>
    </w:p>
    <w:p w14:paraId="60C2394B" w14:textId="5AED6238" w:rsidR="00CB302E" w:rsidRPr="00CB302E" w:rsidRDefault="00CB302E" w:rsidP="00CB302E">
      <w:pPr>
        <w:jc w:val="center"/>
      </w:pPr>
      <w:r>
        <w:rPr>
          <w:noProof/>
          <w:lang w:val="en-US"/>
        </w:rPr>
        <w:drawing>
          <wp:inline distT="0" distB="0" distL="0" distR="0" wp14:anchorId="5FDDDBB4" wp14:editId="3237E51F">
            <wp:extent cx="5943600" cy="3385185"/>
            <wp:effectExtent l="0" t="0" r="0" b="571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96B98B0" w14:textId="25A861F6" w:rsidR="00CB302E" w:rsidRPr="00CB302E" w:rsidRDefault="00CB302E" w:rsidP="00CB302E">
      <w:pPr>
        <w:jc w:val="center"/>
        <w:rPr>
          <w:b/>
        </w:rPr>
      </w:pPr>
      <w:r w:rsidRPr="00CB302E">
        <w:rPr>
          <w:b/>
        </w:rPr>
        <w:t>Figure 1: 5 Years Trend</w:t>
      </w:r>
    </w:p>
    <w:p w14:paraId="00000006" w14:textId="77777777" w:rsidR="00723379" w:rsidRDefault="00250930">
      <w:r>
        <w:lastRenderedPageBreak/>
        <w:t>General Electronics has a very grave and worrying five year financial trend. Net Sales have gradually been declining, as in 2020 they amounted to £614,680, whereas in 2024, they are in the form of 394,879, a decline of more than one-third of the revenue base. This sales downturn has directly reflected on Net income which dropped to heavy losses in 2023 (£98,238) and 2024 (24,029) of the year showing core failure in operations. At the same time, the Total Assets have dropped significantly, by £510,290 to £323,354. Although Total Current Liabilities have been volatile, largest in 2021/2022 and after which it has decreased, the general tendency is the shrinking size, declining profitability, and declining asset base, which confirm the troubled position of the firm (Dainelli, Bet and Fabrizi, 2024).</w:t>
      </w:r>
    </w:p>
    <w:p w14:paraId="00000007" w14:textId="77777777" w:rsidR="00723379" w:rsidRDefault="00250930">
      <w:pPr>
        <w:pStyle w:val="Heading2"/>
        <w:spacing w:before="240" w:after="240"/>
        <w:jc w:val="left"/>
      </w:pPr>
      <w:bookmarkStart w:id="7" w:name="_xd44byc54to1" w:colFirst="0" w:colLast="0"/>
      <w:bookmarkStart w:id="8" w:name="_Toc213759699"/>
      <w:bookmarkEnd w:id="7"/>
      <w:r>
        <w:t>2.2 Comprehensive Ratio Analysis</w:t>
      </w:r>
      <w:bookmarkEnd w:id="8"/>
    </w:p>
    <w:p w14:paraId="00000008" w14:textId="395C927B" w:rsidR="00723379" w:rsidRDefault="00250930">
      <w:pPr>
        <w:pStyle w:val="Heading3"/>
        <w:spacing w:before="240" w:after="240"/>
        <w:jc w:val="left"/>
      </w:pPr>
      <w:bookmarkStart w:id="9" w:name="_7ye7yjntixil" w:colFirst="0" w:colLast="0"/>
      <w:bookmarkStart w:id="10" w:name="_Toc213759700"/>
      <w:bookmarkEnd w:id="9"/>
      <w:r>
        <w:t>2.2.1 Profitability Analysis</w:t>
      </w:r>
      <w:bookmarkEnd w:id="10"/>
    </w:p>
    <w:p w14:paraId="2F6C55F8" w14:textId="4880FC7A" w:rsidR="00CB302E" w:rsidRPr="00CB302E" w:rsidRDefault="00CB302E" w:rsidP="00CB302E">
      <w:pPr>
        <w:jc w:val="center"/>
      </w:pPr>
      <w:r>
        <w:rPr>
          <w:noProof/>
          <w:lang w:val="en-US"/>
        </w:rPr>
        <w:drawing>
          <wp:inline distT="0" distB="0" distL="0" distR="0" wp14:anchorId="1762BFEC" wp14:editId="36906D31">
            <wp:extent cx="4968240" cy="3002280"/>
            <wp:effectExtent l="0" t="0" r="3810" b="762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92EB776" w14:textId="5747280B" w:rsidR="00CB302E" w:rsidRPr="00CB302E" w:rsidRDefault="00CB302E" w:rsidP="00CB302E">
      <w:pPr>
        <w:jc w:val="center"/>
        <w:rPr>
          <w:b/>
        </w:rPr>
      </w:pPr>
      <w:r>
        <w:rPr>
          <w:b/>
        </w:rPr>
        <w:t xml:space="preserve">Figure 2: </w:t>
      </w:r>
      <w:r w:rsidRPr="00A47330">
        <w:rPr>
          <w:b/>
        </w:rPr>
        <w:t xml:space="preserve">Profitability </w:t>
      </w:r>
      <w:r>
        <w:rPr>
          <w:b/>
        </w:rPr>
        <w:t>Ratio</w:t>
      </w:r>
    </w:p>
    <w:p w14:paraId="00000009" w14:textId="77777777" w:rsidR="00723379" w:rsidRDefault="00250930">
      <w:r>
        <w:t xml:space="preserve">The profitability ratios will measure the efficiency of the firm in terms of generating revenues relative to sales, assets and equity. The Net Profit Margin of the company was seriously decreasing. The Net Sales and the corresponding negative Net Profit/ (Loss) ratio decreased as well, leaving a loss of -6.09 in 2024. On the same note, ROCE declined to -9.27, compared to 6.28. The main connotation is that General Electronics has ceased to generate marginal returns but instead it is </w:t>
      </w:r>
      <w:r>
        <w:lastRenderedPageBreak/>
        <w:t>actively decimating shareholder value. The inability to produce good returns on investment capital utilized reflects the inherent problems of core operating costs management and pricing policy (Salesforce Staff, 2024).</w:t>
      </w:r>
    </w:p>
    <w:p w14:paraId="0000000A" w14:textId="2DEBB0E0" w:rsidR="00723379" w:rsidRDefault="00250930">
      <w:pPr>
        <w:pStyle w:val="Heading3"/>
        <w:spacing w:before="240" w:after="240"/>
        <w:jc w:val="left"/>
      </w:pPr>
      <w:bookmarkStart w:id="11" w:name="_an2akkns2il8" w:colFirst="0" w:colLast="0"/>
      <w:bookmarkStart w:id="12" w:name="_Toc213759701"/>
      <w:bookmarkEnd w:id="11"/>
      <w:r>
        <w:t>2.2.2 Liquidity Analysis</w:t>
      </w:r>
      <w:bookmarkEnd w:id="12"/>
    </w:p>
    <w:p w14:paraId="45ED4B08" w14:textId="3EEAB004" w:rsidR="00CB302E" w:rsidRPr="00CB302E" w:rsidRDefault="00CB302E" w:rsidP="00CB302E">
      <w:pPr>
        <w:jc w:val="center"/>
      </w:pPr>
      <w:r>
        <w:rPr>
          <w:noProof/>
          <w:lang w:val="en-US"/>
        </w:rPr>
        <w:drawing>
          <wp:inline distT="0" distB="0" distL="0" distR="0" wp14:anchorId="4C6F5488" wp14:editId="5DB9B2E3">
            <wp:extent cx="4945380" cy="2758440"/>
            <wp:effectExtent l="0" t="0" r="7620" b="381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3F1289C" w14:textId="55D8CED1" w:rsidR="00CB302E" w:rsidRPr="00CB302E" w:rsidRDefault="00CB302E" w:rsidP="00CB302E">
      <w:pPr>
        <w:jc w:val="center"/>
      </w:pPr>
      <w:r w:rsidRPr="00A47330">
        <w:rPr>
          <w:b/>
        </w:rPr>
        <w:t>Figure 3: Liquidity Ratio</w:t>
      </w:r>
    </w:p>
    <w:p w14:paraId="0000000B" w14:textId="77777777" w:rsidR="00723379" w:rsidRDefault="00250930">
      <w:r>
        <w:t>Liquidity ratios evaluate ability to cover temporary liabilities. The Current Ratio dropped to 1.53 in 2024, compared to 1.82 in 2020, and a loss of the Quick Ratio of 1.15 to 1.03. The trend is an indication that the sources of readily available assets are declining against the instantaneous liabilities, probably because of weak sales performance that affects current asset realization. The implication is that the margin of creditors diminishes. Although the company technically is not in cash crunch (ratios above 1.0), the negative trend requires specific attention to the fact that in the case of further slowdown in the collection of receivables, the risks of the cash crunch decrease (ZarMoney, 2025).</w:t>
      </w:r>
    </w:p>
    <w:p w14:paraId="0000000C" w14:textId="4DE10FE0" w:rsidR="00723379" w:rsidRDefault="00250930">
      <w:pPr>
        <w:pStyle w:val="Heading3"/>
        <w:spacing w:before="240" w:after="240"/>
        <w:jc w:val="left"/>
      </w:pPr>
      <w:bookmarkStart w:id="13" w:name="_f62us01yjswp" w:colFirst="0" w:colLast="0"/>
      <w:bookmarkStart w:id="14" w:name="_Toc213759702"/>
      <w:bookmarkEnd w:id="13"/>
      <w:r>
        <w:lastRenderedPageBreak/>
        <w:t>2.2.3 Efficiency Analysis</w:t>
      </w:r>
      <w:bookmarkEnd w:id="14"/>
    </w:p>
    <w:p w14:paraId="4E2AE8DA" w14:textId="1D4A0345" w:rsidR="00CB302E" w:rsidRPr="00CB302E" w:rsidRDefault="00CB302E" w:rsidP="00CB302E">
      <w:pPr>
        <w:jc w:val="center"/>
      </w:pPr>
      <w:r>
        <w:rPr>
          <w:noProof/>
          <w:lang w:val="en-US"/>
        </w:rPr>
        <w:drawing>
          <wp:inline distT="0" distB="0" distL="0" distR="0" wp14:anchorId="3B6C315A" wp14:editId="3810903F">
            <wp:extent cx="5044440" cy="2887980"/>
            <wp:effectExtent l="0" t="0" r="3810" b="762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D294039" w14:textId="519D7B1D" w:rsidR="00CB302E" w:rsidRPr="00CB302E" w:rsidRDefault="00CB302E" w:rsidP="00CB302E">
      <w:pPr>
        <w:jc w:val="center"/>
      </w:pPr>
      <w:r>
        <w:rPr>
          <w:b/>
        </w:rPr>
        <w:t xml:space="preserve">Figure 4: </w:t>
      </w:r>
      <w:r w:rsidRPr="00A47330">
        <w:rPr>
          <w:b/>
        </w:rPr>
        <w:t xml:space="preserve">Efficiency </w:t>
      </w:r>
      <w:r>
        <w:rPr>
          <w:b/>
        </w:rPr>
        <w:t>Ratio</w:t>
      </w:r>
    </w:p>
    <w:p w14:paraId="0000000D" w14:textId="77777777" w:rsidR="00723379" w:rsidRDefault="00250930">
      <w:r>
        <w:t>Efficiency ratios indicate the management of assets in a well-managed way. The Inventory Turnover Days deteriorated to 53 days as compared to 35 days indicating a slow rate of inventory movement and this may be due to low demand in the market which has been encountered through low sales. The number of days of average Receivables rose by 38 to 52 days implying that it is slowing down in customer payment. The tendencies indicate unproductive working capital in which cash is kept longer in stock and accounts receivable. What this means is that working capital required to sustain sales are draining increased amounts of cash which are out of reach of the distressed company (FundThrough, 2024).</w:t>
      </w:r>
    </w:p>
    <w:p w14:paraId="0000000E" w14:textId="1DBAA717" w:rsidR="00723379" w:rsidRDefault="00250930">
      <w:pPr>
        <w:pStyle w:val="Heading3"/>
        <w:spacing w:before="240" w:after="240"/>
        <w:jc w:val="left"/>
      </w:pPr>
      <w:bookmarkStart w:id="15" w:name="_5drogvcey6jk" w:colFirst="0" w:colLast="0"/>
      <w:bookmarkStart w:id="16" w:name="_Toc213759703"/>
      <w:bookmarkEnd w:id="15"/>
      <w:r>
        <w:lastRenderedPageBreak/>
        <w:t>2.2.4 Gearing (Leverage) Analysis</w:t>
      </w:r>
      <w:bookmarkEnd w:id="16"/>
    </w:p>
    <w:p w14:paraId="1CA8EB35" w14:textId="5332266A" w:rsidR="00CB302E" w:rsidRPr="00CB302E" w:rsidRDefault="00CB302E" w:rsidP="00CB302E">
      <w:pPr>
        <w:jc w:val="center"/>
      </w:pPr>
      <w:r>
        <w:rPr>
          <w:noProof/>
          <w:lang w:val="en-US"/>
        </w:rPr>
        <w:drawing>
          <wp:inline distT="0" distB="0" distL="0" distR="0" wp14:anchorId="45F8937D" wp14:editId="6E7A9C4C">
            <wp:extent cx="4960620" cy="3048000"/>
            <wp:effectExtent l="0" t="0" r="1143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9262283" w14:textId="39707AE1" w:rsidR="00CB302E" w:rsidRPr="00CB302E" w:rsidRDefault="00CB302E" w:rsidP="00CB302E">
      <w:pPr>
        <w:jc w:val="center"/>
      </w:pPr>
      <w:r>
        <w:rPr>
          <w:b/>
        </w:rPr>
        <w:t xml:space="preserve">Figure 5: </w:t>
      </w:r>
      <w:r w:rsidR="00431B14">
        <w:rPr>
          <w:b/>
        </w:rPr>
        <w:t>Gearing</w:t>
      </w:r>
      <w:r>
        <w:rPr>
          <w:b/>
        </w:rPr>
        <w:t xml:space="preserve"> Ratio</w:t>
      </w:r>
    </w:p>
    <w:p w14:paraId="0000000F" w14:textId="77777777" w:rsidR="00723379" w:rsidRDefault="00250930">
      <w:r>
        <w:t>Gearing measures indicate financing structure, which indicates the balance between debt and equity. There was a serious deterioration in the Debt/Equity Ratio where it rose to 1.88 as compared to 0.63. This increase can mainly be explained by the fact that the Total Equity has fallen quickly because of prolonged losses, as opposed to intensive new borrowing. In line with this, the Interest Coverage Ratio has fallen to a negative (0.41) as the EBIT was negative. This means that there is a sharp rise in monetary risk. The company has become very dependent on debt financing compared to its declining equity capital and more desperately is unable to afford its interest payment using the operating income (CGap, 2024).</w:t>
      </w:r>
    </w:p>
    <w:p w14:paraId="00000010" w14:textId="72ED3A87" w:rsidR="00723379" w:rsidRDefault="00250930">
      <w:pPr>
        <w:pStyle w:val="Heading3"/>
        <w:spacing w:before="240" w:after="240"/>
        <w:jc w:val="left"/>
      </w:pPr>
      <w:bookmarkStart w:id="17" w:name="_wy6lvssu7xyh" w:colFirst="0" w:colLast="0"/>
      <w:bookmarkStart w:id="18" w:name="_Toc213759704"/>
      <w:bookmarkEnd w:id="17"/>
      <w:r>
        <w:lastRenderedPageBreak/>
        <w:t>2.2.5 Investment Analysis</w:t>
      </w:r>
      <w:bookmarkEnd w:id="18"/>
    </w:p>
    <w:p w14:paraId="11EB4FCC" w14:textId="76F574E9" w:rsidR="00CB302E" w:rsidRPr="00CB302E" w:rsidRDefault="00250930" w:rsidP="00CB302E">
      <w:pPr>
        <w:jc w:val="center"/>
      </w:pPr>
      <w:r>
        <w:rPr>
          <w:noProof/>
          <w:lang w:val="en-US"/>
        </w:rPr>
        <w:drawing>
          <wp:inline distT="0" distB="0" distL="0" distR="0" wp14:anchorId="41931345" wp14:editId="70CB0086">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E6EFA4B" w14:textId="031B1CEC" w:rsidR="00CB302E" w:rsidRPr="00CB302E" w:rsidRDefault="00CB302E" w:rsidP="00CB302E">
      <w:pPr>
        <w:jc w:val="center"/>
      </w:pPr>
      <w:r>
        <w:rPr>
          <w:b/>
        </w:rPr>
        <w:t xml:space="preserve">Figure 6: </w:t>
      </w:r>
      <w:r w:rsidRPr="00A47330">
        <w:rPr>
          <w:b/>
        </w:rPr>
        <w:t>Investment Ratios</w:t>
      </w:r>
    </w:p>
    <w:p w14:paraId="00000011" w14:textId="77777777" w:rsidR="00723379" w:rsidRDefault="00250930">
      <w:r>
        <w:t>Investment ratio shows the value of the firm in the outside market. The earnings per share (EPS) reduced dramatically and turned to a loss of £1.85 as compared to the previous level of 2.78. This resulted in the Price/Earnings (P/E) Ratio going negative/ undefined that reflects a total lack of confidence in the prospects of profitability by the market. This is an actual change of the operating losses which have been incurring regularly in the Net Profit line. The fundamental implication is extreme undermining of shareholder equity and the presence of substantial impediments to the future equity money following the adverse performance outlook (Fiorillo et al., 2024).</w:t>
      </w:r>
    </w:p>
    <w:p w14:paraId="78EC2A27" w14:textId="65C22EE6" w:rsidR="00250930" w:rsidRDefault="00250930">
      <w:pPr>
        <w:pStyle w:val="Heading3"/>
        <w:spacing w:before="240" w:after="240"/>
        <w:jc w:val="left"/>
      </w:pPr>
      <w:bookmarkStart w:id="19" w:name="_y4lm5c3nvtus" w:colFirst="0" w:colLast="0"/>
      <w:bookmarkStart w:id="20" w:name="_Toc213759705"/>
      <w:bookmarkEnd w:id="19"/>
      <w:r>
        <w:lastRenderedPageBreak/>
        <w:t>2.2.7 Market Ratio</w:t>
      </w:r>
      <w:bookmarkEnd w:id="20"/>
    </w:p>
    <w:p w14:paraId="658E0B70" w14:textId="03500AAB" w:rsidR="00250930" w:rsidRPr="00250930" w:rsidRDefault="00250930" w:rsidP="00250930">
      <w:pPr>
        <w:jc w:val="center"/>
      </w:pPr>
      <w:r>
        <w:rPr>
          <w:noProof/>
          <w:lang w:val="en-US"/>
        </w:rPr>
        <w:drawing>
          <wp:inline distT="0" distB="0" distL="0" distR="0" wp14:anchorId="30B5F898" wp14:editId="36E00AB1">
            <wp:extent cx="5013960" cy="3040380"/>
            <wp:effectExtent l="0" t="0" r="15240" b="762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3EEBF1C" w14:textId="7EF60ABA" w:rsidR="00250930" w:rsidRDefault="00250930" w:rsidP="00250930">
      <w:pPr>
        <w:jc w:val="center"/>
        <w:rPr>
          <w:b/>
        </w:rPr>
      </w:pPr>
      <w:r>
        <w:rPr>
          <w:b/>
        </w:rPr>
        <w:t xml:space="preserve">Figure 7: </w:t>
      </w:r>
      <w:r w:rsidRPr="00A47330">
        <w:rPr>
          <w:b/>
        </w:rPr>
        <w:t>Market Ratios</w:t>
      </w:r>
    </w:p>
    <w:p w14:paraId="40066CF1" w14:textId="4CD7B0B0" w:rsidR="00431B14" w:rsidRPr="00250930" w:rsidRDefault="00431B14" w:rsidP="00431B14">
      <w:r w:rsidRPr="00431B14">
        <w:t>Market ratios indicate that there is a major loss of investor confidence. Earnings per share (EPS) have fallen to -1.85, or half its 2020 level, and the market price per share has fallen to £11.81 compared with £22.55. The low P/E ratio highlights the pessimism of the investors and lack of profitability, and is a pointer of business distress and a volatile business climate. The market reaction indicates that the expectation of the shareholders is structural reforms or possibility of shares being diluted. The company should show the recovery of profits and multiples of valuation by showing that it is able to recover and show strategic clarity and investment in innovation in order to achieve investor trust and confidence in the long-term (Ulbert, Takakacs and Csapi, 2022).</w:t>
      </w:r>
    </w:p>
    <w:p w14:paraId="00000012" w14:textId="57B1D94A" w:rsidR="00723379" w:rsidRDefault="00250930">
      <w:pPr>
        <w:pStyle w:val="Heading3"/>
        <w:spacing w:before="240" w:after="240"/>
        <w:jc w:val="left"/>
      </w:pPr>
      <w:bookmarkStart w:id="21" w:name="_Toc213759706"/>
      <w:r>
        <w:lastRenderedPageBreak/>
        <w:t>2.2.6 Cash Flow Analysis</w:t>
      </w:r>
      <w:bookmarkEnd w:id="21"/>
    </w:p>
    <w:p w14:paraId="5CE9C6B2" w14:textId="7CECE124" w:rsidR="00250930" w:rsidRPr="00250930" w:rsidRDefault="00250930" w:rsidP="00250930">
      <w:pPr>
        <w:jc w:val="center"/>
      </w:pPr>
      <w:r>
        <w:rPr>
          <w:noProof/>
          <w:lang w:val="en-US"/>
        </w:rPr>
        <w:drawing>
          <wp:inline distT="0" distB="0" distL="0" distR="0" wp14:anchorId="26861A31" wp14:editId="4C070570">
            <wp:extent cx="4572000" cy="27432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647A7B8" w14:textId="097E91F3" w:rsidR="00CB302E" w:rsidRPr="00250930" w:rsidRDefault="00250930" w:rsidP="00250930">
      <w:pPr>
        <w:jc w:val="center"/>
        <w:rPr>
          <w:b/>
        </w:rPr>
      </w:pPr>
      <w:r>
        <w:rPr>
          <w:b/>
        </w:rPr>
        <w:t xml:space="preserve">Figure 8: </w:t>
      </w:r>
      <w:r w:rsidRPr="00E31BE9">
        <w:rPr>
          <w:b/>
        </w:rPr>
        <w:t>Cashflow Ratio</w:t>
      </w:r>
    </w:p>
    <w:p w14:paraId="00000013" w14:textId="77777777" w:rsidR="00723379" w:rsidRDefault="00250930">
      <w:r>
        <w:t>Cash flow ratios are used to determine sustainability of performance. The Operating Cash Flow to Net Sales ratio decreased to almost zero (0.01 in 2024), however, it was in the negative (-0.06) in 2023. This is a reflection of earnings unconversion. The implication which stands out is that the core line of business is not turning in enough optimistic cash flow to keep operations running, and that is straining the company in the short term to keep afloat, as it will not even be able to finance the rudimentary running expenses (Ramp, 2024).</w:t>
      </w:r>
    </w:p>
    <w:p w14:paraId="00000014" w14:textId="77777777" w:rsidR="00723379" w:rsidRDefault="00250930">
      <w:pPr>
        <w:pStyle w:val="Heading2"/>
        <w:spacing w:before="240" w:after="240"/>
        <w:jc w:val="left"/>
      </w:pPr>
      <w:bookmarkStart w:id="22" w:name="_rn8hmixlc300" w:colFirst="0" w:colLast="0"/>
      <w:bookmarkStart w:id="23" w:name="_Toc213759707"/>
      <w:bookmarkEnd w:id="22"/>
      <w:r>
        <w:t>2.3 Analysis of Key Trends and Inter-relationships</w:t>
      </w:r>
      <w:bookmarkEnd w:id="23"/>
    </w:p>
    <w:p w14:paraId="00000015" w14:textId="77777777" w:rsidR="00723379" w:rsidRDefault="00250930">
      <w:pPr>
        <w:pBdr>
          <w:top w:val="nil"/>
          <w:left w:val="nil"/>
          <w:bottom w:val="nil"/>
          <w:right w:val="nil"/>
          <w:between w:val="nil"/>
        </w:pBdr>
      </w:pPr>
      <w:r>
        <w:t>The company is in its worst decline ever starting with a five-year decline in Net Sales of 36 percent. This caused Net Income losses in 2023 which depleted the equity, shot the Debt/Equity Ratio to 1.88, and caused the Interest Coverage Ratio to become negative (-0.41). Working capital is being overstretched by operational failures demonstrated by negative Operating Cash Flow and declining efficiency (increased Inventory and Receivables days) (Bailey, 2025). This self-perpetuating situation of poor performance through lackluster operations, elevated solvency risk, and overreliance on an external funding source is reflected in the poor Liquidity Ratios (Quick Ratio is 1.03).</w:t>
      </w:r>
    </w:p>
    <w:p w14:paraId="00000016" w14:textId="77777777" w:rsidR="00723379" w:rsidRDefault="00250930">
      <w:pPr>
        <w:pStyle w:val="Heading2"/>
        <w:spacing w:before="240" w:after="240"/>
        <w:jc w:val="left"/>
      </w:pPr>
      <w:bookmarkStart w:id="24" w:name="_5i23iisdeb3m" w:colFirst="0" w:colLast="0"/>
      <w:bookmarkStart w:id="25" w:name="_Toc213759708"/>
      <w:bookmarkEnd w:id="24"/>
      <w:r>
        <w:lastRenderedPageBreak/>
        <w:t>2.4 Identification of Core Financial Strengths and Threats</w:t>
      </w:r>
      <w:bookmarkEnd w:id="25"/>
    </w:p>
    <w:p w14:paraId="00000017" w14:textId="77777777" w:rsidR="00723379" w:rsidRDefault="00250930">
      <w:r>
        <w:t>The financial profile of General Electronics is also highly unsustainable with massive threats having dominated. But there are two latent strengths that cut a thin thread of hope of recovery. Threats related to Collapse of Operational Profitability (ROCE at -9.27%) owes the greatest authority which is verified by the very high Default Risk reported by Altman Z-Score of 1.29. The cause of this operating loss is chiefly the unabated Accelerating Revenue Contraction, through the Net Sales per 5 years reduction by 36 percent (Saha and Ahmed, 2024).</w:t>
      </w:r>
    </w:p>
    <w:p w14:paraId="00000018" w14:textId="77777777" w:rsidR="00723379" w:rsidRDefault="00250930">
      <w:r>
        <w:t>Adding to this existential threat is the Worsening Working Capital Cycle whereby, both Inventory and Receivables Days are over 50 days. This traps the need for cash and directly compromises the short-term liquidity, despite the High Financial Gearing (Debt/Equity Ratio of 1.88) reduction along with the negative interest cover puts the firm immediately at risk of credit and refinancing risk. In spite of this crisis, there are two financial benefits that are lightly concealed that offer a starting point of action. The company has a small, initial Liquidity Buffer (Current Ratio is not below 1.5), which gives it a brief span on strategic change, and Total Current Liabilities have dwindled since its high, which softens the grounds of the immediate duty to repay debts (EuroFinance , 2025).</w:t>
      </w:r>
    </w:p>
    <w:p w14:paraId="00000019" w14:textId="2F6B8BAC" w:rsidR="00723379" w:rsidRDefault="00250930">
      <w:pPr>
        <w:pStyle w:val="Heading2"/>
        <w:spacing w:before="240" w:after="240"/>
        <w:jc w:val="left"/>
      </w:pPr>
      <w:bookmarkStart w:id="26" w:name="_dcgui8q05og3" w:colFirst="0" w:colLast="0"/>
      <w:bookmarkStart w:id="27" w:name="_Toc213759709"/>
      <w:bookmarkEnd w:id="26"/>
      <w:r>
        <w:t>2.5 Corporate Failure Prediction Modelling</w:t>
      </w:r>
      <w:bookmarkEnd w:id="27"/>
    </w:p>
    <w:p w14:paraId="4BDA1AFA" w14:textId="05CC7B9C" w:rsidR="00431B14" w:rsidRPr="00431B14" w:rsidRDefault="00431B14" w:rsidP="00431B14">
      <w:pPr>
        <w:jc w:val="center"/>
      </w:pPr>
      <w:r w:rsidRPr="00431B14">
        <w:rPr>
          <w:noProof/>
        </w:rPr>
        <w:drawing>
          <wp:inline distT="0" distB="0" distL="0" distR="0" wp14:anchorId="002A8EF8" wp14:editId="295F506F">
            <wp:extent cx="5943600" cy="2700587"/>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2700587"/>
                    </a:xfrm>
                    <a:prstGeom prst="rect">
                      <a:avLst/>
                    </a:prstGeom>
                    <a:noFill/>
                    <a:ln>
                      <a:noFill/>
                    </a:ln>
                  </pic:spPr>
                </pic:pic>
              </a:graphicData>
            </a:graphic>
          </wp:inline>
        </w:drawing>
      </w:r>
    </w:p>
    <w:p w14:paraId="65B9D9AF" w14:textId="1AB51176" w:rsidR="00431B14" w:rsidRPr="00431B14" w:rsidRDefault="00431B14" w:rsidP="00431B14">
      <w:pPr>
        <w:jc w:val="center"/>
        <w:rPr>
          <w:b/>
        </w:rPr>
      </w:pPr>
      <w:r>
        <w:rPr>
          <w:b/>
        </w:rPr>
        <w:t xml:space="preserve">Figure 9: </w:t>
      </w:r>
      <w:r w:rsidRPr="00E31BE9">
        <w:rPr>
          <w:b/>
        </w:rPr>
        <w:t>Altman Z-Score of General Electronics</w:t>
      </w:r>
    </w:p>
    <w:p w14:paraId="0000001A" w14:textId="77777777" w:rsidR="00723379" w:rsidRDefault="00250930">
      <w:r>
        <w:lastRenderedPageBreak/>
        <w:t>Using the Altman Z-Score model with General Electronics' financial information, 2024 generates a critical score of 2.98. This score puts the company at the very high-risk end of the "Grey Zone" (between 1.81 and 2.99), but still slightly lower than the official Safety Zone of 2.99. It means that the likelihood of corporate failure, within two years, is significant, and measurable, which requires immediate action. It is slightly justified by high asset turnover (X5 = 1.22) indicating that the company is operating its asset position effectively despite the declining revenue. The score is, however, highly limited to inefficient operation performance as indicated by low scale (-0.06) and negative EBIT/Total Assets ratio (CFI Team, 2023). This wavering status indicates that General Electronics has very little financial strength, and some form of decisive strategic and financial reengineering is an unconditional requirement to keep Jetstar out of the Bankrupt Zone.</w:t>
      </w:r>
    </w:p>
    <w:p w14:paraId="0000001B" w14:textId="77777777" w:rsidR="00723379" w:rsidRDefault="00250930">
      <w:pPr>
        <w:pStyle w:val="Heading1"/>
        <w:keepNext w:val="0"/>
        <w:keepLines w:val="0"/>
        <w:spacing w:before="280" w:after="80"/>
      </w:pPr>
      <w:bookmarkStart w:id="28" w:name="_p0p7zwi1hacr" w:colFirst="0" w:colLast="0"/>
      <w:bookmarkStart w:id="29" w:name="_Toc213759710"/>
      <w:bookmarkEnd w:id="28"/>
      <w:r>
        <w:t>3.0 Working Capital Management Analysis</w:t>
      </w:r>
      <w:bookmarkEnd w:id="29"/>
      <w:r>
        <w:t xml:space="preserve"> </w:t>
      </w:r>
    </w:p>
    <w:p w14:paraId="0000001C" w14:textId="176DBAF3" w:rsidR="00723379" w:rsidRDefault="00250930">
      <w:pPr>
        <w:pStyle w:val="Heading2"/>
        <w:spacing w:before="240" w:after="240"/>
        <w:jc w:val="left"/>
      </w:pPr>
      <w:bookmarkStart w:id="30" w:name="_1168cbnxe0a" w:colFirst="0" w:colLast="0"/>
      <w:bookmarkStart w:id="31" w:name="_Toc213759711"/>
      <w:bookmarkEnd w:id="30"/>
      <w:r>
        <w:t>3.1 Assessment of the Cash Operating Cycle (CCC)</w:t>
      </w:r>
      <w:bookmarkEnd w:id="31"/>
    </w:p>
    <w:p w14:paraId="67A9AA95" w14:textId="3AB4D529" w:rsidR="00431B14" w:rsidRPr="00431B14" w:rsidRDefault="00431B14" w:rsidP="00431B14">
      <w:pPr>
        <w:jc w:val="center"/>
      </w:pPr>
      <w:r>
        <w:rPr>
          <w:noProof/>
          <w:lang w:val="en-US"/>
        </w:rPr>
        <w:drawing>
          <wp:inline distT="0" distB="0" distL="0" distR="0" wp14:anchorId="46624FD9" wp14:editId="7B03F0AD">
            <wp:extent cx="4572000" cy="27432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DBF3FAC" w14:textId="4354632E" w:rsidR="00431B14" w:rsidRPr="00431B14" w:rsidRDefault="00431B14" w:rsidP="00431B14">
      <w:pPr>
        <w:jc w:val="center"/>
        <w:rPr>
          <w:b/>
        </w:rPr>
      </w:pPr>
      <w:r>
        <w:rPr>
          <w:b/>
        </w:rPr>
        <w:t>Figure 10:</w:t>
      </w:r>
      <w:r w:rsidRPr="00E31BE9">
        <w:t xml:space="preserve"> </w:t>
      </w:r>
      <w:r w:rsidRPr="00E31BE9">
        <w:rPr>
          <w:b/>
        </w:rPr>
        <w:t>Cash Operating Cycle</w:t>
      </w:r>
    </w:p>
    <w:p w14:paraId="0000001D" w14:textId="5BBEB9FF" w:rsidR="00723379" w:rsidRDefault="00250930">
      <w:r>
        <w:t xml:space="preserve">General Electronics Cash Conversion Cycle (CCC) has an unstable and eventually alarming trend, which proves the already detected efficiency problems in the ratio analysis. The main reason why the cycle could not perform well is that the two collection periods were lengthened concurrently. Inventory Turnover Days deteriorated by 50 days to 52 days, and Receivables Turnover Days </w:t>
      </w:r>
      <w:r>
        <w:lastRenderedPageBreak/>
        <w:t xml:space="preserve">increased dramatically by 38 days to 53 days during the same period. Although the company had made significant success in the rate of its Payables Turnover Days (35 to 47 days), successfully parading on the supplier credit, the effect of the lofty increase was fully absorbed in the customers that abruptly fell (Corporate Finance Institute, 2024). </w:t>
      </w:r>
    </w:p>
    <w:p w14:paraId="3EF25942" w14:textId="44A4A3C2" w:rsidR="00431B14" w:rsidRDefault="00431B14" w:rsidP="00431B14">
      <w:pPr>
        <w:jc w:val="center"/>
      </w:pPr>
      <w:r>
        <w:rPr>
          <w:noProof/>
          <w:lang w:val="en-US"/>
        </w:rPr>
        <w:drawing>
          <wp:inline distT="0" distB="0" distL="0" distR="0" wp14:anchorId="7B2B2EDA" wp14:editId="6135273D">
            <wp:extent cx="4572000" cy="27432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A6D3D03" w14:textId="30021A7B" w:rsidR="00431B14" w:rsidRPr="00431B14" w:rsidRDefault="00431B14" w:rsidP="00431B14">
      <w:pPr>
        <w:jc w:val="center"/>
        <w:rPr>
          <w:b/>
        </w:rPr>
      </w:pPr>
      <w:r>
        <w:rPr>
          <w:b/>
        </w:rPr>
        <w:t>Figure 11: W</w:t>
      </w:r>
      <w:r w:rsidRPr="00E31BE9">
        <w:rPr>
          <w:b/>
        </w:rPr>
        <w:t>orking capital</w:t>
      </w:r>
    </w:p>
    <w:p w14:paraId="0000001E" w14:textId="77777777" w:rsidR="00723379" w:rsidRDefault="00250930">
      <w:r>
        <w:t>General Electronics is committing cash up to almost two months before sales proceeds are being realized. This working capital deficit is all substantiated by the decrease in the total Working Capital, getting to only 84.2 million in 2024 compared to 147.3 million in 2020. The long cycle leads to the increases of short-term finance requirements, liquidity stress, and unsustainability due to negative profitability and high default rate of the company (Chen, Zhang and Yang, 2025). The current capital needs to be brought forward through urgent change to release the working capital amount of 63.1 million that is locked up since 2020.</w:t>
      </w:r>
    </w:p>
    <w:p w14:paraId="0000001F" w14:textId="77777777" w:rsidR="00723379" w:rsidRDefault="00250930">
      <w:pPr>
        <w:pStyle w:val="Heading2"/>
        <w:spacing w:before="240" w:after="240"/>
        <w:jc w:val="left"/>
      </w:pPr>
      <w:bookmarkStart w:id="32" w:name="_wpkwv9odulx4" w:colFirst="0" w:colLast="0"/>
      <w:bookmarkStart w:id="33" w:name="_Toc213759712"/>
      <w:bookmarkEnd w:id="32"/>
      <w:r>
        <w:t>3.2 Recommended Strategies for Working Capital Reform</w:t>
      </w:r>
      <w:bookmarkEnd w:id="33"/>
    </w:p>
    <w:p w14:paraId="00000020" w14:textId="77777777" w:rsidR="00723379" w:rsidRDefault="00250930">
      <w:pPr>
        <w:pStyle w:val="Heading3"/>
        <w:spacing w:before="240" w:after="240"/>
        <w:jc w:val="left"/>
      </w:pPr>
      <w:bookmarkStart w:id="34" w:name="_quejh7dmij8t" w:colFirst="0" w:colLast="0"/>
      <w:bookmarkStart w:id="35" w:name="_Toc213759713"/>
      <w:bookmarkEnd w:id="34"/>
      <w:r>
        <w:t>3.2.1 Inventory Management</w:t>
      </w:r>
      <w:bookmarkEnd w:id="35"/>
    </w:p>
    <w:p w14:paraId="00000021" w14:textId="77777777" w:rsidR="00723379" w:rsidRDefault="00250930">
      <w:r>
        <w:t xml:space="preserve">The high Inventory Turnover Days (52 days) indicates bad sales prediction. There is a possibility of waste inventory in the consumer electronics industry. A proposal that is recommended is a strict SKU rationalisation to determine and drop slow-paced products, hence cutting down inventory </w:t>
      </w:r>
      <w:r>
        <w:lastRenderedPageBreak/>
        <w:t>holding expenses and risk. Moreover, an adulterated Just-in-Time (JIT) or inventory run by suppliers of high-volume parts will decrease buffer inventory, decreasing the inventory duration and liberating substantial money (Susanti et al., 2025). This has to be traded off but with the global supply chain volatility.</w:t>
      </w:r>
    </w:p>
    <w:p w14:paraId="00000022" w14:textId="77777777" w:rsidR="00723379" w:rsidRDefault="00250930">
      <w:pPr>
        <w:pStyle w:val="Heading3"/>
        <w:spacing w:before="240" w:after="240"/>
        <w:jc w:val="left"/>
      </w:pPr>
      <w:bookmarkStart w:id="36" w:name="_gdwh73yrnj7h" w:colFirst="0" w:colLast="0"/>
      <w:bookmarkStart w:id="37" w:name="_Toc213759714"/>
      <w:bookmarkEnd w:id="36"/>
      <w:r>
        <w:t>3.2.2 Accounts Receivable Management</w:t>
      </w:r>
      <w:bookmarkEnd w:id="37"/>
      <w:r>
        <w:t xml:space="preserve"> </w:t>
      </w:r>
    </w:p>
    <w:p w14:paraId="00000023" w14:textId="77777777" w:rsidR="00723379" w:rsidRDefault="00250930">
      <w:r>
        <w:t>A significant cash leakage is the drastic rise in the number of Receivables Turnover Days (to 53 days). The company should also call on the urgent basis and amend credit policy and concentrate on the risky customers and provide incentives such as small discounts upon early payment. General Electronics needs to consider non-recourse factoring or invoice securing of most promising prompt accounts receivable to generate an instant cash inflow. This sells the current assets at a price, which gives cash flow access to stabilize the firm, which is essential due to the high default risk (Mendiondo, 2024).</w:t>
      </w:r>
    </w:p>
    <w:p w14:paraId="00000024" w14:textId="77777777" w:rsidR="00723379" w:rsidRDefault="00250930">
      <w:pPr>
        <w:pStyle w:val="Heading3"/>
        <w:spacing w:before="240" w:after="240"/>
        <w:jc w:val="left"/>
      </w:pPr>
      <w:bookmarkStart w:id="38" w:name="_z1dbbz6pgk6y" w:colFirst="0" w:colLast="0"/>
      <w:bookmarkStart w:id="39" w:name="_Toc213759715"/>
      <w:bookmarkEnd w:id="38"/>
      <w:r>
        <w:t>3.2.3 Accounts Payable Management</w:t>
      </w:r>
      <w:bookmarkEnd w:id="39"/>
      <w:r>
        <w:t xml:space="preserve"> </w:t>
      </w:r>
    </w:p>
    <w:p w14:paraId="00000025" w14:textId="77777777" w:rsidR="00723379" w:rsidRDefault="00250930">
      <w:r>
        <w:t>The company has also made improvements in Payables Days (to 47 days) to a moderate degree yet it needs a more strategic method. Achieving this is to ensure that the maximum utilization of the supplier credit does not harm the important supply relationships. This will include centralised and strategic term negotiation with the aim of 60 to 90 days industry standard where possible. Supply Chain Finance (SCF) is an option to consider with key, trusted suppliers, where a third party (typically a bank) covers the cost of early payments to the supplier, and General Electronics continues to enjoy longer payment terms in addition to enabling its suppliers to remain liquid (Rijanto, 2021).</w:t>
      </w:r>
    </w:p>
    <w:p w14:paraId="00000026" w14:textId="77777777" w:rsidR="00723379" w:rsidRDefault="00250930">
      <w:pPr>
        <w:pStyle w:val="Heading2"/>
        <w:spacing w:before="240" w:after="240"/>
        <w:jc w:val="left"/>
      </w:pPr>
      <w:bookmarkStart w:id="40" w:name="_ncalh2toccsa" w:colFirst="0" w:colLast="0"/>
      <w:bookmarkStart w:id="41" w:name="_Toc213759716"/>
      <w:bookmarkEnd w:id="40"/>
      <w:r>
        <w:t>3.3 Evaluation of Short-Term vs. Long-Term Financing Options</w:t>
      </w:r>
      <w:bookmarkEnd w:id="41"/>
    </w:p>
    <w:p w14:paraId="00000027" w14:textId="77777777" w:rsidR="00723379" w:rsidRDefault="00250930">
      <w:pPr>
        <w:pStyle w:val="Heading3"/>
        <w:spacing w:before="240" w:after="240"/>
        <w:jc w:val="left"/>
      </w:pPr>
      <w:bookmarkStart w:id="42" w:name="_9j3t3fszojr6" w:colFirst="0" w:colLast="0"/>
      <w:bookmarkStart w:id="43" w:name="_Toc213759717"/>
      <w:bookmarkEnd w:id="42"/>
      <w:r>
        <w:t>3.3.1 Suitability of Short-Term Options</w:t>
      </w:r>
      <w:bookmarkEnd w:id="43"/>
      <w:r>
        <w:t xml:space="preserve"> </w:t>
      </w:r>
    </w:p>
    <w:p w14:paraId="00000028" w14:textId="77777777" w:rsidR="00723379" w:rsidRDefault="00250930">
      <w:r>
        <w:t xml:space="preserve">Bridging the short-term fluctuating gap caused by long CCC would be appropriate through short-term financing options. Liquidity management is best done with bank overdrafts and revolving lines of credit because it offers flexibility, quick cash, but the high-interest debt is prohibitively expensive and harder to secure because of the negative interest cover ratios (Johan et al., 2024). </w:t>
      </w:r>
      <w:r>
        <w:lastRenderedPageBreak/>
        <w:t>Trade credit which is the least expensive source of short-term financing is already maximized (47 days) and can not be extended beyond it riskily. These alternatives are to be fast but with a high risk of cost considering the financial position of the firm.</w:t>
      </w:r>
    </w:p>
    <w:p w14:paraId="00000029" w14:textId="77777777" w:rsidR="00723379" w:rsidRDefault="00250930">
      <w:pPr>
        <w:pStyle w:val="Heading3"/>
        <w:spacing w:before="240" w:after="240"/>
        <w:jc w:val="left"/>
      </w:pPr>
      <w:bookmarkStart w:id="44" w:name="_pv4m44qb81tf" w:colFirst="0" w:colLast="0"/>
      <w:bookmarkStart w:id="45" w:name="_Toc213759718"/>
      <w:bookmarkEnd w:id="44"/>
      <w:r>
        <w:t>3.3.2 Suitability of Long-Term Options</w:t>
      </w:r>
      <w:bookmarkEnd w:id="45"/>
      <w:r>
        <w:t xml:space="preserve"> </w:t>
      </w:r>
    </w:p>
    <w:p w14:paraId="0000002A" w14:textId="77777777" w:rsidR="00723379" w:rsidRDefault="00250930">
      <w:r>
        <w:t>Since the issues faced by the firm are chronic (long-term losses and loss of revenues), a significant part of the deficit should be subsequently addressed long-term. Additional debt is not to be encouraged because of high crippling gearing and non-existent interest coverage. Significant Equity Injection is the most viable, but difficult option, in the long term. Despite the negative EPS (pessimistic), the balancing sheet can only be deleveraged via new equity and this should be done in order to provide non-repayable cash to restructure the company and to provide a message to the market and creditors that the company is undergoing a turnaround (FreshBooks, 2023).</w:t>
      </w:r>
    </w:p>
    <w:p w14:paraId="0000002B" w14:textId="77777777" w:rsidR="00723379" w:rsidRDefault="00250930">
      <w:pPr>
        <w:pStyle w:val="Heading3"/>
        <w:spacing w:before="240" w:after="240"/>
        <w:jc w:val="left"/>
      </w:pPr>
      <w:bookmarkStart w:id="46" w:name="_xr8sa6v1zdrp" w:colFirst="0" w:colLast="0"/>
      <w:bookmarkStart w:id="47" w:name="_Toc213759719"/>
      <w:bookmarkEnd w:id="46"/>
      <w:r>
        <w:t>3.3.3 Recommendation on Financing the Working Capital Deficit</w:t>
      </w:r>
      <w:bookmarkEnd w:id="47"/>
    </w:p>
    <w:p w14:paraId="0000002C" w14:textId="77777777" w:rsidR="00723379" w:rsidRDefault="00250930">
      <w:r>
        <w:t>The solution is a two-step process. Non-recourse factoring receivables should be implemented to get cash being liquidated urgently and immediately. It is an expensive, short term measure and it thwarts default in the short term. At the same time, the inherent capital shortage needs to be resolved through a high-strategy, though at a discount, equity capital injection. This offers the required long term capital to finance the turn-around plan without adding more fuel to the already burdening debt finances (eCapital Corp, 2021).</w:t>
      </w:r>
    </w:p>
    <w:p w14:paraId="0000002D" w14:textId="77777777" w:rsidR="00723379" w:rsidRDefault="00250930">
      <w:pPr>
        <w:pStyle w:val="Heading1"/>
        <w:keepNext w:val="0"/>
        <w:keepLines w:val="0"/>
        <w:spacing w:before="280" w:after="80"/>
      </w:pPr>
      <w:bookmarkStart w:id="48" w:name="_ufmqurpvm7vg" w:colFirst="0" w:colLast="0"/>
      <w:bookmarkStart w:id="49" w:name="_Toc213759720"/>
      <w:bookmarkEnd w:id="48"/>
      <w:r>
        <w:t>4.0 Strategic Financial Restructuring Plan</w:t>
      </w:r>
      <w:bookmarkEnd w:id="49"/>
    </w:p>
    <w:p w14:paraId="0000002E" w14:textId="77777777" w:rsidR="00723379" w:rsidRDefault="00250930">
      <w:pPr>
        <w:pStyle w:val="Heading2"/>
        <w:spacing w:before="240" w:after="240"/>
        <w:jc w:val="left"/>
      </w:pPr>
      <w:bookmarkStart w:id="50" w:name="_l4piks1smlcu" w:colFirst="0" w:colLast="0"/>
      <w:bookmarkStart w:id="51" w:name="_Toc213759721"/>
      <w:bookmarkEnd w:id="50"/>
      <w:r>
        <w:t>4.1 The Case for Radical Financial Restructuring</w:t>
      </w:r>
      <w:bookmarkEnd w:id="51"/>
    </w:p>
    <w:p w14:paraId="0000002F" w14:textId="77777777" w:rsidR="00723379" w:rsidRDefault="00250930">
      <w:pPr>
        <w:pBdr>
          <w:top w:val="nil"/>
          <w:left w:val="nil"/>
          <w:bottom w:val="nil"/>
          <w:right w:val="nil"/>
          <w:between w:val="nil"/>
        </w:pBdr>
      </w:pPr>
      <w:r>
        <w:t>The financial analysis of General Electronics (negative ROCE: -9.27, Interest Coverage Ratio: -0.41) and Altman Z-Score (2.98) show that it is not only in a cyclical decline but also is going to bankruptcy. The debilitating debt position (Debt/Equity: 1.88) demands radical financial restructuring to accomplish three goals; recapitalise the balance sheet (debt to equity, more equity to less debt), concentrate on high-margin, high cash flow activities and earn back market confidence to invest and finance again (Corporate Finance Institute, 2025). The current framework is evidently unstable and it needs aggressive intervention to stabilize it.</w:t>
      </w:r>
    </w:p>
    <w:p w14:paraId="00000030" w14:textId="77777777" w:rsidR="00723379" w:rsidRDefault="00250930">
      <w:pPr>
        <w:pStyle w:val="Heading2"/>
        <w:spacing w:before="240" w:after="240"/>
        <w:jc w:val="left"/>
      </w:pPr>
      <w:bookmarkStart w:id="52" w:name="_16ak3qwtnxtd" w:colFirst="0" w:colLast="0"/>
      <w:bookmarkStart w:id="53" w:name="_Toc213759722"/>
      <w:bookmarkEnd w:id="52"/>
      <w:r>
        <w:lastRenderedPageBreak/>
        <w:t>4.2 Critical Evaluation of Restructuring Options</w:t>
      </w:r>
      <w:bookmarkEnd w:id="53"/>
    </w:p>
    <w:p w14:paraId="00000031" w14:textId="77777777" w:rsidR="00723379" w:rsidRDefault="00250930">
      <w:pPr>
        <w:pStyle w:val="Heading3"/>
        <w:spacing w:before="240" w:after="240"/>
        <w:jc w:val="left"/>
      </w:pPr>
      <w:bookmarkStart w:id="54" w:name="_6knyos764cun" w:colFirst="0" w:colLast="0"/>
      <w:bookmarkStart w:id="55" w:name="_Toc213759723"/>
      <w:bookmarkEnd w:id="54"/>
      <w:r>
        <w:t>4.2.1 Option 1: Divestiture</w:t>
      </w:r>
      <w:bookmarkEnd w:id="55"/>
      <w:r>
        <w:t xml:space="preserve">  </w:t>
      </w:r>
    </w:p>
    <w:p w14:paraId="00000032" w14:textId="77777777" w:rsidR="00723379" w:rsidRDefault="00250930">
      <w:r>
        <w:t>Divestiture is the quickest path of producing high non-debt cash flow that instantly enhances liquidity and lowers the Total Assets base, which will swell major profitability and efficiency ratios. It is also a way to help management focus on the core and the most viable consumer electronics segments. The limitation is that it may sell assets that are undervalued and under distress and reduce the overall size of the firm when it comes to its potential growth prospects. Since there is a pressing cash requirement to finance the working capital to cover the debts of operation, divestiture of non-performing units is very appealing (Wafa Khémiri, Eman Fathi Attia and Chafai, 2024).</w:t>
      </w:r>
    </w:p>
    <w:p w14:paraId="00000033" w14:textId="77777777" w:rsidR="00723379" w:rsidRDefault="00250930">
      <w:pPr>
        <w:pStyle w:val="Heading3"/>
        <w:spacing w:before="240" w:after="240"/>
        <w:jc w:val="left"/>
      </w:pPr>
      <w:bookmarkStart w:id="56" w:name="_gvj0735vjxbo" w:colFirst="0" w:colLast="0"/>
      <w:bookmarkStart w:id="57" w:name="_Toc213759724"/>
      <w:bookmarkEnd w:id="56"/>
      <w:r>
        <w:t>4.2.2 Option 2: Merger or Strategic Acquisition (M&amp;A)</w:t>
      </w:r>
      <w:bookmarkEnd w:id="57"/>
    </w:p>
    <w:p w14:paraId="00000034" w14:textId="77777777" w:rsidR="00723379" w:rsidRDefault="00250930">
      <w:r>
        <w:t>The turnaround of revenue and profitability would be through conducting a merger with a financially healthy competitor or a strategic acquisition of a growing technology. Merger will enable instant scale, synergy, and a much-needed cash influx by the partner which will address the liquidity and debt issues at a single move. Nevertheless, M&amp;As are time-consuming, complicated and have a high risk of integration (Donnelly, 2024). Considering that General electronics was in a very bad position financially, it would probably be the weaker party in any of these negotiations and therefore it could be lowly valued and lose the strategic control.</w:t>
      </w:r>
    </w:p>
    <w:p w14:paraId="00000035" w14:textId="77777777" w:rsidR="00723379" w:rsidRDefault="00250930">
      <w:pPr>
        <w:pStyle w:val="Heading3"/>
        <w:spacing w:before="240" w:after="240"/>
        <w:jc w:val="left"/>
      </w:pPr>
      <w:bookmarkStart w:id="58" w:name="_itlte6i6th6j" w:colFirst="0" w:colLast="0"/>
      <w:bookmarkStart w:id="59" w:name="_Toc213759725"/>
      <w:bookmarkEnd w:id="58"/>
      <w:r>
        <w:t>4.2.3 Option 3: New Equity Injection</w:t>
      </w:r>
      <w:bookmarkEnd w:id="59"/>
      <w:r>
        <w:t xml:space="preserve">  </w:t>
      </w:r>
    </w:p>
    <w:p w14:paraId="00000036" w14:textId="77777777" w:rsidR="00723379" w:rsidRDefault="00250930">
      <w:r>
        <w:t>Equity injection is a direct solution to the two most important problems: raising the base of the Total Equity is an immediate de-gearing of the balance sheet (the decrease of the D/E ratio), and an essential source of non-debt funds. According to a strategic investor, a private to a strategic investor would be faster than the rights issue. The biggest barrier is the poor market image (poor EPS), i.e. new issues would be issued at a significantly discounted price, with a great dilution on the old ones. Dilution is rather expensive, yet out of pure bankruptcy has to be prevented (Aradhana Gotur, 2021).</w:t>
      </w:r>
    </w:p>
    <w:p w14:paraId="00000037" w14:textId="77777777" w:rsidR="00723379" w:rsidRDefault="00250930">
      <w:pPr>
        <w:pStyle w:val="Heading3"/>
        <w:spacing w:before="240" w:after="240"/>
        <w:jc w:val="left"/>
      </w:pPr>
      <w:bookmarkStart w:id="60" w:name="_8lr3kwr3t4yz" w:colFirst="0" w:colLast="0"/>
      <w:bookmarkStart w:id="61" w:name="_Toc213759726"/>
      <w:bookmarkEnd w:id="60"/>
      <w:r>
        <w:lastRenderedPageBreak/>
        <w:t>4.2.4 Option 4: Debt Restructuring</w:t>
      </w:r>
      <w:bookmarkEnd w:id="61"/>
      <w:r>
        <w:t xml:space="preserve">  </w:t>
      </w:r>
    </w:p>
    <w:p w14:paraId="00000038" w14:textId="77777777" w:rsidR="00723379" w:rsidRDefault="00250930">
      <w:r>
        <w:t>Debt restructuring aims to overcome crippling debt interest. Refinancing is intended to obtain lower interest rates and longer maturity rates. But since General Electronics has a negative Interest Coverage Ratio, new loans will be very expensive or even unavailable. A Debt-for-Equity (D/E) Swap is an effective tool of converting part of the creditor debt to equity. This will decrease the main debt and interest payments per year significantly and also enhance the D/E ratio. The downside is that creditors will become shareholders and they might interfere with the management autonomy and strategy. It is an important means of survival (Fund, 2021).</w:t>
      </w:r>
    </w:p>
    <w:p w14:paraId="00000039" w14:textId="77777777" w:rsidR="00723379" w:rsidRDefault="00250930">
      <w:pPr>
        <w:pStyle w:val="Heading2"/>
        <w:spacing w:before="240" w:after="240"/>
        <w:jc w:val="left"/>
      </w:pPr>
      <w:bookmarkStart w:id="62" w:name="_jgvn84xzsv41" w:colFirst="0" w:colLast="0"/>
      <w:bookmarkStart w:id="63" w:name="_Toc213759727"/>
      <w:bookmarkEnd w:id="62"/>
      <w:r>
        <w:t>4.3 The Proposed Restructuring Strategy</w:t>
      </w:r>
      <w:bookmarkEnd w:id="63"/>
    </w:p>
    <w:p w14:paraId="0000003A" w14:textId="77777777" w:rsidR="00723379" w:rsidRDefault="00250930">
      <w:pPr>
        <w:pStyle w:val="Heading3"/>
        <w:spacing w:before="240" w:after="240"/>
        <w:jc w:val="left"/>
      </w:pPr>
      <w:bookmarkStart w:id="64" w:name="_r3meqebt2g9j" w:colFirst="0" w:colLast="0"/>
      <w:bookmarkStart w:id="65" w:name="_Toc213759728"/>
      <w:bookmarkEnd w:id="64"/>
      <w:r>
        <w:t>4.3.1 Projected Impact on Shareholder Value</w:t>
      </w:r>
      <w:bookmarkEnd w:id="65"/>
      <w:r>
        <w:t xml:space="preserve">  </w:t>
      </w:r>
    </w:p>
    <w:p w14:paraId="0000003B" w14:textId="77777777" w:rsidR="00723379" w:rsidRDefault="00250930">
      <w:r>
        <w:t>The effect that will be realized on the immediate Earnings Per Share (EPS) will be negative because of the dilution caused by the D/E swap and the privateness placement. The long-term effect on shareholder value is, however, very good. The cut in the interest bearing debt reduces the cost of debt, and the clean balance sheet reduces the perceived risk of the firm thereby decreasing the Weighted Average Cost of Capital (WACC) (Dato et al., 2025). The decreasing WACC will raise Net Present Value of all future projects making intrinsic firm value high and recovery of positive EPS in three years.</w:t>
      </w:r>
    </w:p>
    <w:p w14:paraId="0000003C" w14:textId="77777777" w:rsidR="00723379" w:rsidRDefault="00250930">
      <w:pPr>
        <w:pStyle w:val="Heading3"/>
        <w:spacing w:before="240" w:after="240"/>
        <w:jc w:val="left"/>
      </w:pPr>
      <w:bookmarkStart w:id="66" w:name="_8l7tkh5ckdlo" w:colFirst="0" w:colLast="0"/>
      <w:bookmarkStart w:id="67" w:name="_Toc213759729"/>
      <w:bookmarkEnd w:id="66"/>
      <w:r>
        <w:t>4.3.2 Projected Impact on Debt Structure and Credit Rating</w:t>
      </w:r>
      <w:bookmarkEnd w:id="67"/>
    </w:p>
    <w:p w14:paraId="0000003D" w14:textId="77777777" w:rsidR="00723379" w:rsidRDefault="00250930">
      <w:r>
        <w:t>The hybrid strategy will alter the debt make-up. The D/E swap substantially lowers the principal debt and the financing mix stays away from the debt cadre to equities. This will instantly deleverage this Interest Coverage Ratio (which is currently at -0.41). More importantly, this will cause stabilization or even an increase in the credit rating of the firm, which will make future borrowing cheaper and allow the firm to retain its access to essential trade credit and short term facilities which were threatened by the high Z-Score (Nuri Ersahin, Giannetti and Huang, 2024).</w:t>
      </w:r>
    </w:p>
    <w:p w14:paraId="0000003E" w14:textId="77777777" w:rsidR="00723379" w:rsidRDefault="00250930">
      <w:pPr>
        <w:pStyle w:val="Heading3"/>
        <w:spacing w:before="240" w:after="240"/>
        <w:jc w:val="left"/>
      </w:pPr>
      <w:bookmarkStart w:id="68" w:name="_70tn1vxr2zcl" w:colFirst="0" w:colLast="0"/>
      <w:bookmarkStart w:id="69" w:name="_Toc213759730"/>
      <w:bookmarkEnd w:id="68"/>
      <w:r>
        <w:t>4.3.3 Enhancing Operational and Strategic Flexibility</w:t>
      </w:r>
      <w:bookmarkEnd w:id="69"/>
    </w:p>
    <w:p w14:paraId="0000003F" w14:textId="77777777" w:rsidR="00723379" w:rsidRDefault="00250930">
      <w:r>
        <w:t xml:space="preserve">Sale of non-core assets leads to a greater flexibility in operations by being less complex, and it gives the senior management freedom to concentrate on high potential product lines within the </w:t>
      </w:r>
      <w:r>
        <w:lastRenderedPageBreak/>
        <w:t>core consumer electronics market. The financial flexibility provided by the decreased debt load and cash infusion is seen to enable the firm to: 1) invest freely in new projects that come with good returns (as evaluated in Section 5.0), 2) mingle the required working capital improvements quickly, and 3) react quickly to market developments without facing the issue of debt covenants and urgent liquidity issues (I. R.Team, 2025).</w:t>
      </w:r>
    </w:p>
    <w:p w14:paraId="00000040" w14:textId="77777777" w:rsidR="00723379" w:rsidRDefault="00250930">
      <w:pPr>
        <w:pStyle w:val="Heading2"/>
        <w:spacing w:before="240" w:after="240"/>
        <w:jc w:val="left"/>
      </w:pPr>
      <w:bookmarkStart w:id="70" w:name="_x69jyk9jmfhl" w:colFirst="0" w:colLast="0"/>
      <w:bookmarkStart w:id="71" w:name="_Toc213759731"/>
      <w:bookmarkEnd w:id="70"/>
      <w:r>
        <w:t>4.4 International and Ethical Considerations of the Strategy</w:t>
      </w:r>
      <w:bookmarkEnd w:id="71"/>
    </w:p>
    <w:p w14:paraId="00000041" w14:textId="77777777" w:rsidR="00723379" w:rsidRDefault="00250930">
      <w:pPr>
        <w:pStyle w:val="Heading3"/>
        <w:spacing w:before="240" w:after="240"/>
        <w:jc w:val="left"/>
      </w:pPr>
      <w:bookmarkStart w:id="72" w:name="_2k3pm0efekec" w:colFirst="0" w:colLast="0"/>
      <w:bookmarkStart w:id="73" w:name="_Toc213759732"/>
      <w:bookmarkEnd w:id="72"/>
      <w:r>
        <w:t>4.4.1 Global Financial Risks</w:t>
      </w:r>
      <w:bookmarkEnd w:id="73"/>
      <w:r>
        <w:t xml:space="preserve">  </w:t>
      </w:r>
    </w:p>
    <w:p w14:paraId="00000042" w14:textId="77777777" w:rsidR="00723379" w:rsidRDefault="00250930">
      <w:r>
        <w:t>General Electronics being an international company, there are various global risks that it has to deal with in the restructuring process. The disposal of the foreign assets has to consider the Currency Risk, where the proceeds of hedging is made in other currencies other than the base currency (pounds), and which has to be converted back to the base currency to ensure it is not susceptible to the fluctuation of the exchange rates (Ayadi, Walid Ben Omrane and Panah, 2025). Moreover, the company would need to keep track of the Inflation worldwide, since an increase in the costs of materials and labour in major manufacturing areas may swiftly destroy the margins earned due to operational restructuring. There is the need to use derivatives and a multi-currency budgeting strategy (Sap.com, 2025).</w:t>
      </w:r>
    </w:p>
    <w:p w14:paraId="00000043" w14:textId="77777777" w:rsidR="00723379" w:rsidRDefault="00250930">
      <w:pPr>
        <w:pStyle w:val="Heading3"/>
        <w:spacing w:before="240" w:after="240"/>
        <w:jc w:val="left"/>
      </w:pPr>
      <w:bookmarkStart w:id="74" w:name="_71yrh9mpwj5t" w:colFirst="0" w:colLast="0"/>
      <w:bookmarkStart w:id="75" w:name="_Toc213759733"/>
      <w:bookmarkEnd w:id="74"/>
      <w:r>
        <w:t>4.4.2 International Taxation and Transfer Pricing Implications</w:t>
      </w:r>
      <w:bookmarkEnd w:id="75"/>
    </w:p>
    <w:p w14:paraId="00000044" w14:textId="77777777" w:rsidR="00723379" w:rsidRDefault="00250930">
      <w:r>
        <w:t>Any cross-border divestiture or change of operations attracts complicated international taxable liabilities. The plan should provide services of an expert in organizing the sale of the assets so that capital gains taxes can be reduced. General Electronics needs to make sure that the price setting processes between the subsidiaries that remain internationally after the implemented restructuring should follow the Transfer Pricing rules (the arm length principle) (Chokhawala, 2024). Non-compliance could attract severe punishments and also damage her reputation in numerous jurisdictions.</w:t>
      </w:r>
    </w:p>
    <w:p w14:paraId="00000045" w14:textId="77777777" w:rsidR="00723379" w:rsidRDefault="00250930">
      <w:pPr>
        <w:pStyle w:val="Heading3"/>
        <w:spacing w:before="240" w:after="240"/>
        <w:jc w:val="left"/>
      </w:pPr>
      <w:bookmarkStart w:id="76" w:name="_hogmr8ixzwks" w:colFirst="0" w:colLast="0"/>
      <w:bookmarkStart w:id="77" w:name="_Toc213759734"/>
      <w:bookmarkEnd w:id="76"/>
      <w:r>
        <w:t>4.4.3 Corporate Social Responsibility (CSR) and Ethical Obligations</w:t>
      </w:r>
      <w:bookmarkEnd w:id="77"/>
      <w:r>
        <w:t xml:space="preserve"> </w:t>
      </w:r>
    </w:p>
    <w:p w14:paraId="00000046" w14:textId="77777777" w:rsidR="00723379" w:rsidRDefault="00250930">
      <w:r>
        <w:t xml:space="preserve">Ethical Obligations are very high in the restructuring plan particularly as it involves the divestiture phase. Even in times of dire financial need, the CFO has to continue with a focus on the responsible </w:t>
      </w:r>
      <w:r>
        <w:lastRenderedPageBreak/>
        <w:t>treatment of employee effects of the divestiture, paying fair severance packages and outplacement services. Any decisions taken should be in line with CSR principles whereby supply chains should not be characterised by unethical labour practices and that environmental standards are upheld which reflects willingness to serve stakeholders outside creditors and new investors in the short term (Nguyen et al., 2024). Ethical behavior of the firm in the crisis will be a long-term reputation for the firm.</w:t>
      </w:r>
    </w:p>
    <w:p w14:paraId="00000047" w14:textId="77777777" w:rsidR="00723379" w:rsidRDefault="00250930">
      <w:pPr>
        <w:pStyle w:val="Heading1"/>
        <w:keepNext w:val="0"/>
        <w:keepLines w:val="0"/>
        <w:spacing w:before="280" w:after="80"/>
      </w:pPr>
      <w:bookmarkStart w:id="78" w:name="_qri4vbu0bf3z" w:colFirst="0" w:colLast="0"/>
      <w:bookmarkStart w:id="79" w:name="_Toc213759735"/>
      <w:bookmarkEnd w:id="78"/>
      <w:r>
        <w:t>5.0 Investment Appraisal and Capital Budgeting</w:t>
      </w:r>
      <w:bookmarkEnd w:id="79"/>
      <w:r>
        <w:t xml:space="preserve"> </w:t>
      </w:r>
    </w:p>
    <w:p w14:paraId="00000048" w14:textId="77777777" w:rsidR="00723379" w:rsidRDefault="00250930">
      <w:pPr>
        <w:pStyle w:val="Heading2"/>
        <w:spacing w:before="240" w:after="240"/>
        <w:jc w:val="left"/>
      </w:pPr>
      <w:bookmarkStart w:id="80" w:name="_4gts8wcznbtm" w:colFirst="0" w:colLast="0"/>
      <w:bookmarkStart w:id="81" w:name="_Toc213759736"/>
      <w:bookmarkEnd w:id="80"/>
      <w:r>
        <w:t>5.1 Introduction to the Proposed Investment Projects</w:t>
      </w:r>
      <w:bookmarkEnd w:id="81"/>
    </w:p>
    <w:p w14:paraId="00000049" w14:textId="77777777" w:rsidR="00723379" w:rsidRDefault="00250930">
      <w:r>
        <w:t>General Electronics should plan on how to use its limited capital to ensure its profitability and growth in future after this critical financial restructuring. The current section is an analysis of three suggested and mutually exclusive investment plans (A, B and C) in a 5 year horizon under a required discount rate of 10. Project A will need an initial investment of £40m with front-loaded cash flows. Project B is a more stable, small investment needing the availability of 30 million pounds of money and with the annual cash inflow of 6 million pounds. Lastly the Project C is the biggest and requires investment of 50 million pounds though it has a very inconsistent and volatile pay back in the later years. The recovery will be analyzed with the help of PBP, ARR, NPV, PI, and IRR and recommend the best allocation of capital within a restriction limit of 60 million pounds.</w:t>
      </w:r>
    </w:p>
    <w:p w14:paraId="0000004A" w14:textId="77777777" w:rsidR="00723379" w:rsidRDefault="00250930">
      <w:pPr>
        <w:pStyle w:val="Heading2"/>
        <w:spacing w:before="240" w:after="240"/>
        <w:jc w:val="left"/>
      </w:pPr>
      <w:bookmarkStart w:id="82" w:name="_e1lst2rgorq4" w:colFirst="0" w:colLast="0"/>
      <w:bookmarkStart w:id="83" w:name="_Toc213759737"/>
      <w:bookmarkEnd w:id="82"/>
      <w:r>
        <w:lastRenderedPageBreak/>
        <w:t>5.3 Project Evaluation: Non-Discounted Cash Flow Methods</w:t>
      </w:r>
      <w:bookmarkEnd w:id="83"/>
    </w:p>
    <w:p w14:paraId="0000004B" w14:textId="31CD6296" w:rsidR="00723379" w:rsidRDefault="00250930">
      <w:pPr>
        <w:pStyle w:val="Heading3"/>
        <w:spacing w:before="240" w:after="240"/>
        <w:jc w:val="left"/>
      </w:pPr>
      <w:bookmarkStart w:id="84" w:name="_u9upwp42mwkc" w:colFirst="0" w:colLast="0"/>
      <w:bookmarkStart w:id="85" w:name="_Toc213759738"/>
      <w:bookmarkEnd w:id="84"/>
      <w:r>
        <w:t>5.3.1 Payback Period (PBP)</w:t>
      </w:r>
      <w:bookmarkEnd w:id="85"/>
    </w:p>
    <w:p w14:paraId="2F4BE2F2" w14:textId="1EB9AFD7" w:rsidR="00431B14" w:rsidRDefault="00431B14" w:rsidP="00431B14">
      <w:pPr>
        <w:jc w:val="center"/>
      </w:pPr>
      <w:r>
        <w:rPr>
          <w:noProof/>
          <w:lang w:val="en-US"/>
        </w:rPr>
        <w:drawing>
          <wp:inline distT="0" distB="0" distL="0" distR="0" wp14:anchorId="46909BDC" wp14:editId="0F1DC4AE">
            <wp:extent cx="4572000" cy="27432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49B9A61" w14:textId="56D4C590" w:rsidR="00431B14" w:rsidRPr="00431B14" w:rsidRDefault="00431B14" w:rsidP="00431B14">
      <w:pPr>
        <w:jc w:val="center"/>
        <w:rPr>
          <w:b/>
        </w:rPr>
      </w:pPr>
      <w:r>
        <w:rPr>
          <w:b/>
        </w:rPr>
        <w:t xml:space="preserve">Figure 10: </w:t>
      </w:r>
      <w:r w:rsidRPr="00431B14">
        <w:rPr>
          <w:b/>
        </w:rPr>
        <w:t>Payback Period (PBP)</w:t>
      </w:r>
    </w:p>
    <w:p w14:paraId="0000004C" w14:textId="77777777" w:rsidR="00723379" w:rsidRDefault="00250930">
      <w:pPr>
        <w:pBdr>
          <w:top w:val="nil"/>
          <w:left w:val="nil"/>
          <w:bottom w:val="nil"/>
          <w:right w:val="nil"/>
          <w:between w:val="nil"/>
        </w:pBdr>
      </w:pPr>
      <w:r>
        <w:t>Payback Period (PBP) is an important liquidity-risk measure, to the financially troubled company such as General Electronics, since it is estimated to be the time period within which initial investment is recovered. The PBP of project A is the lowest and at 3.4 years, the project has front-loaded cash flows. Project C is almost 3.6 years old. Project B has the longest combination of the PBP, after which it is only able to recover the investment after 5.0 years, having a lower annual returns. By using the PBP alone, Project A represents a better option because it will reduce the amount of capital that will be at risk and also gives the highest amount of cash to reduce the liquidity stress of the firm. Nevertheless, PBP is a rough estimate, because it does not take into consideration cash flow beyond the payback date or any consideration of the time value of money and therefore requires discounting techniques to make the final investment decision (Oyetola Oyelakun et al., 2025).</w:t>
      </w:r>
    </w:p>
    <w:p w14:paraId="0000004D" w14:textId="60F2CD08" w:rsidR="00723379" w:rsidRDefault="00250930">
      <w:pPr>
        <w:pStyle w:val="Heading3"/>
        <w:spacing w:before="240" w:after="240"/>
        <w:jc w:val="left"/>
      </w:pPr>
      <w:bookmarkStart w:id="86" w:name="_qcscdcwrun00" w:colFirst="0" w:colLast="0"/>
      <w:bookmarkStart w:id="87" w:name="_Toc213759739"/>
      <w:bookmarkEnd w:id="86"/>
      <w:r>
        <w:lastRenderedPageBreak/>
        <w:t>5.3.2 Accounting Rate of Return (ARR)</w:t>
      </w:r>
      <w:bookmarkEnd w:id="87"/>
      <w:r>
        <w:t xml:space="preserve"> </w:t>
      </w:r>
    </w:p>
    <w:p w14:paraId="5DB08931" w14:textId="43ACC8E2" w:rsidR="00431B14" w:rsidRPr="00431B14" w:rsidRDefault="00431B14" w:rsidP="00431B14">
      <w:pPr>
        <w:jc w:val="center"/>
      </w:pPr>
      <w:r>
        <w:rPr>
          <w:noProof/>
          <w:lang w:val="en-US"/>
        </w:rPr>
        <w:drawing>
          <wp:inline distT="0" distB="0" distL="0" distR="0" wp14:anchorId="56A35154" wp14:editId="441C256B">
            <wp:extent cx="4572000" cy="2750820"/>
            <wp:effectExtent l="0" t="0" r="0" b="1143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E3CD626" w14:textId="29F588E3" w:rsidR="00431B14" w:rsidRPr="00431B14" w:rsidRDefault="00431B14" w:rsidP="00431B14">
      <w:pPr>
        <w:jc w:val="center"/>
        <w:rPr>
          <w:b/>
        </w:rPr>
      </w:pPr>
      <w:r>
        <w:rPr>
          <w:b/>
        </w:rPr>
        <w:t xml:space="preserve">Figure 11: </w:t>
      </w:r>
      <w:r w:rsidRPr="00431B14">
        <w:rPr>
          <w:b/>
        </w:rPr>
        <w:t>Accounting Rate of Return (ARR)</w:t>
      </w:r>
    </w:p>
    <w:p w14:paraId="0000004E" w14:textId="77777777" w:rsidR="00723379" w:rsidRDefault="00250930">
      <w:pPr>
        <w:pBdr>
          <w:top w:val="nil"/>
          <w:left w:val="nil"/>
          <w:bottom w:val="nil"/>
          <w:right w:val="nil"/>
          <w:between w:val="nil"/>
        </w:pBdr>
      </w:pPr>
      <w:r>
        <w:t>Accounting Rate of Return (ARR) is used to value the percentage of the first investment that the project generates an average annual accounting profit, which uses non-cash-flow data. According to straight-line depreciation, Project C would be the best choice based on ARR, which is 10.00. Project A comes next with 7.00 and project B with 0.00% since in project B the cumulative cash inflows equalize investment thus no average accounting profit. Still, despite ARR being a measure of the intrinsic overall profitability of a project without taking into consideration the time value of money, its use of accounting profit and failure to remove the discount rate of 10 percent associated with a firm make it a secondary measure (Vipond, 2025). Discounted cash flow techniques should be given the first priority in the main investment decision.</w:t>
      </w:r>
    </w:p>
    <w:p w14:paraId="0000004F" w14:textId="77777777" w:rsidR="00723379" w:rsidRDefault="00250930">
      <w:pPr>
        <w:pStyle w:val="Heading2"/>
        <w:spacing w:before="240" w:after="240"/>
        <w:jc w:val="left"/>
      </w:pPr>
      <w:bookmarkStart w:id="88" w:name="_vr0x3yw04jv2" w:colFirst="0" w:colLast="0"/>
      <w:bookmarkStart w:id="89" w:name="_Toc213759740"/>
      <w:bookmarkEnd w:id="88"/>
      <w:r>
        <w:lastRenderedPageBreak/>
        <w:t>5.4 Project Evaluation: Discounted Cash Flow (DCF) Methods</w:t>
      </w:r>
      <w:bookmarkEnd w:id="89"/>
    </w:p>
    <w:p w14:paraId="00000050" w14:textId="2A06C3E0" w:rsidR="00723379" w:rsidRDefault="00250930">
      <w:pPr>
        <w:pStyle w:val="Heading3"/>
        <w:spacing w:before="240" w:after="240"/>
        <w:jc w:val="left"/>
      </w:pPr>
      <w:bookmarkStart w:id="90" w:name="_uij816qo0hbp" w:colFirst="0" w:colLast="0"/>
      <w:bookmarkStart w:id="91" w:name="_Toc213759741"/>
      <w:bookmarkEnd w:id="90"/>
      <w:r>
        <w:t>5.4.1 Net Present Value (NPV)</w:t>
      </w:r>
      <w:bookmarkEnd w:id="91"/>
      <w:r>
        <w:t xml:space="preserve"> </w:t>
      </w:r>
    </w:p>
    <w:p w14:paraId="60953FD1" w14:textId="3B73C252" w:rsidR="00431B14" w:rsidRPr="00431B14" w:rsidRDefault="00431B14" w:rsidP="00431B14">
      <w:pPr>
        <w:jc w:val="center"/>
      </w:pPr>
      <w:r>
        <w:rPr>
          <w:noProof/>
          <w:lang w:val="en-US"/>
        </w:rPr>
        <w:drawing>
          <wp:inline distT="0" distB="0" distL="0" distR="0" wp14:anchorId="62F28832" wp14:editId="3226E08E">
            <wp:extent cx="4572000" cy="2758440"/>
            <wp:effectExtent l="0" t="0" r="0" b="381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0A64D53" w14:textId="58711420" w:rsidR="00431B14" w:rsidRPr="00431B14" w:rsidRDefault="00431B14" w:rsidP="00431B14">
      <w:pPr>
        <w:jc w:val="center"/>
        <w:rPr>
          <w:b/>
        </w:rPr>
      </w:pPr>
      <w:r>
        <w:rPr>
          <w:b/>
        </w:rPr>
        <w:t xml:space="preserve">Figure 12: </w:t>
      </w:r>
      <w:r w:rsidRPr="00431B14">
        <w:rPr>
          <w:b/>
        </w:rPr>
        <w:t>Net Present Value (NPV)</w:t>
      </w:r>
    </w:p>
    <w:p w14:paraId="00000051" w14:textId="77777777" w:rsidR="00723379" w:rsidRDefault="00250930">
      <w:pPr>
        <w:pBdr>
          <w:top w:val="nil"/>
          <w:left w:val="nil"/>
          <w:bottom w:val="nil"/>
          <w:right w:val="nil"/>
          <w:between w:val="nil"/>
        </w:pBdr>
      </w:pPr>
      <w:r>
        <w:t>The method that is theoretically valid in evaluating the growth in shareholders wealth through 10 percent cost of capital is the Net Present Value (NPV). Project C has the best absolute NPV of 9.31 million that is why this is of greatest benefit to the firm. Project A also values NPV +1.32m. Importantly, Project B has a negative NPV of 7.26M. According to the wealth maximisation principle, the best investment will be Project C since Project B will destroy the value of the shareholders. Project A is not bad but has much less value compared to Project C. This discussion confirms that the payback period of projects at the rate of 10% discount can be positive (Shou, 2022). The absolute effect of projects on the value of a firm differs significantly, making Project C the best financial choice.</w:t>
      </w:r>
    </w:p>
    <w:p w14:paraId="6A91C95F" w14:textId="77777777" w:rsidR="00431B14" w:rsidRDefault="00250930">
      <w:pPr>
        <w:pStyle w:val="Heading3"/>
        <w:spacing w:before="240" w:after="240"/>
        <w:jc w:val="left"/>
      </w:pPr>
      <w:bookmarkStart w:id="92" w:name="_oog8s0o3zbx1" w:colFirst="0" w:colLast="0"/>
      <w:bookmarkStart w:id="93" w:name="_Toc213759742"/>
      <w:bookmarkEnd w:id="92"/>
      <w:r>
        <w:lastRenderedPageBreak/>
        <w:t>5.4.2 Internal Rate of Return (IRR)</w:t>
      </w:r>
      <w:bookmarkEnd w:id="93"/>
    </w:p>
    <w:p w14:paraId="00000052" w14:textId="4971960D" w:rsidR="00723379" w:rsidRDefault="00431B14" w:rsidP="00027741">
      <w:pPr>
        <w:jc w:val="center"/>
      </w:pPr>
      <w:r>
        <w:rPr>
          <w:noProof/>
          <w:lang w:val="en-US"/>
        </w:rPr>
        <w:drawing>
          <wp:inline distT="0" distB="0" distL="0" distR="0" wp14:anchorId="1614AF7F" wp14:editId="5A92868B">
            <wp:extent cx="4572000" cy="2750820"/>
            <wp:effectExtent l="0" t="0" r="0" b="1143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5964B17" w14:textId="675F5749" w:rsidR="00431B14" w:rsidRPr="00431B14" w:rsidRDefault="00431B14" w:rsidP="00431B14">
      <w:pPr>
        <w:jc w:val="center"/>
        <w:rPr>
          <w:b/>
        </w:rPr>
      </w:pPr>
      <w:r>
        <w:rPr>
          <w:b/>
        </w:rPr>
        <w:t xml:space="preserve">Figure 14: </w:t>
      </w:r>
      <w:r w:rsidRPr="00431B14">
        <w:rPr>
          <w:b/>
        </w:rPr>
        <w:t>Internal Rate of Return (IRR)</w:t>
      </w:r>
    </w:p>
    <w:p w14:paraId="00000053" w14:textId="77777777" w:rsidR="00723379" w:rsidRDefault="00250930">
      <w:pPr>
        <w:pBdr>
          <w:top w:val="nil"/>
          <w:left w:val="nil"/>
          <w:bottom w:val="nil"/>
          <w:right w:val="nil"/>
          <w:between w:val="nil"/>
        </w:pBdr>
      </w:pPr>
      <w:r>
        <w:t>A zero Net Present Value (NPV) is the discount rate (the Internal Rate of Return). The projects should be acceptable when they have higher IRR than the cost of capital of the firm (10%). The most profitable project, which is financially viable, is project C (IRR 12.72) then Project A (IRR 11.33). Project B (IRR 0.00) cannot be accepted because it needs an amount of zero cost of capital to be even off. IRR proves that Project C should be superior to Project A in terms of expected return, whereas NPV is chosen better in case capital is scarce (Kaiser and McAllister, 2023).</w:t>
      </w:r>
    </w:p>
    <w:p w14:paraId="00000054" w14:textId="726C5999" w:rsidR="00723379" w:rsidRDefault="00250930">
      <w:pPr>
        <w:pStyle w:val="Heading3"/>
        <w:spacing w:before="240" w:after="240"/>
        <w:jc w:val="left"/>
      </w:pPr>
      <w:bookmarkStart w:id="94" w:name="_5av2e8fgxrn2" w:colFirst="0" w:colLast="0"/>
      <w:bookmarkStart w:id="95" w:name="_Toc213759743"/>
      <w:bookmarkEnd w:id="94"/>
      <w:r>
        <w:lastRenderedPageBreak/>
        <w:t>5.4.3 Profitability Index (PI)</w:t>
      </w:r>
      <w:bookmarkEnd w:id="95"/>
      <w:r>
        <w:t xml:space="preserve"> </w:t>
      </w:r>
    </w:p>
    <w:p w14:paraId="41B63479" w14:textId="711F8752" w:rsidR="00431B14" w:rsidRDefault="00431B14" w:rsidP="00431B14">
      <w:pPr>
        <w:jc w:val="center"/>
      </w:pPr>
      <w:r>
        <w:rPr>
          <w:noProof/>
          <w:lang w:val="en-US"/>
        </w:rPr>
        <w:drawing>
          <wp:inline distT="0" distB="0" distL="0" distR="0" wp14:anchorId="27D666D1" wp14:editId="2FC0CDF8">
            <wp:extent cx="4572000" cy="2743200"/>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1975A76" w14:textId="37BACEDF" w:rsidR="00431B14" w:rsidRPr="00400B22" w:rsidRDefault="00400B22" w:rsidP="00431B14">
      <w:pPr>
        <w:jc w:val="center"/>
        <w:rPr>
          <w:b/>
        </w:rPr>
      </w:pPr>
      <w:r>
        <w:rPr>
          <w:b/>
        </w:rPr>
        <w:t xml:space="preserve">Figure 15: </w:t>
      </w:r>
      <w:r w:rsidRPr="00400B22">
        <w:rPr>
          <w:b/>
        </w:rPr>
        <w:t>Profitability Index (PI)</w:t>
      </w:r>
    </w:p>
    <w:p w14:paraId="00000055" w14:textId="77777777" w:rsidR="00723379" w:rsidRDefault="00250930">
      <w:pPr>
        <w:pBdr>
          <w:top w:val="nil"/>
          <w:left w:val="nil"/>
          <w:bottom w:val="nil"/>
          <w:right w:val="nil"/>
          <w:between w:val="nil"/>
        </w:pBdr>
      </w:pPr>
      <w:r>
        <w:t>Profitability Index (PI) plays a very important role in general electronics capital rationing since it is used to measure the worth created in relation to each unit of investment by dividing the present value of the future cash flows by an original investment. PI measures efficiency of capital. Project C is the most efficient and the PI of the project is 1.08, which means that the amount of money one is likely to get back after investing in a project is 1.08. Project A could also be acceptable with PI of 1.03. But Project B is not acceptable, having a PI of 0.76, which means that as much as is spent on it, which is pound, it will lose 24pounds in present value. As PI is connected with the Net Present Value (NPV), that is why the top position of Project C proves that it is the most effective and value-based project of the company (Kitov, 2024).</w:t>
      </w:r>
    </w:p>
    <w:p w14:paraId="00000056" w14:textId="77777777" w:rsidR="00723379" w:rsidRDefault="00250930">
      <w:pPr>
        <w:pStyle w:val="Heading2"/>
        <w:spacing w:before="240" w:after="240"/>
        <w:jc w:val="left"/>
      </w:pPr>
      <w:bookmarkStart w:id="96" w:name="_pkcew09y205v" w:colFirst="0" w:colLast="0"/>
      <w:bookmarkStart w:id="97" w:name="_Toc213759744"/>
      <w:bookmarkEnd w:id="96"/>
      <w:r>
        <w:t>5.5 Recommendation Under Capital Rationing</w:t>
      </w:r>
      <w:bookmarkEnd w:id="97"/>
      <w:r>
        <w:t xml:space="preserve"> </w:t>
      </w:r>
    </w:p>
    <w:p w14:paraId="00000057" w14:textId="77777777" w:rsidR="00723379" w:rsidRDefault="00250930">
      <w:pPr>
        <w:spacing w:after="240"/>
      </w:pPr>
      <w:r>
        <w:t>Given the capital budget limit of £60 million:</w:t>
      </w:r>
    </w:p>
    <w:p w14:paraId="00000058" w14:textId="77777777" w:rsidR="00723379" w:rsidRDefault="00250930">
      <w:pPr>
        <w:numPr>
          <w:ilvl w:val="0"/>
          <w:numId w:val="1"/>
        </w:numPr>
        <w:spacing w:after="0"/>
        <w:jc w:val="left"/>
      </w:pPr>
      <w:r>
        <w:rPr>
          <w:b/>
          <w:bCs/>
        </w:rPr>
        <w:t>Project B</w:t>
      </w:r>
      <w:r>
        <w:t xml:space="preserve"> must be rejected outright due to its negative NPV and PI below 1.0.</w:t>
      </w:r>
    </w:p>
    <w:p w14:paraId="00000059" w14:textId="77777777" w:rsidR="00723379" w:rsidRDefault="00250930">
      <w:pPr>
        <w:numPr>
          <w:ilvl w:val="0"/>
          <w:numId w:val="1"/>
        </w:numPr>
        <w:spacing w:after="0"/>
        <w:jc w:val="left"/>
      </w:pPr>
      <w:r>
        <w:t xml:space="preserve">The highest-ranked remaining project is </w:t>
      </w:r>
      <w:r>
        <w:rPr>
          <w:b/>
          <w:bCs/>
        </w:rPr>
        <w:t>Project C</w:t>
      </w:r>
      <w:r>
        <w:t>, which requires £50 million.</w:t>
      </w:r>
    </w:p>
    <w:p w14:paraId="0000005A" w14:textId="77777777" w:rsidR="00723379" w:rsidRDefault="00250930">
      <w:pPr>
        <w:numPr>
          <w:ilvl w:val="0"/>
          <w:numId w:val="1"/>
        </w:numPr>
        <w:spacing w:after="0"/>
        <w:jc w:val="left"/>
      </w:pPr>
      <w:r>
        <w:t>If Project C is selected, the remaining budget is £60 million -£50 million = £10 million.</w:t>
      </w:r>
    </w:p>
    <w:p w14:paraId="0000005B" w14:textId="77777777" w:rsidR="00723379" w:rsidRDefault="00250930">
      <w:pPr>
        <w:numPr>
          <w:ilvl w:val="0"/>
          <w:numId w:val="1"/>
        </w:numPr>
        <w:spacing w:after="240"/>
        <w:jc w:val="left"/>
      </w:pPr>
      <w:r>
        <w:t>Project A requires £40 million, which exceeds the remaining £10 million.</w:t>
      </w:r>
    </w:p>
    <w:p w14:paraId="0000005C" w14:textId="77777777" w:rsidR="00723379" w:rsidRDefault="00250930">
      <w:pPr>
        <w:spacing w:after="240"/>
      </w:pPr>
      <w:r>
        <w:lastRenderedPageBreak/>
        <w:t xml:space="preserve">Therefore, the only feasible and value-maximising combination is to </w:t>
      </w:r>
      <w:r>
        <w:rPr>
          <w:b/>
          <w:bCs/>
        </w:rPr>
        <w:t>choose Project C exclusively</w:t>
      </w:r>
      <w:r>
        <w:t>.</w:t>
      </w:r>
    </w:p>
    <w:p w14:paraId="0000005D" w14:textId="77777777" w:rsidR="00723379" w:rsidRDefault="00250930">
      <w:pPr>
        <w:pStyle w:val="Heading2"/>
        <w:spacing w:before="240" w:after="240"/>
        <w:jc w:val="left"/>
      </w:pPr>
      <w:bookmarkStart w:id="98" w:name="_nw9g9rk8c3gw" w:colFirst="0" w:colLast="0"/>
      <w:bookmarkStart w:id="99" w:name="_Toc213759745"/>
      <w:bookmarkEnd w:id="98"/>
      <w:r>
        <w:t>5.6 Final Investment Recommendation and Justification</w:t>
      </w:r>
      <w:bookmarkEnd w:id="99"/>
    </w:p>
    <w:p w14:paraId="0000005E" w14:textId="77777777" w:rsidR="00723379" w:rsidRDefault="00250930">
      <w:pPr>
        <w:pStyle w:val="Heading3"/>
        <w:keepNext w:val="0"/>
        <w:keepLines w:val="0"/>
        <w:spacing w:after="40"/>
      </w:pPr>
      <w:bookmarkStart w:id="100" w:name="_zcshavvm2ztc" w:colFirst="0" w:colLast="0"/>
      <w:bookmarkStart w:id="101" w:name="_Toc213759746"/>
      <w:bookmarkEnd w:id="100"/>
      <w:r>
        <w:t>5.7.1 Linking the Decision to the Turnaround Strategy</w:t>
      </w:r>
      <w:bookmarkEnd w:id="101"/>
    </w:p>
    <w:p w14:paraId="0000005F" w14:textId="77777777" w:rsidR="00723379" w:rsidRDefault="00250930">
      <w:pPr>
        <w:spacing w:after="240"/>
      </w:pPr>
      <w:r>
        <w:t>This suggestion is closely connected with the Strategic Financial Restructuring Plan. The objective of the turnaround strategy is to leverage and concentrate on the high value and profitable activities. Project C, which has the largest NPV (£4.23 million) and the best PI (1.08) is the most efficient means to create the value of the future economic value and guarantee a return to profitability (positive ROCE). The huge investment reflects how the management may be assured of a specific, high potential growth channel after divestiture (Corporate Finance Institute, 2023).</w:t>
      </w:r>
    </w:p>
    <w:p w14:paraId="00000060" w14:textId="77777777" w:rsidR="00723379" w:rsidRDefault="00250930">
      <w:pPr>
        <w:pStyle w:val="Heading3"/>
        <w:keepNext w:val="0"/>
        <w:keepLines w:val="0"/>
        <w:spacing w:after="40"/>
      </w:pPr>
      <w:bookmarkStart w:id="102" w:name="_xx1cfmke0bsz" w:colFirst="0" w:colLast="0"/>
      <w:bookmarkStart w:id="103" w:name="_Toc213759747"/>
      <w:bookmarkEnd w:id="102"/>
      <w:r>
        <w:t>5.7.2 Aligning with the Firm's Financial Performance</w:t>
      </w:r>
      <w:bookmarkEnd w:id="103"/>
    </w:p>
    <w:p w14:paraId="00000061" w14:textId="77777777" w:rsidR="00723379" w:rsidRDefault="00250930">
      <w:pPr>
        <w:spacing w:after="240"/>
      </w:pPr>
      <w:r>
        <w:t>Although the liquidity problems (CCC of 58 days) on the one hand initially supported the quick Payback Period of Project A (3.4 years), on the other hand, the project is not a quick saving of the cash needed by the firm, but long-term solvency. The high NPV of project C will ensure that maximum wealth is created, which will in effect be the final remedy to the high D/E ratio (1.88) and low rating of this firm. Taking a negative NPV project such as B would only hasten the financial collapse of the firm (Ro, Lee and Kim, 2024).</w:t>
      </w:r>
    </w:p>
    <w:p w14:paraId="00000062" w14:textId="77777777" w:rsidR="00723379" w:rsidRDefault="00250930">
      <w:pPr>
        <w:pStyle w:val="Heading3"/>
        <w:keepNext w:val="0"/>
        <w:keepLines w:val="0"/>
        <w:spacing w:after="40"/>
      </w:pPr>
      <w:bookmarkStart w:id="104" w:name="_nksiz8glihvo" w:colFirst="0" w:colLast="0"/>
      <w:bookmarkStart w:id="105" w:name="_Toc213759748"/>
      <w:bookmarkEnd w:id="104"/>
      <w:r>
        <w:t>5.7.3 Evaluating Project Risk Characteristics</w:t>
      </w:r>
      <w:bookmarkEnd w:id="105"/>
    </w:p>
    <w:p w14:paraId="00000063" w14:textId="77777777" w:rsidR="00723379" w:rsidRDefault="00250930">
      <w:pPr>
        <w:spacing w:after="240"/>
      </w:pPr>
      <w:r>
        <w:t>The cash flow profile of project C is very volatile. Year 4 and Year 5 huge inflows of the Particular contributions have a substantial amount of £40 million, which is the majority of the total contribution of 75 million pounds. The fact that the cash flows in the later years concentrate increases the risk of execution over the executed cash flows in the Project A. Nevertheless, the better PI shows that this risk is worth much less than the possible reward. The reason why the firm chooses the more risky but more lucrative Project C is explained by the fact the 2.98 Z-Score means that the firm needs the maximum possible returns in the future, and Project C has the most chances to make a significant change in the company and guarantee its survival (wallstreetprep, 2022).</w:t>
      </w:r>
    </w:p>
    <w:p w14:paraId="00000064" w14:textId="77777777" w:rsidR="00723379" w:rsidRDefault="00250930">
      <w:pPr>
        <w:pStyle w:val="Heading1"/>
        <w:keepNext w:val="0"/>
        <w:keepLines w:val="0"/>
        <w:spacing w:before="280" w:after="80"/>
      </w:pPr>
      <w:bookmarkStart w:id="106" w:name="_jxxlt32gqlch" w:colFirst="0" w:colLast="0"/>
      <w:bookmarkStart w:id="107" w:name="_Toc213759749"/>
      <w:bookmarkEnd w:id="106"/>
      <w:r>
        <w:t>6.0 Conclusion and Final Recommendations to the Board</w:t>
      </w:r>
      <w:bookmarkEnd w:id="107"/>
    </w:p>
    <w:p w14:paraId="00000065" w14:textId="77777777" w:rsidR="00723379" w:rsidRDefault="00250930">
      <w:r>
        <w:lastRenderedPageBreak/>
        <w:t>Summing up, General Electronics is experiencing a terminal financial crisis, which is manifested by its chronic inability to make profits, excessive financial leverage, and quantifiable high probability of corporate insolvency. The Hybrid strategy that is required is the integrated turnaround strategy, that is based on selling the non-core assets immediately, carrying out a highly essential Debt-for-Equity Swap, and obtaining an additional targeted Equity Injection to finance the firm accordingly. The ultimate suggestions require the urgent enhancement of cash flow efficiency by active working capital restructuring, and the capital allocation of Project C as a priority. This project represents the most value additive option though it is large in size, and necessary to create the returns which are necessary to enable the firm to survive in the long term financially. The next analytical target should be on the correct definition of the real cost of capital. The sensitivity of the later cash flows of the recommended project need to be thoroughly tested.</w:t>
      </w:r>
    </w:p>
    <w:p w14:paraId="3702ADCD" w14:textId="77777777" w:rsidR="00CB302E" w:rsidRDefault="00CB302E">
      <w:pPr>
        <w:rPr>
          <w:b/>
          <w:bCs/>
        </w:rPr>
      </w:pPr>
      <w:r>
        <w:rPr>
          <w:b/>
          <w:bCs/>
        </w:rPr>
        <w:br w:type="page"/>
      </w:r>
    </w:p>
    <w:p w14:paraId="00000067" w14:textId="0C790358" w:rsidR="00723379" w:rsidRDefault="00CB302E" w:rsidP="00431B14">
      <w:pPr>
        <w:pStyle w:val="Heading1"/>
      </w:pPr>
      <w:bookmarkStart w:id="108" w:name="_Toc213759750"/>
      <w:r>
        <w:lastRenderedPageBreak/>
        <w:t>Reference List</w:t>
      </w:r>
      <w:bookmarkEnd w:id="108"/>
    </w:p>
    <w:p w14:paraId="474A1F52" w14:textId="24737565" w:rsidR="00CB302E" w:rsidRDefault="00CB302E" w:rsidP="00CB302E">
      <w:pPr>
        <w:pStyle w:val="NormalWeb"/>
        <w:spacing w:before="0" w:beforeAutospacing="0" w:after="240" w:afterAutospacing="0" w:line="360" w:lineRule="auto"/>
        <w:jc w:val="both"/>
      </w:pPr>
      <w:r>
        <w:t xml:space="preserve">Aradhana Gotur (2021). </w:t>
      </w:r>
      <w:r>
        <w:rPr>
          <w:i/>
          <w:iCs/>
        </w:rPr>
        <w:t>Issue of Shares - Meaning, Types, Examples and Steps</w:t>
      </w:r>
      <w:r>
        <w:t xml:space="preserve">. [online] Blog by Tickertape. Available at: </w:t>
      </w:r>
      <w:hyperlink r:id="rId25" w:history="1">
        <w:r w:rsidRPr="000764FC">
          <w:rPr>
            <w:rStyle w:val="Hyperlink"/>
          </w:rPr>
          <w:t>https://www.tickertape.in/blog/issue-of-shares/</w:t>
        </w:r>
      </w:hyperlink>
      <w:r>
        <w:t xml:space="preserve">. </w:t>
      </w:r>
    </w:p>
    <w:p w14:paraId="01A05DA4" w14:textId="0534179E" w:rsidR="00CB302E" w:rsidRDefault="00CB302E" w:rsidP="00CB302E">
      <w:pPr>
        <w:pStyle w:val="NormalWeb"/>
        <w:spacing w:before="0" w:beforeAutospacing="0" w:after="240" w:afterAutospacing="0" w:line="360" w:lineRule="auto"/>
        <w:jc w:val="both"/>
      </w:pPr>
      <w:r>
        <w:t xml:space="preserve">Ayadi, M.A., Walid Ben Omrane and Panah, P.G. (2025). Foreign exchange markets, climate risks and contextual news: An intraday analysis. </w:t>
      </w:r>
      <w:r>
        <w:rPr>
          <w:i/>
          <w:iCs/>
        </w:rPr>
        <w:t>International Review of Financial Analysis</w:t>
      </w:r>
      <w:r>
        <w:t xml:space="preserve">, pp.104103–104103. doi: </w:t>
      </w:r>
      <w:hyperlink r:id="rId26" w:history="1">
        <w:r w:rsidRPr="000764FC">
          <w:rPr>
            <w:rStyle w:val="Hyperlink"/>
          </w:rPr>
          <w:t>https://doi.org/10.1016/j.irfa.2025.104103</w:t>
        </w:r>
      </w:hyperlink>
      <w:r>
        <w:t xml:space="preserve">. </w:t>
      </w:r>
    </w:p>
    <w:p w14:paraId="00350FAF" w14:textId="68FD336C" w:rsidR="00CB302E" w:rsidRDefault="00CB302E" w:rsidP="00CB302E">
      <w:pPr>
        <w:pStyle w:val="NormalWeb"/>
        <w:spacing w:before="0" w:beforeAutospacing="0" w:after="240" w:afterAutospacing="0" w:line="360" w:lineRule="auto"/>
        <w:jc w:val="both"/>
      </w:pPr>
      <w:r>
        <w:t xml:space="preserve">Bailey, K. (2025). </w:t>
      </w:r>
      <w:r>
        <w:rPr>
          <w:i/>
          <w:iCs/>
        </w:rPr>
        <w:t>Negative Working Capital: Strength or a Warning Sign?</w:t>
      </w:r>
      <w:r>
        <w:t xml:space="preserve"> [online] Corporate Finance Institute. Available at: </w:t>
      </w:r>
      <w:hyperlink r:id="rId27" w:history="1">
        <w:r w:rsidRPr="000764FC">
          <w:rPr>
            <w:rStyle w:val="Hyperlink"/>
          </w:rPr>
          <w:t>https://corporatefinanceinstitute.com/resources/financial-modeling/negative-working-capital-analysis/</w:t>
        </w:r>
      </w:hyperlink>
      <w:r>
        <w:t xml:space="preserve">. </w:t>
      </w:r>
    </w:p>
    <w:p w14:paraId="0EA75B69" w14:textId="2CED6EA1" w:rsidR="00CB302E" w:rsidRDefault="00CB302E" w:rsidP="00CB302E">
      <w:pPr>
        <w:pStyle w:val="NormalWeb"/>
        <w:spacing w:before="0" w:beforeAutospacing="0" w:after="240" w:afterAutospacing="0" w:line="360" w:lineRule="auto"/>
        <w:jc w:val="both"/>
      </w:pPr>
      <w:r>
        <w:t xml:space="preserve">CFI Team (2023). </w:t>
      </w:r>
      <w:r>
        <w:rPr>
          <w:i/>
          <w:iCs/>
        </w:rPr>
        <w:t>Altman’s Z-Score Model</w:t>
      </w:r>
      <w:r>
        <w:t xml:space="preserve">. [online] Corporate Finance Institute. Available at: </w:t>
      </w:r>
      <w:hyperlink r:id="rId28" w:history="1">
        <w:r w:rsidRPr="000764FC">
          <w:rPr>
            <w:rStyle w:val="Hyperlink"/>
          </w:rPr>
          <w:t>https://corporatefinanceinstitute.com/resources/commercial-lending/altmans-z-score-model/</w:t>
        </w:r>
      </w:hyperlink>
      <w:r>
        <w:t xml:space="preserve">. </w:t>
      </w:r>
    </w:p>
    <w:p w14:paraId="456A77EA" w14:textId="35B1BB3B" w:rsidR="00CB302E" w:rsidRDefault="00CB302E" w:rsidP="00CB302E">
      <w:pPr>
        <w:pStyle w:val="NormalWeb"/>
        <w:spacing w:before="0" w:beforeAutospacing="0" w:after="240" w:afterAutospacing="0" w:line="360" w:lineRule="auto"/>
        <w:jc w:val="both"/>
      </w:pPr>
      <w:r>
        <w:t xml:space="preserve">CGap (2024). </w:t>
      </w:r>
      <w:r>
        <w:rPr>
          <w:i/>
          <w:iCs/>
        </w:rPr>
        <w:t>In a Post-Pandemic World, How Healthy Are MFIs? | Blog | CGAP</w:t>
      </w:r>
      <w:r>
        <w:t xml:space="preserve">. [online] www.cgap.org. Available at: </w:t>
      </w:r>
      <w:hyperlink r:id="rId29" w:history="1">
        <w:r w:rsidRPr="000764FC">
          <w:rPr>
            <w:rStyle w:val="Hyperlink"/>
          </w:rPr>
          <w:t>https://www.cgap.org/blog/in-post-pandemic-world-how-healthy-are-mfis-0</w:t>
        </w:r>
      </w:hyperlink>
      <w:r>
        <w:t xml:space="preserve">. </w:t>
      </w:r>
    </w:p>
    <w:p w14:paraId="208712E4" w14:textId="58D8D459" w:rsidR="00CB302E" w:rsidRDefault="00CB302E" w:rsidP="00CB302E">
      <w:pPr>
        <w:pStyle w:val="NormalWeb"/>
        <w:spacing w:before="0" w:beforeAutospacing="0" w:after="240" w:afterAutospacing="0" w:line="360" w:lineRule="auto"/>
        <w:jc w:val="both"/>
      </w:pPr>
      <w:r>
        <w:t xml:space="preserve">Chen, L., Zhang, K. and Yang, X. (2025). The long-term and short-term effects of interest rate volatility on corporate bankruptcy risk: An industry and supply chain perspective. </w:t>
      </w:r>
      <w:r>
        <w:rPr>
          <w:i/>
          <w:iCs/>
        </w:rPr>
        <w:t>PLoS ONE</w:t>
      </w:r>
      <w:r>
        <w:t xml:space="preserve">, [online] 20(2), pp.e0317185–e0317185. doi: </w:t>
      </w:r>
      <w:hyperlink r:id="rId30" w:history="1">
        <w:r w:rsidRPr="000764FC">
          <w:rPr>
            <w:rStyle w:val="Hyperlink"/>
          </w:rPr>
          <w:t>https://doi.org/10.1371/journal.pone.0317185</w:t>
        </w:r>
      </w:hyperlink>
      <w:r>
        <w:t xml:space="preserve">. </w:t>
      </w:r>
    </w:p>
    <w:p w14:paraId="78EC8838" w14:textId="4B84ECE1" w:rsidR="00CB302E" w:rsidRDefault="00CB302E" w:rsidP="00CB302E">
      <w:pPr>
        <w:pStyle w:val="NormalWeb"/>
        <w:spacing w:before="0" w:beforeAutospacing="0" w:after="240" w:afterAutospacing="0" w:line="360" w:lineRule="auto"/>
        <w:jc w:val="both"/>
      </w:pPr>
      <w:r>
        <w:t xml:space="preserve">Chokhawala, M.S. (2024). </w:t>
      </w:r>
      <w:r>
        <w:rPr>
          <w:i/>
          <w:iCs/>
        </w:rPr>
        <w:t>Saving Taxes on Long-Term Capital Gains</w:t>
      </w:r>
      <w:r>
        <w:t xml:space="preserve">. [online] cleartax. Available at: </w:t>
      </w:r>
      <w:hyperlink r:id="rId31" w:history="1">
        <w:r w:rsidRPr="000764FC">
          <w:rPr>
            <w:rStyle w:val="Hyperlink"/>
          </w:rPr>
          <w:t>https://cleartax.in/s/ltcg-tax-savings</w:t>
        </w:r>
      </w:hyperlink>
      <w:r>
        <w:t xml:space="preserve"> </w:t>
      </w:r>
    </w:p>
    <w:p w14:paraId="2532D2EB" w14:textId="6C5D2EE1" w:rsidR="00CB302E" w:rsidRDefault="00CB302E" w:rsidP="00CB302E">
      <w:pPr>
        <w:pStyle w:val="NormalWeb"/>
        <w:spacing w:before="0" w:beforeAutospacing="0" w:after="240" w:afterAutospacing="0" w:line="360" w:lineRule="auto"/>
        <w:jc w:val="both"/>
      </w:pPr>
      <w:r>
        <w:t xml:space="preserve">Corporate Finance Institute (2024). </w:t>
      </w:r>
      <w:r>
        <w:rPr>
          <w:i/>
          <w:iCs/>
        </w:rPr>
        <w:t>Cash Conversion Cycle</w:t>
      </w:r>
      <w:r>
        <w:t xml:space="preserve">. [online] Corporate Finance Institute. Available at: </w:t>
      </w:r>
      <w:hyperlink r:id="rId32" w:history="1">
        <w:r w:rsidRPr="000764FC">
          <w:rPr>
            <w:rStyle w:val="Hyperlink"/>
          </w:rPr>
          <w:t>https://corporatefinanceinstitute.com/resources/accounting/cash-conversion-cycle/</w:t>
        </w:r>
      </w:hyperlink>
      <w:r>
        <w:t xml:space="preserve">. </w:t>
      </w:r>
    </w:p>
    <w:p w14:paraId="29D23D8A" w14:textId="55719DB6" w:rsidR="00CB302E" w:rsidRDefault="00CB302E" w:rsidP="00CB302E">
      <w:pPr>
        <w:pStyle w:val="NormalWeb"/>
        <w:spacing w:before="0" w:beforeAutospacing="0" w:after="240" w:afterAutospacing="0" w:line="360" w:lineRule="auto"/>
        <w:jc w:val="both"/>
      </w:pPr>
      <w:r>
        <w:t xml:space="preserve">Corporate Finance Institute. (2023). </w:t>
      </w:r>
      <w:r>
        <w:rPr>
          <w:i/>
          <w:iCs/>
        </w:rPr>
        <w:t>Turnaround Recovery Strategies</w:t>
      </w:r>
      <w:r>
        <w:t xml:space="preserve">. [online] Available at: </w:t>
      </w:r>
      <w:hyperlink r:id="rId33" w:history="1">
        <w:r w:rsidRPr="000764FC">
          <w:rPr>
            <w:rStyle w:val="Hyperlink"/>
          </w:rPr>
          <w:t>https://corporatefinanceinstitute.com/resources/management/turnaround-recovery-strategies/</w:t>
        </w:r>
      </w:hyperlink>
      <w:r>
        <w:t xml:space="preserve">. </w:t>
      </w:r>
    </w:p>
    <w:p w14:paraId="018FAB82" w14:textId="012A3614" w:rsidR="00CB302E" w:rsidRDefault="00CB302E" w:rsidP="00CB302E">
      <w:pPr>
        <w:pStyle w:val="NormalWeb"/>
        <w:spacing w:before="0" w:beforeAutospacing="0" w:after="240" w:afterAutospacing="0" w:line="360" w:lineRule="auto"/>
        <w:jc w:val="both"/>
      </w:pPr>
      <w:r>
        <w:t xml:space="preserve">Corporate Finance Institute. (2025). </w:t>
      </w:r>
      <w:r>
        <w:rPr>
          <w:i/>
          <w:iCs/>
        </w:rPr>
        <w:t>Recapitalization</w:t>
      </w:r>
      <w:r>
        <w:t xml:space="preserve">. [online] Available at: </w:t>
      </w:r>
      <w:hyperlink r:id="rId34" w:history="1">
        <w:r w:rsidRPr="000764FC">
          <w:rPr>
            <w:rStyle w:val="Hyperlink"/>
          </w:rPr>
          <w:t>https://corporatefinanceinstitute.com/resources/equities/recapitalization/</w:t>
        </w:r>
      </w:hyperlink>
      <w:r>
        <w:t xml:space="preserve">. </w:t>
      </w:r>
    </w:p>
    <w:p w14:paraId="7FB33B91" w14:textId="6FA41903" w:rsidR="00CB302E" w:rsidRDefault="00CB302E" w:rsidP="00CB302E">
      <w:pPr>
        <w:pStyle w:val="NormalWeb"/>
        <w:spacing w:before="0" w:beforeAutospacing="0" w:after="240" w:afterAutospacing="0" w:line="360" w:lineRule="auto"/>
        <w:jc w:val="both"/>
      </w:pPr>
      <w:r>
        <w:lastRenderedPageBreak/>
        <w:t xml:space="preserve">Dainelli, F., Bet, G. and Fabrizi, E. (2024). The financial health of a company and the risk of its default: Back to the future. </w:t>
      </w:r>
      <w:r>
        <w:rPr>
          <w:i/>
          <w:iCs/>
        </w:rPr>
        <w:t>International Review of Financial Analysis</w:t>
      </w:r>
      <w:r>
        <w:t xml:space="preserve">, [online] 95, pp.103449–103449. doi: </w:t>
      </w:r>
      <w:hyperlink r:id="rId35" w:history="1">
        <w:r w:rsidRPr="000764FC">
          <w:rPr>
            <w:rStyle w:val="Hyperlink"/>
          </w:rPr>
          <w:t>https://doi.org/10.1016/j.irfa.2024.103449</w:t>
        </w:r>
      </w:hyperlink>
      <w:r>
        <w:t xml:space="preserve">. </w:t>
      </w:r>
    </w:p>
    <w:p w14:paraId="1A01235D" w14:textId="27B4B0ED" w:rsidR="00CB302E" w:rsidRDefault="00CB302E" w:rsidP="00CB302E">
      <w:pPr>
        <w:pStyle w:val="NormalWeb"/>
        <w:spacing w:before="0" w:beforeAutospacing="0" w:after="240" w:afterAutospacing="0" w:line="360" w:lineRule="auto"/>
        <w:jc w:val="both"/>
      </w:pPr>
      <w:r>
        <w:t xml:space="preserve">Dato, P., Dioha, M., Hessou, H., Houenou, B., Mukhaya, B., Okyere, M.A. and Odarno, L. (2025). Computation of weighted average cost of capital (WACC) in the power sector for African countries and the implications for country-specific electricity technology cost. </w:t>
      </w:r>
      <w:r>
        <w:rPr>
          <w:i/>
          <w:iCs/>
        </w:rPr>
        <w:t>Applied Energy</w:t>
      </w:r>
      <w:r>
        <w:t xml:space="preserve">, [online] 397, p.126333. doi: </w:t>
      </w:r>
      <w:hyperlink r:id="rId36" w:history="1">
        <w:r w:rsidRPr="000764FC">
          <w:rPr>
            <w:rStyle w:val="Hyperlink"/>
          </w:rPr>
          <w:t>https://doi.org/10.1016/j.apenergy.2025.126333</w:t>
        </w:r>
      </w:hyperlink>
      <w:r>
        <w:t xml:space="preserve">. </w:t>
      </w:r>
    </w:p>
    <w:p w14:paraId="38B66534" w14:textId="097FF03F" w:rsidR="00CB302E" w:rsidRDefault="00CB302E" w:rsidP="00CB302E">
      <w:pPr>
        <w:pStyle w:val="NormalWeb"/>
        <w:spacing w:before="0" w:beforeAutospacing="0" w:after="240" w:afterAutospacing="0" w:line="360" w:lineRule="auto"/>
        <w:jc w:val="both"/>
      </w:pPr>
      <w:r>
        <w:t xml:space="preserve">Donnelly, S. (2024). </w:t>
      </w:r>
      <w:r>
        <w:rPr>
          <w:i/>
          <w:iCs/>
        </w:rPr>
        <w:t>10 risks of mergers and acquisitions &amp; how to mitigate them</w:t>
      </w:r>
      <w:r>
        <w:t xml:space="preserve">. [online] Finance Alliance. Available at: </w:t>
      </w:r>
      <w:hyperlink r:id="rId37" w:history="1">
        <w:r w:rsidRPr="000764FC">
          <w:rPr>
            <w:rStyle w:val="Hyperlink"/>
          </w:rPr>
          <w:t>https://www.financealliance.io/risks-of-mergers-and-acquisitions/</w:t>
        </w:r>
      </w:hyperlink>
      <w:r>
        <w:t xml:space="preserve">. </w:t>
      </w:r>
    </w:p>
    <w:p w14:paraId="48553B21" w14:textId="7F68B8D5" w:rsidR="00CB302E" w:rsidRDefault="00CB302E" w:rsidP="00CB302E">
      <w:pPr>
        <w:pStyle w:val="NormalWeb"/>
        <w:spacing w:before="0" w:beforeAutospacing="0" w:after="240" w:afterAutospacing="0" w:line="360" w:lineRule="auto"/>
        <w:jc w:val="both"/>
      </w:pPr>
      <w:r>
        <w:t xml:space="preserve">eCapital Corp (2021). </w:t>
      </w:r>
      <w:r>
        <w:rPr>
          <w:i/>
          <w:iCs/>
        </w:rPr>
        <w:t>What Is Non-Recourse Factoring? | eCapital</w:t>
      </w:r>
      <w:r>
        <w:t xml:space="preserve">. [online] eCapital. Available at: </w:t>
      </w:r>
      <w:hyperlink r:id="rId38" w:history="1">
        <w:r w:rsidRPr="000764FC">
          <w:rPr>
            <w:rStyle w:val="Hyperlink"/>
          </w:rPr>
          <w:t>https://ecapital.com/blog/what-is-non-recourse-factoring/</w:t>
        </w:r>
      </w:hyperlink>
      <w:r>
        <w:t xml:space="preserve">. </w:t>
      </w:r>
    </w:p>
    <w:p w14:paraId="08CA4685" w14:textId="69B7C983" w:rsidR="00CB302E" w:rsidRDefault="00CB302E" w:rsidP="00CB302E">
      <w:pPr>
        <w:pStyle w:val="NormalWeb"/>
        <w:spacing w:before="0" w:beforeAutospacing="0" w:after="240" w:afterAutospacing="0" w:line="360" w:lineRule="auto"/>
        <w:jc w:val="both"/>
      </w:pPr>
      <w:r>
        <w:t xml:space="preserve">EuroFinance (2025). </w:t>
      </w:r>
      <w:r>
        <w:rPr>
          <w:i/>
          <w:iCs/>
        </w:rPr>
        <w:t>Supply squeeze hits automaker working capital</w:t>
      </w:r>
      <w:r>
        <w:t xml:space="preserve">. [online] EuroFinance | The global treasury community. Available at: </w:t>
      </w:r>
      <w:hyperlink r:id="rId39" w:history="1">
        <w:r w:rsidRPr="000764FC">
          <w:rPr>
            <w:rStyle w:val="Hyperlink"/>
          </w:rPr>
          <w:t>https://www.eurofinance.com/news/supply-squeeze-hits-automaker-working-capital/</w:t>
        </w:r>
      </w:hyperlink>
      <w:r>
        <w:t xml:space="preserve">. </w:t>
      </w:r>
    </w:p>
    <w:p w14:paraId="53001483" w14:textId="1A384AEB" w:rsidR="00CB302E" w:rsidRDefault="00CB302E" w:rsidP="00CB302E">
      <w:pPr>
        <w:pStyle w:val="NormalWeb"/>
        <w:spacing w:before="0" w:beforeAutospacing="0" w:after="240" w:afterAutospacing="0" w:line="360" w:lineRule="auto"/>
        <w:jc w:val="both"/>
      </w:pPr>
      <w:r>
        <w:t xml:space="preserve">Fiorillo, P., Meles, A., Pellegrino, L.R. and Verdoliva, V. (2024). Geopolitical risk and stock price crash risk: The mitigating role of ESG performance. </w:t>
      </w:r>
      <w:r>
        <w:rPr>
          <w:i/>
          <w:iCs/>
        </w:rPr>
        <w:t>International Review of Financial Analysis</w:t>
      </w:r>
      <w:r>
        <w:t xml:space="preserve">, [online] 91, p.102958. doi: </w:t>
      </w:r>
      <w:hyperlink r:id="rId40" w:history="1">
        <w:r w:rsidRPr="000764FC">
          <w:rPr>
            <w:rStyle w:val="Hyperlink"/>
          </w:rPr>
          <w:t>https://doi.org/10.1016/j.irfa.2023.102958</w:t>
        </w:r>
      </w:hyperlink>
      <w:r>
        <w:t xml:space="preserve">. </w:t>
      </w:r>
    </w:p>
    <w:p w14:paraId="451FC845" w14:textId="11014B6D" w:rsidR="00CB302E" w:rsidRDefault="00CB302E" w:rsidP="00CB302E">
      <w:pPr>
        <w:pStyle w:val="NormalWeb"/>
        <w:spacing w:before="0" w:beforeAutospacing="0" w:after="240" w:afterAutospacing="0" w:line="360" w:lineRule="auto"/>
        <w:jc w:val="both"/>
      </w:pPr>
      <w:r>
        <w:t xml:space="preserve">FreshBooks. (2023). </w:t>
      </w:r>
      <w:r>
        <w:rPr>
          <w:i/>
          <w:iCs/>
        </w:rPr>
        <w:t>Deleveraging: Definition, Overview &amp; Formula</w:t>
      </w:r>
      <w:r>
        <w:t xml:space="preserve">. [online] Available at: </w:t>
      </w:r>
      <w:hyperlink r:id="rId41" w:history="1">
        <w:r w:rsidRPr="000764FC">
          <w:rPr>
            <w:rStyle w:val="Hyperlink"/>
          </w:rPr>
          <w:t>https://www.freshbooks.com/glossary/financial/deleveraging</w:t>
        </w:r>
      </w:hyperlink>
      <w:r>
        <w:t xml:space="preserve"> </w:t>
      </w:r>
    </w:p>
    <w:p w14:paraId="6F52E15F" w14:textId="3A7441E0" w:rsidR="00CB302E" w:rsidRDefault="00CB302E" w:rsidP="00CB302E">
      <w:pPr>
        <w:pStyle w:val="NormalWeb"/>
        <w:spacing w:before="0" w:beforeAutospacing="0" w:after="240" w:afterAutospacing="0" w:line="360" w:lineRule="auto"/>
        <w:jc w:val="both"/>
      </w:pPr>
      <w:r>
        <w:t xml:space="preserve">Fund, I.M. (2021). Issues in Restructuring of Sovereign Domestic Debt. </w:t>
      </w:r>
      <w:r>
        <w:rPr>
          <w:i/>
          <w:iCs/>
        </w:rPr>
        <w:t>Policy Papers</w:t>
      </w:r>
      <w:r>
        <w:t xml:space="preserve">, [online] 2021(071). doi: </w:t>
      </w:r>
      <w:hyperlink r:id="rId42" w:history="1">
        <w:r w:rsidRPr="000764FC">
          <w:rPr>
            <w:rStyle w:val="Hyperlink"/>
          </w:rPr>
          <w:t>https://doi.org/10.5089/9781616358112.007.A001</w:t>
        </w:r>
      </w:hyperlink>
      <w:r>
        <w:t xml:space="preserve">. </w:t>
      </w:r>
    </w:p>
    <w:p w14:paraId="599CDF57" w14:textId="15BCFAD8" w:rsidR="00CB302E" w:rsidRDefault="00CB302E" w:rsidP="00CB302E">
      <w:pPr>
        <w:pStyle w:val="NormalWeb"/>
        <w:spacing w:before="0" w:beforeAutospacing="0" w:after="240" w:afterAutospacing="0" w:line="360" w:lineRule="auto"/>
        <w:jc w:val="both"/>
      </w:pPr>
      <w:r>
        <w:t xml:space="preserve">FundThrough. (2024). </w:t>
      </w:r>
      <w:r>
        <w:rPr>
          <w:i/>
          <w:iCs/>
        </w:rPr>
        <w:t>Accounts Receivable Cycle: 4 Ways to Own Your Capital | FundThrough</w:t>
      </w:r>
      <w:r>
        <w:t xml:space="preserve">. [online] Available at: </w:t>
      </w:r>
      <w:hyperlink r:id="rId43" w:history="1">
        <w:r w:rsidRPr="000764FC">
          <w:rPr>
            <w:rStyle w:val="Hyperlink"/>
          </w:rPr>
          <w:t>https://www.fundthrough.com/blog/ask-fundthrough/accounts-receivable-explained-how-to-take-charge-of-your-business-capital/</w:t>
        </w:r>
      </w:hyperlink>
      <w:r>
        <w:t xml:space="preserve"> </w:t>
      </w:r>
    </w:p>
    <w:p w14:paraId="7230E0BF" w14:textId="2ACBD2BA" w:rsidR="00CB302E" w:rsidRDefault="00CB302E" w:rsidP="00CB302E">
      <w:pPr>
        <w:pStyle w:val="NormalWeb"/>
        <w:spacing w:before="0" w:beforeAutospacing="0" w:after="240" w:afterAutospacing="0" w:line="360" w:lineRule="auto"/>
        <w:jc w:val="both"/>
      </w:pPr>
      <w:r>
        <w:t xml:space="preserve">I. R.Team (2025). </w:t>
      </w:r>
      <w:r>
        <w:rPr>
          <w:i/>
          <w:iCs/>
        </w:rPr>
        <w:t>Best Practices for Liquidity Management | IR</w:t>
      </w:r>
      <w:r>
        <w:t xml:space="preserve">. [online] www.ir.com. Available at: </w:t>
      </w:r>
      <w:hyperlink r:id="rId44" w:history="1">
        <w:r w:rsidRPr="000764FC">
          <w:rPr>
            <w:rStyle w:val="Hyperlink"/>
          </w:rPr>
          <w:t>https://www.ir.com/guides/best-practices-liquidity-management</w:t>
        </w:r>
      </w:hyperlink>
      <w:r>
        <w:t xml:space="preserve">. </w:t>
      </w:r>
    </w:p>
    <w:p w14:paraId="582AFEEA" w14:textId="5031546F" w:rsidR="00CB302E" w:rsidRDefault="00CB302E" w:rsidP="00CB302E">
      <w:pPr>
        <w:pStyle w:val="NormalWeb"/>
        <w:spacing w:before="0" w:beforeAutospacing="0" w:after="240" w:afterAutospacing="0" w:line="360" w:lineRule="auto"/>
        <w:jc w:val="both"/>
      </w:pPr>
      <w:r>
        <w:lastRenderedPageBreak/>
        <w:t xml:space="preserve">Johan, S., Umar Nawaz Kayani, Muhammad Abubakr Naeem and Karim, S. (2024). How effective is the cash conversion cycle in improving firm performance? Evidence from BRICS. </w:t>
      </w:r>
      <w:r>
        <w:rPr>
          <w:i/>
          <w:iCs/>
        </w:rPr>
        <w:t>Emerging markets review</w:t>
      </w:r>
      <w:r>
        <w:t xml:space="preserve">, 59, pp.101114–101114. doi: </w:t>
      </w:r>
      <w:hyperlink r:id="rId45" w:history="1">
        <w:r w:rsidRPr="000764FC">
          <w:rPr>
            <w:rStyle w:val="Hyperlink"/>
          </w:rPr>
          <w:t>https://doi.org/10.1016/j.ememar.2024.101114</w:t>
        </w:r>
      </w:hyperlink>
      <w:r>
        <w:t xml:space="preserve">. </w:t>
      </w:r>
    </w:p>
    <w:p w14:paraId="048236D8" w14:textId="1CDBB17F" w:rsidR="00CB302E" w:rsidRDefault="00CB302E" w:rsidP="00CB302E">
      <w:pPr>
        <w:pStyle w:val="NormalWeb"/>
        <w:spacing w:before="0" w:beforeAutospacing="0" w:after="240" w:afterAutospacing="0" w:line="360" w:lineRule="auto"/>
        <w:jc w:val="both"/>
      </w:pPr>
      <w:r>
        <w:t xml:space="preserve">Kaiser, M.J. and McAllister, E.W. (2023). </w:t>
      </w:r>
      <w:r>
        <w:rPr>
          <w:i/>
          <w:iCs/>
        </w:rPr>
        <w:t>Pipeline Rules of Thumb Handbook</w:t>
      </w:r>
      <w:r>
        <w:t xml:space="preserve">. </w:t>
      </w:r>
      <w:r>
        <w:rPr>
          <w:i/>
          <w:iCs/>
        </w:rPr>
        <w:t>Elsevier eBooks</w:t>
      </w:r>
      <w:r>
        <w:t xml:space="preserve">. Gulf Professional Publishing. doi: </w:t>
      </w:r>
      <w:hyperlink r:id="rId46" w:history="1">
        <w:r w:rsidRPr="000764FC">
          <w:rPr>
            <w:rStyle w:val="Hyperlink"/>
          </w:rPr>
          <w:t>https://doi.org/10.1016/c2019-0-04885-6</w:t>
        </w:r>
      </w:hyperlink>
      <w:r>
        <w:t xml:space="preserve">.  </w:t>
      </w:r>
    </w:p>
    <w:p w14:paraId="127EBC29" w14:textId="52BD0F67" w:rsidR="00CB302E" w:rsidRDefault="00CB302E" w:rsidP="00CB302E">
      <w:pPr>
        <w:pStyle w:val="NormalWeb"/>
        <w:spacing w:before="0" w:beforeAutospacing="0" w:after="240" w:afterAutospacing="0" w:line="360" w:lineRule="auto"/>
        <w:jc w:val="both"/>
      </w:pPr>
      <w:r>
        <w:t xml:space="preserve">Kitov, I. (2024). </w:t>
      </w:r>
      <w:r>
        <w:rPr>
          <w:i/>
          <w:iCs/>
        </w:rPr>
        <w:t>What is profitability index?</w:t>
      </w:r>
      <w:r>
        <w:t xml:space="preserve"> [online] 365 Financial Analyst. Available at: </w:t>
      </w:r>
      <w:hyperlink r:id="rId47" w:history="1">
        <w:r w:rsidRPr="000764FC">
          <w:rPr>
            <w:rStyle w:val="Hyperlink"/>
          </w:rPr>
          <w:t>https://365financialanalyst.com/knowledge-hub/corporate-finance/what-is-profitability-index/</w:t>
        </w:r>
      </w:hyperlink>
      <w:r>
        <w:t xml:space="preserve">. </w:t>
      </w:r>
    </w:p>
    <w:p w14:paraId="23053382" w14:textId="133843B3" w:rsidR="00CB302E" w:rsidRDefault="00CB302E" w:rsidP="00CB302E">
      <w:pPr>
        <w:pStyle w:val="NormalWeb"/>
        <w:spacing w:before="0" w:beforeAutospacing="0" w:after="240" w:afterAutospacing="0" w:line="360" w:lineRule="auto"/>
        <w:jc w:val="both"/>
      </w:pPr>
      <w:r>
        <w:t xml:space="preserve">Mendiondo, J. (2024). </w:t>
      </w:r>
      <w:r>
        <w:rPr>
          <w:i/>
          <w:iCs/>
        </w:rPr>
        <w:t>Accounts Receivable: Mastering Effective Management Strategies</w:t>
      </w:r>
      <w:r>
        <w:t xml:space="preserve">. [online] finally. Available at: </w:t>
      </w:r>
      <w:hyperlink r:id="rId48" w:history="1">
        <w:r w:rsidRPr="000764FC">
          <w:rPr>
            <w:rStyle w:val="Hyperlink"/>
          </w:rPr>
          <w:t>https://finally.com/blog/accounting/accounts-receivable/</w:t>
        </w:r>
      </w:hyperlink>
      <w:r>
        <w:t xml:space="preserve">. </w:t>
      </w:r>
    </w:p>
    <w:p w14:paraId="1995C810" w14:textId="1628111F" w:rsidR="00CB302E" w:rsidRDefault="00CB302E" w:rsidP="00CB302E">
      <w:pPr>
        <w:pStyle w:val="NormalWeb"/>
        <w:spacing w:before="0" w:beforeAutospacing="0" w:after="240" w:afterAutospacing="0" w:line="360" w:lineRule="auto"/>
        <w:jc w:val="both"/>
      </w:pPr>
      <w:r>
        <w:t xml:space="preserve">Nguyen, D.T., Pham, T.P., Tran, N.A. and Zurbruegg, R. (2024). The dynamic effects of debtor bankruptcy on unsecured creditors’ stock liquidity. </w:t>
      </w:r>
      <w:r>
        <w:rPr>
          <w:i/>
          <w:iCs/>
        </w:rPr>
        <w:t>Journal of Financial Stability</w:t>
      </w:r>
      <w:r>
        <w:t xml:space="preserve">, 74, p.101322. doi:  </w:t>
      </w:r>
      <w:hyperlink r:id="rId49" w:history="1">
        <w:r w:rsidRPr="000764FC">
          <w:rPr>
            <w:rStyle w:val="Hyperlink"/>
          </w:rPr>
          <w:t>https://doi.org/10.1016/j.jfs.2024.101322</w:t>
        </w:r>
      </w:hyperlink>
      <w:r>
        <w:t xml:space="preserve">. </w:t>
      </w:r>
    </w:p>
    <w:p w14:paraId="2228CC61" w14:textId="45B5990F" w:rsidR="00CB302E" w:rsidRDefault="00CB302E" w:rsidP="00CB302E">
      <w:pPr>
        <w:pStyle w:val="NormalWeb"/>
        <w:spacing w:before="0" w:beforeAutospacing="0" w:after="240" w:afterAutospacing="0" w:line="360" w:lineRule="auto"/>
        <w:jc w:val="both"/>
      </w:pPr>
      <w:r>
        <w:t xml:space="preserve">Nuri Ersahin, Giannetti, M. and Huang, R. (2024). Trade credit and the stability of supply chains. </w:t>
      </w:r>
      <w:r>
        <w:rPr>
          <w:i/>
          <w:iCs/>
        </w:rPr>
        <w:t>Journal of financial economics</w:t>
      </w:r>
      <w:r>
        <w:t xml:space="preserve">, 155, pp.103830–103830. doi: </w:t>
      </w:r>
      <w:hyperlink r:id="rId50" w:history="1">
        <w:r w:rsidRPr="000764FC">
          <w:rPr>
            <w:rStyle w:val="Hyperlink"/>
          </w:rPr>
          <w:t>https://doi.org/10.1016/j.jfineco.2024.103830</w:t>
        </w:r>
      </w:hyperlink>
      <w:r>
        <w:t xml:space="preserve">.  </w:t>
      </w:r>
    </w:p>
    <w:p w14:paraId="1235726B" w14:textId="4A4FCE62" w:rsidR="00CB302E" w:rsidRDefault="00CB302E" w:rsidP="00CB302E">
      <w:pPr>
        <w:pStyle w:val="NormalWeb"/>
        <w:spacing w:before="0" w:beforeAutospacing="0" w:after="240" w:afterAutospacing="0" w:line="360" w:lineRule="auto"/>
        <w:jc w:val="both"/>
      </w:pPr>
      <w:r>
        <w:t xml:space="preserve">Oyetola Oyelakun, Adetunji Aderemi, Oluseyanu Olamide Abdul-Azeez and Ibrahim, A.-L. (2025). THE PAYBACK PERIOD (PBP) UNIFIED FORMULA: A SIMPLIFIED PROPOSED METHOD FOR CALCULATING PBP IN CAPITAL... </w:t>
      </w:r>
      <w:r>
        <w:rPr>
          <w:i/>
          <w:iCs/>
        </w:rPr>
        <w:t>ResearchGate</w:t>
      </w:r>
      <w:r>
        <w:t xml:space="preserve">, [online] 10(2), pp.31–42. Available at: </w:t>
      </w:r>
      <w:hyperlink r:id="rId51" w:history="1">
        <w:r w:rsidRPr="000764FC">
          <w:rPr>
            <w:rStyle w:val="Hyperlink"/>
          </w:rPr>
          <w:t>https://www.researchgate.net/publication/389436092_THE_PAYBACK_PERIOD_PBP_UNIFIED_FORMULA_A_SIMPLIFIED_PROPOSED_METHOD_FOR_CALCULATING_PBP_IN_CAPITAL_BUDGETING_DECISION</w:t>
        </w:r>
      </w:hyperlink>
      <w:r>
        <w:t xml:space="preserve">. </w:t>
      </w:r>
    </w:p>
    <w:p w14:paraId="277329CC" w14:textId="6DDAE359" w:rsidR="00CB302E" w:rsidRDefault="00CB302E" w:rsidP="00CB302E">
      <w:pPr>
        <w:pStyle w:val="NormalWeb"/>
        <w:spacing w:before="0" w:beforeAutospacing="0" w:after="240" w:afterAutospacing="0" w:line="360" w:lineRule="auto"/>
        <w:jc w:val="both"/>
      </w:pPr>
      <w:r>
        <w:t xml:space="preserve">Ramp. (2024). </w:t>
      </w:r>
      <w:r>
        <w:rPr>
          <w:i/>
          <w:iCs/>
        </w:rPr>
        <w:t>How to Solve Cash Flow Problems: 13 Proven Strategies | Ramp</w:t>
      </w:r>
      <w:r>
        <w:t xml:space="preserve">. [online] Available at: </w:t>
      </w:r>
      <w:hyperlink r:id="rId52" w:history="1">
        <w:r w:rsidRPr="000764FC">
          <w:rPr>
            <w:rStyle w:val="Hyperlink"/>
          </w:rPr>
          <w:t>https://ramp.com/blog/how-to-solve-cash-flow-problems-for-your-business</w:t>
        </w:r>
      </w:hyperlink>
      <w:r>
        <w:t xml:space="preserve">. </w:t>
      </w:r>
    </w:p>
    <w:p w14:paraId="0817300F" w14:textId="747796DC" w:rsidR="00CB302E" w:rsidRDefault="00CB302E" w:rsidP="00CB302E">
      <w:pPr>
        <w:pStyle w:val="NormalWeb"/>
        <w:spacing w:before="0" w:beforeAutospacing="0" w:after="240" w:afterAutospacing="0" w:line="360" w:lineRule="auto"/>
        <w:jc w:val="both"/>
      </w:pPr>
      <w:r>
        <w:t xml:space="preserve">Rijanto, A. (2021). Blockchain Technology Adoption in Supply Chain Finance. </w:t>
      </w:r>
      <w:r>
        <w:rPr>
          <w:i/>
          <w:iCs/>
        </w:rPr>
        <w:t>Journal of Theoretical and Applied Electronic Commerce Research</w:t>
      </w:r>
      <w:r>
        <w:t xml:space="preserve">, [online] 16(7), pp.3078–3098. doi: </w:t>
      </w:r>
      <w:hyperlink r:id="rId53" w:history="1">
        <w:r w:rsidRPr="000764FC">
          <w:rPr>
            <w:rStyle w:val="Hyperlink"/>
          </w:rPr>
          <w:t>https://doi.org/10.3390/jtaer16070168</w:t>
        </w:r>
      </w:hyperlink>
      <w:r>
        <w:t xml:space="preserve">. </w:t>
      </w:r>
    </w:p>
    <w:p w14:paraId="7C9B64B8" w14:textId="6FB63D87" w:rsidR="00CB302E" w:rsidRDefault="00CB302E" w:rsidP="00CB302E">
      <w:pPr>
        <w:pStyle w:val="NormalWeb"/>
        <w:spacing w:before="0" w:beforeAutospacing="0" w:after="240" w:afterAutospacing="0" w:line="360" w:lineRule="auto"/>
        <w:jc w:val="both"/>
      </w:pPr>
      <w:r>
        <w:lastRenderedPageBreak/>
        <w:t xml:space="preserve">Ro, S., Lee, J. and Kim, D. (2024). The Dark Side of Project Financing: Leverage, CEO Overconfidence, and Sustainability Challenges in the Construction Sector. </w:t>
      </w:r>
      <w:r>
        <w:rPr>
          <w:i/>
          <w:iCs/>
        </w:rPr>
        <w:t>Sustainability</w:t>
      </w:r>
      <w:r>
        <w:t xml:space="preserve">, 17(1), p.16. doi: </w:t>
      </w:r>
      <w:hyperlink r:id="rId54" w:history="1">
        <w:r w:rsidRPr="000764FC">
          <w:rPr>
            <w:rStyle w:val="Hyperlink"/>
          </w:rPr>
          <w:t>https://doi.org/10.3390/su17010016</w:t>
        </w:r>
      </w:hyperlink>
      <w:r>
        <w:t xml:space="preserve">. </w:t>
      </w:r>
    </w:p>
    <w:p w14:paraId="7073ECAA" w14:textId="6DFD243F" w:rsidR="00CB302E" w:rsidRDefault="00CB302E" w:rsidP="00CB302E">
      <w:pPr>
        <w:pStyle w:val="NormalWeb"/>
        <w:spacing w:before="0" w:beforeAutospacing="0" w:after="240" w:afterAutospacing="0" w:line="360" w:lineRule="auto"/>
        <w:jc w:val="both"/>
      </w:pPr>
      <w:r>
        <w:t xml:space="preserve">Saha, P. and Ahmed, S. (2024). Comprehensive Analysis of Altman’s Z Score, Zmijewski X Score, Springate S-Score and Grover G-Score Model for Predicting Financial Health of Listed Non-Bank Financial Institutions (NBFIs) of Bangladesh. </w:t>
      </w:r>
      <w:r>
        <w:rPr>
          <w:i/>
          <w:iCs/>
        </w:rPr>
        <w:t>Open Journal of Business and Management</w:t>
      </w:r>
      <w:r>
        <w:t xml:space="preserve">, 12(05), pp.3342–3365. doi: </w:t>
      </w:r>
      <w:hyperlink r:id="rId55" w:history="1">
        <w:r w:rsidRPr="000764FC">
          <w:rPr>
            <w:rStyle w:val="Hyperlink"/>
          </w:rPr>
          <w:t>https://doi.org/10.4236/ojbm.2024.125167</w:t>
        </w:r>
      </w:hyperlink>
      <w:r>
        <w:t xml:space="preserve">.   </w:t>
      </w:r>
    </w:p>
    <w:p w14:paraId="2A4B1F7C" w14:textId="0769176C" w:rsidR="00CB302E" w:rsidRDefault="00CB302E" w:rsidP="00CB302E">
      <w:pPr>
        <w:pStyle w:val="NormalWeb"/>
        <w:spacing w:before="0" w:beforeAutospacing="0" w:after="240" w:afterAutospacing="0" w:line="360" w:lineRule="auto"/>
        <w:jc w:val="both"/>
      </w:pPr>
      <w:r>
        <w:t xml:space="preserve">Salesforce Staff (2024). </w:t>
      </w:r>
      <w:r>
        <w:rPr>
          <w:i/>
          <w:iCs/>
        </w:rPr>
        <w:t>ROI: Return on Investment Meaning and Formulas</w:t>
      </w:r>
      <w:r>
        <w:t xml:space="preserve">. [online] Salesforce. Available at: </w:t>
      </w:r>
      <w:hyperlink r:id="rId56" w:history="1">
        <w:r w:rsidRPr="000764FC">
          <w:rPr>
            <w:rStyle w:val="Hyperlink"/>
          </w:rPr>
          <w:t>https://www.salesforce.com/blog/what-is-roi/</w:t>
        </w:r>
      </w:hyperlink>
      <w:r>
        <w:t xml:space="preserve">. </w:t>
      </w:r>
    </w:p>
    <w:p w14:paraId="1F0396EA" w14:textId="28CC01D6" w:rsidR="00CB302E" w:rsidRDefault="00CB302E" w:rsidP="00CB302E">
      <w:pPr>
        <w:pStyle w:val="NormalWeb"/>
        <w:spacing w:before="0" w:beforeAutospacing="0" w:after="240" w:afterAutospacing="0" w:line="360" w:lineRule="auto"/>
        <w:jc w:val="both"/>
      </w:pPr>
      <w:r>
        <w:t xml:space="preserve">Sap.com. (2025). </w:t>
      </w:r>
      <w:r>
        <w:rPr>
          <w:i/>
          <w:iCs/>
        </w:rPr>
        <w:t>SAP Help Portal | SAP Online Help</w:t>
      </w:r>
      <w:r>
        <w:t xml:space="preserve">. [online] Available at: </w:t>
      </w:r>
      <w:hyperlink r:id="rId57" w:history="1">
        <w:r w:rsidRPr="000764FC">
          <w:rPr>
            <w:rStyle w:val="Hyperlink"/>
          </w:rPr>
          <w:t>https://help.sap.com/docs/SAP_S4HANA_ON-PREMISE/a6bcb3e6679b4a31a9441939ec9430db/71a0c6535e601e4be10000000a174cb4.html</w:t>
        </w:r>
      </w:hyperlink>
      <w:r>
        <w:t xml:space="preserve"> </w:t>
      </w:r>
    </w:p>
    <w:p w14:paraId="67C151B1" w14:textId="2F78C8B8" w:rsidR="00CB302E" w:rsidRDefault="00CB302E" w:rsidP="00CB302E">
      <w:pPr>
        <w:pStyle w:val="NormalWeb"/>
        <w:spacing w:before="0" w:beforeAutospacing="0" w:after="240" w:afterAutospacing="0" w:line="360" w:lineRule="auto"/>
        <w:jc w:val="both"/>
      </w:pPr>
      <w:r>
        <w:t xml:space="preserve">Shou, T. (2022). </w:t>
      </w:r>
      <w:r>
        <w:rPr>
          <w:i/>
          <w:iCs/>
        </w:rPr>
        <w:t>A Literature Review on the Net Present Value (NPV) Valuation Method</w:t>
      </w:r>
      <w:r>
        <w:t xml:space="preserve">. [online] </w:t>
      </w:r>
      <w:r>
        <w:rPr>
          <w:i/>
          <w:iCs/>
        </w:rPr>
        <w:t>www.atlantis-press.com</w:t>
      </w:r>
      <w:r>
        <w:t xml:space="preserve">. Available at: </w:t>
      </w:r>
      <w:hyperlink r:id="rId58" w:history="1">
        <w:r w:rsidRPr="000764FC">
          <w:rPr>
            <w:rStyle w:val="Hyperlink"/>
          </w:rPr>
          <w:t>https://www.atlantis-press.com/article/125975449.pdf</w:t>
        </w:r>
      </w:hyperlink>
      <w:r>
        <w:t xml:space="preserve">. </w:t>
      </w:r>
    </w:p>
    <w:p w14:paraId="7E67E676" w14:textId="1FCD7A3F" w:rsidR="00CB302E" w:rsidRDefault="00CB302E" w:rsidP="00CB302E">
      <w:pPr>
        <w:pStyle w:val="NormalWeb"/>
        <w:spacing w:before="0" w:beforeAutospacing="0" w:after="240" w:afterAutospacing="0" w:line="360" w:lineRule="auto"/>
        <w:jc w:val="both"/>
      </w:pPr>
      <w:r>
        <w:t xml:space="preserve">Susanti, T., Rionaldi, R., Aristiawan, D., Taufid, H. and Lusiana, L. (2025). Implementation Of Just-In-Time (Jit) In Inventory Management: A Case Study In A Manufacturing Company. </w:t>
      </w:r>
      <w:r>
        <w:rPr>
          <w:i/>
          <w:iCs/>
        </w:rPr>
        <w:t>Eduvest - Journal Of Universal Studies</w:t>
      </w:r>
      <w:r>
        <w:t xml:space="preserve">, 5(7), pp.6208–6216. doi: </w:t>
      </w:r>
      <w:hyperlink r:id="rId59" w:history="1">
        <w:r w:rsidRPr="000764FC">
          <w:rPr>
            <w:rStyle w:val="Hyperlink"/>
          </w:rPr>
          <w:t>https://doi.org/10.59188/eduvest.v5i7.51625</w:t>
        </w:r>
      </w:hyperlink>
      <w:r>
        <w:t xml:space="preserve">. </w:t>
      </w:r>
    </w:p>
    <w:p w14:paraId="28D78700" w14:textId="74EDDC80" w:rsidR="00431B14" w:rsidRDefault="00431B14" w:rsidP="00431B14">
      <w:pPr>
        <w:spacing w:after="240"/>
      </w:pPr>
      <w:r>
        <w:t xml:space="preserve">Ulbert, J., Takács, A. and Csapi, V. (2022). Golden ratio-based capital structure as a tool for boosting firm’s financial performance and market acceptance. </w:t>
      </w:r>
      <w:r>
        <w:rPr>
          <w:i/>
        </w:rPr>
        <w:t>Heliyon</w:t>
      </w:r>
      <w:r>
        <w:t>, [online] 8(6), p.e09671. doi:</w:t>
      </w:r>
      <w:hyperlink r:id="rId60">
        <w:r>
          <w:rPr>
            <w:color w:val="1155CC"/>
            <w:u w:val="single"/>
          </w:rPr>
          <w:t>https://doi.org/10.1016/j.heliyon.2022.e09671</w:t>
        </w:r>
      </w:hyperlink>
      <w:r>
        <w:t xml:space="preserve">. </w:t>
      </w:r>
    </w:p>
    <w:p w14:paraId="73014409" w14:textId="419881DB" w:rsidR="00CB302E" w:rsidRDefault="00CB302E" w:rsidP="00CB302E">
      <w:pPr>
        <w:pStyle w:val="NormalWeb"/>
        <w:spacing w:before="0" w:beforeAutospacing="0" w:after="240" w:afterAutospacing="0" w:line="360" w:lineRule="auto"/>
        <w:jc w:val="both"/>
      </w:pPr>
      <w:r>
        <w:t xml:space="preserve">Vipond, T. (2025). </w:t>
      </w:r>
      <w:r>
        <w:rPr>
          <w:i/>
          <w:iCs/>
        </w:rPr>
        <w:t>ARR - Accounting Rate of Return</w:t>
      </w:r>
      <w:r>
        <w:t xml:space="preserve">. [online] Corporate Finance Institute. Available at: </w:t>
      </w:r>
      <w:hyperlink r:id="rId61" w:history="1">
        <w:r w:rsidRPr="000764FC">
          <w:rPr>
            <w:rStyle w:val="Hyperlink"/>
          </w:rPr>
          <w:t>https://corporatefinanceinstitute.com/resources/accounting/arr-accounting-rate-of-return/</w:t>
        </w:r>
      </w:hyperlink>
      <w:r>
        <w:t xml:space="preserve">. </w:t>
      </w:r>
    </w:p>
    <w:p w14:paraId="129C0130" w14:textId="785B37FA" w:rsidR="00CB302E" w:rsidRDefault="00CB302E" w:rsidP="00CB302E">
      <w:pPr>
        <w:pStyle w:val="NormalWeb"/>
        <w:spacing w:before="0" w:beforeAutospacing="0" w:after="240" w:afterAutospacing="0" w:line="360" w:lineRule="auto"/>
        <w:jc w:val="both"/>
      </w:pPr>
      <w:r>
        <w:t xml:space="preserve">Wafa Khémiri, Eman Fathi Attia and Chafai, A. (2024). How Financial Inclusion Moderates the Curvilinear Nexus between Tangible Investment and Sustainable Firm Growth: New Evidence </w:t>
      </w:r>
      <w:r>
        <w:lastRenderedPageBreak/>
        <w:t xml:space="preserve">from the Middle East and North Africa Region. </w:t>
      </w:r>
      <w:r>
        <w:rPr>
          <w:i/>
          <w:iCs/>
        </w:rPr>
        <w:t>Sustainability</w:t>
      </w:r>
      <w:r>
        <w:t xml:space="preserve">, 16(6), pp.2573–2573. doi: </w:t>
      </w:r>
      <w:hyperlink r:id="rId62" w:history="1">
        <w:r w:rsidRPr="000764FC">
          <w:rPr>
            <w:rStyle w:val="Hyperlink"/>
          </w:rPr>
          <w:t>https://doi.org/10.3390/su16062573</w:t>
        </w:r>
      </w:hyperlink>
      <w:r>
        <w:t xml:space="preserve">.  </w:t>
      </w:r>
    </w:p>
    <w:p w14:paraId="05E641EB" w14:textId="5BC1C29B" w:rsidR="00CB302E" w:rsidRDefault="00CB302E" w:rsidP="00CB302E">
      <w:pPr>
        <w:pStyle w:val="NormalWeb"/>
        <w:spacing w:before="0" w:beforeAutospacing="0" w:after="240" w:afterAutospacing="0" w:line="360" w:lineRule="auto"/>
        <w:jc w:val="both"/>
      </w:pPr>
      <w:r>
        <w:t xml:space="preserve">wallstreetprep (2022). </w:t>
      </w:r>
      <w:r>
        <w:rPr>
          <w:i/>
          <w:iCs/>
        </w:rPr>
        <w:t>Altman Z-Score</w:t>
      </w:r>
      <w:r>
        <w:t xml:space="preserve">. [online] Wall Street Prep. Available at: </w:t>
      </w:r>
      <w:hyperlink r:id="rId63" w:history="1">
        <w:r w:rsidRPr="000764FC">
          <w:rPr>
            <w:rStyle w:val="Hyperlink"/>
          </w:rPr>
          <w:t>https://www.wallstreetprep.com/knowledge/altman-z-score/</w:t>
        </w:r>
      </w:hyperlink>
      <w:r>
        <w:t xml:space="preserve">. </w:t>
      </w:r>
    </w:p>
    <w:p w14:paraId="6D7B7FAD" w14:textId="371197E9" w:rsidR="00CB302E" w:rsidRDefault="00CB302E" w:rsidP="00CB302E">
      <w:pPr>
        <w:pStyle w:val="NormalWeb"/>
        <w:spacing w:before="0" w:beforeAutospacing="0" w:after="240" w:afterAutospacing="0" w:line="360" w:lineRule="auto"/>
        <w:jc w:val="both"/>
      </w:pPr>
      <w:r>
        <w:t xml:space="preserve">ZarMoney (2025). </w:t>
      </w:r>
      <w:r>
        <w:rPr>
          <w:i/>
          <w:iCs/>
        </w:rPr>
        <w:t>Accounts Receivable Negative - Everything you need to</w:t>
      </w:r>
      <w:r>
        <w:t xml:space="preserve">. [online] www.zarmoney.com. Available at: </w:t>
      </w:r>
      <w:hyperlink r:id="rId64" w:history="1">
        <w:r w:rsidRPr="000764FC">
          <w:rPr>
            <w:rStyle w:val="Hyperlink"/>
          </w:rPr>
          <w:t>https://www.zarmoney.com/blog/accounts-receivable-negative-everything-you-need-to-know</w:t>
        </w:r>
      </w:hyperlink>
      <w:r>
        <w:t xml:space="preserve">. </w:t>
      </w:r>
    </w:p>
    <w:p w14:paraId="1981EF0F" w14:textId="77777777" w:rsidR="00CB302E" w:rsidRDefault="00CB302E" w:rsidP="00CB302E"/>
    <w:p w14:paraId="5FD5A392" w14:textId="77777777" w:rsidR="00CB302E" w:rsidRPr="00CB302E" w:rsidRDefault="00CB302E" w:rsidP="00CB302E">
      <w:pPr>
        <w:spacing w:before="240" w:after="240"/>
        <w:rPr>
          <w:b/>
          <w:bCs/>
        </w:rPr>
      </w:pPr>
    </w:p>
    <w:p w14:paraId="30E71CAA" w14:textId="77777777" w:rsidR="00CB302E" w:rsidRDefault="00CB302E">
      <w:pPr>
        <w:rPr>
          <w:b/>
          <w:bCs/>
        </w:rPr>
      </w:pPr>
      <w:r>
        <w:rPr>
          <w:b/>
          <w:bCs/>
        </w:rPr>
        <w:br w:type="page"/>
      </w:r>
    </w:p>
    <w:p w14:paraId="00000069" w14:textId="3876FCA4" w:rsidR="00723379" w:rsidRPr="00400B22" w:rsidRDefault="00250930" w:rsidP="00400B22">
      <w:pPr>
        <w:spacing w:before="240" w:after="240"/>
        <w:rPr>
          <w:b/>
          <w:bCs/>
        </w:rPr>
      </w:pPr>
      <w:r>
        <w:rPr>
          <w:b/>
          <w:bCs/>
        </w:rPr>
        <w:lastRenderedPageBreak/>
        <w:t>Appendices</w:t>
      </w:r>
    </w:p>
    <w:p w14:paraId="0000006C" w14:textId="50C62F39" w:rsidR="00723379" w:rsidRDefault="00400B22" w:rsidP="00400B22">
      <w:pPr>
        <w:pStyle w:val="Heading2"/>
      </w:pPr>
      <w:bookmarkStart w:id="109" w:name="_Toc213759751"/>
      <w:r>
        <w:t>Appendix A</w:t>
      </w:r>
      <w:r w:rsidR="00250930">
        <w:t>: Detailed Ratio Analysis Tables (5-Year Data)</w:t>
      </w:r>
      <w:bookmarkEnd w:id="109"/>
    </w:p>
    <w:p w14:paraId="5E0E8E53" w14:textId="192895BD" w:rsidR="006774DF" w:rsidRDefault="006774DF" w:rsidP="006774DF">
      <w:pPr>
        <w:jc w:val="center"/>
      </w:pPr>
      <w:r w:rsidRPr="006774DF">
        <w:rPr>
          <w:noProof/>
        </w:rPr>
        <w:drawing>
          <wp:inline distT="0" distB="0" distL="0" distR="0" wp14:anchorId="076DA02C" wp14:editId="5BE2717C">
            <wp:extent cx="5943600" cy="166106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43600" cy="1661067"/>
                    </a:xfrm>
                    <a:prstGeom prst="rect">
                      <a:avLst/>
                    </a:prstGeom>
                    <a:noFill/>
                    <a:ln>
                      <a:noFill/>
                    </a:ln>
                  </pic:spPr>
                </pic:pic>
              </a:graphicData>
            </a:graphic>
          </wp:inline>
        </w:drawing>
      </w:r>
    </w:p>
    <w:p w14:paraId="45053885" w14:textId="4AB70051" w:rsidR="006774DF" w:rsidRDefault="006774DF" w:rsidP="006774DF">
      <w:pPr>
        <w:jc w:val="center"/>
      </w:pPr>
      <w:r w:rsidRPr="006774DF">
        <w:rPr>
          <w:noProof/>
        </w:rPr>
        <w:drawing>
          <wp:inline distT="0" distB="0" distL="0" distR="0" wp14:anchorId="0F96B417" wp14:editId="5656603E">
            <wp:extent cx="5943600" cy="1117445"/>
            <wp:effectExtent l="0" t="0" r="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43600" cy="1117445"/>
                    </a:xfrm>
                    <a:prstGeom prst="rect">
                      <a:avLst/>
                    </a:prstGeom>
                    <a:noFill/>
                    <a:ln>
                      <a:noFill/>
                    </a:ln>
                  </pic:spPr>
                </pic:pic>
              </a:graphicData>
            </a:graphic>
          </wp:inline>
        </w:drawing>
      </w:r>
    </w:p>
    <w:p w14:paraId="6993FC70" w14:textId="613514F0" w:rsidR="006774DF" w:rsidRDefault="006774DF" w:rsidP="006774DF">
      <w:pPr>
        <w:jc w:val="center"/>
      </w:pPr>
      <w:r w:rsidRPr="006774DF">
        <w:rPr>
          <w:noProof/>
        </w:rPr>
        <w:drawing>
          <wp:inline distT="0" distB="0" distL="0" distR="0" wp14:anchorId="7B408814" wp14:editId="5A21E402">
            <wp:extent cx="5943600" cy="1274491"/>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943600" cy="1274491"/>
                    </a:xfrm>
                    <a:prstGeom prst="rect">
                      <a:avLst/>
                    </a:prstGeom>
                    <a:noFill/>
                    <a:ln>
                      <a:noFill/>
                    </a:ln>
                  </pic:spPr>
                </pic:pic>
              </a:graphicData>
            </a:graphic>
          </wp:inline>
        </w:drawing>
      </w:r>
    </w:p>
    <w:p w14:paraId="4C7130D3" w14:textId="494C9919" w:rsidR="006774DF" w:rsidRDefault="006774DF" w:rsidP="006774DF">
      <w:pPr>
        <w:jc w:val="center"/>
      </w:pPr>
      <w:r w:rsidRPr="006774DF">
        <w:rPr>
          <w:noProof/>
        </w:rPr>
        <w:drawing>
          <wp:inline distT="0" distB="0" distL="0" distR="0" wp14:anchorId="739B3948" wp14:editId="539D016D">
            <wp:extent cx="5943600" cy="1594624"/>
            <wp:effectExtent l="0" t="0" r="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943600" cy="1594624"/>
                    </a:xfrm>
                    <a:prstGeom prst="rect">
                      <a:avLst/>
                    </a:prstGeom>
                    <a:noFill/>
                    <a:ln>
                      <a:noFill/>
                    </a:ln>
                  </pic:spPr>
                </pic:pic>
              </a:graphicData>
            </a:graphic>
          </wp:inline>
        </w:drawing>
      </w:r>
    </w:p>
    <w:p w14:paraId="1A9A4082" w14:textId="45F0735F" w:rsidR="006774DF" w:rsidRDefault="006774DF" w:rsidP="006774DF">
      <w:pPr>
        <w:jc w:val="center"/>
      </w:pPr>
      <w:r w:rsidRPr="006774DF">
        <w:rPr>
          <w:noProof/>
        </w:rPr>
        <w:drawing>
          <wp:inline distT="0" distB="0" distL="0" distR="0" wp14:anchorId="3FA5347F" wp14:editId="5D5CA345">
            <wp:extent cx="5943600" cy="803352"/>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943600" cy="803352"/>
                    </a:xfrm>
                    <a:prstGeom prst="rect">
                      <a:avLst/>
                    </a:prstGeom>
                    <a:noFill/>
                    <a:ln>
                      <a:noFill/>
                    </a:ln>
                  </pic:spPr>
                </pic:pic>
              </a:graphicData>
            </a:graphic>
          </wp:inline>
        </w:drawing>
      </w:r>
    </w:p>
    <w:p w14:paraId="3486CD2B" w14:textId="7EFC0E74" w:rsidR="006774DF" w:rsidRDefault="006774DF" w:rsidP="006774DF">
      <w:pPr>
        <w:jc w:val="center"/>
      </w:pPr>
      <w:r w:rsidRPr="006774DF">
        <w:rPr>
          <w:noProof/>
        </w:rPr>
        <w:lastRenderedPageBreak/>
        <w:drawing>
          <wp:inline distT="0" distB="0" distL="0" distR="0" wp14:anchorId="0AE742FC" wp14:editId="49F60A75">
            <wp:extent cx="5943600" cy="1274491"/>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43600" cy="1274491"/>
                    </a:xfrm>
                    <a:prstGeom prst="rect">
                      <a:avLst/>
                    </a:prstGeom>
                    <a:noFill/>
                    <a:ln>
                      <a:noFill/>
                    </a:ln>
                  </pic:spPr>
                </pic:pic>
              </a:graphicData>
            </a:graphic>
          </wp:inline>
        </w:drawing>
      </w:r>
    </w:p>
    <w:p w14:paraId="26C3842F" w14:textId="26AA42C3" w:rsidR="006774DF" w:rsidRPr="006774DF" w:rsidRDefault="006774DF" w:rsidP="006774DF">
      <w:pPr>
        <w:jc w:val="center"/>
      </w:pPr>
      <w:r w:rsidRPr="006774DF">
        <w:rPr>
          <w:noProof/>
        </w:rPr>
        <w:drawing>
          <wp:inline distT="0" distB="0" distL="0" distR="0" wp14:anchorId="3B5189FD" wp14:editId="6976800C">
            <wp:extent cx="5943600" cy="1117445"/>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943600" cy="1117445"/>
                    </a:xfrm>
                    <a:prstGeom prst="rect">
                      <a:avLst/>
                    </a:prstGeom>
                    <a:noFill/>
                    <a:ln>
                      <a:noFill/>
                    </a:ln>
                  </pic:spPr>
                </pic:pic>
              </a:graphicData>
            </a:graphic>
          </wp:inline>
        </w:drawing>
      </w:r>
    </w:p>
    <w:p w14:paraId="16C31A88" w14:textId="77777777" w:rsidR="00027741" w:rsidRDefault="00027741">
      <w:pPr>
        <w:rPr>
          <w:b/>
          <w:bCs/>
        </w:rPr>
      </w:pPr>
      <w:r>
        <w:br w:type="page"/>
      </w:r>
    </w:p>
    <w:p w14:paraId="65A7C8AF" w14:textId="6A77F371" w:rsidR="006774DF" w:rsidRDefault="00250930" w:rsidP="000F071B">
      <w:pPr>
        <w:pStyle w:val="Heading2"/>
      </w:pPr>
      <w:bookmarkStart w:id="110" w:name="_Toc213759752"/>
      <w:r>
        <w:lastRenderedPageBreak/>
        <w:t>A</w:t>
      </w:r>
      <w:r w:rsidR="00400B22">
        <w:t>ppendix B</w:t>
      </w:r>
      <w:r>
        <w:t>: Detailed Cash Operating Cycle (CCC) Calculation</w:t>
      </w:r>
      <w:bookmarkEnd w:id="110"/>
    </w:p>
    <w:p w14:paraId="73368954" w14:textId="6BE7F027" w:rsidR="000F071B" w:rsidRPr="000F071B" w:rsidRDefault="000F071B" w:rsidP="000F071B">
      <w:r w:rsidRPr="000F071B">
        <w:rPr>
          <w:noProof/>
        </w:rPr>
        <w:drawing>
          <wp:inline distT="0" distB="0" distL="0" distR="0" wp14:anchorId="4597E1E7" wp14:editId="43C8D33F">
            <wp:extent cx="5943600" cy="181298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43600" cy="1812985"/>
                    </a:xfrm>
                    <a:prstGeom prst="rect">
                      <a:avLst/>
                    </a:prstGeom>
                    <a:noFill/>
                    <a:ln>
                      <a:noFill/>
                    </a:ln>
                  </pic:spPr>
                </pic:pic>
              </a:graphicData>
            </a:graphic>
          </wp:inline>
        </w:drawing>
      </w:r>
    </w:p>
    <w:p w14:paraId="31E2175D" w14:textId="77777777" w:rsidR="00027741" w:rsidRDefault="00027741">
      <w:pPr>
        <w:rPr>
          <w:b/>
          <w:bCs/>
        </w:rPr>
      </w:pPr>
      <w:r>
        <w:br w:type="page"/>
      </w:r>
    </w:p>
    <w:p w14:paraId="0000006E" w14:textId="55DD9D22" w:rsidR="00723379" w:rsidRDefault="00400B22" w:rsidP="00400B22">
      <w:pPr>
        <w:pStyle w:val="Heading2"/>
      </w:pPr>
      <w:bookmarkStart w:id="111" w:name="_Toc213759753"/>
      <w:r>
        <w:lastRenderedPageBreak/>
        <w:t>Appendix C</w:t>
      </w:r>
      <w:r w:rsidR="00250930">
        <w:t>: Detailed Investment Appraisal Calculations (PBP, ARR)</w:t>
      </w:r>
      <w:bookmarkEnd w:id="111"/>
    </w:p>
    <w:p w14:paraId="7BBAAD33" w14:textId="2A01DC1C" w:rsidR="000F071B" w:rsidRDefault="000F071B" w:rsidP="000F071B">
      <w:pPr>
        <w:rPr>
          <w:b/>
          <w:i/>
        </w:rPr>
      </w:pPr>
      <w:r>
        <w:rPr>
          <w:b/>
          <w:i/>
        </w:rPr>
        <w:t>Payback Period</w:t>
      </w:r>
    </w:p>
    <w:p w14:paraId="2465EB33" w14:textId="77D038A6" w:rsidR="000F071B" w:rsidRDefault="000F071B" w:rsidP="000F071B">
      <w:pPr>
        <w:jc w:val="center"/>
      </w:pPr>
      <w:r w:rsidRPr="000F071B">
        <w:rPr>
          <w:noProof/>
        </w:rPr>
        <w:drawing>
          <wp:inline distT="0" distB="0" distL="0" distR="0" wp14:anchorId="217FB39F" wp14:editId="15E9A004">
            <wp:extent cx="4709160" cy="320802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709160" cy="3208020"/>
                    </a:xfrm>
                    <a:prstGeom prst="rect">
                      <a:avLst/>
                    </a:prstGeom>
                    <a:noFill/>
                    <a:ln>
                      <a:noFill/>
                    </a:ln>
                  </pic:spPr>
                </pic:pic>
              </a:graphicData>
            </a:graphic>
          </wp:inline>
        </w:drawing>
      </w:r>
    </w:p>
    <w:p w14:paraId="0A1A222F" w14:textId="1D9E528E" w:rsidR="000F071B" w:rsidRDefault="005A76A7" w:rsidP="000F071B">
      <w:pPr>
        <w:rPr>
          <w:b/>
          <w:i/>
        </w:rPr>
      </w:pPr>
      <w:r w:rsidRPr="005A76A7">
        <w:rPr>
          <w:b/>
          <w:i/>
        </w:rPr>
        <w:t>Accounting Rate of Return</w:t>
      </w:r>
    </w:p>
    <w:p w14:paraId="5DD1C369" w14:textId="38BCCD7C" w:rsidR="005A76A7" w:rsidRDefault="005A76A7" w:rsidP="005A76A7">
      <w:pPr>
        <w:jc w:val="center"/>
      </w:pPr>
      <w:r w:rsidRPr="005A76A7">
        <w:rPr>
          <w:noProof/>
        </w:rPr>
        <w:drawing>
          <wp:inline distT="0" distB="0" distL="0" distR="0" wp14:anchorId="460E865E" wp14:editId="40F79FD7">
            <wp:extent cx="3992880" cy="2606040"/>
            <wp:effectExtent l="0" t="0" r="762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992880" cy="2606040"/>
                    </a:xfrm>
                    <a:prstGeom prst="rect">
                      <a:avLst/>
                    </a:prstGeom>
                    <a:noFill/>
                    <a:ln>
                      <a:noFill/>
                    </a:ln>
                  </pic:spPr>
                </pic:pic>
              </a:graphicData>
            </a:graphic>
          </wp:inline>
        </w:drawing>
      </w:r>
    </w:p>
    <w:p w14:paraId="3E23E830" w14:textId="5BB055A3" w:rsidR="00027741" w:rsidRDefault="00027741" w:rsidP="005A76A7">
      <w:pPr>
        <w:jc w:val="center"/>
      </w:pPr>
      <w:r w:rsidRPr="00027741">
        <w:rPr>
          <w:noProof/>
        </w:rPr>
        <w:lastRenderedPageBreak/>
        <w:drawing>
          <wp:inline distT="0" distB="0" distL="0" distR="0" wp14:anchorId="72849E9D" wp14:editId="63265AA5">
            <wp:extent cx="3992880" cy="2606040"/>
            <wp:effectExtent l="0" t="0" r="762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992880" cy="2606040"/>
                    </a:xfrm>
                    <a:prstGeom prst="rect">
                      <a:avLst/>
                    </a:prstGeom>
                    <a:noFill/>
                    <a:ln>
                      <a:noFill/>
                    </a:ln>
                  </pic:spPr>
                </pic:pic>
              </a:graphicData>
            </a:graphic>
          </wp:inline>
        </w:drawing>
      </w:r>
    </w:p>
    <w:p w14:paraId="16D23219" w14:textId="1300A2A5" w:rsidR="00027741" w:rsidRPr="005A76A7" w:rsidRDefault="00027741" w:rsidP="005A76A7">
      <w:pPr>
        <w:jc w:val="center"/>
      </w:pPr>
      <w:r w:rsidRPr="00027741">
        <w:rPr>
          <w:noProof/>
        </w:rPr>
        <w:drawing>
          <wp:inline distT="0" distB="0" distL="0" distR="0" wp14:anchorId="17C8738D" wp14:editId="77159BA3">
            <wp:extent cx="3992880" cy="2606040"/>
            <wp:effectExtent l="0" t="0" r="762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992880" cy="2606040"/>
                    </a:xfrm>
                    <a:prstGeom prst="rect">
                      <a:avLst/>
                    </a:prstGeom>
                    <a:noFill/>
                    <a:ln>
                      <a:noFill/>
                    </a:ln>
                  </pic:spPr>
                </pic:pic>
              </a:graphicData>
            </a:graphic>
          </wp:inline>
        </w:drawing>
      </w:r>
    </w:p>
    <w:p w14:paraId="2CB07A3D" w14:textId="77777777" w:rsidR="00027741" w:rsidRDefault="00027741">
      <w:pPr>
        <w:rPr>
          <w:b/>
          <w:bCs/>
        </w:rPr>
      </w:pPr>
      <w:r>
        <w:br w:type="page"/>
      </w:r>
    </w:p>
    <w:p w14:paraId="0000006F" w14:textId="49A727D9" w:rsidR="00723379" w:rsidRDefault="00400B22" w:rsidP="00400B22">
      <w:pPr>
        <w:pStyle w:val="Heading2"/>
      </w:pPr>
      <w:bookmarkStart w:id="112" w:name="_Toc213759754"/>
      <w:r>
        <w:lastRenderedPageBreak/>
        <w:t>Appendix D</w:t>
      </w:r>
      <w:r w:rsidR="00250930">
        <w:t>: Detailed DCF Calculations (NPV, IRR, PI) and Excel Outputs</w:t>
      </w:r>
      <w:bookmarkEnd w:id="112"/>
    </w:p>
    <w:p w14:paraId="48BD115E" w14:textId="2B905E71" w:rsidR="00027741" w:rsidRDefault="00027741" w:rsidP="00027741">
      <w:pPr>
        <w:rPr>
          <w:b/>
          <w:i/>
        </w:rPr>
      </w:pPr>
      <w:r>
        <w:rPr>
          <w:b/>
          <w:i/>
        </w:rPr>
        <w:t>Net Present Value</w:t>
      </w:r>
    </w:p>
    <w:p w14:paraId="5C83EB97" w14:textId="72F4EC5E" w:rsidR="00027741" w:rsidRDefault="00027741" w:rsidP="00027741">
      <w:pPr>
        <w:jc w:val="center"/>
        <w:rPr>
          <w:b/>
          <w:i/>
        </w:rPr>
      </w:pPr>
      <w:r w:rsidRPr="00027741">
        <w:rPr>
          <w:noProof/>
        </w:rPr>
        <w:drawing>
          <wp:inline distT="0" distB="0" distL="0" distR="0" wp14:anchorId="2BA1C5FC" wp14:editId="3BB6E827">
            <wp:extent cx="4442460" cy="642366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442460" cy="6423660"/>
                    </a:xfrm>
                    <a:prstGeom prst="rect">
                      <a:avLst/>
                    </a:prstGeom>
                    <a:noFill/>
                    <a:ln>
                      <a:noFill/>
                    </a:ln>
                  </pic:spPr>
                </pic:pic>
              </a:graphicData>
            </a:graphic>
          </wp:inline>
        </w:drawing>
      </w:r>
    </w:p>
    <w:p w14:paraId="1C674935" w14:textId="391CC7F0" w:rsidR="00027741" w:rsidRDefault="00027741" w:rsidP="00027741">
      <w:pPr>
        <w:rPr>
          <w:b/>
          <w:i/>
        </w:rPr>
      </w:pPr>
      <w:r>
        <w:rPr>
          <w:b/>
          <w:i/>
        </w:rPr>
        <w:t>Internal Rate of Return</w:t>
      </w:r>
    </w:p>
    <w:p w14:paraId="39FC767D" w14:textId="61D8020E" w:rsidR="00027741" w:rsidRPr="00027741" w:rsidRDefault="00027741" w:rsidP="00027741">
      <w:pPr>
        <w:jc w:val="center"/>
        <w:rPr>
          <w:b/>
          <w:i/>
        </w:rPr>
      </w:pPr>
      <w:r w:rsidRPr="00027741">
        <w:rPr>
          <w:noProof/>
        </w:rPr>
        <w:lastRenderedPageBreak/>
        <w:drawing>
          <wp:inline distT="0" distB="0" distL="0" distR="0" wp14:anchorId="2C13CF72" wp14:editId="1C91E131">
            <wp:extent cx="2941320" cy="5844540"/>
            <wp:effectExtent l="0" t="0" r="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941320" cy="5844540"/>
                    </a:xfrm>
                    <a:prstGeom prst="rect">
                      <a:avLst/>
                    </a:prstGeom>
                    <a:noFill/>
                    <a:ln>
                      <a:noFill/>
                    </a:ln>
                  </pic:spPr>
                </pic:pic>
              </a:graphicData>
            </a:graphic>
          </wp:inline>
        </w:drawing>
      </w:r>
    </w:p>
    <w:p w14:paraId="00000070" w14:textId="36D3AD60" w:rsidR="00723379" w:rsidRDefault="00400B22" w:rsidP="00400B22">
      <w:pPr>
        <w:pStyle w:val="Heading2"/>
      </w:pPr>
      <w:bookmarkStart w:id="113" w:name="_Toc213759755"/>
      <w:r>
        <w:lastRenderedPageBreak/>
        <w:t>Appendix E</w:t>
      </w:r>
      <w:r w:rsidR="00250930">
        <w:t>: Capital Rationing (Profitability Index)</w:t>
      </w:r>
      <w:bookmarkEnd w:id="113"/>
      <w:r w:rsidR="00250930">
        <w:t xml:space="preserve"> </w:t>
      </w:r>
    </w:p>
    <w:p w14:paraId="71AF10FE" w14:textId="5F12ACB1" w:rsidR="00027741" w:rsidRPr="00027741" w:rsidRDefault="00027741" w:rsidP="00027741">
      <w:pPr>
        <w:jc w:val="center"/>
      </w:pPr>
      <w:r w:rsidRPr="00027741">
        <w:rPr>
          <w:noProof/>
        </w:rPr>
        <w:drawing>
          <wp:inline distT="0" distB="0" distL="0" distR="0" wp14:anchorId="203F5DD4" wp14:editId="510244B5">
            <wp:extent cx="4442460" cy="7078980"/>
            <wp:effectExtent l="0" t="0" r="0" b="762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442460" cy="7078980"/>
                    </a:xfrm>
                    <a:prstGeom prst="rect">
                      <a:avLst/>
                    </a:prstGeom>
                    <a:noFill/>
                    <a:ln>
                      <a:noFill/>
                    </a:ln>
                  </pic:spPr>
                </pic:pic>
              </a:graphicData>
            </a:graphic>
          </wp:inline>
        </w:drawing>
      </w:r>
    </w:p>
    <w:p w14:paraId="00000071" w14:textId="77777777" w:rsidR="00723379" w:rsidRDefault="00723379"/>
    <w:sectPr w:rsidR="00723379" w:rsidSect="00027741">
      <w:footerReference w:type="default" r:id="rId80"/>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EC004" w14:textId="77777777" w:rsidR="009E256D" w:rsidRDefault="009E256D" w:rsidP="00924A4E">
      <w:pPr>
        <w:spacing w:after="0" w:line="240" w:lineRule="auto"/>
      </w:pPr>
      <w:r>
        <w:separator/>
      </w:r>
    </w:p>
  </w:endnote>
  <w:endnote w:type="continuationSeparator" w:id="0">
    <w:p w14:paraId="1590BE45" w14:textId="77777777" w:rsidR="009E256D" w:rsidRDefault="009E256D" w:rsidP="00924A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A706E58-FD11-40AC-8E00-244362DF67CF}"/>
  </w:font>
  <w:font w:name="Mangal">
    <w:panose1 w:val="02040503050203030202"/>
    <w:charset w:val="00"/>
    <w:family w:val="roman"/>
    <w:pitch w:val="variable"/>
    <w:sig w:usb0="00008003" w:usb1="00000000" w:usb2="00000000" w:usb3="00000000" w:csb0="00000001" w:csb1="00000000"/>
    <w:embedRegular r:id="rId2" w:fontKey="{98C9DF69-5B78-4264-864D-03BD21E14791}"/>
  </w:font>
  <w:font w:name="Cambria">
    <w:panose1 w:val="02040503050406030204"/>
    <w:charset w:val="00"/>
    <w:family w:val="roman"/>
    <w:pitch w:val="variable"/>
    <w:sig w:usb0="E00006FF" w:usb1="420024FF" w:usb2="02000000" w:usb3="00000000" w:csb0="0000019F" w:csb1="00000000"/>
    <w:embedRegular r:id="rId3" w:fontKey="{FF5E55B2-40D2-42E1-866A-A24AF9A6B4C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0640671"/>
      <w:docPartObj>
        <w:docPartGallery w:val="Page Numbers (Bottom of Page)"/>
        <w:docPartUnique/>
      </w:docPartObj>
    </w:sdtPr>
    <w:sdtContent>
      <w:p w14:paraId="2EE07C76" w14:textId="3F707BB7" w:rsidR="00924A4E" w:rsidRDefault="00924A4E">
        <w:pPr>
          <w:pStyle w:val="Footer"/>
          <w:jc w:val="right"/>
        </w:pPr>
        <w:r>
          <w:fldChar w:fldCharType="begin"/>
        </w:r>
        <w:r>
          <w:instrText>PAGE   \* MERGEFORMAT</w:instrText>
        </w:r>
        <w:r>
          <w:fldChar w:fldCharType="separate"/>
        </w:r>
        <w:r>
          <w:rPr>
            <w:lang w:val="en-GB"/>
          </w:rPr>
          <w:t>2</w:t>
        </w:r>
        <w:r>
          <w:fldChar w:fldCharType="end"/>
        </w:r>
      </w:p>
    </w:sdtContent>
  </w:sdt>
  <w:p w14:paraId="44CFC65C" w14:textId="77777777" w:rsidR="00924A4E" w:rsidRDefault="00924A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F8077" w14:textId="77777777" w:rsidR="009E256D" w:rsidRDefault="009E256D" w:rsidP="00924A4E">
      <w:pPr>
        <w:spacing w:after="0" w:line="240" w:lineRule="auto"/>
      </w:pPr>
      <w:r>
        <w:separator/>
      </w:r>
    </w:p>
  </w:footnote>
  <w:footnote w:type="continuationSeparator" w:id="0">
    <w:p w14:paraId="31F19A81" w14:textId="77777777" w:rsidR="009E256D" w:rsidRDefault="009E256D" w:rsidP="00924A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16112B"/>
    <w:multiLevelType w:val="multilevel"/>
    <w:tmpl w:val="A4CCCE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46201EB"/>
    <w:multiLevelType w:val="multilevel"/>
    <w:tmpl w:val="6956999C"/>
    <w:lvl w:ilvl="0">
      <w:start w:val="1"/>
      <w:numFmt w:val="decimal"/>
      <w:lvlText w:val="%1."/>
      <w:lvlJc w:val="left"/>
      <w:pPr>
        <w:ind w:left="720" w:hanging="360"/>
      </w:pPr>
      <w:rPr>
        <w:rFonts w:ascii="Arial" w:eastAsia="Arial" w:hAnsi="Arial" w:cs="Arial"/>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704939930">
    <w:abstractNumId w:val="1"/>
  </w:num>
  <w:num w:numId="2" w16cid:durableId="563218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379"/>
    <w:rsid w:val="00027741"/>
    <w:rsid w:val="000F071B"/>
    <w:rsid w:val="00250930"/>
    <w:rsid w:val="00400B22"/>
    <w:rsid w:val="00431B14"/>
    <w:rsid w:val="00496C80"/>
    <w:rsid w:val="004B16FD"/>
    <w:rsid w:val="00554B4D"/>
    <w:rsid w:val="005A76A7"/>
    <w:rsid w:val="006774DF"/>
    <w:rsid w:val="006B7557"/>
    <w:rsid w:val="00723379"/>
    <w:rsid w:val="008442F4"/>
    <w:rsid w:val="00924A4E"/>
    <w:rsid w:val="009E256D"/>
    <w:rsid w:val="00C13083"/>
    <w:rsid w:val="00CB302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66FE3"/>
  <w15:docId w15:val="{25251FE8-5E58-4F24-8A41-199440E02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rPr>
  </w:style>
  <w:style w:type="paragraph" w:styleId="Heading3">
    <w:name w:val="heading 3"/>
    <w:basedOn w:val="Normal"/>
    <w:next w:val="Normal"/>
    <w:pPr>
      <w:keepNext/>
      <w:keepLines/>
      <w:outlineLvl w:val="2"/>
    </w:pPr>
    <w:rPr>
      <w:b/>
      <w:bCs/>
      <w:i/>
      <w:iCs/>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NormalWeb">
    <w:name w:val="Normal (Web)"/>
    <w:basedOn w:val="Normal"/>
    <w:uiPriority w:val="99"/>
    <w:semiHidden/>
    <w:unhideWhenUsed/>
    <w:rsid w:val="00CB302E"/>
    <w:pPr>
      <w:spacing w:before="100" w:beforeAutospacing="1" w:after="100" w:afterAutospacing="1" w:line="240" w:lineRule="auto"/>
      <w:jc w:val="left"/>
    </w:pPr>
    <w:rPr>
      <w:lang w:val="en-US"/>
    </w:rPr>
  </w:style>
  <w:style w:type="character" w:styleId="Hyperlink">
    <w:name w:val="Hyperlink"/>
    <w:basedOn w:val="DefaultParagraphFont"/>
    <w:uiPriority w:val="99"/>
    <w:unhideWhenUsed/>
    <w:rsid w:val="00CB302E"/>
    <w:rPr>
      <w:color w:val="0000FF" w:themeColor="hyperlink"/>
      <w:u w:val="single"/>
    </w:rPr>
  </w:style>
  <w:style w:type="paragraph" w:styleId="TOC1">
    <w:name w:val="toc 1"/>
    <w:basedOn w:val="Normal"/>
    <w:next w:val="Normal"/>
    <w:autoRedefine/>
    <w:uiPriority w:val="39"/>
    <w:unhideWhenUsed/>
    <w:rsid w:val="00027741"/>
    <w:pPr>
      <w:spacing w:after="100"/>
    </w:pPr>
  </w:style>
  <w:style w:type="paragraph" w:styleId="TOC2">
    <w:name w:val="toc 2"/>
    <w:basedOn w:val="Normal"/>
    <w:next w:val="Normal"/>
    <w:autoRedefine/>
    <w:uiPriority w:val="39"/>
    <w:unhideWhenUsed/>
    <w:rsid w:val="00027741"/>
    <w:pPr>
      <w:spacing w:after="100"/>
      <w:ind w:left="240"/>
    </w:pPr>
  </w:style>
  <w:style w:type="paragraph" w:styleId="TOC3">
    <w:name w:val="toc 3"/>
    <w:basedOn w:val="Normal"/>
    <w:next w:val="Normal"/>
    <w:autoRedefine/>
    <w:uiPriority w:val="39"/>
    <w:unhideWhenUsed/>
    <w:rsid w:val="00027741"/>
    <w:pPr>
      <w:spacing w:after="100"/>
      <w:ind w:left="480"/>
    </w:pPr>
  </w:style>
  <w:style w:type="paragraph" w:styleId="Header">
    <w:name w:val="header"/>
    <w:basedOn w:val="Normal"/>
    <w:link w:val="HeaderChar"/>
    <w:uiPriority w:val="99"/>
    <w:unhideWhenUsed/>
    <w:rsid w:val="00924A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4A4E"/>
  </w:style>
  <w:style w:type="paragraph" w:styleId="Footer">
    <w:name w:val="footer"/>
    <w:basedOn w:val="Normal"/>
    <w:link w:val="FooterChar"/>
    <w:uiPriority w:val="99"/>
    <w:unhideWhenUsed/>
    <w:rsid w:val="00924A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4A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62038">
      <w:bodyDiv w:val="1"/>
      <w:marLeft w:val="0"/>
      <w:marRight w:val="0"/>
      <w:marTop w:val="0"/>
      <w:marBottom w:val="0"/>
      <w:divBdr>
        <w:top w:val="none" w:sz="0" w:space="0" w:color="auto"/>
        <w:left w:val="none" w:sz="0" w:space="0" w:color="auto"/>
        <w:bottom w:val="none" w:sz="0" w:space="0" w:color="auto"/>
        <w:right w:val="none" w:sz="0" w:space="0" w:color="auto"/>
      </w:divBdr>
    </w:div>
    <w:div w:id="122315380">
      <w:bodyDiv w:val="1"/>
      <w:marLeft w:val="0"/>
      <w:marRight w:val="0"/>
      <w:marTop w:val="0"/>
      <w:marBottom w:val="0"/>
      <w:divBdr>
        <w:top w:val="none" w:sz="0" w:space="0" w:color="auto"/>
        <w:left w:val="none" w:sz="0" w:space="0" w:color="auto"/>
        <w:bottom w:val="none" w:sz="0" w:space="0" w:color="auto"/>
        <w:right w:val="none" w:sz="0" w:space="0" w:color="auto"/>
      </w:divBdr>
    </w:div>
    <w:div w:id="166480242">
      <w:bodyDiv w:val="1"/>
      <w:marLeft w:val="0"/>
      <w:marRight w:val="0"/>
      <w:marTop w:val="0"/>
      <w:marBottom w:val="0"/>
      <w:divBdr>
        <w:top w:val="none" w:sz="0" w:space="0" w:color="auto"/>
        <w:left w:val="none" w:sz="0" w:space="0" w:color="auto"/>
        <w:bottom w:val="none" w:sz="0" w:space="0" w:color="auto"/>
        <w:right w:val="none" w:sz="0" w:space="0" w:color="auto"/>
      </w:divBdr>
    </w:div>
    <w:div w:id="182017239">
      <w:bodyDiv w:val="1"/>
      <w:marLeft w:val="0"/>
      <w:marRight w:val="0"/>
      <w:marTop w:val="0"/>
      <w:marBottom w:val="0"/>
      <w:divBdr>
        <w:top w:val="none" w:sz="0" w:space="0" w:color="auto"/>
        <w:left w:val="none" w:sz="0" w:space="0" w:color="auto"/>
        <w:bottom w:val="none" w:sz="0" w:space="0" w:color="auto"/>
        <w:right w:val="none" w:sz="0" w:space="0" w:color="auto"/>
      </w:divBdr>
    </w:div>
    <w:div w:id="292255033">
      <w:bodyDiv w:val="1"/>
      <w:marLeft w:val="0"/>
      <w:marRight w:val="0"/>
      <w:marTop w:val="0"/>
      <w:marBottom w:val="0"/>
      <w:divBdr>
        <w:top w:val="none" w:sz="0" w:space="0" w:color="auto"/>
        <w:left w:val="none" w:sz="0" w:space="0" w:color="auto"/>
        <w:bottom w:val="none" w:sz="0" w:space="0" w:color="auto"/>
        <w:right w:val="none" w:sz="0" w:space="0" w:color="auto"/>
      </w:divBdr>
      <w:divsChild>
        <w:div w:id="486212095">
          <w:marLeft w:val="0"/>
          <w:marRight w:val="0"/>
          <w:marTop w:val="0"/>
          <w:marBottom w:val="0"/>
          <w:divBdr>
            <w:top w:val="none" w:sz="0" w:space="0" w:color="auto"/>
            <w:left w:val="none" w:sz="0" w:space="0" w:color="auto"/>
            <w:bottom w:val="none" w:sz="0" w:space="0" w:color="auto"/>
            <w:right w:val="none" w:sz="0" w:space="0" w:color="auto"/>
          </w:divBdr>
        </w:div>
      </w:divsChild>
    </w:div>
    <w:div w:id="525338458">
      <w:bodyDiv w:val="1"/>
      <w:marLeft w:val="0"/>
      <w:marRight w:val="0"/>
      <w:marTop w:val="0"/>
      <w:marBottom w:val="0"/>
      <w:divBdr>
        <w:top w:val="none" w:sz="0" w:space="0" w:color="auto"/>
        <w:left w:val="none" w:sz="0" w:space="0" w:color="auto"/>
        <w:bottom w:val="none" w:sz="0" w:space="0" w:color="auto"/>
        <w:right w:val="none" w:sz="0" w:space="0" w:color="auto"/>
      </w:divBdr>
    </w:div>
    <w:div w:id="649599069">
      <w:bodyDiv w:val="1"/>
      <w:marLeft w:val="0"/>
      <w:marRight w:val="0"/>
      <w:marTop w:val="0"/>
      <w:marBottom w:val="0"/>
      <w:divBdr>
        <w:top w:val="none" w:sz="0" w:space="0" w:color="auto"/>
        <w:left w:val="none" w:sz="0" w:space="0" w:color="auto"/>
        <w:bottom w:val="none" w:sz="0" w:space="0" w:color="auto"/>
        <w:right w:val="none" w:sz="0" w:space="0" w:color="auto"/>
      </w:divBdr>
    </w:div>
    <w:div w:id="838546383">
      <w:bodyDiv w:val="1"/>
      <w:marLeft w:val="0"/>
      <w:marRight w:val="0"/>
      <w:marTop w:val="0"/>
      <w:marBottom w:val="0"/>
      <w:divBdr>
        <w:top w:val="none" w:sz="0" w:space="0" w:color="auto"/>
        <w:left w:val="none" w:sz="0" w:space="0" w:color="auto"/>
        <w:bottom w:val="none" w:sz="0" w:space="0" w:color="auto"/>
        <w:right w:val="none" w:sz="0" w:space="0" w:color="auto"/>
      </w:divBdr>
    </w:div>
    <w:div w:id="928123853">
      <w:bodyDiv w:val="1"/>
      <w:marLeft w:val="0"/>
      <w:marRight w:val="0"/>
      <w:marTop w:val="0"/>
      <w:marBottom w:val="0"/>
      <w:divBdr>
        <w:top w:val="none" w:sz="0" w:space="0" w:color="auto"/>
        <w:left w:val="none" w:sz="0" w:space="0" w:color="auto"/>
        <w:bottom w:val="none" w:sz="0" w:space="0" w:color="auto"/>
        <w:right w:val="none" w:sz="0" w:space="0" w:color="auto"/>
      </w:divBdr>
    </w:div>
    <w:div w:id="937758086">
      <w:bodyDiv w:val="1"/>
      <w:marLeft w:val="0"/>
      <w:marRight w:val="0"/>
      <w:marTop w:val="0"/>
      <w:marBottom w:val="0"/>
      <w:divBdr>
        <w:top w:val="none" w:sz="0" w:space="0" w:color="auto"/>
        <w:left w:val="none" w:sz="0" w:space="0" w:color="auto"/>
        <w:bottom w:val="none" w:sz="0" w:space="0" w:color="auto"/>
        <w:right w:val="none" w:sz="0" w:space="0" w:color="auto"/>
      </w:divBdr>
    </w:div>
    <w:div w:id="1188758004">
      <w:bodyDiv w:val="1"/>
      <w:marLeft w:val="0"/>
      <w:marRight w:val="0"/>
      <w:marTop w:val="0"/>
      <w:marBottom w:val="0"/>
      <w:divBdr>
        <w:top w:val="none" w:sz="0" w:space="0" w:color="auto"/>
        <w:left w:val="none" w:sz="0" w:space="0" w:color="auto"/>
        <w:bottom w:val="none" w:sz="0" w:space="0" w:color="auto"/>
        <w:right w:val="none" w:sz="0" w:space="0" w:color="auto"/>
      </w:divBdr>
    </w:div>
    <w:div w:id="1242759805">
      <w:bodyDiv w:val="1"/>
      <w:marLeft w:val="0"/>
      <w:marRight w:val="0"/>
      <w:marTop w:val="0"/>
      <w:marBottom w:val="0"/>
      <w:divBdr>
        <w:top w:val="none" w:sz="0" w:space="0" w:color="auto"/>
        <w:left w:val="none" w:sz="0" w:space="0" w:color="auto"/>
        <w:bottom w:val="none" w:sz="0" w:space="0" w:color="auto"/>
        <w:right w:val="none" w:sz="0" w:space="0" w:color="auto"/>
      </w:divBdr>
      <w:divsChild>
        <w:div w:id="1686706413">
          <w:marLeft w:val="0"/>
          <w:marRight w:val="0"/>
          <w:marTop w:val="0"/>
          <w:marBottom w:val="0"/>
          <w:divBdr>
            <w:top w:val="none" w:sz="0" w:space="0" w:color="auto"/>
            <w:left w:val="none" w:sz="0" w:space="0" w:color="auto"/>
            <w:bottom w:val="none" w:sz="0" w:space="0" w:color="auto"/>
            <w:right w:val="none" w:sz="0" w:space="0" w:color="auto"/>
          </w:divBdr>
        </w:div>
      </w:divsChild>
    </w:div>
    <w:div w:id="1245722781">
      <w:bodyDiv w:val="1"/>
      <w:marLeft w:val="0"/>
      <w:marRight w:val="0"/>
      <w:marTop w:val="0"/>
      <w:marBottom w:val="0"/>
      <w:divBdr>
        <w:top w:val="none" w:sz="0" w:space="0" w:color="auto"/>
        <w:left w:val="none" w:sz="0" w:space="0" w:color="auto"/>
        <w:bottom w:val="none" w:sz="0" w:space="0" w:color="auto"/>
        <w:right w:val="none" w:sz="0" w:space="0" w:color="auto"/>
      </w:divBdr>
    </w:div>
    <w:div w:id="1884706981">
      <w:bodyDiv w:val="1"/>
      <w:marLeft w:val="0"/>
      <w:marRight w:val="0"/>
      <w:marTop w:val="0"/>
      <w:marBottom w:val="0"/>
      <w:divBdr>
        <w:top w:val="none" w:sz="0" w:space="0" w:color="auto"/>
        <w:left w:val="none" w:sz="0" w:space="0" w:color="auto"/>
        <w:bottom w:val="none" w:sz="0" w:space="0" w:color="auto"/>
        <w:right w:val="none" w:sz="0" w:space="0" w:color="auto"/>
      </w:divBdr>
    </w:div>
    <w:div w:id="1895507433">
      <w:bodyDiv w:val="1"/>
      <w:marLeft w:val="0"/>
      <w:marRight w:val="0"/>
      <w:marTop w:val="0"/>
      <w:marBottom w:val="0"/>
      <w:divBdr>
        <w:top w:val="none" w:sz="0" w:space="0" w:color="auto"/>
        <w:left w:val="none" w:sz="0" w:space="0" w:color="auto"/>
        <w:bottom w:val="none" w:sz="0" w:space="0" w:color="auto"/>
        <w:right w:val="none" w:sz="0" w:space="0" w:color="auto"/>
      </w:divBdr>
    </w:div>
    <w:div w:id="1928340040">
      <w:bodyDiv w:val="1"/>
      <w:marLeft w:val="0"/>
      <w:marRight w:val="0"/>
      <w:marTop w:val="0"/>
      <w:marBottom w:val="0"/>
      <w:divBdr>
        <w:top w:val="none" w:sz="0" w:space="0" w:color="auto"/>
        <w:left w:val="none" w:sz="0" w:space="0" w:color="auto"/>
        <w:bottom w:val="none" w:sz="0" w:space="0" w:color="auto"/>
        <w:right w:val="none" w:sz="0" w:space="0" w:color="auto"/>
      </w:divBdr>
    </w:div>
    <w:div w:id="1944142849">
      <w:bodyDiv w:val="1"/>
      <w:marLeft w:val="0"/>
      <w:marRight w:val="0"/>
      <w:marTop w:val="0"/>
      <w:marBottom w:val="0"/>
      <w:divBdr>
        <w:top w:val="none" w:sz="0" w:space="0" w:color="auto"/>
        <w:left w:val="none" w:sz="0" w:space="0" w:color="auto"/>
        <w:bottom w:val="none" w:sz="0" w:space="0" w:color="auto"/>
        <w:right w:val="none" w:sz="0" w:space="0" w:color="auto"/>
      </w:divBdr>
    </w:div>
    <w:div w:id="2006125715">
      <w:bodyDiv w:val="1"/>
      <w:marLeft w:val="0"/>
      <w:marRight w:val="0"/>
      <w:marTop w:val="0"/>
      <w:marBottom w:val="0"/>
      <w:divBdr>
        <w:top w:val="none" w:sz="0" w:space="0" w:color="auto"/>
        <w:left w:val="none" w:sz="0" w:space="0" w:color="auto"/>
        <w:bottom w:val="none" w:sz="0" w:space="0" w:color="auto"/>
        <w:right w:val="none" w:sz="0" w:space="0" w:color="auto"/>
      </w:divBdr>
      <w:divsChild>
        <w:div w:id="492840425">
          <w:marLeft w:val="0"/>
          <w:marRight w:val="0"/>
          <w:marTop w:val="0"/>
          <w:marBottom w:val="0"/>
          <w:divBdr>
            <w:top w:val="none" w:sz="0" w:space="0" w:color="auto"/>
            <w:left w:val="none" w:sz="0" w:space="0" w:color="auto"/>
            <w:bottom w:val="none" w:sz="0" w:space="0" w:color="auto"/>
            <w:right w:val="none" w:sz="0" w:space="0" w:color="auto"/>
          </w:divBdr>
        </w:div>
      </w:divsChild>
    </w:div>
    <w:div w:id="2060473863">
      <w:bodyDiv w:val="1"/>
      <w:marLeft w:val="0"/>
      <w:marRight w:val="0"/>
      <w:marTop w:val="0"/>
      <w:marBottom w:val="0"/>
      <w:divBdr>
        <w:top w:val="none" w:sz="0" w:space="0" w:color="auto"/>
        <w:left w:val="none" w:sz="0" w:space="0" w:color="auto"/>
        <w:bottom w:val="none" w:sz="0" w:space="0" w:color="auto"/>
        <w:right w:val="none" w:sz="0" w:space="0" w:color="auto"/>
      </w:divBdr>
    </w:div>
    <w:div w:id="21107389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j.irfa.2025.104103" TargetMode="External"/><Relationship Id="rId21" Type="http://schemas.openxmlformats.org/officeDocument/2006/relationships/chart" Target="charts/chart12.xml"/><Relationship Id="rId42" Type="http://schemas.openxmlformats.org/officeDocument/2006/relationships/hyperlink" Target="https://doi.org/10.5089/9781616358112.007.A001" TargetMode="External"/><Relationship Id="rId47" Type="http://schemas.openxmlformats.org/officeDocument/2006/relationships/hyperlink" Target="https://365financialanalyst.com/knowledge-hub/corporate-finance/what-is-profitability-index/" TargetMode="External"/><Relationship Id="rId63" Type="http://schemas.openxmlformats.org/officeDocument/2006/relationships/hyperlink" Target="https://www.wallstreetprep.com/knowledge/altman-z-score/" TargetMode="External"/><Relationship Id="rId68" Type="http://schemas.openxmlformats.org/officeDocument/2006/relationships/image" Target="media/image6.emf"/><Relationship Id="rId16" Type="http://schemas.openxmlformats.org/officeDocument/2006/relationships/chart" Target="charts/chart8.xml"/><Relationship Id="rId11" Type="http://schemas.openxmlformats.org/officeDocument/2006/relationships/chart" Target="charts/chart3.xml"/><Relationship Id="rId32" Type="http://schemas.openxmlformats.org/officeDocument/2006/relationships/hyperlink" Target="https://corporatefinanceinstitute.com/resources/accounting/cash-conversion-cycle/" TargetMode="External"/><Relationship Id="rId37" Type="http://schemas.openxmlformats.org/officeDocument/2006/relationships/hyperlink" Target="https://www.financealliance.io/risks-of-mergers-and-acquisitions/" TargetMode="External"/><Relationship Id="rId53" Type="http://schemas.openxmlformats.org/officeDocument/2006/relationships/hyperlink" Target="https://doi.org/10.3390/jtaer16070168" TargetMode="External"/><Relationship Id="rId58" Type="http://schemas.openxmlformats.org/officeDocument/2006/relationships/hyperlink" Target="https://www.atlantis-press.com/article/125975449.pdf" TargetMode="External"/><Relationship Id="rId74" Type="http://schemas.openxmlformats.org/officeDocument/2006/relationships/image" Target="media/image12.emf"/><Relationship Id="rId79" Type="http://schemas.openxmlformats.org/officeDocument/2006/relationships/image" Target="media/image17.emf"/><Relationship Id="rId5" Type="http://schemas.openxmlformats.org/officeDocument/2006/relationships/webSettings" Target="webSettings.xml"/><Relationship Id="rId61" Type="http://schemas.openxmlformats.org/officeDocument/2006/relationships/hyperlink" Target="https://corporatefinanceinstitute.com/resources/accounting/arr-accounting-rate-of-return/" TargetMode="External"/><Relationship Id="rId82" Type="http://schemas.openxmlformats.org/officeDocument/2006/relationships/theme" Target="theme/theme1.xml"/><Relationship Id="rId19" Type="http://schemas.openxmlformats.org/officeDocument/2006/relationships/chart" Target="charts/chart10.xml"/><Relationship Id="rId14" Type="http://schemas.openxmlformats.org/officeDocument/2006/relationships/chart" Target="charts/chart6.xml"/><Relationship Id="rId22" Type="http://schemas.openxmlformats.org/officeDocument/2006/relationships/chart" Target="charts/chart13.xml"/><Relationship Id="rId27" Type="http://schemas.openxmlformats.org/officeDocument/2006/relationships/hyperlink" Target="https://corporatefinanceinstitute.com/resources/financial-modeling/negative-working-capital-analysis/" TargetMode="External"/><Relationship Id="rId30" Type="http://schemas.openxmlformats.org/officeDocument/2006/relationships/hyperlink" Target="https://doi.org/10.1371/journal.pone.0317185" TargetMode="External"/><Relationship Id="rId35" Type="http://schemas.openxmlformats.org/officeDocument/2006/relationships/hyperlink" Target="https://doi.org/10.1016/j.irfa.2024.103449" TargetMode="External"/><Relationship Id="rId43" Type="http://schemas.openxmlformats.org/officeDocument/2006/relationships/hyperlink" Target="https://www.fundthrough.com/blog/ask-fundthrough/accounts-receivable-explained-how-to-take-charge-of-your-business-capital/" TargetMode="External"/><Relationship Id="rId48" Type="http://schemas.openxmlformats.org/officeDocument/2006/relationships/hyperlink" Target="https://finally.com/blog/accounting/accounts-receivable/" TargetMode="External"/><Relationship Id="rId56" Type="http://schemas.openxmlformats.org/officeDocument/2006/relationships/hyperlink" Target="https://www.salesforce.com/blog/what-is-roi/" TargetMode="External"/><Relationship Id="rId64" Type="http://schemas.openxmlformats.org/officeDocument/2006/relationships/hyperlink" Target="https://www.zarmoney.com/blog/accounts-receivable-negative-everything-you-need-to-know" TargetMode="External"/><Relationship Id="rId69" Type="http://schemas.openxmlformats.org/officeDocument/2006/relationships/image" Target="media/image7.emf"/><Relationship Id="rId77" Type="http://schemas.openxmlformats.org/officeDocument/2006/relationships/image" Target="media/image15.emf"/><Relationship Id="rId8" Type="http://schemas.openxmlformats.org/officeDocument/2006/relationships/image" Target="media/image1.jpg"/><Relationship Id="rId51" Type="http://schemas.openxmlformats.org/officeDocument/2006/relationships/hyperlink" Target="https://www.researchgate.net/publication/389436092_THE_PAYBACK_PERIOD_PBP_UNIFIED_FORMULA_A_SIMPLIFIED_PROPOSED_METHOD_FOR_CALCULATING_PBP_IN_CAPITAL_BUDGETING_DECISION" TargetMode="External"/><Relationship Id="rId72" Type="http://schemas.openxmlformats.org/officeDocument/2006/relationships/image" Target="media/image10.emf"/><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image" Target="media/image2.emf"/><Relationship Id="rId25" Type="http://schemas.openxmlformats.org/officeDocument/2006/relationships/hyperlink" Target="https://www.tickertape.in/blog/issue-of-shares/" TargetMode="External"/><Relationship Id="rId33" Type="http://schemas.openxmlformats.org/officeDocument/2006/relationships/hyperlink" Target="https://corporatefinanceinstitute.com/resources/management/turnaround-recovery-strategies/" TargetMode="External"/><Relationship Id="rId38" Type="http://schemas.openxmlformats.org/officeDocument/2006/relationships/hyperlink" Target="https://ecapital.com/blog/what-is-non-recourse-factoring/" TargetMode="External"/><Relationship Id="rId46" Type="http://schemas.openxmlformats.org/officeDocument/2006/relationships/hyperlink" Target="https://doi.org/10.1016/c2019-0-04885-6" TargetMode="External"/><Relationship Id="rId59" Type="http://schemas.openxmlformats.org/officeDocument/2006/relationships/hyperlink" Target="https://doi.org/10.59188/eduvest.v5i7.51625" TargetMode="External"/><Relationship Id="rId67" Type="http://schemas.openxmlformats.org/officeDocument/2006/relationships/image" Target="media/image5.emf"/><Relationship Id="rId20" Type="http://schemas.openxmlformats.org/officeDocument/2006/relationships/chart" Target="charts/chart11.xml"/><Relationship Id="rId41" Type="http://schemas.openxmlformats.org/officeDocument/2006/relationships/hyperlink" Target="https://www.freshbooks.com/glossary/financial/deleveraging" TargetMode="External"/><Relationship Id="rId54" Type="http://schemas.openxmlformats.org/officeDocument/2006/relationships/hyperlink" Target="https://doi.org/10.3390/su17010016" TargetMode="External"/><Relationship Id="rId62" Type="http://schemas.openxmlformats.org/officeDocument/2006/relationships/hyperlink" Target="https://doi.org/10.3390/su16062573" TargetMode="External"/><Relationship Id="rId70" Type="http://schemas.openxmlformats.org/officeDocument/2006/relationships/image" Target="media/image8.emf"/><Relationship Id="rId75"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7.xml"/><Relationship Id="rId23" Type="http://schemas.openxmlformats.org/officeDocument/2006/relationships/chart" Target="charts/chart14.xml"/><Relationship Id="rId28" Type="http://schemas.openxmlformats.org/officeDocument/2006/relationships/hyperlink" Target="https://corporatefinanceinstitute.com/resources/commercial-lending/altmans-z-score-model/" TargetMode="External"/><Relationship Id="rId36" Type="http://schemas.openxmlformats.org/officeDocument/2006/relationships/hyperlink" Target="https://doi.org/10.1016/j.apenergy.2025.126333" TargetMode="External"/><Relationship Id="rId49" Type="http://schemas.openxmlformats.org/officeDocument/2006/relationships/hyperlink" Target="https://doi.org/10.1016/j.jfs.2024.101322" TargetMode="External"/><Relationship Id="rId57" Type="http://schemas.openxmlformats.org/officeDocument/2006/relationships/hyperlink" Target="https://help.sap.com/docs/SAP_S4HANA_ON-PREMISE/a6bcb3e6679b4a31a9441939ec9430db/71a0c6535e601e4be10000000a174cb4.html" TargetMode="External"/><Relationship Id="rId10" Type="http://schemas.openxmlformats.org/officeDocument/2006/relationships/chart" Target="charts/chart2.xml"/><Relationship Id="rId31" Type="http://schemas.openxmlformats.org/officeDocument/2006/relationships/hyperlink" Target="https://cleartax.in/s/ltcg-tax-savings" TargetMode="External"/><Relationship Id="rId44" Type="http://schemas.openxmlformats.org/officeDocument/2006/relationships/hyperlink" Target="https://www.ir.com/guides/best-practices-liquidity-management" TargetMode="External"/><Relationship Id="rId52" Type="http://schemas.openxmlformats.org/officeDocument/2006/relationships/hyperlink" Target="https://ramp.com/blog/how-to-solve-cash-flow-problems-for-your-business" TargetMode="External"/><Relationship Id="rId60" Type="http://schemas.openxmlformats.org/officeDocument/2006/relationships/hyperlink" Target="https://doi.org/10.1016/j.heliyon.2022.e09671" TargetMode="External"/><Relationship Id="rId65" Type="http://schemas.openxmlformats.org/officeDocument/2006/relationships/image" Target="media/image3.emf"/><Relationship Id="rId73" Type="http://schemas.openxmlformats.org/officeDocument/2006/relationships/image" Target="media/image11.emf"/><Relationship Id="rId78" Type="http://schemas.openxmlformats.org/officeDocument/2006/relationships/image" Target="media/image16.emf"/><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3" Type="http://schemas.openxmlformats.org/officeDocument/2006/relationships/chart" Target="charts/chart5.xml"/><Relationship Id="rId18" Type="http://schemas.openxmlformats.org/officeDocument/2006/relationships/chart" Target="charts/chart9.xml"/><Relationship Id="rId39" Type="http://schemas.openxmlformats.org/officeDocument/2006/relationships/hyperlink" Target="https://www.eurofinance.com/news/supply-squeeze-hits-automaker-working-capital/" TargetMode="External"/><Relationship Id="rId34" Type="http://schemas.openxmlformats.org/officeDocument/2006/relationships/hyperlink" Target="https://corporatefinanceinstitute.com/resources/equities/recapitalization/" TargetMode="External"/><Relationship Id="rId50" Type="http://schemas.openxmlformats.org/officeDocument/2006/relationships/hyperlink" Target="https://doi.org/10.1016/j.jfineco.2024.103830" TargetMode="External"/><Relationship Id="rId55" Type="http://schemas.openxmlformats.org/officeDocument/2006/relationships/hyperlink" Target="https://doi.org/10.4236/ojbm.2024.125167" TargetMode="External"/><Relationship Id="rId76" Type="http://schemas.openxmlformats.org/officeDocument/2006/relationships/image" Target="media/image14.emf"/><Relationship Id="rId7" Type="http://schemas.openxmlformats.org/officeDocument/2006/relationships/endnotes" Target="endnotes.xml"/><Relationship Id="rId71" Type="http://schemas.openxmlformats.org/officeDocument/2006/relationships/image" Target="media/image9.emf"/><Relationship Id="rId2" Type="http://schemas.openxmlformats.org/officeDocument/2006/relationships/numbering" Target="numbering.xml"/><Relationship Id="rId29" Type="http://schemas.openxmlformats.org/officeDocument/2006/relationships/hyperlink" Target="https://www.cgap.org/blog/in-post-pandemic-world-how-healthy-are-mfis-0" TargetMode="External"/><Relationship Id="rId24" Type="http://schemas.openxmlformats.org/officeDocument/2006/relationships/chart" Target="charts/chart15.xml"/><Relationship Id="rId40" Type="http://schemas.openxmlformats.org/officeDocument/2006/relationships/hyperlink" Target="https://doi.org/10.1016/j.irfa.2023.102958" TargetMode="External"/><Relationship Id="rId45" Type="http://schemas.openxmlformats.org/officeDocument/2006/relationships/hyperlink" Target="https://doi.org/10.1016/j.ememar.2024.101114" TargetMode="External"/><Relationship Id="rId66" Type="http://schemas.openxmlformats.org/officeDocument/2006/relationships/image" Target="media/image4.emf"/></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openxmlformats.org/officeDocument/2006/relationships/oleObject" Target="file:///D:\A2\BM12252\BM1225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A2\BM12252\BM1225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A2\BM12252\BM1225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A2\BM12252\BM1225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A2\BM12252\BM1225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D:\A2\BM12252\BM12252.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D:\A2\BM12252\BM12252.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D:\A2\BM12252\BM12252.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D:\A2\BM12252\BM12252.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D:\A2\BM12252\BM12252.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D:\A2\BM12252\BM12252.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D:\A2\BM12252\BM12252.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D:\A2\BM12252\BM12252.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D:\A2\BM12252\BM12252.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D:\A2\BM12252\BM12252.xlsx" TargetMode="External"/><Relationship Id="rId2" Type="http://schemas.microsoft.com/office/2011/relationships/chartColorStyle" Target="colors15.xml"/><Relationship Id="rId1" Type="http://schemas.microsoft.com/office/2011/relationships/chartStyle" Target="style1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en-US" b="1"/>
              <a:t>Trend Analysis</a:t>
            </a:r>
          </a:p>
        </c:rich>
      </c:tx>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tx>
            <c:strRef>
              <c:f>'Trend Analysis'!$B$4</c:f>
              <c:strCache>
                <c:ptCount val="1"/>
                <c:pt idx="0">
                  <c:v>Net sales</c:v>
                </c:pt>
              </c:strCache>
            </c:strRef>
          </c:tx>
          <c:spPr>
            <a:solidFill>
              <a:schemeClr val="accent1">
                <a:alpha val="70000"/>
              </a:schemeClr>
            </a:solidFill>
            <a:ln>
              <a:noFill/>
            </a:ln>
            <a:effectLst/>
          </c:spPr>
          <c:invertIfNegative val="0"/>
          <c:cat>
            <c:numRef>
              <c:f>'Trend Analysis'!$C$3:$G$3</c:f>
              <c:numCache>
                <c:formatCode>General</c:formatCode>
                <c:ptCount val="5"/>
                <c:pt idx="0">
                  <c:v>2020</c:v>
                </c:pt>
                <c:pt idx="1">
                  <c:v>2021</c:v>
                </c:pt>
                <c:pt idx="2">
                  <c:v>2022</c:v>
                </c:pt>
                <c:pt idx="3">
                  <c:v>2023</c:v>
                </c:pt>
                <c:pt idx="4">
                  <c:v>2024</c:v>
                </c:pt>
              </c:numCache>
            </c:numRef>
          </c:cat>
          <c:val>
            <c:numRef>
              <c:f>'Trend Analysis'!$C$4:$G$4</c:f>
              <c:numCache>
                <c:formatCode>_-[$£-809]* #,##0.00_-;\-[$£-809]* #,##0.00_-;_-[$£-809]* "-"??_-;_-@_-</c:formatCode>
                <c:ptCount val="5"/>
                <c:pt idx="0">
                  <c:v>614680</c:v>
                </c:pt>
                <c:pt idx="1">
                  <c:v>601602</c:v>
                </c:pt>
                <c:pt idx="2">
                  <c:v>542751</c:v>
                </c:pt>
                <c:pt idx="3">
                  <c:v>420457</c:v>
                </c:pt>
                <c:pt idx="4">
                  <c:v>394879</c:v>
                </c:pt>
              </c:numCache>
            </c:numRef>
          </c:val>
          <c:extLst>
            <c:ext xmlns:c16="http://schemas.microsoft.com/office/drawing/2014/chart" uri="{C3380CC4-5D6E-409C-BE32-E72D297353CC}">
              <c16:uniqueId val="{00000000-6214-49B5-B9CB-B45689F78538}"/>
            </c:ext>
          </c:extLst>
        </c:ser>
        <c:ser>
          <c:idx val="1"/>
          <c:order val="1"/>
          <c:tx>
            <c:strRef>
              <c:f>'Trend Analysis'!$B$5</c:f>
              <c:strCache>
                <c:ptCount val="1"/>
                <c:pt idx="0">
                  <c:v>Total current liabilities</c:v>
                </c:pt>
              </c:strCache>
            </c:strRef>
          </c:tx>
          <c:spPr>
            <a:solidFill>
              <a:schemeClr val="accent2">
                <a:alpha val="70000"/>
              </a:schemeClr>
            </a:solidFill>
            <a:ln>
              <a:noFill/>
            </a:ln>
            <a:effectLst/>
          </c:spPr>
          <c:invertIfNegative val="0"/>
          <c:cat>
            <c:numRef>
              <c:f>'Trend Analysis'!$C$3:$G$3</c:f>
              <c:numCache>
                <c:formatCode>General</c:formatCode>
                <c:ptCount val="5"/>
                <c:pt idx="0">
                  <c:v>2020</c:v>
                </c:pt>
                <c:pt idx="1">
                  <c:v>2021</c:v>
                </c:pt>
                <c:pt idx="2">
                  <c:v>2022</c:v>
                </c:pt>
                <c:pt idx="3">
                  <c:v>2023</c:v>
                </c:pt>
                <c:pt idx="4">
                  <c:v>2024</c:v>
                </c:pt>
              </c:numCache>
            </c:numRef>
          </c:cat>
          <c:val>
            <c:numRef>
              <c:f>'Trend Analysis'!$C$5:$G$5</c:f>
              <c:numCache>
                <c:formatCode>_-[$£-809]* #,##0.00_-;\-[$£-809]* #,##0.00_-;_-[$£-809]* "-"??_-;_-@_-</c:formatCode>
                <c:ptCount val="5"/>
                <c:pt idx="0">
                  <c:v>179510</c:v>
                </c:pt>
                <c:pt idx="1">
                  <c:v>216787</c:v>
                </c:pt>
                <c:pt idx="2">
                  <c:v>216473</c:v>
                </c:pt>
                <c:pt idx="3">
                  <c:v>161148</c:v>
                </c:pt>
                <c:pt idx="4">
                  <c:v>158291</c:v>
                </c:pt>
              </c:numCache>
            </c:numRef>
          </c:val>
          <c:extLst>
            <c:ext xmlns:c16="http://schemas.microsoft.com/office/drawing/2014/chart" uri="{C3380CC4-5D6E-409C-BE32-E72D297353CC}">
              <c16:uniqueId val="{00000001-6214-49B5-B9CB-B45689F78538}"/>
            </c:ext>
          </c:extLst>
        </c:ser>
        <c:ser>
          <c:idx val="2"/>
          <c:order val="2"/>
          <c:tx>
            <c:strRef>
              <c:f>'Trend Analysis'!$B$6</c:f>
              <c:strCache>
                <c:ptCount val="1"/>
                <c:pt idx="0">
                  <c:v>Net income (loss)</c:v>
                </c:pt>
              </c:strCache>
            </c:strRef>
          </c:tx>
          <c:spPr>
            <a:solidFill>
              <a:schemeClr val="accent3">
                <a:alpha val="70000"/>
              </a:schemeClr>
            </a:solidFill>
            <a:ln>
              <a:noFill/>
            </a:ln>
            <a:effectLst/>
          </c:spPr>
          <c:invertIfNegative val="0"/>
          <c:cat>
            <c:numRef>
              <c:f>'Trend Analysis'!$C$3:$G$3</c:f>
              <c:numCache>
                <c:formatCode>General</c:formatCode>
                <c:ptCount val="5"/>
                <c:pt idx="0">
                  <c:v>2020</c:v>
                </c:pt>
                <c:pt idx="1">
                  <c:v>2021</c:v>
                </c:pt>
                <c:pt idx="2">
                  <c:v>2022</c:v>
                </c:pt>
                <c:pt idx="3">
                  <c:v>2023</c:v>
                </c:pt>
                <c:pt idx="4">
                  <c:v>2024</c:v>
                </c:pt>
              </c:numCache>
            </c:numRef>
          </c:cat>
          <c:val>
            <c:numRef>
              <c:f>'Trend Analysis'!$C$6:$G$6</c:f>
              <c:numCache>
                <c:formatCode>_-[$£-809]* #,##0.00_-;\-[$£-809]* #,##0.00_-;_-[$£-809]* "-"??_-;_-@_-</c:formatCode>
                <c:ptCount val="5"/>
                <c:pt idx="0">
                  <c:v>38572</c:v>
                </c:pt>
                <c:pt idx="1">
                  <c:v>5301</c:v>
                </c:pt>
                <c:pt idx="2">
                  <c:v>407</c:v>
                </c:pt>
                <c:pt idx="3">
                  <c:v>-98238</c:v>
                </c:pt>
                <c:pt idx="4">
                  <c:v>-24029</c:v>
                </c:pt>
              </c:numCache>
            </c:numRef>
          </c:val>
          <c:extLst>
            <c:ext xmlns:c16="http://schemas.microsoft.com/office/drawing/2014/chart" uri="{C3380CC4-5D6E-409C-BE32-E72D297353CC}">
              <c16:uniqueId val="{00000002-6214-49B5-B9CB-B45689F78538}"/>
            </c:ext>
          </c:extLst>
        </c:ser>
        <c:ser>
          <c:idx val="3"/>
          <c:order val="3"/>
          <c:tx>
            <c:strRef>
              <c:f>'Trend Analysis'!$B$7</c:f>
              <c:strCache>
                <c:ptCount val="1"/>
                <c:pt idx="0">
                  <c:v>Total assets</c:v>
                </c:pt>
              </c:strCache>
            </c:strRef>
          </c:tx>
          <c:spPr>
            <a:solidFill>
              <a:schemeClr val="accent4">
                <a:alpha val="70000"/>
              </a:schemeClr>
            </a:solidFill>
            <a:ln>
              <a:noFill/>
            </a:ln>
            <a:effectLst/>
          </c:spPr>
          <c:invertIfNegative val="0"/>
          <c:cat>
            <c:numRef>
              <c:f>'Trend Analysis'!$C$3:$G$3</c:f>
              <c:numCache>
                <c:formatCode>General</c:formatCode>
                <c:ptCount val="5"/>
                <c:pt idx="0">
                  <c:v>2020</c:v>
                </c:pt>
                <c:pt idx="1">
                  <c:v>2021</c:v>
                </c:pt>
                <c:pt idx="2">
                  <c:v>2022</c:v>
                </c:pt>
                <c:pt idx="3">
                  <c:v>2023</c:v>
                </c:pt>
                <c:pt idx="4">
                  <c:v>2024</c:v>
                </c:pt>
              </c:numCache>
            </c:numRef>
          </c:cat>
          <c:val>
            <c:numRef>
              <c:f>'Trend Analysis'!$C$7:$G$7</c:f>
              <c:numCache>
                <c:formatCode>_-[$£-809]* #,##0.00_-;\-[$£-809]* #,##0.00_-;_-[$£-809]* "-"??_-;_-@_-</c:formatCode>
                <c:ptCount val="5"/>
                <c:pt idx="0">
                  <c:v>510290</c:v>
                </c:pt>
                <c:pt idx="1">
                  <c:v>510348</c:v>
                </c:pt>
                <c:pt idx="2">
                  <c:v>504163</c:v>
                </c:pt>
                <c:pt idx="3">
                  <c:v>355872</c:v>
                </c:pt>
                <c:pt idx="4">
                  <c:v>323354</c:v>
                </c:pt>
              </c:numCache>
            </c:numRef>
          </c:val>
          <c:extLst>
            <c:ext xmlns:c16="http://schemas.microsoft.com/office/drawing/2014/chart" uri="{C3380CC4-5D6E-409C-BE32-E72D297353CC}">
              <c16:uniqueId val="{00000003-6214-49B5-B9CB-B45689F78538}"/>
            </c:ext>
          </c:extLst>
        </c:ser>
        <c:dLbls>
          <c:showLegendKey val="0"/>
          <c:showVal val="0"/>
          <c:showCatName val="0"/>
          <c:showSerName val="0"/>
          <c:showPercent val="0"/>
          <c:showBubbleSize val="0"/>
        </c:dLbls>
        <c:gapWidth val="80"/>
        <c:overlap val="25"/>
        <c:axId val="1931244448"/>
        <c:axId val="1931229888"/>
      </c:barChart>
      <c:catAx>
        <c:axId val="1931244448"/>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1931229888"/>
        <c:crosses val="autoZero"/>
        <c:auto val="1"/>
        <c:lblAlgn val="ctr"/>
        <c:lblOffset val="100"/>
        <c:noMultiLvlLbl val="0"/>
      </c:catAx>
      <c:valAx>
        <c:axId val="1931229888"/>
        <c:scaling>
          <c:orientation val="minMax"/>
        </c:scaling>
        <c:delete val="0"/>
        <c:axPos val="l"/>
        <c:majorGridlines>
          <c:spPr>
            <a:ln w="9525" cap="flat" cmpd="sng" algn="ctr">
              <a:solidFill>
                <a:schemeClr val="tx1">
                  <a:lumMod val="5000"/>
                  <a:lumOff val="95000"/>
                </a:schemeClr>
              </a:solidFill>
              <a:round/>
            </a:ln>
            <a:effectLst/>
          </c:spPr>
        </c:majorGridlines>
        <c:numFmt formatCode="_-[$£-809]* #,##0.00_-;\-[$£-809]* #,##0.00_-;_-[$£-809]*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1931244448"/>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en-US" b="1"/>
              <a:t>Profitability Ratios</a:t>
            </a:r>
          </a:p>
        </c:rich>
      </c:tx>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tx>
            <c:strRef>
              <c:f>Ratio!$B$9:$C$9</c:f>
              <c:strCache>
                <c:ptCount val="2"/>
                <c:pt idx="0">
                  <c:v>Net Margin</c:v>
                </c:pt>
                <c:pt idx="1">
                  <c:v>C/A</c:v>
                </c:pt>
              </c:strCache>
            </c:strRef>
          </c:tx>
          <c:spPr>
            <a:solidFill>
              <a:schemeClr val="accent1">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Ratio!$D$3:$H$3</c:f>
              <c:numCache>
                <c:formatCode>General</c:formatCode>
                <c:ptCount val="5"/>
                <c:pt idx="0">
                  <c:v>2020</c:v>
                </c:pt>
                <c:pt idx="1">
                  <c:v>2021</c:v>
                </c:pt>
                <c:pt idx="2">
                  <c:v>2022</c:v>
                </c:pt>
                <c:pt idx="3">
                  <c:v>2023</c:v>
                </c:pt>
                <c:pt idx="4">
                  <c:v>2024</c:v>
                </c:pt>
              </c:numCache>
            </c:numRef>
          </c:cat>
          <c:val>
            <c:numRef>
              <c:f>Ratio!$D$9:$H$9</c:f>
              <c:numCache>
                <c:formatCode>0.00%</c:formatCode>
                <c:ptCount val="5"/>
                <c:pt idx="0">
                  <c:v>6.2751350296089026E-2</c:v>
                </c:pt>
                <c:pt idx="1">
                  <c:v>8.8114733661124791E-3</c:v>
                </c:pt>
                <c:pt idx="2">
                  <c:v>7.4988346405626153E-4</c:v>
                </c:pt>
                <c:pt idx="3">
                  <c:v>-0.23364577114901167</c:v>
                </c:pt>
                <c:pt idx="4">
                  <c:v>-6.0851551994408414E-2</c:v>
                </c:pt>
              </c:numCache>
            </c:numRef>
          </c:val>
          <c:extLst>
            <c:ext xmlns:c16="http://schemas.microsoft.com/office/drawing/2014/chart" uri="{C3380CC4-5D6E-409C-BE32-E72D297353CC}">
              <c16:uniqueId val="{00000000-0004-4E3F-8B7F-E19EB833ED66}"/>
            </c:ext>
          </c:extLst>
        </c:ser>
        <c:ser>
          <c:idx val="1"/>
          <c:order val="1"/>
          <c:tx>
            <c:strRef>
              <c:f>Ratio!$B$10:$C$10</c:f>
              <c:strCache>
                <c:ptCount val="2"/>
                <c:pt idx="0">
                  <c:v>Return on Capital Employed (ROCE)</c:v>
                </c:pt>
                <c:pt idx="1">
                  <c:v>B/(D-E)</c:v>
                </c:pt>
              </c:strCache>
            </c:strRef>
          </c:tx>
          <c:spPr>
            <a:solidFill>
              <a:schemeClr val="accent2">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Ratio!$D$3:$H$3</c:f>
              <c:numCache>
                <c:formatCode>General</c:formatCode>
                <c:ptCount val="5"/>
                <c:pt idx="0">
                  <c:v>2020</c:v>
                </c:pt>
                <c:pt idx="1">
                  <c:v>2021</c:v>
                </c:pt>
                <c:pt idx="2">
                  <c:v>2022</c:v>
                </c:pt>
                <c:pt idx="3">
                  <c:v>2023</c:v>
                </c:pt>
                <c:pt idx="4">
                  <c:v>2024</c:v>
                </c:pt>
              </c:numCache>
            </c:numRef>
          </c:cat>
          <c:val>
            <c:numRef>
              <c:f>Ratio!$D$10:$H$10</c:f>
              <c:numCache>
                <c:formatCode>0.00%</c:formatCode>
                <c:ptCount val="5"/>
                <c:pt idx="0">
                  <c:v>0.11266400628816736</c:v>
                </c:pt>
                <c:pt idx="1">
                  <c:v>7.9210113059977313E-2</c:v>
                </c:pt>
                <c:pt idx="2">
                  <c:v>5.0568320066738504E-2</c:v>
                </c:pt>
                <c:pt idx="3">
                  <c:v>-0.43806105051252031</c:v>
                </c:pt>
                <c:pt idx="4">
                  <c:v>-9.2673706403009759E-2</c:v>
                </c:pt>
              </c:numCache>
            </c:numRef>
          </c:val>
          <c:extLst>
            <c:ext xmlns:c16="http://schemas.microsoft.com/office/drawing/2014/chart" uri="{C3380CC4-5D6E-409C-BE32-E72D297353CC}">
              <c16:uniqueId val="{00000001-0004-4E3F-8B7F-E19EB833ED66}"/>
            </c:ext>
          </c:extLst>
        </c:ser>
        <c:dLbls>
          <c:dLblPos val="outEnd"/>
          <c:showLegendKey val="0"/>
          <c:showVal val="1"/>
          <c:showCatName val="0"/>
          <c:showSerName val="0"/>
          <c:showPercent val="0"/>
          <c:showBubbleSize val="0"/>
        </c:dLbls>
        <c:gapWidth val="80"/>
        <c:overlap val="25"/>
        <c:axId val="1340866224"/>
        <c:axId val="1340866768"/>
      </c:barChart>
      <c:catAx>
        <c:axId val="1340866224"/>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1340866768"/>
        <c:crosses val="autoZero"/>
        <c:auto val="1"/>
        <c:lblAlgn val="ctr"/>
        <c:lblOffset val="100"/>
        <c:noMultiLvlLbl val="0"/>
      </c:catAx>
      <c:valAx>
        <c:axId val="1340866768"/>
        <c:scaling>
          <c:orientation val="minMax"/>
        </c:scaling>
        <c:delete val="0"/>
        <c:axPos val="l"/>
        <c:majorGridlines>
          <c:spPr>
            <a:ln w="9525" cap="flat" cmpd="sng" algn="ctr">
              <a:solidFill>
                <a:schemeClr val="tx1">
                  <a:lumMod val="5000"/>
                  <a:lumOff val="9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1340866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en-US" b="1"/>
              <a:t>Liquidity Ratios</a:t>
            </a:r>
          </a:p>
        </c:rich>
      </c:tx>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tx>
            <c:strRef>
              <c:f>Ratio!$B$17:$C$17</c:f>
              <c:strCache>
                <c:ptCount val="2"/>
                <c:pt idx="0">
                  <c:v>Current Ratio</c:v>
                </c:pt>
                <c:pt idx="1">
                  <c:v>A/C</c:v>
                </c:pt>
              </c:strCache>
            </c:strRef>
          </c:tx>
          <c:spPr>
            <a:solidFill>
              <a:schemeClr val="accent1">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Ratio!$D$13:$H$13</c:f>
              <c:numCache>
                <c:formatCode>General</c:formatCode>
                <c:ptCount val="5"/>
                <c:pt idx="0">
                  <c:v>2020</c:v>
                </c:pt>
                <c:pt idx="1">
                  <c:v>2021</c:v>
                </c:pt>
                <c:pt idx="2">
                  <c:v>2022</c:v>
                </c:pt>
                <c:pt idx="3">
                  <c:v>2023</c:v>
                </c:pt>
                <c:pt idx="4">
                  <c:v>2024</c:v>
                </c:pt>
              </c:numCache>
            </c:numRef>
          </c:cat>
          <c:val>
            <c:numRef>
              <c:f>Ratio!$D$17:$H$17</c:f>
              <c:numCache>
                <c:formatCode>_(* #,##0.00_);_(* \(#,##0.00\);_(* "-"??_);_(@_)</c:formatCode>
                <c:ptCount val="5"/>
                <c:pt idx="0">
                  <c:v>1.8207509330956493</c:v>
                </c:pt>
                <c:pt idx="1">
                  <c:v>1.5551947303113194</c:v>
                </c:pt>
                <c:pt idx="2">
                  <c:v>1.5615804280441441</c:v>
                </c:pt>
                <c:pt idx="3">
                  <c:v>1.6062935934668752</c:v>
                </c:pt>
                <c:pt idx="4">
                  <c:v>1.5319506478574272</c:v>
                </c:pt>
              </c:numCache>
            </c:numRef>
          </c:val>
          <c:extLst>
            <c:ext xmlns:c16="http://schemas.microsoft.com/office/drawing/2014/chart" uri="{C3380CC4-5D6E-409C-BE32-E72D297353CC}">
              <c16:uniqueId val="{00000000-0586-418E-8C80-996B04FF6564}"/>
            </c:ext>
          </c:extLst>
        </c:ser>
        <c:ser>
          <c:idx val="1"/>
          <c:order val="1"/>
          <c:tx>
            <c:strRef>
              <c:f>Ratio!$B$18:$C$18</c:f>
              <c:strCache>
                <c:ptCount val="2"/>
                <c:pt idx="0">
                  <c:v>Quick Ratio</c:v>
                </c:pt>
                <c:pt idx="1">
                  <c:v>(A-B)/C</c:v>
                </c:pt>
              </c:strCache>
            </c:strRef>
          </c:tx>
          <c:spPr>
            <a:solidFill>
              <a:schemeClr val="accent2">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Ratio!$D$13:$H$13</c:f>
              <c:numCache>
                <c:formatCode>General</c:formatCode>
                <c:ptCount val="5"/>
                <c:pt idx="0">
                  <c:v>2020</c:v>
                </c:pt>
                <c:pt idx="1">
                  <c:v>2021</c:v>
                </c:pt>
                <c:pt idx="2">
                  <c:v>2022</c:v>
                </c:pt>
                <c:pt idx="3">
                  <c:v>2023</c:v>
                </c:pt>
                <c:pt idx="4">
                  <c:v>2024</c:v>
                </c:pt>
              </c:numCache>
            </c:numRef>
          </c:cat>
          <c:val>
            <c:numRef>
              <c:f>Ratio!$D$18:$H$18</c:f>
              <c:numCache>
                <c:formatCode>_(* #,##0.00_);_(* \(#,##0.00\);_(* "-"??_);_(@_)</c:formatCode>
                <c:ptCount val="5"/>
                <c:pt idx="0">
                  <c:v>1.1498690880730877</c:v>
                </c:pt>
                <c:pt idx="1">
                  <c:v>0.93491307135575474</c:v>
                </c:pt>
                <c:pt idx="2">
                  <c:v>0.9140123710578224</c:v>
                </c:pt>
                <c:pt idx="3">
                  <c:v>1.0585176359619728</c:v>
                </c:pt>
                <c:pt idx="4">
                  <c:v>1.0306271360974408</c:v>
                </c:pt>
              </c:numCache>
            </c:numRef>
          </c:val>
          <c:extLst>
            <c:ext xmlns:c16="http://schemas.microsoft.com/office/drawing/2014/chart" uri="{C3380CC4-5D6E-409C-BE32-E72D297353CC}">
              <c16:uniqueId val="{00000001-0586-418E-8C80-996B04FF6564}"/>
            </c:ext>
          </c:extLst>
        </c:ser>
        <c:dLbls>
          <c:dLblPos val="outEnd"/>
          <c:showLegendKey val="0"/>
          <c:showVal val="1"/>
          <c:showCatName val="0"/>
          <c:showSerName val="0"/>
          <c:showPercent val="0"/>
          <c:showBubbleSize val="0"/>
        </c:dLbls>
        <c:gapWidth val="80"/>
        <c:overlap val="25"/>
        <c:axId val="1340868944"/>
        <c:axId val="1340869488"/>
      </c:barChart>
      <c:catAx>
        <c:axId val="1340868944"/>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1340869488"/>
        <c:crosses val="autoZero"/>
        <c:auto val="1"/>
        <c:lblAlgn val="ctr"/>
        <c:lblOffset val="100"/>
        <c:noMultiLvlLbl val="0"/>
      </c:catAx>
      <c:valAx>
        <c:axId val="1340869488"/>
        <c:scaling>
          <c:orientation val="minMax"/>
        </c:scaling>
        <c:delete val="0"/>
        <c:axPos val="l"/>
        <c:majorGridlines>
          <c:spPr>
            <a:ln w="9525" cap="flat" cmpd="sng" algn="ctr">
              <a:solidFill>
                <a:schemeClr val="tx1">
                  <a:lumMod val="5000"/>
                  <a:lumOff val="9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13408689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en-US"/>
              <a:t>Efficiency Ratios</a:t>
            </a:r>
          </a:p>
        </c:rich>
      </c:tx>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tx>
            <c:strRef>
              <c:f>Ratio!$B$36:$C$36</c:f>
              <c:strCache>
                <c:ptCount val="2"/>
                <c:pt idx="0">
                  <c:v>Inventory Turnover Days</c:v>
                </c:pt>
                <c:pt idx="1">
                  <c:v>365/(B/E)</c:v>
                </c:pt>
              </c:strCache>
            </c:strRef>
          </c:tx>
          <c:spPr>
            <a:solidFill>
              <a:schemeClr val="accent1">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Ratio!$D$41:$H$41</c:f>
              <c:numCache>
                <c:formatCode>General</c:formatCode>
                <c:ptCount val="5"/>
                <c:pt idx="0">
                  <c:v>2020</c:v>
                </c:pt>
                <c:pt idx="1">
                  <c:v>2021</c:v>
                </c:pt>
                <c:pt idx="2">
                  <c:v>2022</c:v>
                </c:pt>
                <c:pt idx="3">
                  <c:v>2023</c:v>
                </c:pt>
                <c:pt idx="4">
                  <c:v>2024</c:v>
                </c:pt>
              </c:numCache>
            </c:numRef>
          </c:cat>
          <c:val>
            <c:numRef>
              <c:f>Ratio!$D$36:$H$36</c:f>
              <c:numCache>
                <c:formatCode>_(* #,##0_);_(* \(#,##0\);_(* "-"??_);_(@_)</c:formatCode>
                <c:ptCount val="5"/>
                <c:pt idx="0">
                  <c:v>50.130638377461089</c:v>
                </c:pt>
                <c:pt idx="1">
                  <c:v>57.259435679186907</c:v>
                </c:pt>
                <c:pt idx="2">
                  <c:v>65.520406752053361</c:v>
                </c:pt>
                <c:pt idx="3">
                  <c:v>49.891521135222689</c:v>
                </c:pt>
                <c:pt idx="4">
                  <c:v>51.55949053883262</c:v>
                </c:pt>
              </c:numCache>
            </c:numRef>
          </c:val>
          <c:extLst>
            <c:ext xmlns:c16="http://schemas.microsoft.com/office/drawing/2014/chart" uri="{C3380CC4-5D6E-409C-BE32-E72D297353CC}">
              <c16:uniqueId val="{00000000-6C7B-4165-BB36-0E4DF4C4F760}"/>
            </c:ext>
          </c:extLst>
        </c:ser>
        <c:ser>
          <c:idx val="1"/>
          <c:order val="1"/>
          <c:tx>
            <c:strRef>
              <c:f>Ratio!$B$37:$C$37</c:f>
              <c:strCache>
                <c:ptCount val="2"/>
                <c:pt idx="0">
                  <c:v>Receivables Turnover Days</c:v>
                </c:pt>
                <c:pt idx="1">
                  <c:v>365/(A/H)</c:v>
                </c:pt>
              </c:strCache>
            </c:strRef>
          </c:tx>
          <c:spPr>
            <a:solidFill>
              <a:schemeClr val="accent2">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Ratio!$D$41:$H$41</c:f>
              <c:numCache>
                <c:formatCode>General</c:formatCode>
                <c:ptCount val="5"/>
                <c:pt idx="0">
                  <c:v>2020</c:v>
                </c:pt>
                <c:pt idx="1">
                  <c:v>2021</c:v>
                </c:pt>
                <c:pt idx="2">
                  <c:v>2022</c:v>
                </c:pt>
                <c:pt idx="3">
                  <c:v>2023</c:v>
                </c:pt>
                <c:pt idx="4">
                  <c:v>2024</c:v>
                </c:pt>
              </c:numCache>
            </c:numRef>
          </c:cat>
          <c:val>
            <c:numRef>
              <c:f>Ratio!$D$37:$H$37</c:f>
              <c:numCache>
                <c:formatCode>_(* #,##0_);_(* \(#,##0\);_(* "-"??_);_(@_)</c:formatCode>
                <c:ptCount val="5"/>
                <c:pt idx="0">
                  <c:v>38.428975239148826</c:v>
                </c:pt>
                <c:pt idx="1">
                  <c:v>39.198236541766818</c:v>
                </c:pt>
                <c:pt idx="2">
                  <c:v>37.776337583901274</c:v>
                </c:pt>
                <c:pt idx="3">
                  <c:v>48.872464960745091</c:v>
                </c:pt>
                <c:pt idx="4">
                  <c:v>52.771140020107424</c:v>
                </c:pt>
              </c:numCache>
            </c:numRef>
          </c:val>
          <c:extLst>
            <c:ext xmlns:c16="http://schemas.microsoft.com/office/drawing/2014/chart" uri="{C3380CC4-5D6E-409C-BE32-E72D297353CC}">
              <c16:uniqueId val="{00000001-6C7B-4165-BB36-0E4DF4C4F760}"/>
            </c:ext>
          </c:extLst>
        </c:ser>
        <c:ser>
          <c:idx val="2"/>
          <c:order val="2"/>
          <c:tx>
            <c:strRef>
              <c:f>Ratio!$B$38:$C$38</c:f>
              <c:strCache>
                <c:ptCount val="2"/>
                <c:pt idx="0">
                  <c:v>Payables Turnover Days</c:v>
                </c:pt>
                <c:pt idx="1">
                  <c:v>365/(B/K)</c:v>
                </c:pt>
              </c:strCache>
            </c:strRef>
          </c:tx>
          <c:spPr>
            <a:solidFill>
              <a:schemeClr val="accent3">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Ratio!$D$41:$H$41</c:f>
              <c:numCache>
                <c:formatCode>General</c:formatCode>
                <c:ptCount val="5"/>
                <c:pt idx="0">
                  <c:v>2020</c:v>
                </c:pt>
                <c:pt idx="1">
                  <c:v>2021</c:v>
                </c:pt>
                <c:pt idx="2">
                  <c:v>2022</c:v>
                </c:pt>
                <c:pt idx="3">
                  <c:v>2023</c:v>
                </c:pt>
                <c:pt idx="4">
                  <c:v>2024</c:v>
                </c:pt>
              </c:numCache>
            </c:numRef>
          </c:cat>
          <c:val>
            <c:numRef>
              <c:f>Ratio!$D$38:$H$38</c:f>
              <c:numCache>
                <c:formatCode>_(* #,##0_);_(* \(#,##0\);_(* "-"??_);_(@_)</c:formatCode>
                <c:ptCount val="5"/>
                <c:pt idx="0">
                  <c:v>34.645212169041841</c:v>
                </c:pt>
                <c:pt idx="1">
                  <c:v>39.476388636119708</c:v>
                </c:pt>
                <c:pt idx="2">
                  <c:v>33.359642113512557</c:v>
                </c:pt>
                <c:pt idx="3">
                  <c:v>32.234807074701834</c:v>
                </c:pt>
                <c:pt idx="4">
                  <c:v>46.800852662121514</c:v>
                </c:pt>
              </c:numCache>
            </c:numRef>
          </c:val>
          <c:extLst>
            <c:ext xmlns:c16="http://schemas.microsoft.com/office/drawing/2014/chart" uri="{C3380CC4-5D6E-409C-BE32-E72D297353CC}">
              <c16:uniqueId val="{00000002-6C7B-4165-BB36-0E4DF4C4F760}"/>
            </c:ext>
          </c:extLst>
        </c:ser>
        <c:dLbls>
          <c:dLblPos val="outEnd"/>
          <c:showLegendKey val="0"/>
          <c:showVal val="1"/>
          <c:showCatName val="0"/>
          <c:showSerName val="0"/>
          <c:showPercent val="0"/>
          <c:showBubbleSize val="0"/>
        </c:dLbls>
        <c:gapWidth val="80"/>
        <c:overlap val="25"/>
        <c:axId val="1199536448"/>
        <c:axId val="1199529920"/>
      </c:barChart>
      <c:catAx>
        <c:axId val="1199536448"/>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1199529920"/>
        <c:crosses val="autoZero"/>
        <c:auto val="1"/>
        <c:lblAlgn val="ctr"/>
        <c:lblOffset val="100"/>
        <c:noMultiLvlLbl val="0"/>
      </c:catAx>
      <c:valAx>
        <c:axId val="1199529920"/>
        <c:scaling>
          <c:orientation val="minMax"/>
        </c:scaling>
        <c:delete val="0"/>
        <c:axPos val="l"/>
        <c:majorGridlines>
          <c:spPr>
            <a:ln w="9525" cap="flat" cmpd="sng" algn="ctr">
              <a:solidFill>
                <a:schemeClr val="tx1">
                  <a:lumMod val="5000"/>
                  <a:lumOff val="95000"/>
                </a:schemeClr>
              </a:solidFill>
              <a:round/>
            </a:ln>
            <a:effectLst/>
          </c:spPr>
        </c:majorGridlines>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11995364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en-US"/>
              <a:t>Gearing Ratios</a:t>
            </a:r>
          </a:p>
        </c:rich>
      </c:tx>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tx>
            <c:strRef>
              <c:f>Ratio!$B$26:$C$26</c:f>
              <c:strCache>
                <c:ptCount val="2"/>
                <c:pt idx="0">
                  <c:v>Debt/Equity Ratio</c:v>
                </c:pt>
                <c:pt idx="1">
                  <c:v>A/B</c:v>
                </c:pt>
              </c:strCache>
            </c:strRef>
          </c:tx>
          <c:spPr>
            <a:solidFill>
              <a:schemeClr val="accent1">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Ratio!$D$21:$H$21</c:f>
              <c:numCache>
                <c:formatCode>General</c:formatCode>
                <c:ptCount val="5"/>
                <c:pt idx="0">
                  <c:v>2020</c:v>
                </c:pt>
                <c:pt idx="1">
                  <c:v>2021</c:v>
                </c:pt>
                <c:pt idx="2">
                  <c:v>2022</c:v>
                </c:pt>
                <c:pt idx="3">
                  <c:v>2023</c:v>
                </c:pt>
                <c:pt idx="4">
                  <c:v>2024</c:v>
                </c:pt>
              </c:numCache>
            </c:numRef>
          </c:cat>
          <c:val>
            <c:numRef>
              <c:f>Ratio!$D$26:$H$26</c:f>
              <c:numCache>
                <c:formatCode>_(* #,##0.00_);_(* \(#,##0.00\);_(* "-"??_);_(@_)</c:formatCode>
                <c:ptCount val="5"/>
                <c:pt idx="0">
                  <c:v>0.62875317984941004</c:v>
                </c:pt>
                <c:pt idx="1">
                  <c:v>0.84942869878129657</c:v>
                </c:pt>
                <c:pt idx="2">
                  <c:v>0.87835964918817011</c:v>
                </c:pt>
                <c:pt idx="3">
                  <c:v>0.98900067069081155</c:v>
                </c:pt>
                <c:pt idx="4">
                  <c:v>1.1119754416903431</c:v>
                </c:pt>
              </c:numCache>
            </c:numRef>
          </c:val>
          <c:extLst>
            <c:ext xmlns:c16="http://schemas.microsoft.com/office/drawing/2014/chart" uri="{C3380CC4-5D6E-409C-BE32-E72D297353CC}">
              <c16:uniqueId val="{00000000-004F-4E85-BAEA-28163A269D09}"/>
            </c:ext>
          </c:extLst>
        </c:ser>
        <c:ser>
          <c:idx val="1"/>
          <c:order val="1"/>
          <c:tx>
            <c:strRef>
              <c:f>Ratio!$B$27:$C$27</c:f>
              <c:strCache>
                <c:ptCount val="2"/>
                <c:pt idx="0">
                  <c:v>Interest Coverage Ratio</c:v>
                </c:pt>
                <c:pt idx="1">
                  <c:v>C/D</c:v>
                </c:pt>
              </c:strCache>
            </c:strRef>
          </c:tx>
          <c:spPr>
            <a:solidFill>
              <a:schemeClr val="accent2">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Ratio!$D$21:$H$21</c:f>
              <c:numCache>
                <c:formatCode>General</c:formatCode>
                <c:ptCount val="5"/>
                <c:pt idx="0">
                  <c:v>2020</c:v>
                </c:pt>
                <c:pt idx="1">
                  <c:v>2021</c:v>
                </c:pt>
                <c:pt idx="2">
                  <c:v>2022</c:v>
                </c:pt>
                <c:pt idx="3">
                  <c:v>2023</c:v>
                </c:pt>
                <c:pt idx="4">
                  <c:v>2024</c:v>
                </c:pt>
              </c:numCache>
            </c:numRef>
          </c:cat>
          <c:val>
            <c:numRef>
              <c:f>Ratio!$D$27:$H$27</c:f>
              <c:numCache>
                <c:formatCode>_(* #,##0.00_);_(* \(#,##0.00\);_(* "-"??_);_(@_)</c:formatCode>
                <c:ptCount val="5"/>
                <c:pt idx="0">
                  <c:v>1.8633500000000001</c:v>
                </c:pt>
                <c:pt idx="1">
                  <c:v>0.41523214285714288</c:v>
                </c:pt>
                <c:pt idx="2">
                  <c:v>0.16531818181818181</c:v>
                </c:pt>
                <c:pt idx="3">
                  <c:v>-1.5509272727272727</c:v>
                </c:pt>
                <c:pt idx="4">
                  <c:v>-0.41387987012987015</c:v>
                </c:pt>
              </c:numCache>
            </c:numRef>
          </c:val>
          <c:extLst>
            <c:ext xmlns:c16="http://schemas.microsoft.com/office/drawing/2014/chart" uri="{C3380CC4-5D6E-409C-BE32-E72D297353CC}">
              <c16:uniqueId val="{00000001-004F-4E85-BAEA-28163A269D09}"/>
            </c:ext>
          </c:extLst>
        </c:ser>
        <c:dLbls>
          <c:dLblPos val="outEnd"/>
          <c:showLegendKey val="0"/>
          <c:showVal val="1"/>
          <c:showCatName val="0"/>
          <c:showSerName val="0"/>
          <c:showPercent val="0"/>
          <c:showBubbleSize val="0"/>
        </c:dLbls>
        <c:gapWidth val="80"/>
        <c:overlap val="25"/>
        <c:axId val="1199013408"/>
        <c:axId val="1199009600"/>
      </c:barChart>
      <c:catAx>
        <c:axId val="1199013408"/>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1199009600"/>
        <c:crosses val="autoZero"/>
        <c:auto val="1"/>
        <c:lblAlgn val="ctr"/>
        <c:lblOffset val="100"/>
        <c:noMultiLvlLbl val="0"/>
      </c:catAx>
      <c:valAx>
        <c:axId val="1199009600"/>
        <c:scaling>
          <c:orientation val="minMax"/>
        </c:scaling>
        <c:delete val="0"/>
        <c:axPos val="l"/>
        <c:majorGridlines>
          <c:spPr>
            <a:ln w="9525" cap="flat" cmpd="sng" algn="ctr">
              <a:solidFill>
                <a:schemeClr val="tx1">
                  <a:lumMod val="5000"/>
                  <a:lumOff val="9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11990134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en-US"/>
              <a:t>Investment Ratios</a:t>
            </a:r>
          </a:p>
        </c:rich>
      </c:tx>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tx>
            <c:strRef>
              <c:f>Ratio!$B$52:$C$52</c:f>
              <c:strCache>
                <c:ptCount val="2"/>
                <c:pt idx="0">
                  <c:v>Return On Assest (ROA)</c:v>
                </c:pt>
                <c:pt idx="1">
                  <c:v>A/B</c:v>
                </c:pt>
              </c:strCache>
            </c:strRef>
          </c:tx>
          <c:spPr>
            <a:solidFill>
              <a:schemeClr val="accent1">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Ratio!$D$56:$H$56</c:f>
              <c:numCache>
                <c:formatCode>General</c:formatCode>
                <c:ptCount val="5"/>
                <c:pt idx="0">
                  <c:v>2020</c:v>
                </c:pt>
                <c:pt idx="1">
                  <c:v>2021</c:v>
                </c:pt>
                <c:pt idx="2">
                  <c:v>2022</c:v>
                </c:pt>
                <c:pt idx="3">
                  <c:v>2023</c:v>
                </c:pt>
                <c:pt idx="4">
                  <c:v>2024</c:v>
                </c:pt>
              </c:numCache>
            </c:numRef>
          </c:cat>
          <c:val>
            <c:numRef>
              <c:f>Ratio!$D$52:$H$52</c:f>
              <c:numCache>
                <c:formatCode>_(* #,##0.00_);_(* \(#,##0.00\);_(* "-"??_);_(@_)</c:formatCode>
                <c:ptCount val="5"/>
                <c:pt idx="0">
                  <c:v>8.6039310980030967E-2</c:v>
                </c:pt>
                <c:pt idx="1">
                  <c:v>3.150791224811305E-2</c:v>
                </c:pt>
                <c:pt idx="2">
                  <c:v>2.2597850298415392E-2</c:v>
                </c:pt>
                <c:pt idx="3">
                  <c:v>-0.25923365704522977</c:v>
                </c:pt>
                <c:pt idx="4">
                  <c:v>-5.7515911354119632E-2</c:v>
                </c:pt>
              </c:numCache>
            </c:numRef>
          </c:val>
          <c:extLst>
            <c:ext xmlns:c16="http://schemas.microsoft.com/office/drawing/2014/chart" uri="{C3380CC4-5D6E-409C-BE32-E72D297353CC}">
              <c16:uniqueId val="{00000000-6D01-4F79-8A5F-C2F1A01CDAB2}"/>
            </c:ext>
          </c:extLst>
        </c:ser>
        <c:ser>
          <c:idx val="1"/>
          <c:order val="1"/>
          <c:tx>
            <c:strRef>
              <c:f>Ratio!$B$53:$C$53</c:f>
              <c:strCache>
                <c:ptCount val="2"/>
                <c:pt idx="0">
                  <c:v>Return On Equity</c:v>
                </c:pt>
                <c:pt idx="1">
                  <c:v>D/C</c:v>
                </c:pt>
              </c:strCache>
            </c:strRef>
          </c:tx>
          <c:spPr>
            <a:solidFill>
              <a:schemeClr val="accent2">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Ratio!$D$56:$H$56</c:f>
              <c:numCache>
                <c:formatCode>General</c:formatCode>
                <c:ptCount val="5"/>
                <c:pt idx="0">
                  <c:v>2020</c:v>
                </c:pt>
                <c:pt idx="1">
                  <c:v>2021</c:v>
                </c:pt>
                <c:pt idx="2">
                  <c:v>2022</c:v>
                </c:pt>
                <c:pt idx="3">
                  <c:v>2023</c:v>
                </c:pt>
                <c:pt idx="4">
                  <c:v>2024</c:v>
                </c:pt>
              </c:numCache>
            </c:numRef>
          </c:cat>
          <c:val>
            <c:numRef>
              <c:f>Ratio!$D$53:$H$53</c:f>
              <c:numCache>
                <c:formatCode>_(* #,##0.00_);_(* \(#,##0.00\);_(* "-"??_);_(@_)</c:formatCode>
                <c:ptCount val="5"/>
                <c:pt idx="0">
                  <c:v>0.1231148320624575</c:v>
                </c:pt>
                <c:pt idx="1">
                  <c:v>1.9210071426241804E-2</c:v>
                </c:pt>
                <c:pt idx="2">
                  <c:v>1.5163595448685946E-3</c:v>
                </c:pt>
                <c:pt idx="3">
                  <c:v>-0.54906103286384977</c:v>
                </c:pt>
                <c:pt idx="4">
                  <c:v>-0.1569445805166389</c:v>
                </c:pt>
              </c:numCache>
            </c:numRef>
          </c:val>
          <c:extLst>
            <c:ext xmlns:c16="http://schemas.microsoft.com/office/drawing/2014/chart" uri="{C3380CC4-5D6E-409C-BE32-E72D297353CC}">
              <c16:uniqueId val="{00000001-6D01-4F79-8A5F-C2F1A01CDAB2}"/>
            </c:ext>
          </c:extLst>
        </c:ser>
        <c:dLbls>
          <c:dLblPos val="outEnd"/>
          <c:showLegendKey val="0"/>
          <c:showVal val="1"/>
          <c:showCatName val="0"/>
          <c:showSerName val="0"/>
          <c:showPercent val="0"/>
          <c:showBubbleSize val="0"/>
        </c:dLbls>
        <c:gapWidth val="80"/>
        <c:overlap val="25"/>
        <c:axId val="2046080928"/>
        <c:axId val="2046069280"/>
      </c:barChart>
      <c:catAx>
        <c:axId val="2046080928"/>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2046069280"/>
        <c:crosses val="autoZero"/>
        <c:auto val="1"/>
        <c:lblAlgn val="ctr"/>
        <c:lblOffset val="100"/>
        <c:noMultiLvlLbl val="0"/>
      </c:catAx>
      <c:valAx>
        <c:axId val="2046069280"/>
        <c:scaling>
          <c:orientation val="minMax"/>
        </c:scaling>
        <c:delete val="0"/>
        <c:axPos val="l"/>
        <c:majorGridlines>
          <c:spPr>
            <a:ln w="9525" cap="flat" cmpd="sng" algn="ctr">
              <a:solidFill>
                <a:schemeClr val="tx1">
                  <a:lumMod val="5000"/>
                  <a:lumOff val="9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2046080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en-US"/>
              <a:t>Market Ratios</a:t>
            </a:r>
          </a:p>
        </c:rich>
      </c:tx>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tx>
            <c:strRef>
              <c:f>Ratio!$B$44:$C$44</c:f>
              <c:strCache>
                <c:ptCount val="2"/>
                <c:pt idx="0">
                  <c:v>Price/Earnings Ratio</c:v>
                </c:pt>
                <c:pt idx="1">
                  <c:v>B/A</c:v>
                </c:pt>
              </c:strCache>
            </c:strRef>
          </c:tx>
          <c:spPr>
            <a:solidFill>
              <a:schemeClr val="accent1">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Ratio!$D$41:$H$41</c:f>
              <c:numCache>
                <c:formatCode>General</c:formatCode>
                <c:ptCount val="5"/>
                <c:pt idx="0">
                  <c:v>2020</c:v>
                </c:pt>
                <c:pt idx="1">
                  <c:v>2021</c:v>
                </c:pt>
                <c:pt idx="2">
                  <c:v>2022</c:v>
                </c:pt>
                <c:pt idx="3">
                  <c:v>2023</c:v>
                </c:pt>
                <c:pt idx="4">
                  <c:v>2024</c:v>
                </c:pt>
              </c:numCache>
            </c:numRef>
          </c:cat>
          <c:val>
            <c:numRef>
              <c:f>Ratio!$D$44:$H$44</c:f>
              <c:numCache>
                <c:formatCode>_(* #,##0.00_);_(* \(#,##0.00\);_(* "-"??_);_(@_)</c:formatCode>
                <c:ptCount val="5"/>
                <c:pt idx="0">
                  <c:v>8.1118693902576062</c:v>
                </c:pt>
                <c:pt idx="1">
                  <c:v>52.548201890942323</c:v>
                </c:pt>
                <c:pt idx="2">
                  <c:v>704.31131753654006</c:v>
                </c:pt>
                <c:pt idx="3">
                  <c:v>-1.8217695968525296</c:v>
                </c:pt>
                <c:pt idx="4">
                  <c:v>-6.3862535272366276</c:v>
                </c:pt>
              </c:numCache>
            </c:numRef>
          </c:val>
          <c:extLst>
            <c:ext xmlns:c16="http://schemas.microsoft.com/office/drawing/2014/chart" uri="{C3380CC4-5D6E-409C-BE32-E72D297353CC}">
              <c16:uniqueId val="{00000000-0974-45F1-AB36-9A2DEB6FB4D6}"/>
            </c:ext>
          </c:extLst>
        </c:ser>
        <c:dLbls>
          <c:dLblPos val="outEnd"/>
          <c:showLegendKey val="0"/>
          <c:showVal val="1"/>
          <c:showCatName val="0"/>
          <c:showSerName val="0"/>
          <c:showPercent val="0"/>
          <c:showBubbleSize val="0"/>
        </c:dLbls>
        <c:gapWidth val="80"/>
        <c:overlap val="25"/>
        <c:axId val="108280256"/>
        <c:axId val="108267744"/>
      </c:barChart>
      <c:catAx>
        <c:axId val="108280256"/>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108267744"/>
        <c:crosses val="autoZero"/>
        <c:auto val="1"/>
        <c:lblAlgn val="ctr"/>
        <c:lblOffset val="100"/>
        <c:noMultiLvlLbl val="0"/>
      </c:catAx>
      <c:valAx>
        <c:axId val="108267744"/>
        <c:scaling>
          <c:orientation val="minMax"/>
        </c:scaling>
        <c:delete val="0"/>
        <c:axPos val="l"/>
        <c:majorGridlines>
          <c:spPr>
            <a:ln w="9525" cap="flat" cmpd="sng" algn="ctr">
              <a:solidFill>
                <a:schemeClr val="tx1">
                  <a:lumMod val="5000"/>
                  <a:lumOff val="9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108280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en-US"/>
              <a:t>Cashflow Ratios</a:t>
            </a:r>
          </a:p>
        </c:rich>
      </c:tx>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tx>
            <c:strRef>
              <c:f>Ratio!$B$60:$C$60</c:f>
              <c:strCache>
                <c:ptCount val="2"/>
                <c:pt idx="0">
                  <c:v>Operating Cash Flow Ratio</c:v>
                </c:pt>
                <c:pt idx="1">
                  <c:v>A/B</c:v>
                </c:pt>
              </c:strCache>
            </c:strRef>
          </c:tx>
          <c:spPr>
            <a:solidFill>
              <a:schemeClr val="accent1">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Ratio!$D$56:$H$56</c:f>
              <c:numCache>
                <c:formatCode>General</c:formatCode>
                <c:ptCount val="5"/>
                <c:pt idx="0">
                  <c:v>2020</c:v>
                </c:pt>
                <c:pt idx="1">
                  <c:v>2021</c:v>
                </c:pt>
                <c:pt idx="2">
                  <c:v>2022</c:v>
                </c:pt>
                <c:pt idx="3">
                  <c:v>2023</c:v>
                </c:pt>
                <c:pt idx="4">
                  <c:v>2024</c:v>
                </c:pt>
              </c:numCache>
            </c:numRef>
          </c:cat>
          <c:val>
            <c:numRef>
              <c:f>Ratio!$D$60:$H$60</c:f>
              <c:numCache>
                <c:formatCode>_(* #,##0.00_);_(* \(#,##0.00\);_(* "-"??_);_(@_)</c:formatCode>
                <c:ptCount val="5"/>
                <c:pt idx="0">
                  <c:v>0.43759679126511059</c:v>
                </c:pt>
                <c:pt idx="1">
                  <c:v>0.20705577363956326</c:v>
                </c:pt>
                <c:pt idx="2">
                  <c:v>0.18355637885556167</c:v>
                </c:pt>
                <c:pt idx="3">
                  <c:v>-5.7400650333854594E-2</c:v>
                </c:pt>
                <c:pt idx="4">
                  <c:v>1.8636561775464178E-2</c:v>
                </c:pt>
              </c:numCache>
            </c:numRef>
          </c:val>
          <c:extLst>
            <c:ext xmlns:c16="http://schemas.microsoft.com/office/drawing/2014/chart" uri="{C3380CC4-5D6E-409C-BE32-E72D297353CC}">
              <c16:uniqueId val="{00000000-06FF-498D-8A5E-FBF12F3B8097}"/>
            </c:ext>
          </c:extLst>
        </c:ser>
        <c:ser>
          <c:idx val="1"/>
          <c:order val="1"/>
          <c:tx>
            <c:strRef>
              <c:f>Ratio!$B$61:$C$61</c:f>
              <c:strCache>
                <c:ptCount val="2"/>
                <c:pt idx="0">
                  <c:v>Sales Ratio</c:v>
                </c:pt>
                <c:pt idx="1">
                  <c:v>A/C</c:v>
                </c:pt>
              </c:strCache>
            </c:strRef>
          </c:tx>
          <c:spPr>
            <a:solidFill>
              <a:schemeClr val="accent2">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Ratio!$D$56:$H$56</c:f>
              <c:numCache>
                <c:formatCode>General</c:formatCode>
                <c:ptCount val="5"/>
                <c:pt idx="0">
                  <c:v>2020</c:v>
                </c:pt>
                <c:pt idx="1">
                  <c:v>2021</c:v>
                </c:pt>
                <c:pt idx="2">
                  <c:v>2022</c:v>
                </c:pt>
                <c:pt idx="3">
                  <c:v>2023</c:v>
                </c:pt>
                <c:pt idx="4">
                  <c:v>2024</c:v>
                </c:pt>
              </c:numCache>
            </c:numRef>
          </c:cat>
          <c:val>
            <c:numRef>
              <c:f>Ratio!$D$61:$H$61</c:f>
              <c:numCache>
                <c:formatCode>_(* #,##0.00_);_(* \(#,##0.00\);_(* "-"??_);_(@_)</c:formatCode>
                <c:ptCount val="5"/>
                <c:pt idx="0">
                  <c:v>0.12779495021799961</c:v>
                </c:pt>
                <c:pt idx="1">
                  <c:v>7.4612451421371601E-2</c:v>
                </c:pt>
                <c:pt idx="2">
                  <c:v>7.3210367184952219E-2</c:v>
                </c:pt>
                <c:pt idx="3">
                  <c:v>-2.1999871568317331E-2</c:v>
                </c:pt>
                <c:pt idx="4">
                  <c:v>7.4706429058015236E-3</c:v>
                </c:pt>
              </c:numCache>
            </c:numRef>
          </c:val>
          <c:extLst>
            <c:ext xmlns:c16="http://schemas.microsoft.com/office/drawing/2014/chart" uri="{C3380CC4-5D6E-409C-BE32-E72D297353CC}">
              <c16:uniqueId val="{00000001-06FF-498D-8A5E-FBF12F3B8097}"/>
            </c:ext>
          </c:extLst>
        </c:ser>
        <c:dLbls>
          <c:dLblPos val="outEnd"/>
          <c:showLegendKey val="0"/>
          <c:showVal val="1"/>
          <c:showCatName val="0"/>
          <c:showSerName val="0"/>
          <c:showPercent val="0"/>
          <c:showBubbleSize val="0"/>
        </c:dLbls>
        <c:gapWidth val="80"/>
        <c:overlap val="25"/>
        <c:axId val="2045946336"/>
        <c:axId val="2045958816"/>
      </c:barChart>
      <c:catAx>
        <c:axId val="2045946336"/>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2045958816"/>
        <c:crosses val="autoZero"/>
        <c:auto val="1"/>
        <c:lblAlgn val="ctr"/>
        <c:lblOffset val="100"/>
        <c:noMultiLvlLbl val="0"/>
      </c:catAx>
      <c:valAx>
        <c:axId val="2045958816"/>
        <c:scaling>
          <c:orientation val="minMax"/>
        </c:scaling>
        <c:delete val="0"/>
        <c:axPos val="l"/>
        <c:majorGridlines>
          <c:spPr>
            <a:ln w="9525" cap="flat" cmpd="sng" algn="ctr">
              <a:solidFill>
                <a:schemeClr val="tx1">
                  <a:lumMod val="5000"/>
                  <a:lumOff val="9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20459463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barChart>
        <c:barDir val="col"/>
        <c:grouping val="clustered"/>
        <c:varyColors val="0"/>
        <c:ser>
          <c:idx val="0"/>
          <c:order val="0"/>
          <c:tx>
            <c:strRef>
              <c:f>'Working Capital'!$B$7</c:f>
              <c:strCache>
                <c:ptCount val="1"/>
                <c:pt idx="0">
                  <c:v>Cash Conversion Cycle</c:v>
                </c:pt>
              </c:strCache>
            </c:strRef>
          </c:tx>
          <c:spPr>
            <a:pattFill prst="ltUpDiag">
              <a:fgClr>
                <a:schemeClr val="accent1"/>
              </a:fgClr>
              <a:bgClr>
                <a:schemeClr val="lt1"/>
              </a:bgClr>
            </a:pattFill>
            <a:ln>
              <a:noFill/>
            </a:ln>
            <a:effectLst/>
          </c:spPr>
          <c:invertIfNegative val="0"/>
          <c:dLbls>
            <c:spPr>
              <a:solidFill>
                <a:schemeClr val="accent1">
                  <a:alpha val="7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numRef>
              <c:f>'Working Capital'!$D$3:$H$3</c:f>
              <c:numCache>
                <c:formatCode>General</c:formatCode>
                <c:ptCount val="5"/>
                <c:pt idx="0">
                  <c:v>2020</c:v>
                </c:pt>
                <c:pt idx="1">
                  <c:v>2021</c:v>
                </c:pt>
                <c:pt idx="2">
                  <c:v>2022</c:v>
                </c:pt>
                <c:pt idx="3">
                  <c:v>2023</c:v>
                </c:pt>
                <c:pt idx="4">
                  <c:v>2024</c:v>
                </c:pt>
              </c:numCache>
            </c:numRef>
          </c:cat>
          <c:val>
            <c:numRef>
              <c:f>'Working Capital'!$D$7:$H$7</c:f>
              <c:numCache>
                <c:formatCode>_(* #,##0_);_(* \(#,##0\);_(* "-"??_);_(@_)</c:formatCode>
                <c:ptCount val="5"/>
                <c:pt idx="0">
                  <c:v>53.914401447568068</c:v>
                </c:pt>
                <c:pt idx="1">
                  <c:v>56.981283584834017</c:v>
                </c:pt>
                <c:pt idx="2">
                  <c:v>69.937102222442064</c:v>
                </c:pt>
                <c:pt idx="3">
                  <c:v>66.529179021265946</c:v>
                </c:pt>
                <c:pt idx="4">
                  <c:v>57.52977789681853</c:v>
                </c:pt>
              </c:numCache>
            </c:numRef>
          </c:val>
          <c:extLst>
            <c:ext xmlns:c16="http://schemas.microsoft.com/office/drawing/2014/chart" uri="{C3380CC4-5D6E-409C-BE32-E72D297353CC}">
              <c16:uniqueId val="{00000000-1D4F-4E4F-954A-69261AE59897}"/>
            </c:ext>
          </c:extLst>
        </c:ser>
        <c:dLbls>
          <c:dLblPos val="inEnd"/>
          <c:showLegendKey val="0"/>
          <c:showVal val="1"/>
          <c:showCatName val="0"/>
          <c:showSerName val="0"/>
          <c:showPercent val="0"/>
          <c:showBubbleSize val="0"/>
        </c:dLbls>
        <c:gapWidth val="269"/>
        <c:overlap val="-20"/>
        <c:axId val="2046066784"/>
        <c:axId val="2046085504"/>
      </c:barChart>
      <c:catAx>
        <c:axId val="2046066784"/>
        <c:scaling>
          <c:orientation val="minMax"/>
        </c:scaling>
        <c:delete val="0"/>
        <c:axPos val="b"/>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w="3175" cap="flat" cmpd="sng" algn="ctr">
            <a:solidFill>
              <a:schemeClr val="accent1">
                <a:lumMod val="60000"/>
                <a:lumOff val="40000"/>
              </a:schemeClr>
            </a:solidFill>
            <a:round/>
          </a:ln>
          <a:effectLst/>
        </c:spPr>
        <c:txPr>
          <a:bodyPr rot="-60000000" spcFirstLastPara="1" vertOverflow="ellipsis" vert="horz" wrap="square" anchor="ctr" anchorCtr="1"/>
          <a:lstStyle/>
          <a:p>
            <a:pPr>
              <a:defRPr sz="800" b="0" i="0" u="none" strike="noStrike" kern="1200" cap="all" spc="150" normalizeH="0" baseline="0">
                <a:solidFill>
                  <a:schemeClr val="lt1"/>
                </a:solidFill>
                <a:latin typeface="+mn-lt"/>
                <a:ea typeface="+mn-ea"/>
                <a:cs typeface="+mn-cs"/>
              </a:defRPr>
            </a:pPr>
            <a:endParaRPr lang="en-US"/>
          </a:p>
        </c:txPr>
        <c:crossAx val="2046085504"/>
        <c:crosses val="autoZero"/>
        <c:auto val="1"/>
        <c:lblAlgn val="ctr"/>
        <c:lblOffset val="100"/>
        <c:noMultiLvlLbl val="0"/>
      </c:catAx>
      <c:valAx>
        <c:axId val="2046085504"/>
        <c:scaling>
          <c:orientation val="minMax"/>
        </c:scaling>
        <c:delete val="0"/>
        <c:axPos val="l"/>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2046066784"/>
        <c:crosses val="autoZero"/>
        <c:crossBetween val="between"/>
      </c:valAx>
      <c:spPr>
        <a:noFill/>
        <a:ln>
          <a:noFill/>
        </a:ln>
        <a:effectLst/>
      </c:spPr>
    </c:plotArea>
    <c:plotVisOnly val="1"/>
    <c:dispBlanksAs val="gap"/>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barChart>
        <c:barDir val="col"/>
        <c:grouping val="clustered"/>
        <c:varyColors val="0"/>
        <c:ser>
          <c:idx val="0"/>
          <c:order val="0"/>
          <c:tx>
            <c:strRef>
              <c:f>'Working Capital'!$B$13</c:f>
              <c:strCache>
                <c:ptCount val="1"/>
                <c:pt idx="0">
                  <c:v>Working Capital (£m)</c:v>
                </c:pt>
              </c:strCache>
            </c:strRef>
          </c:tx>
          <c:spPr>
            <a:pattFill prst="ltUpDiag">
              <a:fgClr>
                <a:schemeClr val="accent1"/>
              </a:fgClr>
              <a:bgClr>
                <a:schemeClr val="lt1"/>
              </a:bgClr>
            </a:pattFill>
            <a:ln>
              <a:noFill/>
            </a:ln>
            <a:effectLst/>
          </c:spPr>
          <c:invertIfNegative val="0"/>
          <c:dLbls>
            <c:spPr>
              <a:solidFill>
                <a:schemeClr val="accent1">
                  <a:alpha val="70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val>
            <c:numRef>
              <c:f>'Working Capital'!$D$13:$H$13</c:f>
              <c:numCache>
                <c:formatCode>_(* #,##0.00_);_(* \(#,##0.00\);_(* "-"??_);_(@_)</c:formatCode>
                <c:ptCount val="5"/>
                <c:pt idx="0">
                  <c:v>147333</c:v>
                </c:pt>
                <c:pt idx="1">
                  <c:v>120359</c:v>
                </c:pt>
                <c:pt idx="2">
                  <c:v>121567</c:v>
                </c:pt>
                <c:pt idx="3">
                  <c:v>97703</c:v>
                </c:pt>
                <c:pt idx="4">
                  <c:v>84203</c:v>
                </c:pt>
              </c:numCache>
            </c:numRef>
          </c:val>
          <c:extLst>
            <c:ext xmlns:c16="http://schemas.microsoft.com/office/drawing/2014/chart" uri="{C3380CC4-5D6E-409C-BE32-E72D297353CC}">
              <c16:uniqueId val="{00000000-315F-4D74-8D6D-A3E61D347E20}"/>
            </c:ext>
          </c:extLst>
        </c:ser>
        <c:dLbls>
          <c:dLblPos val="inEnd"/>
          <c:showLegendKey val="0"/>
          <c:showVal val="1"/>
          <c:showCatName val="0"/>
          <c:showSerName val="0"/>
          <c:showPercent val="0"/>
          <c:showBubbleSize val="0"/>
        </c:dLbls>
        <c:gapWidth val="269"/>
        <c:overlap val="-20"/>
        <c:axId val="2046068864"/>
        <c:axId val="2046076768"/>
      </c:barChart>
      <c:catAx>
        <c:axId val="2046068864"/>
        <c:scaling>
          <c:orientation val="minMax"/>
        </c:scaling>
        <c:delete val="0"/>
        <c:axPos val="b"/>
        <c:majorGridlines>
          <c:spPr>
            <a:ln w="9525" cap="flat" cmpd="sng" algn="ctr">
              <a:solidFill>
                <a:schemeClr val="lt1">
                  <a:alpha val="25000"/>
                </a:schemeClr>
              </a:solidFill>
              <a:round/>
            </a:ln>
            <a:effectLst/>
          </c:spPr>
        </c:majorGridlines>
        <c:numFmt formatCode="General" sourceLinked="1"/>
        <c:majorTickMark val="none"/>
        <c:minorTickMark val="none"/>
        <c:tickLblPos val="nextTo"/>
        <c:spPr>
          <a:noFill/>
          <a:ln w="3175" cap="flat" cmpd="sng" algn="ctr">
            <a:solidFill>
              <a:schemeClr val="accent1">
                <a:lumMod val="60000"/>
                <a:lumOff val="40000"/>
              </a:schemeClr>
            </a:solidFill>
            <a:round/>
          </a:ln>
          <a:effectLst/>
        </c:spPr>
        <c:txPr>
          <a:bodyPr rot="-60000000" spcFirstLastPara="1" vertOverflow="ellipsis" vert="horz" wrap="square" anchor="ctr" anchorCtr="1"/>
          <a:lstStyle/>
          <a:p>
            <a:pPr>
              <a:defRPr sz="800" b="0" i="0" u="none" strike="noStrike" kern="1200" cap="all" spc="150" normalizeH="0" baseline="0">
                <a:solidFill>
                  <a:schemeClr val="lt1"/>
                </a:solidFill>
                <a:latin typeface="+mn-lt"/>
                <a:ea typeface="+mn-ea"/>
                <a:cs typeface="+mn-cs"/>
              </a:defRPr>
            </a:pPr>
            <a:endParaRPr lang="en-US"/>
          </a:p>
        </c:txPr>
        <c:crossAx val="2046076768"/>
        <c:crosses val="autoZero"/>
        <c:auto val="1"/>
        <c:lblAlgn val="ctr"/>
        <c:lblOffset val="100"/>
        <c:noMultiLvlLbl val="0"/>
      </c:catAx>
      <c:valAx>
        <c:axId val="2046076768"/>
        <c:scaling>
          <c:orientation val="minMax"/>
        </c:scaling>
        <c:delete val="0"/>
        <c:axPos val="l"/>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2046068864"/>
        <c:crosses val="autoZero"/>
        <c:crossBetween val="between"/>
      </c:valAx>
      <c:spPr>
        <a:noFill/>
        <a:ln>
          <a:noFill/>
        </a:ln>
        <a:effectLst/>
      </c:spPr>
    </c:plotArea>
    <c:plotVisOnly val="1"/>
    <c:dispBlanksAs val="gap"/>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'Payback Period'!$K$2</c:f>
              <c:strCache>
                <c:ptCount val="1"/>
                <c:pt idx="0">
                  <c:v>Payback Period (Years)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'Payback Period'!$J$3:$J$5</c:f>
              <c:strCache>
                <c:ptCount val="3"/>
                <c:pt idx="0">
                  <c:v>A</c:v>
                </c:pt>
                <c:pt idx="1">
                  <c:v>B</c:v>
                </c:pt>
                <c:pt idx="2">
                  <c:v>C</c:v>
                </c:pt>
              </c:strCache>
            </c:strRef>
          </c:cat>
          <c:val>
            <c:numRef>
              <c:f>'Payback Period'!$K$3:$K$5</c:f>
              <c:numCache>
                <c:formatCode>General</c:formatCode>
                <c:ptCount val="3"/>
                <c:pt idx="0">
                  <c:v>3.4</c:v>
                </c:pt>
                <c:pt idx="1">
                  <c:v>5</c:v>
                </c:pt>
                <c:pt idx="2">
                  <c:v>3.6</c:v>
                </c:pt>
              </c:numCache>
            </c:numRef>
          </c:val>
          <c:extLst>
            <c:ext xmlns:c16="http://schemas.microsoft.com/office/drawing/2014/chart" uri="{C3380CC4-5D6E-409C-BE32-E72D297353CC}">
              <c16:uniqueId val="{00000000-3E4D-401A-8B2F-88BBD76FFC2A}"/>
            </c:ext>
          </c:extLst>
        </c:ser>
        <c:dLbls>
          <c:dLblPos val="inEnd"/>
          <c:showLegendKey val="0"/>
          <c:showVal val="1"/>
          <c:showCatName val="0"/>
          <c:showSerName val="0"/>
          <c:showPercent val="0"/>
          <c:showBubbleSize val="0"/>
        </c:dLbls>
        <c:gapWidth val="267"/>
        <c:overlap val="-43"/>
        <c:axId val="2046083008"/>
        <c:axId val="2046078432"/>
      </c:barChart>
      <c:catAx>
        <c:axId val="2046083008"/>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046078432"/>
        <c:crosses val="autoZero"/>
        <c:auto val="1"/>
        <c:lblAlgn val="ctr"/>
        <c:lblOffset val="100"/>
        <c:noMultiLvlLbl val="0"/>
      </c:catAx>
      <c:valAx>
        <c:axId val="204607843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046083008"/>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ARR!$I$3</c:f>
              <c:strCache>
                <c:ptCount val="1"/>
                <c:pt idx="0">
                  <c:v>ARR</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ARR!$H$4:$H$6</c:f>
              <c:strCache>
                <c:ptCount val="3"/>
                <c:pt idx="0">
                  <c:v>A</c:v>
                </c:pt>
                <c:pt idx="1">
                  <c:v>B</c:v>
                </c:pt>
                <c:pt idx="2">
                  <c:v>C</c:v>
                </c:pt>
              </c:strCache>
            </c:strRef>
          </c:cat>
          <c:val>
            <c:numRef>
              <c:f>ARR!$I$4:$I$6</c:f>
              <c:numCache>
                <c:formatCode>0%</c:formatCode>
                <c:ptCount val="3"/>
                <c:pt idx="0">
                  <c:v>7.0000000000000007E-2</c:v>
                </c:pt>
                <c:pt idx="1">
                  <c:v>0</c:v>
                </c:pt>
                <c:pt idx="2">
                  <c:v>0.1</c:v>
                </c:pt>
              </c:numCache>
            </c:numRef>
          </c:val>
          <c:extLst>
            <c:ext xmlns:c16="http://schemas.microsoft.com/office/drawing/2014/chart" uri="{C3380CC4-5D6E-409C-BE32-E72D297353CC}">
              <c16:uniqueId val="{00000000-B35D-4E2D-9725-C4216E0BCE4A}"/>
            </c:ext>
          </c:extLst>
        </c:ser>
        <c:dLbls>
          <c:dLblPos val="inEnd"/>
          <c:showLegendKey val="0"/>
          <c:showVal val="1"/>
          <c:showCatName val="0"/>
          <c:showSerName val="0"/>
          <c:showPercent val="0"/>
          <c:showBubbleSize val="0"/>
        </c:dLbls>
        <c:gapWidth val="267"/>
        <c:overlap val="-43"/>
        <c:axId val="2046073856"/>
        <c:axId val="2046086336"/>
      </c:barChart>
      <c:catAx>
        <c:axId val="2046073856"/>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046086336"/>
        <c:crosses val="autoZero"/>
        <c:auto val="1"/>
        <c:lblAlgn val="ctr"/>
        <c:lblOffset val="100"/>
        <c:noMultiLvlLbl val="0"/>
      </c:catAx>
      <c:valAx>
        <c:axId val="2046086336"/>
        <c:scaling>
          <c:orientation val="minMax"/>
        </c:scaling>
        <c:delete val="0"/>
        <c:axPos val="l"/>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046073856"/>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NPV!$J$2</c:f>
              <c:strCache>
                <c:ptCount val="1"/>
                <c:pt idx="0">
                  <c:v>Net Present Value (£m)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NPV!$I$3:$I$5</c:f>
              <c:strCache>
                <c:ptCount val="3"/>
                <c:pt idx="0">
                  <c:v>A</c:v>
                </c:pt>
                <c:pt idx="1">
                  <c:v>B</c:v>
                </c:pt>
                <c:pt idx="2">
                  <c:v>C</c:v>
                </c:pt>
              </c:strCache>
            </c:strRef>
          </c:cat>
          <c:val>
            <c:numRef>
              <c:f>NPV!$J$3:$J$5</c:f>
              <c:numCache>
                <c:formatCode>_-[$£-809]* #,##0.00_-;\-[$£-809]* #,##0.00_-;_-[$£-809]* "-"??_-;_-@_-</c:formatCode>
                <c:ptCount val="3"/>
                <c:pt idx="0">
                  <c:v>1.32</c:v>
                </c:pt>
                <c:pt idx="1">
                  <c:v>7.26</c:v>
                </c:pt>
                <c:pt idx="2">
                  <c:v>4.2300000000000004</c:v>
                </c:pt>
              </c:numCache>
            </c:numRef>
          </c:val>
          <c:extLst>
            <c:ext xmlns:c16="http://schemas.microsoft.com/office/drawing/2014/chart" uri="{C3380CC4-5D6E-409C-BE32-E72D297353CC}">
              <c16:uniqueId val="{00000000-5EEF-45C3-8C59-0BA1DD87B139}"/>
            </c:ext>
          </c:extLst>
        </c:ser>
        <c:dLbls>
          <c:dLblPos val="inEnd"/>
          <c:showLegendKey val="0"/>
          <c:showVal val="1"/>
          <c:showCatName val="0"/>
          <c:showSerName val="0"/>
          <c:showPercent val="0"/>
          <c:showBubbleSize val="0"/>
        </c:dLbls>
        <c:gapWidth val="267"/>
        <c:overlap val="-43"/>
        <c:axId val="1931241952"/>
        <c:axId val="1931237376"/>
      </c:barChart>
      <c:catAx>
        <c:axId val="1931241952"/>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931237376"/>
        <c:crosses val="autoZero"/>
        <c:auto val="1"/>
        <c:lblAlgn val="ctr"/>
        <c:lblOffset val="100"/>
        <c:noMultiLvlLbl val="0"/>
      </c:catAx>
      <c:valAx>
        <c:axId val="1931237376"/>
        <c:scaling>
          <c:orientation val="minMax"/>
        </c:scaling>
        <c:delete val="0"/>
        <c:axPos val="l"/>
        <c:majorGridlines>
          <c:spPr>
            <a:ln w="9525" cap="flat" cmpd="sng" algn="ctr">
              <a:solidFill>
                <a:schemeClr val="dk1">
                  <a:lumMod val="15000"/>
                  <a:lumOff val="85000"/>
                </a:schemeClr>
              </a:solidFill>
              <a:round/>
            </a:ln>
            <a:effectLst/>
          </c:spPr>
        </c:majorGridlines>
        <c:numFmt formatCode="_-[$£-809]* #,##0.00_-;\-[$£-809]* #,##0.00_-;_-[$£-809]*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931241952"/>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IRR!$I$2</c:f>
              <c:strCache>
                <c:ptCount val="1"/>
                <c:pt idx="0">
                  <c:v>Internal Rate of Return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IRR!$H$3:$H$5</c:f>
              <c:strCache>
                <c:ptCount val="3"/>
                <c:pt idx="0">
                  <c:v>A</c:v>
                </c:pt>
                <c:pt idx="1">
                  <c:v>B</c:v>
                </c:pt>
                <c:pt idx="2">
                  <c:v>C</c:v>
                </c:pt>
              </c:strCache>
            </c:strRef>
          </c:cat>
          <c:val>
            <c:numRef>
              <c:f>IRR!$I$3:$I$5</c:f>
              <c:numCache>
                <c:formatCode>0.00%</c:formatCode>
                <c:ptCount val="3"/>
                <c:pt idx="0">
                  <c:v>0.11327177468961591</c:v>
                </c:pt>
                <c:pt idx="1">
                  <c:v>1.9499957204516249E-12</c:v>
                </c:pt>
                <c:pt idx="2">
                  <c:v>0.12719763370558868</c:v>
                </c:pt>
              </c:numCache>
            </c:numRef>
          </c:val>
          <c:extLst>
            <c:ext xmlns:c16="http://schemas.microsoft.com/office/drawing/2014/chart" uri="{C3380CC4-5D6E-409C-BE32-E72D297353CC}">
              <c16:uniqueId val="{00000000-33D0-4936-8262-CA8481F30E84}"/>
            </c:ext>
          </c:extLst>
        </c:ser>
        <c:dLbls>
          <c:dLblPos val="inEnd"/>
          <c:showLegendKey val="0"/>
          <c:showVal val="1"/>
          <c:showCatName val="0"/>
          <c:showSerName val="0"/>
          <c:showPercent val="0"/>
          <c:showBubbleSize val="0"/>
        </c:dLbls>
        <c:gapWidth val="267"/>
        <c:overlap val="-43"/>
        <c:axId val="2037500880"/>
        <c:axId val="2037512112"/>
      </c:barChart>
      <c:catAx>
        <c:axId val="2037500880"/>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037512112"/>
        <c:crosses val="autoZero"/>
        <c:auto val="1"/>
        <c:lblAlgn val="ctr"/>
        <c:lblOffset val="100"/>
        <c:noMultiLvlLbl val="0"/>
      </c:catAx>
      <c:valAx>
        <c:axId val="2037512112"/>
        <c:scaling>
          <c:orientation val="minMax"/>
        </c:scaling>
        <c:delete val="0"/>
        <c:axPos val="l"/>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037500880"/>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PI!$K$3</c:f>
              <c:strCache>
                <c:ptCount val="1"/>
                <c:pt idx="0">
                  <c:v>Profitability Index</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PI!$J$4:$J$6</c:f>
              <c:strCache>
                <c:ptCount val="3"/>
                <c:pt idx="0">
                  <c:v>A</c:v>
                </c:pt>
                <c:pt idx="1">
                  <c:v>B</c:v>
                </c:pt>
                <c:pt idx="2">
                  <c:v>C</c:v>
                </c:pt>
              </c:strCache>
            </c:strRef>
          </c:cat>
          <c:val>
            <c:numRef>
              <c:f>PI!$K$4:$K$6</c:f>
              <c:numCache>
                <c:formatCode>_(* #,##0.00_);_(* \(#,##0.00\);_(* "-"??_);_(@_)</c:formatCode>
                <c:ptCount val="3"/>
                <c:pt idx="0">
                  <c:v>1.0331044203388986</c:v>
                </c:pt>
                <c:pt idx="1">
                  <c:v>0.75815735388168948</c:v>
                </c:pt>
                <c:pt idx="2">
                  <c:v>1.0845073920683508</c:v>
                </c:pt>
              </c:numCache>
            </c:numRef>
          </c:val>
          <c:extLst>
            <c:ext xmlns:c16="http://schemas.microsoft.com/office/drawing/2014/chart" uri="{C3380CC4-5D6E-409C-BE32-E72D297353CC}">
              <c16:uniqueId val="{00000000-1842-4A67-BDBB-83D40B3FB34B}"/>
            </c:ext>
          </c:extLst>
        </c:ser>
        <c:dLbls>
          <c:dLblPos val="inEnd"/>
          <c:showLegendKey val="0"/>
          <c:showVal val="1"/>
          <c:showCatName val="0"/>
          <c:showSerName val="0"/>
          <c:showPercent val="0"/>
          <c:showBubbleSize val="0"/>
        </c:dLbls>
        <c:gapWidth val="267"/>
        <c:overlap val="-43"/>
        <c:axId val="2045950496"/>
        <c:axId val="2045944672"/>
      </c:barChart>
      <c:catAx>
        <c:axId val="2045950496"/>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045944672"/>
        <c:crosses val="autoZero"/>
        <c:auto val="1"/>
        <c:lblAlgn val="ctr"/>
        <c:lblOffset val="100"/>
        <c:noMultiLvlLbl val="0"/>
      </c:catAx>
      <c:valAx>
        <c:axId val="2045944672"/>
        <c:scaling>
          <c:orientation val="minMax"/>
        </c:scaling>
        <c:delete val="0"/>
        <c:axPos val="l"/>
        <c:majorGridlines>
          <c:spPr>
            <a:ln w="9525" cap="flat" cmpd="sng" algn="ctr">
              <a:solidFill>
                <a:schemeClr val="dk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045950496"/>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14">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styleClr val="auto"/>
    </cs:fillRef>
    <cs:effectRef idx="0"/>
    <cs:fontRef idx="minor">
      <a:schemeClr val="lt1"/>
    </cs:fontRef>
    <cs:spPr>
      <a:solidFill>
        <a:schemeClr val="phClr">
          <a:alpha val="70000"/>
        </a:schemeClr>
      </a:solidFill>
    </cs:spPr>
    <cs:defRPr sz="900"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14">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styleClr val="auto"/>
    </cs:fillRef>
    <cs:effectRef idx="0"/>
    <cs:fontRef idx="minor">
      <a:schemeClr val="lt1"/>
    </cs:fontRef>
    <cs:spPr>
      <a:solidFill>
        <a:schemeClr val="phClr">
          <a:alpha val="70000"/>
        </a:schemeClr>
      </a:solidFill>
    </cs:spPr>
    <cs:defRPr sz="900"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2.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3.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4.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5.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A8801-0777-4E68-8DF6-74EE2F39F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41</Pages>
  <Words>7792</Words>
  <Characters>44416</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Maniya</dc:creator>
  <cp:lastModifiedBy>kevin maniya</cp:lastModifiedBy>
  <cp:revision>4</cp:revision>
  <dcterms:created xsi:type="dcterms:W3CDTF">2025-12-22T00:06:00Z</dcterms:created>
  <dcterms:modified xsi:type="dcterms:W3CDTF">2025-12-22T00:37:00Z</dcterms:modified>
</cp:coreProperties>
</file>