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C8C54" w14:textId="77777777" w:rsidR="00840D6A" w:rsidRPr="00840D6A" w:rsidRDefault="00840D6A" w:rsidP="00840D6A">
      <w:pPr>
        <w:jc w:val="center"/>
        <w:rPr>
          <w:rFonts w:ascii="Times New Roman" w:eastAsia="Times New Roman" w:hAnsi="Times New Roman" w:cs="Times New Roman"/>
          <w:b/>
          <w:sz w:val="32"/>
          <w:szCs w:val="32"/>
          <w:lang w:val="en-GB"/>
        </w:rPr>
      </w:pPr>
    </w:p>
    <w:p w14:paraId="6A2062D5" w14:textId="77777777" w:rsidR="00840D6A" w:rsidRPr="00840D6A" w:rsidRDefault="00840D6A" w:rsidP="00840D6A">
      <w:pPr>
        <w:jc w:val="center"/>
        <w:rPr>
          <w:rFonts w:ascii="Times New Roman" w:eastAsia="Times New Roman" w:hAnsi="Times New Roman" w:cs="Times New Roman"/>
          <w:b/>
          <w:sz w:val="32"/>
          <w:szCs w:val="32"/>
          <w:lang w:val="en-GB"/>
        </w:rPr>
      </w:pPr>
      <w:r w:rsidRPr="00840D6A">
        <w:rPr>
          <w:noProof/>
          <w:lang w:val="en-GB"/>
        </w:rPr>
        <w:drawing>
          <wp:inline distT="0" distB="0" distL="0" distR="0" wp14:anchorId="66DA5D93" wp14:editId="6244BA93">
            <wp:extent cx="3154680" cy="1408601"/>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66907" cy="1414061"/>
                    </a:xfrm>
                    <a:prstGeom prst="rect">
                      <a:avLst/>
                    </a:prstGeom>
                  </pic:spPr>
                </pic:pic>
              </a:graphicData>
            </a:graphic>
          </wp:inline>
        </w:drawing>
      </w:r>
    </w:p>
    <w:p w14:paraId="777C69EE" w14:textId="77777777" w:rsidR="00840D6A" w:rsidRPr="00840D6A" w:rsidRDefault="00840D6A" w:rsidP="00840D6A">
      <w:pPr>
        <w:jc w:val="center"/>
        <w:rPr>
          <w:rFonts w:ascii="Times New Roman" w:eastAsia="Times New Roman" w:hAnsi="Times New Roman" w:cs="Times New Roman"/>
          <w:b/>
          <w:sz w:val="32"/>
          <w:szCs w:val="32"/>
          <w:lang w:val="en-GB"/>
        </w:rPr>
      </w:pPr>
    </w:p>
    <w:p w14:paraId="7AF8C685" w14:textId="77777777" w:rsidR="00840D6A" w:rsidRPr="00840D6A" w:rsidRDefault="00840D6A" w:rsidP="00C03966">
      <w:pPr>
        <w:pStyle w:val="IntenseQuote"/>
        <w:rPr>
          <w:lang w:val="en-GB"/>
        </w:rPr>
      </w:pPr>
    </w:p>
    <w:p w14:paraId="34E4CE49" w14:textId="77777777" w:rsidR="00840D6A" w:rsidRPr="00840D6A" w:rsidRDefault="00840D6A" w:rsidP="00C03966">
      <w:pPr>
        <w:pStyle w:val="IntenseQuote"/>
        <w:rPr>
          <w:lang w:val="en-GB"/>
        </w:rPr>
      </w:pPr>
      <w:r w:rsidRPr="00840D6A">
        <w:rPr>
          <w:lang w:val="en-GB"/>
        </w:rPr>
        <w:t>The assignment title: Planning and Delivering an International Meeting/Event.</w:t>
      </w:r>
    </w:p>
    <w:p w14:paraId="48CA84A3" w14:textId="77777777" w:rsidR="00840D6A" w:rsidRPr="00840D6A" w:rsidRDefault="00840D6A" w:rsidP="00C03966">
      <w:pPr>
        <w:pStyle w:val="IntenseQuote"/>
        <w:rPr>
          <w:lang w:val="en-GB"/>
        </w:rPr>
      </w:pPr>
      <w:r w:rsidRPr="00840D6A">
        <w:rPr>
          <w:lang w:val="en-GB"/>
        </w:rPr>
        <w:t>The module title: International Meetings Management BMIH6007</w:t>
      </w:r>
    </w:p>
    <w:p w14:paraId="1C4F2AF2" w14:textId="34F91A9F" w:rsidR="00840D6A" w:rsidRPr="00840D6A" w:rsidRDefault="00840D6A" w:rsidP="00C03966">
      <w:pPr>
        <w:pStyle w:val="IntenseQuote"/>
        <w:rPr>
          <w:lang w:val="en-GB"/>
        </w:rPr>
      </w:pPr>
      <w:r w:rsidRPr="00840D6A">
        <w:rPr>
          <w:lang w:val="en-GB"/>
        </w:rPr>
        <w:t>Lecturers name:</w:t>
      </w:r>
      <w:r w:rsidR="00E0325A">
        <w:rPr>
          <w:lang w:val="en-GB"/>
        </w:rPr>
        <w:t xml:space="preserve"> </w:t>
      </w:r>
      <w:r w:rsidR="00E0325A" w:rsidRPr="00E0325A">
        <w:rPr>
          <w:bCs/>
          <w:sz w:val="24"/>
          <w:szCs w:val="24"/>
        </w:rPr>
        <w:t>Kathryn Flynn</w:t>
      </w:r>
    </w:p>
    <w:p w14:paraId="242F5591" w14:textId="50274325" w:rsidR="00840D6A" w:rsidRPr="00E0325A" w:rsidRDefault="00840D6A" w:rsidP="00C03966">
      <w:pPr>
        <w:pStyle w:val="IntenseQuote"/>
        <w:rPr>
          <w:lang w:val="nl-NL"/>
        </w:rPr>
      </w:pPr>
      <w:r w:rsidRPr="00E0325A">
        <w:rPr>
          <w:lang w:val="nl-NL"/>
        </w:rPr>
        <w:t>Student name:</w:t>
      </w:r>
      <w:r w:rsidR="00E0325A" w:rsidRPr="00E0325A">
        <w:rPr>
          <w:lang w:val="nl-NL"/>
        </w:rPr>
        <w:t xml:space="preserve"> Digbijoy Roy (2117381)</w:t>
      </w:r>
    </w:p>
    <w:p w14:paraId="594EF747" w14:textId="77777777" w:rsidR="00840D6A" w:rsidRPr="00E0325A" w:rsidRDefault="00840D6A" w:rsidP="00840D6A">
      <w:pPr>
        <w:jc w:val="center"/>
        <w:rPr>
          <w:rFonts w:ascii="Times New Roman" w:eastAsia="Times New Roman" w:hAnsi="Times New Roman" w:cs="Times New Roman"/>
          <w:b/>
          <w:sz w:val="28"/>
          <w:szCs w:val="28"/>
          <w:lang w:val="nl-NL"/>
        </w:rPr>
      </w:pPr>
      <w:r w:rsidRPr="00E0325A">
        <w:rPr>
          <w:rFonts w:ascii="Times New Roman" w:eastAsia="Times New Roman" w:hAnsi="Times New Roman" w:cs="Times New Roman"/>
          <w:b/>
          <w:sz w:val="28"/>
          <w:szCs w:val="28"/>
          <w:lang w:val="nl-NL"/>
        </w:rPr>
        <w:br w:type="page"/>
      </w:r>
    </w:p>
    <w:sdt>
      <w:sdtPr>
        <w:rPr>
          <w:rFonts w:ascii="Arial" w:eastAsia="Arial" w:hAnsi="Arial" w:cs="Arial"/>
          <w:color w:val="auto"/>
          <w:sz w:val="22"/>
          <w:szCs w:val="22"/>
          <w:lang w:val="en-GB" w:eastAsia="en-GB"/>
        </w:rPr>
        <w:id w:val="9876470"/>
        <w:docPartObj>
          <w:docPartGallery w:val="Table of Contents"/>
          <w:docPartUnique/>
        </w:docPartObj>
      </w:sdtPr>
      <w:sdtEndPr>
        <w:rPr>
          <w:b/>
          <w:bCs/>
          <w:noProof/>
        </w:rPr>
      </w:sdtEndPr>
      <w:sdtContent>
        <w:p w14:paraId="457146CB" w14:textId="77777777" w:rsidR="00840D6A" w:rsidRPr="00840D6A" w:rsidRDefault="00840D6A" w:rsidP="00840D6A">
          <w:pPr>
            <w:pStyle w:val="TOCHeading"/>
            <w:jc w:val="center"/>
            <w:rPr>
              <w:rFonts w:ascii="Times New Roman" w:hAnsi="Times New Roman" w:cs="Times New Roman"/>
              <w:b/>
              <w:lang w:val="en-GB"/>
            </w:rPr>
          </w:pPr>
          <w:r w:rsidRPr="00840D6A">
            <w:rPr>
              <w:rFonts w:ascii="Times New Roman" w:hAnsi="Times New Roman" w:cs="Times New Roman"/>
              <w:b/>
              <w:lang w:val="en-GB"/>
            </w:rPr>
            <w:t>Table of Contents</w:t>
          </w:r>
        </w:p>
        <w:p w14:paraId="16F50FCC" w14:textId="21CFE624" w:rsidR="00C03966" w:rsidRDefault="00840D6A">
          <w:pPr>
            <w:pStyle w:val="TOC1"/>
            <w:tabs>
              <w:tab w:val="right" w:leader="dot" w:pos="9350"/>
            </w:tabs>
            <w:rPr>
              <w:rFonts w:asciiTheme="minorHAnsi" w:eastAsiaTheme="minorEastAsia" w:hAnsiTheme="minorHAnsi" w:cstheme="minorBidi"/>
              <w:noProof/>
              <w:kern w:val="2"/>
              <w:lang w:val="en-GB" w:eastAsia="zh-CN"/>
              <w14:ligatures w14:val="standardContextual"/>
            </w:rPr>
          </w:pPr>
          <w:r w:rsidRPr="00840D6A">
            <w:rPr>
              <w:rFonts w:ascii="Times New Roman" w:hAnsi="Times New Roman" w:cs="Times New Roman"/>
              <w:sz w:val="24"/>
              <w:szCs w:val="24"/>
              <w:lang w:val="en-GB"/>
            </w:rPr>
            <w:fldChar w:fldCharType="begin"/>
          </w:r>
          <w:r w:rsidRPr="00840D6A">
            <w:rPr>
              <w:rFonts w:ascii="Times New Roman" w:hAnsi="Times New Roman" w:cs="Times New Roman"/>
              <w:sz w:val="24"/>
              <w:szCs w:val="24"/>
              <w:lang w:val="en-GB"/>
            </w:rPr>
            <w:instrText xml:space="preserve"> TOC \o "1-3" \h \z \u </w:instrText>
          </w:r>
          <w:r w:rsidRPr="00840D6A">
            <w:rPr>
              <w:rFonts w:ascii="Times New Roman" w:hAnsi="Times New Roman" w:cs="Times New Roman"/>
              <w:sz w:val="24"/>
              <w:szCs w:val="24"/>
              <w:lang w:val="en-GB"/>
            </w:rPr>
            <w:fldChar w:fldCharType="separate"/>
          </w:r>
          <w:hyperlink w:anchor="_Toc159839686" w:history="1">
            <w:r w:rsidR="00C03966" w:rsidRPr="00DD620D">
              <w:rPr>
                <w:rStyle w:val="Hyperlink"/>
                <w:noProof/>
                <w:lang w:val="en-GB"/>
              </w:rPr>
              <w:t>Introduction:</w:t>
            </w:r>
            <w:r w:rsidR="00C03966">
              <w:rPr>
                <w:noProof/>
                <w:webHidden/>
              </w:rPr>
              <w:tab/>
            </w:r>
            <w:r w:rsidR="00C03966">
              <w:rPr>
                <w:noProof/>
                <w:webHidden/>
              </w:rPr>
              <w:fldChar w:fldCharType="begin"/>
            </w:r>
            <w:r w:rsidR="00C03966">
              <w:rPr>
                <w:noProof/>
                <w:webHidden/>
              </w:rPr>
              <w:instrText xml:space="preserve"> PAGEREF _Toc159839686 \h </w:instrText>
            </w:r>
            <w:r w:rsidR="00C03966">
              <w:rPr>
                <w:noProof/>
                <w:webHidden/>
              </w:rPr>
            </w:r>
            <w:r w:rsidR="00C03966">
              <w:rPr>
                <w:noProof/>
                <w:webHidden/>
              </w:rPr>
              <w:fldChar w:fldCharType="separate"/>
            </w:r>
            <w:r w:rsidR="00C03966">
              <w:rPr>
                <w:noProof/>
                <w:webHidden/>
              </w:rPr>
              <w:t>3</w:t>
            </w:r>
            <w:r w:rsidR="00C03966">
              <w:rPr>
                <w:noProof/>
                <w:webHidden/>
              </w:rPr>
              <w:fldChar w:fldCharType="end"/>
            </w:r>
          </w:hyperlink>
        </w:p>
        <w:p w14:paraId="526BD0A3" w14:textId="277FE84D"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87" w:history="1">
            <w:r w:rsidRPr="00DD620D">
              <w:rPr>
                <w:rStyle w:val="Hyperlink"/>
                <w:noProof/>
                <w:lang w:val="en-GB"/>
              </w:rPr>
              <w:t>The Event Cycle:</w:t>
            </w:r>
            <w:r>
              <w:rPr>
                <w:noProof/>
                <w:webHidden/>
              </w:rPr>
              <w:tab/>
            </w:r>
            <w:r>
              <w:rPr>
                <w:noProof/>
                <w:webHidden/>
              </w:rPr>
              <w:fldChar w:fldCharType="begin"/>
            </w:r>
            <w:r>
              <w:rPr>
                <w:noProof/>
                <w:webHidden/>
              </w:rPr>
              <w:instrText xml:space="preserve"> PAGEREF _Toc159839687 \h </w:instrText>
            </w:r>
            <w:r>
              <w:rPr>
                <w:noProof/>
                <w:webHidden/>
              </w:rPr>
            </w:r>
            <w:r>
              <w:rPr>
                <w:noProof/>
                <w:webHidden/>
              </w:rPr>
              <w:fldChar w:fldCharType="separate"/>
            </w:r>
            <w:r>
              <w:rPr>
                <w:noProof/>
                <w:webHidden/>
              </w:rPr>
              <w:t>3</w:t>
            </w:r>
            <w:r>
              <w:rPr>
                <w:noProof/>
                <w:webHidden/>
              </w:rPr>
              <w:fldChar w:fldCharType="end"/>
            </w:r>
          </w:hyperlink>
        </w:p>
        <w:p w14:paraId="0D2FDAA7" w14:textId="71B04DE2"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88" w:history="1">
            <w:r w:rsidRPr="00DD620D">
              <w:rPr>
                <w:rStyle w:val="Hyperlink"/>
                <w:noProof/>
                <w:lang w:val="en-GB"/>
              </w:rPr>
              <w:t>Event Concept:</w:t>
            </w:r>
            <w:r>
              <w:rPr>
                <w:noProof/>
                <w:webHidden/>
              </w:rPr>
              <w:tab/>
            </w:r>
            <w:r>
              <w:rPr>
                <w:noProof/>
                <w:webHidden/>
              </w:rPr>
              <w:fldChar w:fldCharType="begin"/>
            </w:r>
            <w:r>
              <w:rPr>
                <w:noProof/>
                <w:webHidden/>
              </w:rPr>
              <w:instrText xml:space="preserve"> PAGEREF _Toc159839688 \h </w:instrText>
            </w:r>
            <w:r>
              <w:rPr>
                <w:noProof/>
                <w:webHidden/>
              </w:rPr>
            </w:r>
            <w:r>
              <w:rPr>
                <w:noProof/>
                <w:webHidden/>
              </w:rPr>
              <w:fldChar w:fldCharType="separate"/>
            </w:r>
            <w:r>
              <w:rPr>
                <w:noProof/>
                <w:webHidden/>
              </w:rPr>
              <w:t>4</w:t>
            </w:r>
            <w:r>
              <w:rPr>
                <w:noProof/>
                <w:webHidden/>
              </w:rPr>
              <w:fldChar w:fldCharType="end"/>
            </w:r>
          </w:hyperlink>
        </w:p>
        <w:p w14:paraId="7FE3FF8C" w14:textId="7BFE8E47"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89" w:history="1">
            <w:r w:rsidRPr="00DD620D">
              <w:rPr>
                <w:rStyle w:val="Hyperlink"/>
                <w:noProof/>
                <w:lang w:val="en-GB"/>
              </w:rPr>
              <w:t>Aim and Objectives:</w:t>
            </w:r>
            <w:r>
              <w:rPr>
                <w:noProof/>
                <w:webHidden/>
              </w:rPr>
              <w:tab/>
            </w:r>
            <w:r>
              <w:rPr>
                <w:noProof/>
                <w:webHidden/>
              </w:rPr>
              <w:fldChar w:fldCharType="begin"/>
            </w:r>
            <w:r>
              <w:rPr>
                <w:noProof/>
                <w:webHidden/>
              </w:rPr>
              <w:instrText xml:space="preserve"> PAGEREF _Toc159839689 \h </w:instrText>
            </w:r>
            <w:r>
              <w:rPr>
                <w:noProof/>
                <w:webHidden/>
              </w:rPr>
            </w:r>
            <w:r>
              <w:rPr>
                <w:noProof/>
                <w:webHidden/>
              </w:rPr>
              <w:fldChar w:fldCharType="separate"/>
            </w:r>
            <w:r>
              <w:rPr>
                <w:noProof/>
                <w:webHidden/>
              </w:rPr>
              <w:t>5</w:t>
            </w:r>
            <w:r>
              <w:rPr>
                <w:noProof/>
                <w:webHidden/>
              </w:rPr>
              <w:fldChar w:fldCharType="end"/>
            </w:r>
          </w:hyperlink>
        </w:p>
        <w:p w14:paraId="68CF979E" w14:textId="13DFB91E"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90" w:history="1">
            <w:r w:rsidRPr="00DD620D">
              <w:rPr>
                <w:rStyle w:val="Hyperlink"/>
                <w:noProof/>
                <w:lang w:val="en-GB"/>
              </w:rPr>
              <w:t>Event Operations:</w:t>
            </w:r>
            <w:r>
              <w:rPr>
                <w:noProof/>
                <w:webHidden/>
              </w:rPr>
              <w:tab/>
            </w:r>
            <w:r>
              <w:rPr>
                <w:noProof/>
                <w:webHidden/>
              </w:rPr>
              <w:fldChar w:fldCharType="begin"/>
            </w:r>
            <w:r>
              <w:rPr>
                <w:noProof/>
                <w:webHidden/>
              </w:rPr>
              <w:instrText xml:space="preserve"> PAGEREF _Toc159839690 \h </w:instrText>
            </w:r>
            <w:r>
              <w:rPr>
                <w:noProof/>
                <w:webHidden/>
              </w:rPr>
            </w:r>
            <w:r>
              <w:rPr>
                <w:noProof/>
                <w:webHidden/>
              </w:rPr>
              <w:fldChar w:fldCharType="separate"/>
            </w:r>
            <w:r>
              <w:rPr>
                <w:noProof/>
                <w:webHidden/>
              </w:rPr>
              <w:t>6</w:t>
            </w:r>
            <w:r>
              <w:rPr>
                <w:noProof/>
                <w:webHidden/>
              </w:rPr>
              <w:fldChar w:fldCharType="end"/>
            </w:r>
          </w:hyperlink>
        </w:p>
        <w:p w14:paraId="7EF868AE" w14:textId="7056D286"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91" w:history="1">
            <w:r w:rsidRPr="00DD620D">
              <w:rPr>
                <w:rStyle w:val="Hyperlink"/>
                <w:noProof/>
                <w:lang w:val="en-GB"/>
              </w:rPr>
              <w:t>Event Budget:</w:t>
            </w:r>
            <w:r>
              <w:rPr>
                <w:noProof/>
                <w:webHidden/>
              </w:rPr>
              <w:tab/>
            </w:r>
            <w:r>
              <w:rPr>
                <w:noProof/>
                <w:webHidden/>
              </w:rPr>
              <w:fldChar w:fldCharType="begin"/>
            </w:r>
            <w:r>
              <w:rPr>
                <w:noProof/>
                <w:webHidden/>
              </w:rPr>
              <w:instrText xml:space="preserve"> PAGEREF _Toc159839691 \h </w:instrText>
            </w:r>
            <w:r>
              <w:rPr>
                <w:noProof/>
                <w:webHidden/>
              </w:rPr>
            </w:r>
            <w:r>
              <w:rPr>
                <w:noProof/>
                <w:webHidden/>
              </w:rPr>
              <w:fldChar w:fldCharType="separate"/>
            </w:r>
            <w:r>
              <w:rPr>
                <w:noProof/>
                <w:webHidden/>
              </w:rPr>
              <w:t>8</w:t>
            </w:r>
            <w:r>
              <w:rPr>
                <w:noProof/>
                <w:webHidden/>
              </w:rPr>
              <w:fldChar w:fldCharType="end"/>
            </w:r>
          </w:hyperlink>
        </w:p>
        <w:p w14:paraId="1AD4C4B6" w14:textId="76F17975"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92" w:history="1">
            <w:r w:rsidRPr="00DD620D">
              <w:rPr>
                <w:rStyle w:val="Hyperlink"/>
                <w:noProof/>
                <w:lang w:val="en-GB"/>
              </w:rPr>
              <w:t>Industry Trends/Impacts:</w:t>
            </w:r>
            <w:r>
              <w:rPr>
                <w:noProof/>
                <w:webHidden/>
              </w:rPr>
              <w:tab/>
            </w:r>
            <w:r>
              <w:rPr>
                <w:noProof/>
                <w:webHidden/>
              </w:rPr>
              <w:fldChar w:fldCharType="begin"/>
            </w:r>
            <w:r>
              <w:rPr>
                <w:noProof/>
                <w:webHidden/>
              </w:rPr>
              <w:instrText xml:space="preserve"> PAGEREF _Toc159839692 \h </w:instrText>
            </w:r>
            <w:r>
              <w:rPr>
                <w:noProof/>
                <w:webHidden/>
              </w:rPr>
            </w:r>
            <w:r>
              <w:rPr>
                <w:noProof/>
                <w:webHidden/>
              </w:rPr>
              <w:fldChar w:fldCharType="separate"/>
            </w:r>
            <w:r>
              <w:rPr>
                <w:noProof/>
                <w:webHidden/>
              </w:rPr>
              <w:t>10</w:t>
            </w:r>
            <w:r>
              <w:rPr>
                <w:noProof/>
                <w:webHidden/>
              </w:rPr>
              <w:fldChar w:fldCharType="end"/>
            </w:r>
          </w:hyperlink>
        </w:p>
        <w:p w14:paraId="6F8B4A5D" w14:textId="1B6DBC3B"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93" w:history="1">
            <w:r w:rsidRPr="00DD620D">
              <w:rPr>
                <w:rStyle w:val="Hyperlink"/>
                <w:noProof/>
                <w:lang w:val="en-GB"/>
              </w:rPr>
              <w:t>Cultural and Situational Considerations:</w:t>
            </w:r>
            <w:r>
              <w:rPr>
                <w:noProof/>
                <w:webHidden/>
              </w:rPr>
              <w:tab/>
            </w:r>
            <w:r>
              <w:rPr>
                <w:noProof/>
                <w:webHidden/>
              </w:rPr>
              <w:fldChar w:fldCharType="begin"/>
            </w:r>
            <w:r>
              <w:rPr>
                <w:noProof/>
                <w:webHidden/>
              </w:rPr>
              <w:instrText xml:space="preserve"> PAGEREF _Toc159839693 \h </w:instrText>
            </w:r>
            <w:r>
              <w:rPr>
                <w:noProof/>
                <w:webHidden/>
              </w:rPr>
            </w:r>
            <w:r>
              <w:rPr>
                <w:noProof/>
                <w:webHidden/>
              </w:rPr>
              <w:fldChar w:fldCharType="separate"/>
            </w:r>
            <w:r>
              <w:rPr>
                <w:noProof/>
                <w:webHidden/>
              </w:rPr>
              <w:t>11</w:t>
            </w:r>
            <w:r>
              <w:rPr>
                <w:noProof/>
                <w:webHidden/>
              </w:rPr>
              <w:fldChar w:fldCharType="end"/>
            </w:r>
          </w:hyperlink>
        </w:p>
        <w:p w14:paraId="4DB0C03B" w14:textId="6B92BE73"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94" w:history="1">
            <w:r w:rsidRPr="00DD620D">
              <w:rPr>
                <w:rStyle w:val="Hyperlink"/>
                <w:noProof/>
                <w:lang w:val="en-GB"/>
              </w:rPr>
              <w:t>Conclusion:</w:t>
            </w:r>
            <w:r>
              <w:rPr>
                <w:noProof/>
                <w:webHidden/>
              </w:rPr>
              <w:tab/>
            </w:r>
            <w:r>
              <w:rPr>
                <w:noProof/>
                <w:webHidden/>
              </w:rPr>
              <w:fldChar w:fldCharType="begin"/>
            </w:r>
            <w:r>
              <w:rPr>
                <w:noProof/>
                <w:webHidden/>
              </w:rPr>
              <w:instrText xml:space="preserve"> PAGEREF _Toc159839694 \h </w:instrText>
            </w:r>
            <w:r>
              <w:rPr>
                <w:noProof/>
                <w:webHidden/>
              </w:rPr>
            </w:r>
            <w:r>
              <w:rPr>
                <w:noProof/>
                <w:webHidden/>
              </w:rPr>
              <w:fldChar w:fldCharType="separate"/>
            </w:r>
            <w:r>
              <w:rPr>
                <w:noProof/>
                <w:webHidden/>
              </w:rPr>
              <w:t>12</w:t>
            </w:r>
            <w:r>
              <w:rPr>
                <w:noProof/>
                <w:webHidden/>
              </w:rPr>
              <w:fldChar w:fldCharType="end"/>
            </w:r>
          </w:hyperlink>
        </w:p>
        <w:p w14:paraId="10CB6763" w14:textId="7CACACDA" w:rsidR="00C03966" w:rsidRDefault="00C03966">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9839695" w:history="1">
            <w:r w:rsidRPr="00DD620D">
              <w:rPr>
                <w:rStyle w:val="Hyperlink"/>
                <w:noProof/>
                <w:lang w:val="en-GB"/>
              </w:rPr>
              <w:t>References</w:t>
            </w:r>
            <w:r>
              <w:rPr>
                <w:noProof/>
                <w:webHidden/>
              </w:rPr>
              <w:tab/>
            </w:r>
            <w:r>
              <w:rPr>
                <w:noProof/>
                <w:webHidden/>
              </w:rPr>
              <w:fldChar w:fldCharType="begin"/>
            </w:r>
            <w:r>
              <w:rPr>
                <w:noProof/>
                <w:webHidden/>
              </w:rPr>
              <w:instrText xml:space="preserve"> PAGEREF _Toc159839695 \h </w:instrText>
            </w:r>
            <w:r>
              <w:rPr>
                <w:noProof/>
                <w:webHidden/>
              </w:rPr>
            </w:r>
            <w:r>
              <w:rPr>
                <w:noProof/>
                <w:webHidden/>
              </w:rPr>
              <w:fldChar w:fldCharType="separate"/>
            </w:r>
            <w:r>
              <w:rPr>
                <w:noProof/>
                <w:webHidden/>
              </w:rPr>
              <w:t>13</w:t>
            </w:r>
            <w:r>
              <w:rPr>
                <w:noProof/>
                <w:webHidden/>
              </w:rPr>
              <w:fldChar w:fldCharType="end"/>
            </w:r>
          </w:hyperlink>
        </w:p>
        <w:p w14:paraId="58BD1199" w14:textId="6649ED2C" w:rsidR="00840D6A" w:rsidRPr="00840D6A" w:rsidRDefault="00840D6A">
          <w:pPr>
            <w:rPr>
              <w:lang w:val="en-GB"/>
            </w:rPr>
          </w:pPr>
          <w:r w:rsidRPr="00840D6A">
            <w:rPr>
              <w:rFonts w:ascii="Times New Roman" w:hAnsi="Times New Roman" w:cs="Times New Roman"/>
              <w:b/>
              <w:bCs/>
              <w:noProof/>
              <w:sz w:val="24"/>
              <w:szCs w:val="24"/>
              <w:lang w:val="en-GB"/>
            </w:rPr>
            <w:fldChar w:fldCharType="end"/>
          </w:r>
        </w:p>
      </w:sdtContent>
    </w:sdt>
    <w:p w14:paraId="685902F4" w14:textId="77777777" w:rsidR="00840D6A" w:rsidRPr="00840D6A" w:rsidRDefault="00840D6A">
      <w:pPr>
        <w:rPr>
          <w:rFonts w:ascii="Times New Roman" w:eastAsia="Times New Roman" w:hAnsi="Times New Roman" w:cs="Times New Roman"/>
          <w:b/>
          <w:sz w:val="28"/>
          <w:szCs w:val="28"/>
          <w:lang w:val="en-GB"/>
        </w:rPr>
      </w:pPr>
      <w:r w:rsidRPr="00840D6A">
        <w:rPr>
          <w:rFonts w:ascii="Times New Roman" w:eastAsia="Times New Roman" w:hAnsi="Times New Roman" w:cs="Times New Roman"/>
          <w:b/>
          <w:sz w:val="28"/>
          <w:szCs w:val="28"/>
          <w:lang w:val="en-GB"/>
        </w:rPr>
        <w:br w:type="page"/>
      </w:r>
    </w:p>
    <w:p w14:paraId="39D34BD1" w14:textId="77777777" w:rsidR="006A64E4" w:rsidRPr="00840D6A" w:rsidRDefault="00E15939" w:rsidP="00840D6A">
      <w:pPr>
        <w:pStyle w:val="Heading1"/>
        <w:rPr>
          <w:b w:val="0"/>
          <w:lang w:val="en-GB"/>
        </w:rPr>
      </w:pPr>
      <w:bookmarkStart w:id="0" w:name="_Toc159839686"/>
      <w:r w:rsidRPr="00840D6A">
        <w:rPr>
          <w:lang w:val="en-GB"/>
        </w:rPr>
        <w:lastRenderedPageBreak/>
        <w:t>Introduction:</w:t>
      </w:r>
      <w:bookmarkEnd w:id="0"/>
    </w:p>
    <w:p w14:paraId="7A107075" w14:textId="34CE3291"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The planned meeting/event, the “Green Tech Innovations Conference is a carefully selected venture </w:t>
      </w:r>
      <w:r w:rsidR="008646EE" w:rsidRPr="00840D6A">
        <w:rPr>
          <w:rFonts w:ascii="Times New Roman" w:eastAsia="Times New Roman" w:hAnsi="Times New Roman" w:cs="Times New Roman"/>
          <w:sz w:val="24"/>
          <w:szCs w:val="24"/>
          <w:lang w:val="en-GB"/>
        </w:rPr>
        <w:t>to</w:t>
      </w:r>
      <w:r w:rsidRPr="00840D6A">
        <w:rPr>
          <w:rFonts w:ascii="Times New Roman" w:eastAsia="Times New Roman" w:hAnsi="Times New Roman" w:cs="Times New Roman"/>
          <w:sz w:val="24"/>
          <w:szCs w:val="24"/>
          <w:lang w:val="en-GB"/>
        </w:rPr>
        <w:t xml:space="preserve"> address the critical demand for sustainability and green consciousness in hotel varieties. The current year saw unparalleled transformations of activities in the business world globally currently, with focus shifting onto sustainable practices and green initiatives. This transition has unevenly pushed by the two fronts of demand from consumers for environment friendly products and services as well as an increasing realization of urgent need to fight climate change (Shrivastava et al. 2020). Copenhagen, capital of Denmark has been chosen as the location for the event based on its </w:t>
      </w:r>
      <w:r w:rsidR="008646EE" w:rsidRPr="00840D6A">
        <w:rPr>
          <w:rFonts w:ascii="Times New Roman" w:eastAsia="Times New Roman" w:hAnsi="Times New Roman" w:cs="Times New Roman"/>
          <w:sz w:val="24"/>
          <w:szCs w:val="24"/>
          <w:lang w:val="en-GB"/>
        </w:rPr>
        <w:t>hard-earned</w:t>
      </w:r>
      <w:r w:rsidRPr="00840D6A">
        <w:rPr>
          <w:rFonts w:ascii="Times New Roman" w:eastAsia="Times New Roman" w:hAnsi="Times New Roman" w:cs="Times New Roman"/>
          <w:sz w:val="24"/>
          <w:szCs w:val="24"/>
          <w:lang w:val="en-GB"/>
        </w:rPr>
        <w:t xml:space="preserve"> status of being a leading sustainability </w:t>
      </w:r>
      <w:r w:rsidR="008646EE" w:rsidRPr="00840D6A">
        <w:rPr>
          <w:rFonts w:ascii="Times New Roman" w:eastAsia="Times New Roman" w:hAnsi="Times New Roman" w:cs="Times New Roman"/>
          <w:sz w:val="24"/>
          <w:szCs w:val="24"/>
          <w:lang w:val="en-GB"/>
        </w:rPr>
        <w:t>centre</w:t>
      </w:r>
      <w:r w:rsidRPr="00840D6A">
        <w:rPr>
          <w:rFonts w:ascii="Times New Roman" w:eastAsia="Times New Roman" w:hAnsi="Times New Roman" w:cs="Times New Roman"/>
          <w:sz w:val="24"/>
          <w:szCs w:val="24"/>
          <w:lang w:val="en-GB"/>
        </w:rPr>
        <w:t xml:space="preserve"> and at the same time an innovative front runner environment urban development. Sustainability commitment is demonstrated by the renewable sources of energy that work together with others extensive bike infrastructure, and tough policies on environmental factors. In selecting Denmark, Copenhagen in particular for our conference location, we strive to provide participants and ensure engagement with an environment that is a showcase of the sustainable practices as well as green technologies which are foundation objectives of the intended discourse during the conference (Alkhani 2017).</w:t>
      </w:r>
    </w:p>
    <w:p w14:paraId="63B7290B" w14:textId="77777777" w:rsidR="006A64E4" w:rsidRPr="00840D6A" w:rsidRDefault="00840D6A" w:rsidP="00840D6A">
      <w:pPr>
        <w:pStyle w:val="Heading1"/>
        <w:rPr>
          <w:lang w:val="en-GB"/>
        </w:rPr>
      </w:pPr>
      <w:bookmarkStart w:id="1" w:name="_Toc159839687"/>
      <w:r w:rsidRPr="00840D6A">
        <w:rPr>
          <w:lang w:val="en-GB"/>
        </w:rPr>
        <w:t>The Event Cycle:</w:t>
      </w:r>
      <w:bookmarkEnd w:id="1"/>
    </w:p>
    <w:p w14:paraId="04AE849C" w14:textId="31CFA418"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Thomas and Stephens, Identifying an Event Cycle refers to the comprehensive framework for planning an organizing as well as executing an </w:t>
      </w:r>
      <w:r w:rsidR="008646EE" w:rsidRPr="00840D6A">
        <w:rPr>
          <w:rFonts w:ascii="Times New Roman" w:eastAsia="Times New Roman" w:hAnsi="Times New Roman" w:cs="Times New Roman"/>
          <w:sz w:val="24"/>
          <w:szCs w:val="24"/>
          <w:lang w:val="en-GB"/>
        </w:rPr>
        <w:t>event. It</w:t>
      </w:r>
      <w:r w:rsidRPr="00840D6A">
        <w:rPr>
          <w:rFonts w:ascii="Times New Roman" w:eastAsia="Times New Roman" w:hAnsi="Times New Roman" w:cs="Times New Roman"/>
          <w:sz w:val="24"/>
          <w:szCs w:val="24"/>
          <w:lang w:val="en-GB"/>
        </w:rPr>
        <w:t xml:space="preserve"> comprises three key stages: This model refers to pre-event preparation, on-site event implementation and </w:t>
      </w:r>
      <w:r w:rsidR="008646EE" w:rsidRPr="00840D6A">
        <w:rPr>
          <w:rFonts w:ascii="Times New Roman" w:eastAsia="Times New Roman" w:hAnsi="Times New Roman" w:cs="Times New Roman"/>
          <w:sz w:val="24"/>
          <w:szCs w:val="24"/>
          <w:lang w:val="en-GB"/>
        </w:rPr>
        <w:t>post event</w:t>
      </w:r>
      <w:r w:rsidRPr="00840D6A">
        <w:rPr>
          <w:rFonts w:ascii="Times New Roman" w:eastAsia="Times New Roman" w:hAnsi="Times New Roman" w:cs="Times New Roman"/>
          <w:sz w:val="24"/>
          <w:szCs w:val="24"/>
          <w:lang w:val="en-GB"/>
        </w:rPr>
        <w:t xml:space="preserve"> evaluation and learnings. The stages have a cyclical process in which every stage impacts the next and progress results from the completion of repetitions that lead to future events improvement. The work of the Event Cycle is considered as a kind basis for event management, it makes sure that all facets of an event are addressed properly.</w:t>
      </w:r>
    </w:p>
    <w:p w14:paraId="36220095"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In the Event Cycle of the “Green Tech Innovations Conference” acts as a red thread orchestrating the event’s success, integration sustainability into being one of its main themes.</w:t>
      </w:r>
    </w:p>
    <w:p w14:paraId="517D188A" w14:textId="05D7053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Pre-Event Planning:</w:t>
      </w:r>
      <w:r w:rsidRPr="00840D6A">
        <w:rPr>
          <w:rFonts w:ascii="Times New Roman" w:eastAsia="Times New Roman" w:hAnsi="Times New Roman" w:cs="Times New Roman"/>
          <w:sz w:val="24"/>
          <w:szCs w:val="24"/>
          <w:lang w:val="en-GB"/>
        </w:rPr>
        <w:t xml:space="preserve"> The first stage requires extended planning and rationalizing. For our conference, this has three aspects to it one being the identification of key stakeholders second is securing Sponsorships and third selecting the venue. Carefully selected eco-conscious sponsors who will work to our advantage in a sustainable direction is very necessary. This in line with this </w:t>
      </w:r>
      <w:r w:rsidRPr="00840D6A">
        <w:rPr>
          <w:rFonts w:ascii="Times New Roman" w:eastAsia="Times New Roman" w:hAnsi="Times New Roman" w:cs="Times New Roman"/>
          <w:sz w:val="24"/>
          <w:szCs w:val="24"/>
          <w:lang w:val="en-GB"/>
        </w:rPr>
        <w:lastRenderedPageBreak/>
        <w:t>fact that 60% of conference sponsors have pledged to offer and sell products and services that are sustainable (Event</w:t>
      </w:r>
      <w:r w:rsidR="008646EE">
        <w:rPr>
          <w:rFonts w:ascii="Times New Roman" w:eastAsia="Times New Roman" w:hAnsi="Times New Roman" w:cs="Times New Roman"/>
          <w:sz w:val="24"/>
          <w:szCs w:val="24"/>
          <w:lang w:val="en-GB"/>
        </w:rPr>
        <w:t xml:space="preserve"> </w:t>
      </w:r>
      <w:r w:rsidRPr="00840D6A">
        <w:rPr>
          <w:rFonts w:ascii="Times New Roman" w:eastAsia="Times New Roman" w:hAnsi="Times New Roman" w:cs="Times New Roman"/>
          <w:sz w:val="24"/>
          <w:szCs w:val="24"/>
          <w:lang w:val="en-GB"/>
        </w:rPr>
        <w:t>MB, 2021). It is evident that allowing Copenhagen to host the event has compiled with sustainability considerations within the city itself, where more than 43% of commuters use bicycles as their preferred choice for moving around (Pattinson, 2020).</w:t>
      </w:r>
    </w:p>
    <w:p w14:paraId="472339C1"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 xml:space="preserve">On-Site Event Delivery: </w:t>
      </w:r>
      <w:r w:rsidRPr="00840D6A">
        <w:rPr>
          <w:rFonts w:ascii="Times New Roman" w:eastAsia="Times New Roman" w:hAnsi="Times New Roman" w:cs="Times New Roman"/>
          <w:sz w:val="24"/>
          <w:szCs w:val="24"/>
          <w:lang w:val="en-GB"/>
        </w:rPr>
        <w:t>By the time of the conference, meticulously organized and implemented program investments be taken into action at a sustainable level. Participants are also going to learn how green technologies and environmentally friendly materials are used during the venue of the event. For example, the production of 80% of electricity for any event would be met through renewable sources reducing carbon emission (Jenkins et al., 2018).</w:t>
      </w:r>
    </w:p>
    <w:p w14:paraId="2D6B6FDD"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 xml:space="preserve">Post-Event Evaluation and Review: </w:t>
      </w:r>
      <w:r w:rsidRPr="00840D6A">
        <w:rPr>
          <w:rFonts w:ascii="Times New Roman" w:eastAsia="Times New Roman" w:hAnsi="Times New Roman" w:cs="Times New Roman"/>
          <w:sz w:val="24"/>
          <w:szCs w:val="24"/>
          <w:lang w:val="en-GB"/>
        </w:rPr>
        <w:t>At the end of the conference, we proceed to implement another phase in Event Cycle by discussing outcomes that were achieved during the event. This stage includes evaluation of unsustainable measures and sustainable performance management issues. It has the aim of improving future conferencing by creating themes and discussion points borrowed from this conference (Xiong et al. 2020).</w:t>
      </w:r>
    </w:p>
    <w:p w14:paraId="0DAF4775" w14:textId="77777777" w:rsidR="006A64E4" w:rsidRPr="00840D6A" w:rsidRDefault="00840D6A" w:rsidP="00840D6A">
      <w:pPr>
        <w:pStyle w:val="Heading1"/>
        <w:rPr>
          <w:lang w:val="en-GB"/>
        </w:rPr>
      </w:pPr>
      <w:bookmarkStart w:id="2" w:name="_Toc159839688"/>
      <w:r w:rsidRPr="00840D6A">
        <w:rPr>
          <w:lang w:val="en-GB"/>
        </w:rPr>
        <w:t>Event Concept:</w:t>
      </w:r>
      <w:bookmarkEnd w:id="2"/>
    </w:p>
    <w:p w14:paraId="185502A3" w14:textId="77777777" w:rsidR="006A64E4" w:rsidRPr="00840D6A" w:rsidRDefault="009A28D2">
      <w:pPr>
        <w:spacing w:line="360" w:lineRule="auto"/>
        <w:jc w:val="both"/>
        <w:rPr>
          <w:rFonts w:ascii="Times New Roman" w:eastAsia="Times New Roman" w:hAnsi="Times New Roman" w:cs="Times New Roman"/>
          <w:sz w:val="24"/>
          <w:szCs w:val="24"/>
          <w:lang w:val="en-GB"/>
        </w:rPr>
      </w:pPr>
      <w:r w:rsidRPr="009A28D2">
        <w:rPr>
          <w:rFonts w:ascii="Times New Roman" w:eastAsia="Times New Roman" w:hAnsi="Times New Roman" w:cs="Times New Roman"/>
          <w:sz w:val="24"/>
          <w:szCs w:val="24"/>
          <w:lang w:val="en-GB"/>
        </w:rPr>
        <w:t>Often referred to as the ‘green-tech innovation summit,’ this is a respected and pioneering event for all those interested in creating lasting environments at least in their domains of operation. The event has a diverse comprehensive curriculum featuring educational discussions, action-oriented product demonstrations as well as nurture socializing and networking during the sessions which all are within one day is further.</w:t>
      </w:r>
    </w:p>
    <w:p w14:paraId="1052E45C"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Morning Session (08:00 AM - 12:00 PM):</w:t>
      </w:r>
    </w:p>
    <w:p w14:paraId="570F594A" w14:textId="16C1A664" w:rsidR="009A28D2" w:rsidRPr="009A28D2" w:rsidRDefault="009A28D2" w:rsidP="009A28D2">
      <w:pPr>
        <w:spacing w:line="360" w:lineRule="auto"/>
        <w:jc w:val="both"/>
        <w:rPr>
          <w:rFonts w:ascii="Times New Roman" w:eastAsia="Times New Roman" w:hAnsi="Times New Roman" w:cs="Times New Roman"/>
          <w:b/>
          <w:sz w:val="24"/>
          <w:szCs w:val="24"/>
          <w:lang w:val="en-GB"/>
        </w:rPr>
      </w:pPr>
      <w:r w:rsidRPr="009A28D2">
        <w:rPr>
          <w:rFonts w:ascii="Times New Roman" w:eastAsia="Times New Roman" w:hAnsi="Times New Roman" w:cs="Times New Roman"/>
          <w:b/>
          <w:sz w:val="24"/>
          <w:szCs w:val="24"/>
          <w:lang w:val="en-GB"/>
        </w:rPr>
        <w:t>Registration and Welcome</w:t>
      </w:r>
      <w:r w:rsidRPr="009A28D2">
        <w:rPr>
          <w:rFonts w:ascii="Times New Roman" w:eastAsia="Times New Roman" w:hAnsi="Times New Roman" w:cs="Times New Roman"/>
          <w:sz w:val="24"/>
          <w:szCs w:val="24"/>
          <w:lang w:val="en-GB"/>
        </w:rPr>
        <w:t xml:space="preserve">: Delegates check-in at the event will be utmost smooth where they provide with eco-friendly conference </w:t>
      </w:r>
      <w:r w:rsidR="00507A60" w:rsidRPr="009A28D2">
        <w:rPr>
          <w:rFonts w:ascii="Times New Roman" w:eastAsia="Times New Roman" w:hAnsi="Times New Roman" w:cs="Times New Roman"/>
          <w:sz w:val="24"/>
          <w:szCs w:val="24"/>
          <w:lang w:val="en-GB"/>
        </w:rPr>
        <w:t>kits,</w:t>
      </w:r>
      <w:r w:rsidR="00DB3793">
        <w:rPr>
          <w:rFonts w:ascii="Times New Roman" w:eastAsia="Times New Roman" w:hAnsi="Times New Roman" w:cs="Times New Roman"/>
          <w:sz w:val="24"/>
          <w:szCs w:val="24"/>
          <w:lang w:val="en-GB"/>
        </w:rPr>
        <w:t xml:space="preserve"> </w:t>
      </w:r>
      <w:r w:rsidRPr="009A28D2">
        <w:rPr>
          <w:rFonts w:ascii="Times New Roman" w:eastAsia="Times New Roman" w:hAnsi="Times New Roman" w:cs="Times New Roman"/>
          <w:sz w:val="24"/>
          <w:szCs w:val="24"/>
          <w:lang w:val="en-GB"/>
        </w:rPr>
        <w:t>and which are made of up of sustainable items such as reusable water bottles to them.</w:t>
      </w:r>
    </w:p>
    <w:p w14:paraId="02E14ABF" w14:textId="77777777" w:rsidR="006A64E4" w:rsidRPr="00840D6A" w:rsidRDefault="009A28D2" w:rsidP="009A28D2">
      <w:pPr>
        <w:spacing w:line="360" w:lineRule="auto"/>
        <w:jc w:val="both"/>
        <w:rPr>
          <w:rFonts w:ascii="Times New Roman" w:eastAsia="Times New Roman" w:hAnsi="Times New Roman" w:cs="Times New Roman"/>
          <w:sz w:val="24"/>
          <w:szCs w:val="24"/>
          <w:lang w:val="en-GB"/>
        </w:rPr>
      </w:pPr>
      <w:r w:rsidRPr="009A28D2">
        <w:rPr>
          <w:rFonts w:ascii="Times New Roman" w:eastAsia="Times New Roman" w:hAnsi="Times New Roman" w:cs="Times New Roman"/>
          <w:b/>
          <w:sz w:val="24"/>
          <w:szCs w:val="24"/>
          <w:lang w:val="en-GB"/>
        </w:rPr>
        <w:t xml:space="preserve">Keynote Address: </w:t>
      </w:r>
      <w:r w:rsidRPr="009A28D2">
        <w:rPr>
          <w:rFonts w:ascii="Times New Roman" w:eastAsia="Times New Roman" w:hAnsi="Times New Roman" w:cs="Times New Roman"/>
          <w:sz w:val="24"/>
          <w:szCs w:val="24"/>
          <w:lang w:val="en-GB"/>
        </w:rPr>
        <w:t>The day starts with an impressive keynote delivered by the sustainability leader, creating a convincing atmosphere of rewarding and basilic highlighting advantages in implementation of technology for hotel industry sustainability.</w:t>
      </w:r>
    </w:p>
    <w:p w14:paraId="17FD3338"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Panel Discussions:</w:t>
      </w:r>
      <w:r w:rsidRPr="00840D6A">
        <w:rPr>
          <w:rFonts w:ascii="Times New Roman" w:eastAsia="Times New Roman" w:hAnsi="Times New Roman" w:cs="Times New Roman"/>
          <w:sz w:val="24"/>
          <w:szCs w:val="24"/>
          <w:lang w:val="en-GB"/>
        </w:rPr>
        <w:t xml:space="preserve"> Here, the morning will include talk-show panels headed by the leaders of business and industry and concerning questions such as ‘The Importance of Renewable Energy in </w:t>
      </w:r>
      <w:r w:rsidRPr="00840D6A">
        <w:rPr>
          <w:rFonts w:ascii="Times New Roman" w:eastAsia="Times New Roman" w:hAnsi="Times New Roman" w:cs="Times New Roman"/>
          <w:sz w:val="24"/>
          <w:szCs w:val="24"/>
          <w:lang w:val="en-GB"/>
        </w:rPr>
        <w:lastRenderedPageBreak/>
        <w:t>Harmonics Sustainability’ and a number other ‘Innovative ideas about Eco-friendly Event Management’.</w:t>
      </w:r>
    </w:p>
    <w:p w14:paraId="67A296CD"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Coffee Break: </w:t>
      </w:r>
      <w:r w:rsidRPr="00840D6A">
        <w:rPr>
          <w:rFonts w:ascii="Times New Roman" w:eastAsia="Times New Roman" w:hAnsi="Times New Roman" w:cs="Times New Roman"/>
          <w:sz w:val="24"/>
          <w:szCs w:val="24"/>
          <w:lang w:val="en-GB"/>
        </w:rPr>
        <w:t>It will allow delegates to have snacks in reusable containers networking during a product display by the sustainable vendors.</w:t>
      </w:r>
    </w:p>
    <w:p w14:paraId="638034CD" w14:textId="77777777" w:rsidR="006A64E4" w:rsidRPr="00840D6A" w:rsidRDefault="00E15939">
      <w:pPr>
        <w:spacing w:line="360" w:lineRule="auto"/>
        <w:jc w:val="both"/>
        <w:rPr>
          <w:rFonts w:ascii="Times New Roman" w:eastAsia="Times New Roman" w:hAnsi="Times New Roman" w:cs="Times New Roman"/>
          <w:b/>
          <w:i/>
          <w:sz w:val="24"/>
          <w:szCs w:val="24"/>
          <w:lang w:val="en-GB"/>
        </w:rPr>
      </w:pPr>
      <w:r w:rsidRPr="00840D6A">
        <w:rPr>
          <w:rFonts w:ascii="Times New Roman" w:eastAsia="Times New Roman" w:hAnsi="Times New Roman" w:cs="Times New Roman"/>
          <w:b/>
          <w:i/>
          <w:sz w:val="24"/>
          <w:szCs w:val="24"/>
          <w:lang w:val="en-GB"/>
        </w:rPr>
        <w:t>Lunch Break (12:00 PM - 01:30 PM):</w:t>
      </w:r>
    </w:p>
    <w:p w14:paraId="48767FC1" w14:textId="15DA5BE2"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Sustainable Lunch:</w:t>
      </w:r>
      <w:r w:rsidRPr="00840D6A">
        <w:rPr>
          <w:rFonts w:ascii="Times New Roman" w:eastAsia="Times New Roman" w:hAnsi="Times New Roman" w:cs="Times New Roman"/>
          <w:sz w:val="24"/>
          <w:szCs w:val="24"/>
          <w:lang w:val="en-GB"/>
        </w:rPr>
        <w:t xml:space="preserve"> Lunch will be a delightful accompaniment to the lunch provided that is not only sustainably sourced </w:t>
      </w:r>
      <w:r w:rsidR="00721E3F" w:rsidRPr="00840D6A">
        <w:rPr>
          <w:rFonts w:ascii="Times New Roman" w:eastAsia="Times New Roman" w:hAnsi="Times New Roman" w:cs="Times New Roman"/>
          <w:sz w:val="24"/>
          <w:szCs w:val="24"/>
          <w:lang w:val="en-GB"/>
        </w:rPr>
        <w:t>lowing but</w:t>
      </w:r>
      <w:r w:rsidRPr="00840D6A">
        <w:rPr>
          <w:rFonts w:ascii="Times New Roman" w:eastAsia="Times New Roman" w:hAnsi="Times New Roman" w:cs="Times New Roman"/>
          <w:sz w:val="24"/>
          <w:szCs w:val="24"/>
          <w:lang w:val="en-GB"/>
        </w:rPr>
        <w:t xml:space="preserve"> has grown and harvested using locally available ingredients. By opting for this meal</w:t>
      </w:r>
      <w:r w:rsidR="00721E3F">
        <w:rPr>
          <w:rFonts w:ascii="Times New Roman" w:eastAsia="Times New Roman" w:hAnsi="Times New Roman" w:cs="Times New Roman"/>
          <w:sz w:val="24"/>
          <w:szCs w:val="24"/>
          <w:lang w:val="en-GB"/>
        </w:rPr>
        <w:t xml:space="preserve"> </w:t>
      </w:r>
      <w:r w:rsidRPr="00840D6A">
        <w:rPr>
          <w:rFonts w:ascii="Times New Roman" w:eastAsia="Times New Roman" w:hAnsi="Times New Roman" w:cs="Times New Roman"/>
          <w:sz w:val="24"/>
          <w:szCs w:val="24"/>
          <w:lang w:val="en-GB"/>
        </w:rPr>
        <w:t xml:space="preserve">food wasting minimized as </w:t>
      </w:r>
      <w:r w:rsidR="00324A85">
        <w:rPr>
          <w:rFonts w:ascii="Times New Roman" w:eastAsia="Times New Roman" w:hAnsi="Times New Roman" w:cs="Times New Roman"/>
          <w:sz w:val="24"/>
          <w:szCs w:val="24"/>
          <w:lang w:val="en-GB"/>
        </w:rPr>
        <w:t>guests</w:t>
      </w:r>
      <w:r w:rsidRPr="00840D6A">
        <w:rPr>
          <w:rFonts w:ascii="Times New Roman" w:eastAsia="Times New Roman" w:hAnsi="Times New Roman" w:cs="Times New Roman"/>
          <w:sz w:val="24"/>
          <w:szCs w:val="24"/>
          <w:lang w:val="en-GB"/>
        </w:rPr>
        <w:t xml:space="preserve"> are made to take their responsibility of consuming a certain amount of food.</w:t>
      </w:r>
    </w:p>
    <w:p w14:paraId="050FDC71"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Afternoon Session (01:30 PM - 05:30 PM):</w:t>
      </w:r>
    </w:p>
    <w:p w14:paraId="4C889FE9"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Interactive Workshops: </w:t>
      </w:r>
      <w:r w:rsidRPr="00840D6A">
        <w:rPr>
          <w:rFonts w:ascii="Times New Roman" w:eastAsia="Times New Roman" w:hAnsi="Times New Roman" w:cs="Times New Roman"/>
          <w:sz w:val="24"/>
          <w:szCs w:val="24"/>
          <w:lang w:val="en-GB"/>
        </w:rPr>
        <w:t>There will be potential for hands on workshops related to potions, green technology applications. Among the workshops that are included these solar energy solutions of hotels and waste reduction strategies for events.</w:t>
      </w:r>
    </w:p>
    <w:p w14:paraId="306B84B6"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Technology Showcase:</w:t>
      </w:r>
      <w:r w:rsidRPr="00840D6A">
        <w:rPr>
          <w:rFonts w:ascii="Times New Roman" w:eastAsia="Times New Roman" w:hAnsi="Times New Roman" w:cs="Times New Roman"/>
          <w:sz w:val="24"/>
          <w:szCs w:val="24"/>
          <w:lang w:val="en-GB"/>
        </w:rPr>
        <w:t xml:space="preserve"> A live green zone will be separated, where visitors can speak to representatives and see new prototypes in action.</w:t>
      </w:r>
    </w:p>
    <w:p w14:paraId="27CF1681"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Networking Reception:</w:t>
      </w:r>
      <w:r w:rsidRPr="00840D6A">
        <w:rPr>
          <w:rFonts w:ascii="Times New Roman" w:eastAsia="Times New Roman" w:hAnsi="Times New Roman" w:cs="Times New Roman"/>
          <w:sz w:val="24"/>
          <w:szCs w:val="24"/>
          <w:lang w:val="en-GB"/>
        </w:rPr>
        <w:t xml:space="preserve"> The end of the day is capped with a networking reception in which delegates will be able to interact with the speakers, exhibitors and fellow attendees while enjoying hand-made bites from the local farms and renewable energy cocktails.</w:t>
      </w:r>
    </w:p>
    <w:p w14:paraId="4E9F2B47" w14:textId="3E80353D"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Sustainability during the event will also be featured. The conference participants will gain personal impress such a f the direct implementation of sustainable practices benefited from the renewable energetic sources transforming to electricity that could supply this cultural building (Jones, 2020) as well as eco – friendly </w:t>
      </w:r>
      <w:r w:rsidR="008646EE" w:rsidRPr="00840D6A">
        <w:rPr>
          <w:rFonts w:ascii="Times New Roman" w:eastAsia="Times New Roman" w:hAnsi="Times New Roman" w:cs="Times New Roman"/>
          <w:sz w:val="24"/>
          <w:szCs w:val="24"/>
          <w:lang w:val="en-GB"/>
        </w:rPr>
        <w:t xml:space="preserve">serve </w:t>
      </w:r>
      <w:r w:rsidR="00DE28F7">
        <w:rPr>
          <w:rFonts w:ascii="Times New Roman" w:eastAsia="Times New Roman" w:hAnsi="Times New Roman" w:cs="Times New Roman"/>
          <w:sz w:val="24"/>
          <w:szCs w:val="24"/>
          <w:lang w:val="en-GB"/>
        </w:rPr>
        <w:t>wear</w:t>
      </w:r>
      <w:r w:rsidRPr="00840D6A">
        <w:rPr>
          <w:rFonts w:ascii="Times New Roman" w:eastAsia="Times New Roman" w:hAnsi="Times New Roman" w:cs="Times New Roman"/>
          <w:sz w:val="24"/>
          <w:szCs w:val="24"/>
          <w:lang w:val="en-GB"/>
        </w:rPr>
        <w:t xml:space="preserve"> with fully substituting dishes made of plastics. The innovative conference called “Green Tech Innovations Conference” will not only educate and inspire the participants with the necessity to apply sustainable practices but also inform about immediate gains in applying green technology within hospitality industry, which reinforces underlying theme of event sustainability.</w:t>
      </w:r>
    </w:p>
    <w:p w14:paraId="4B4C2985" w14:textId="77777777" w:rsidR="006A64E4" w:rsidRPr="00840D6A" w:rsidRDefault="00840D6A" w:rsidP="00840D6A">
      <w:pPr>
        <w:pStyle w:val="Heading1"/>
        <w:rPr>
          <w:lang w:val="en-GB"/>
        </w:rPr>
      </w:pPr>
      <w:bookmarkStart w:id="3" w:name="_Toc159839689"/>
      <w:r w:rsidRPr="00840D6A">
        <w:rPr>
          <w:lang w:val="en-GB"/>
        </w:rPr>
        <w:t>Aim and Objectives:</w:t>
      </w:r>
      <w:bookmarkEnd w:id="3"/>
    </w:p>
    <w:p w14:paraId="43E1AE48" w14:textId="77777777" w:rsidR="006A64E4" w:rsidRPr="00840D6A" w:rsidRDefault="00E15939">
      <w:pPr>
        <w:spacing w:line="360" w:lineRule="auto"/>
        <w:jc w:val="both"/>
        <w:rPr>
          <w:rFonts w:ascii="Times New Roman" w:eastAsia="Times New Roman" w:hAnsi="Times New Roman" w:cs="Times New Roman"/>
          <w:b/>
          <w:sz w:val="26"/>
          <w:szCs w:val="26"/>
          <w:lang w:val="en-GB"/>
        </w:rPr>
      </w:pPr>
      <w:r w:rsidRPr="00840D6A">
        <w:rPr>
          <w:rFonts w:ascii="Times New Roman" w:eastAsia="Times New Roman" w:hAnsi="Times New Roman" w:cs="Times New Roman"/>
          <w:b/>
          <w:sz w:val="26"/>
          <w:szCs w:val="26"/>
          <w:lang w:val="en-GB"/>
        </w:rPr>
        <w:t>Aim</w:t>
      </w:r>
    </w:p>
    <w:p w14:paraId="43E7C743" w14:textId="5B3F5713"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To </w:t>
      </w:r>
      <w:r w:rsidR="008646EE" w:rsidRPr="00840D6A">
        <w:rPr>
          <w:rFonts w:ascii="Times New Roman" w:eastAsia="Times New Roman" w:hAnsi="Times New Roman" w:cs="Times New Roman"/>
          <w:sz w:val="24"/>
          <w:szCs w:val="24"/>
          <w:lang w:val="en-GB"/>
        </w:rPr>
        <w:t>catalyse</w:t>
      </w:r>
      <w:r w:rsidRPr="00840D6A">
        <w:rPr>
          <w:rFonts w:ascii="Times New Roman" w:eastAsia="Times New Roman" w:hAnsi="Times New Roman" w:cs="Times New Roman"/>
          <w:sz w:val="24"/>
          <w:szCs w:val="24"/>
          <w:lang w:val="en-GB"/>
        </w:rPr>
        <w:t xml:space="preserve"> sustainable innovation and foster a culture of eco-consciousness within the hospitality sector through the "Green Tech Innovations Conference."</w:t>
      </w:r>
    </w:p>
    <w:p w14:paraId="2DD43DA4" w14:textId="77777777" w:rsidR="006A64E4" w:rsidRPr="00840D6A" w:rsidRDefault="00E15939">
      <w:pPr>
        <w:spacing w:line="360" w:lineRule="auto"/>
        <w:jc w:val="both"/>
        <w:rPr>
          <w:rFonts w:ascii="Times New Roman" w:eastAsia="Times New Roman" w:hAnsi="Times New Roman" w:cs="Times New Roman"/>
          <w:b/>
          <w:sz w:val="26"/>
          <w:szCs w:val="26"/>
          <w:lang w:val="en-GB"/>
        </w:rPr>
      </w:pPr>
      <w:r w:rsidRPr="00840D6A">
        <w:rPr>
          <w:rFonts w:ascii="Times New Roman" w:eastAsia="Times New Roman" w:hAnsi="Times New Roman" w:cs="Times New Roman"/>
          <w:b/>
          <w:sz w:val="26"/>
          <w:szCs w:val="26"/>
          <w:lang w:val="en-GB"/>
        </w:rPr>
        <w:lastRenderedPageBreak/>
        <w:t>Objectives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6A64E4" w:rsidRPr="00840D6A" w14:paraId="22B89C7D" w14:textId="77777777">
        <w:tc>
          <w:tcPr>
            <w:tcW w:w="1560" w:type="dxa"/>
            <w:shd w:val="clear" w:color="auto" w:fill="auto"/>
            <w:tcMar>
              <w:top w:w="100" w:type="dxa"/>
              <w:left w:w="100" w:type="dxa"/>
              <w:bottom w:w="100" w:type="dxa"/>
              <w:right w:w="100" w:type="dxa"/>
            </w:tcMar>
          </w:tcPr>
          <w:p w14:paraId="424D906C" w14:textId="77777777" w:rsidR="006A64E4" w:rsidRPr="00840D6A" w:rsidRDefault="006A64E4">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34AA62E4"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Specific</w:t>
            </w:r>
          </w:p>
        </w:tc>
        <w:tc>
          <w:tcPr>
            <w:tcW w:w="1560" w:type="dxa"/>
            <w:shd w:val="clear" w:color="auto" w:fill="auto"/>
            <w:tcMar>
              <w:top w:w="100" w:type="dxa"/>
              <w:left w:w="100" w:type="dxa"/>
              <w:bottom w:w="100" w:type="dxa"/>
              <w:right w:w="100" w:type="dxa"/>
            </w:tcMar>
          </w:tcPr>
          <w:p w14:paraId="07A08EA3"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Measurable</w:t>
            </w:r>
          </w:p>
        </w:tc>
        <w:tc>
          <w:tcPr>
            <w:tcW w:w="1560" w:type="dxa"/>
            <w:shd w:val="clear" w:color="auto" w:fill="auto"/>
            <w:tcMar>
              <w:top w:w="100" w:type="dxa"/>
              <w:left w:w="100" w:type="dxa"/>
              <w:bottom w:w="100" w:type="dxa"/>
              <w:right w:w="100" w:type="dxa"/>
            </w:tcMar>
          </w:tcPr>
          <w:p w14:paraId="358CB378"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Achievable</w:t>
            </w:r>
          </w:p>
        </w:tc>
        <w:tc>
          <w:tcPr>
            <w:tcW w:w="1560" w:type="dxa"/>
            <w:shd w:val="clear" w:color="auto" w:fill="auto"/>
            <w:tcMar>
              <w:top w:w="100" w:type="dxa"/>
              <w:left w:w="100" w:type="dxa"/>
              <w:bottom w:w="100" w:type="dxa"/>
              <w:right w:w="100" w:type="dxa"/>
            </w:tcMar>
          </w:tcPr>
          <w:p w14:paraId="71CDDB88"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Relevant</w:t>
            </w:r>
          </w:p>
        </w:tc>
        <w:tc>
          <w:tcPr>
            <w:tcW w:w="1560" w:type="dxa"/>
            <w:shd w:val="clear" w:color="auto" w:fill="auto"/>
            <w:tcMar>
              <w:top w:w="100" w:type="dxa"/>
              <w:left w:w="100" w:type="dxa"/>
              <w:bottom w:w="100" w:type="dxa"/>
              <w:right w:w="100" w:type="dxa"/>
            </w:tcMar>
          </w:tcPr>
          <w:p w14:paraId="016BE18D"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Time-bound</w:t>
            </w:r>
          </w:p>
        </w:tc>
      </w:tr>
      <w:tr w:rsidR="006A64E4" w:rsidRPr="00840D6A" w14:paraId="4EAE312A" w14:textId="77777777">
        <w:tc>
          <w:tcPr>
            <w:tcW w:w="1560" w:type="dxa"/>
            <w:shd w:val="clear" w:color="auto" w:fill="auto"/>
            <w:tcMar>
              <w:top w:w="100" w:type="dxa"/>
              <w:left w:w="100" w:type="dxa"/>
              <w:bottom w:w="100" w:type="dxa"/>
              <w:right w:w="100" w:type="dxa"/>
            </w:tcMar>
          </w:tcPr>
          <w:p w14:paraId="1F583F14"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Objective 1:</w:t>
            </w:r>
          </w:p>
        </w:tc>
        <w:tc>
          <w:tcPr>
            <w:tcW w:w="1560" w:type="dxa"/>
            <w:shd w:val="clear" w:color="auto" w:fill="auto"/>
            <w:tcMar>
              <w:top w:w="100" w:type="dxa"/>
              <w:left w:w="100" w:type="dxa"/>
              <w:bottom w:w="100" w:type="dxa"/>
              <w:right w:w="100" w:type="dxa"/>
            </w:tcMar>
          </w:tcPr>
          <w:p w14:paraId="1778B52D" w14:textId="2C570E28"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Information sharing on green innovations and innovation adoptions thereof through sensitization forums and </w:t>
            </w:r>
            <w:r w:rsidR="00E93E40" w:rsidRPr="00840D6A">
              <w:rPr>
                <w:rFonts w:ascii="Times New Roman" w:eastAsia="Times New Roman" w:hAnsi="Times New Roman" w:cs="Times New Roman"/>
                <w:sz w:val="24"/>
                <w:szCs w:val="24"/>
                <w:lang w:val="en-GB"/>
              </w:rPr>
              <w:t>workshop</w:t>
            </w:r>
            <w:r w:rsidRPr="00840D6A">
              <w:rPr>
                <w:rFonts w:ascii="Times New Roman" w:eastAsia="Times New Roman" w:hAnsi="Times New Roman" w:cs="Times New Roman"/>
                <w:sz w:val="24"/>
                <w:szCs w:val="24"/>
                <w:lang w:val="en-GB"/>
              </w:rPr>
              <w:t xml:space="preserve"> sessions that are targeted at various industry stakeholders.</w:t>
            </w:r>
          </w:p>
        </w:tc>
        <w:tc>
          <w:tcPr>
            <w:tcW w:w="1560" w:type="dxa"/>
            <w:shd w:val="clear" w:color="auto" w:fill="auto"/>
            <w:tcMar>
              <w:top w:w="100" w:type="dxa"/>
              <w:left w:w="100" w:type="dxa"/>
              <w:bottom w:w="100" w:type="dxa"/>
              <w:right w:w="100" w:type="dxa"/>
            </w:tcMar>
          </w:tcPr>
          <w:p w14:paraId="0CCB4572"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Improve the attendee knowledge on sustainable technology by 40% (pre-test post-test connotation).</w:t>
            </w:r>
          </w:p>
        </w:tc>
        <w:tc>
          <w:tcPr>
            <w:tcW w:w="1560" w:type="dxa"/>
            <w:shd w:val="clear" w:color="auto" w:fill="auto"/>
            <w:tcMar>
              <w:top w:w="100" w:type="dxa"/>
              <w:left w:w="100" w:type="dxa"/>
              <w:bottom w:w="100" w:type="dxa"/>
              <w:right w:w="100" w:type="dxa"/>
            </w:tcMar>
          </w:tcPr>
          <w:p w14:paraId="6D33EA2F"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Create a balanced and diverse panel for the year with 12 industry experts having knowledge about various fields of sustainability and green technology.</w:t>
            </w:r>
          </w:p>
        </w:tc>
        <w:tc>
          <w:tcPr>
            <w:tcW w:w="1560" w:type="dxa"/>
            <w:shd w:val="clear" w:color="auto" w:fill="auto"/>
            <w:tcMar>
              <w:top w:w="100" w:type="dxa"/>
              <w:left w:w="100" w:type="dxa"/>
              <w:bottom w:w="100" w:type="dxa"/>
              <w:right w:w="100" w:type="dxa"/>
            </w:tcMar>
          </w:tcPr>
          <w:p w14:paraId="7BAC055E"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The conference theme shall be aligned with the long-term impact of the targeting objectives in caring for oil and gas industry parties that seek hospitality.</w:t>
            </w:r>
          </w:p>
        </w:tc>
        <w:tc>
          <w:tcPr>
            <w:tcW w:w="1560" w:type="dxa"/>
            <w:shd w:val="clear" w:color="auto" w:fill="auto"/>
            <w:tcMar>
              <w:top w:w="100" w:type="dxa"/>
              <w:left w:w="100" w:type="dxa"/>
              <w:bottom w:w="100" w:type="dxa"/>
              <w:right w:w="100" w:type="dxa"/>
            </w:tcMar>
          </w:tcPr>
          <w:p w14:paraId="1156EC26"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Achieve the desired level of knowledge growth within the period that one day duration standard.</w:t>
            </w:r>
          </w:p>
        </w:tc>
      </w:tr>
      <w:tr w:rsidR="006A64E4" w:rsidRPr="00840D6A" w14:paraId="4DC29DD9" w14:textId="77777777">
        <w:trPr>
          <w:trHeight w:val="470"/>
        </w:trPr>
        <w:tc>
          <w:tcPr>
            <w:tcW w:w="1560" w:type="dxa"/>
            <w:shd w:val="clear" w:color="auto" w:fill="auto"/>
            <w:tcMar>
              <w:top w:w="100" w:type="dxa"/>
              <w:left w:w="100" w:type="dxa"/>
              <w:bottom w:w="100" w:type="dxa"/>
              <w:right w:w="100" w:type="dxa"/>
            </w:tcMar>
          </w:tcPr>
          <w:p w14:paraId="0BA0FD6A"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40D6A">
              <w:rPr>
                <w:rFonts w:ascii="Times New Roman" w:eastAsia="Times New Roman" w:hAnsi="Times New Roman" w:cs="Times New Roman"/>
                <w:b/>
                <w:sz w:val="24"/>
                <w:szCs w:val="24"/>
                <w:lang w:val="en-GB"/>
              </w:rPr>
              <w:t>Objective 2:</w:t>
            </w:r>
          </w:p>
        </w:tc>
        <w:tc>
          <w:tcPr>
            <w:tcW w:w="1560" w:type="dxa"/>
            <w:shd w:val="clear" w:color="auto" w:fill="auto"/>
            <w:tcMar>
              <w:top w:w="100" w:type="dxa"/>
              <w:left w:w="100" w:type="dxa"/>
              <w:bottom w:w="100" w:type="dxa"/>
              <w:right w:w="100" w:type="dxa"/>
            </w:tcMar>
          </w:tcPr>
          <w:p w14:paraId="3A26873A"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Highlight technological application of sustainable developments through live demonstrations and technology showcase.</w:t>
            </w:r>
          </w:p>
        </w:tc>
        <w:tc>
          <w:tcPr>
            <w:tcW w:w="1560" w:type="dxa"/>
            <w:shd w:val="clear" w:color="auto" w:fill="auto"/>
            <w:tcMar>
              <w:top w:w="100" w:type="dxa"/>
              <w:left w:w="100" w:type="dxa"/>
              <w:bottom w:w="100" w:type="dxa"/>
              <w:right w:w="100" w:type="dxa"/>
            </w:tcMar>
          </w:tcPr>
          <w:p w14:paraId="731E8CFD" w14:textId="5A637706"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Schedule 15 live technology exhibitions event whereby eco products and services</w:t>
            </w:r>
            <w:r w:rsidR="008646EE">
              <w:rPr>
                <w:rFonts w:ascii="Times New Roman" w:eastAsia="Times New Roman" w:hAnsi="Times New Roman" w:cs="Times New Roman"/>
                <w:sz w:val="24"/>
                <w:szCs w:val="24"/>
                <w:lang w:val="en-GB"/>
              </w:rPr>
              <w:t xml:space="preserve"> </w:t>
            </w:r>
            <w:r w:rsidRPr="00840D6A">
              <w:rPr>
                <w:rFonts w:ascii="Times New Roman" w:eastAsia="Times New Roman" w:hAnsi="Times New Roman" w:cs="Times New Roman"/>
                <w:sz w:val="24"/>
                <w:szCs w:val="24"/>
                <w:lang w:val="en-GB"/>
              </w:rPr>
              <w:t>will be displayed.</w:t>
            </w:r>
          </w:p>
        </w:tc>
        <w:tc>
          <w:tcPr>
            <w:tcW w:w="1560" w:type="dxa"/>
            <w:shd w:val="clear" w:color="auto" w:fill="auto"/>
            <w:tcMar>
              <w:top w:w="100" w:type="dxa"/>
              <w:left w:w="100" w:type="dxa"/>
              <w:bottom w:w="100" w:type="dxa"/>
              <w:right w:w="100" w:type="dxa"/>
            </w:tcMar>
          </w:tcPr>
          <w:p w14:paraId="7613CCB4" w14:textId="77777777"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Contact 10 technology exhibitors providing green solutions.</w:t>
            </w:r>
          </w:p>
        </w:tc>
        <w:tc>
          <w:tcPr>
            <w:tcW w:w="1560" w:type="dxa"/>
            <w:shd w:val="clear" w:color="auto" w:fill="auto"/>
            <w:tcMar>
              <w:top w:w="100" w:type="dxa"/>
              <w:left w:w="100" w:type="dxa"/>
              <w:bottom w:w="100" w:type="dxa"/>
              <w:right w:w="100" w:type="dxa"/>
            </w:tcMar>
          </w:tcPr>
          <w:p w14:paraId="70A10CE6" w14:textId="3C2F2A2C"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Show the impact of sustainable technologies </w:t>
            </w:r>
            <w:r w:rsidR="00E93E40" w:rsidRPr="00840D6A">
              <w:rPr>
                <w:rFonts w:ascii="Times New Roman" w:eastAsia="Times New Roman" w:hAnsi="Times New Roman" w:cs="Times New Roman"/>
                <w:sz w:val="24"/>
                <w:szCs w:val="24"/>
                <w:lang w:val="en-GB"/>
              </w:rPr>
              <w:t>to</w:t>
            </w:r>
            <w:r w:rsidRPr="00840D6A">
              <w:rPr>
                <w:rFonts w:ascii="Times New Roman" w:eastAsia="Times New Roman" w:hAnsi="Times New Roman" w:cs="Times New Roman"/>
                <w:sz w:val="24"/>
                <w:szCs w:val="24"/>
                <w:lang w:val="en-GB"/>
              </w:rPr>
              <w:t xml:space="preserve"> what happens within the hospitality sector.</w:t>
            </w:r>
          </w:p>
        </w:tc>
        <w:tc>
          <w:tcPr>
            <w:tcW w:w="1560" w:type="dxa"/>
            <w:shd w:val="clear" w:color="auto" w:fill="auto"/>
            <w:tcMar>
              <w:top w:w="100" w:type="dxa"/>
              <w:left w:w="100" w:type="dxa"/>
              <w:bottom w:w="100" w:type="dxa"/>
              <w:right w:w="100" w:type="dxa"/>
            </w:tcMar>
          </w:tcPr>
          <w:p w14:paraId="6D78C8F7" w14:textId="09679566" w:rsidR="006A64E4" w:rsidRPr="00840D6A" w:rsidRDefault="00E15939">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Make sure that every </w:t>
            </w:r>
            <w:r w:rsidR="00E93E40" w:rsidRPr="00840D6A">
              <w:rPr>
                <w:rFonts w:ascii="Times New Roman" w:eastAsia="Times New Roman" w:hAnsi="Times New Roman" w:cs="Times New Roman"/>
                <w:sz w:val="24"/>
                <w:szCs w:val="24"/>
                <w:lang w:val="en-GB"/>
              </w:rPr>
              <w:t>demonstration</w:t>
            </w:r>
            <w:r w:rsidR="00E93E40">
              <w:rPr>
                <w:rFonts w:ascii="Times New Roman" w:eastAsia="Times New Roman" w:hAnsi="Times New Roman" w:cs="Times New Roman"/>
                <w:sz w:val="24"/>
                <w:szCs w:val="24"/>
                <w:lang w:val="en-GB"/>
              </w:rPr>
              <w:t xml:space="preserve"> </w:t>
            </w:r>
            <w:r w:rsidRPr="00840D6A">
              <w:rPr>
                <w:rFonts w:ascii="Times New Roman" w:eastAsia="Times New Roman" w:hAnsi="Times New Roman" w:cs="Times New Roman"/>
                <w:sz w:val="24"/>
                <w:szCs w:val="24"/>
                <w:lang w:val="en-GB"/>
              </w:rPr>
              <w:t xml:space="preserve">and </w:t>
            </w:r>
            <w:r w:rsidR="00E93E40" w:rsidRPr="00840D6A">
              <w:rPr>
                <w:rFonts w:ascii="Times New Roman" w:eastAsia="Times New Roman" w:hAnsi="Times New Roman" w:cs="Times New Roman"/>
                <w:sz w:val="24"/>
                <w:szCs w:val="24"/>
                <w:lang w:val="en-GB"/>
              </w:rPr>
              <w:t>shows</w:t>
            </w:r>
            <w:r w:rsidRPr="00840D6A">
              <w:rPr>
                <w:rFonts w:ascii="Times New Roman" w:eastAsia="Times New Roman" w:hAnsi="Times New Roman" w:cs="Times New Roman"/>
                <w:sz w:val="24"/>
                <w:szCs w:val="24"/>
                <w:lang w:val="en-GB"/>
              </w:rPr>
              <w:t xml:space="preserve"> aired by the end of one day.</w:t>
            </w:r>
          </w:p>
        </w:tc>
      </w:tr>
    </w:tbl>
    <w:p w14:paraId="3E2E59E2" w14:textId="77777777" w:rsidR="006A64E4" w:rsidRPr="00840D6A" w:rsidRDefault="006A64E4">
      <w:pPr>
        <w:spacing w:line="360" w:lineRule="auto"/>
        <w:jc w:val="both"/>
        <w:rPr>
          <w:rFonts w:ascii="Times New Roman" w:eastAsia="Times New Roman" w:hAnsi="Times New Roman" w:cs="Times New Roman"/>
          <w:b/>
          <w:sz w:val="24"/>
          <w:szCs w:val="24"/>
          <w:lang w:val="en-GB"/>
        </w:rPr>
      </w:pPr>
    </w:p>
    <w:p w14:paraId="133B1AF5" w14:textId="77777777" w:rsidR="006A64E4" w:rsidRPr="00840D6A" w:rsidRDefault="00840D6A" w:rsidP="00840D6A">
      <w:pPr>
        <w:pStyle w:val="Heading1"/>
        <w:rPr>
          <w:sz w:val="24"/>
          <w:szCs w:val="24"/>
          <w:lang w:val="en-GB"/>
        </w:rPr>
      </w:pPr>
      <w:bookmarkStart w:id="4" w:name="_Toc159839690"/>
      <w:r w:rsidRPr="00840D6A">
        <w:rPr>
          <w:lang w:val="en-GB"/>
        </w:rPr>
        <w:t>Event Operations:</w:t>
      </w:r>
      <w:bookmarkEnd w:id="4"/>
    </w:p>
    <w:p w14:paraId="5D85D30A"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Human Resources:</w:t>
      </w:r>
    </w:p>
    <w:p w14:paraId="71FDFCA6" w14:textId="70E06104"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Event Management Expertise:</w:t>
      </w:r>
      <w:r w:rsidRPr="00840D6A">
        <w:rPr>
          <w:rFonts w:ascii="Times New Roman" w:eastAsia="Times New Roman" w:hAnsi="Times New Roman" w:cs="Times New Roman"/>
          <w:sz w:val="24"/>
          <w:szCs w:val="24"/>
          <w:lang w:val="en-GB"/>
        </w:rPr>
        <w:t xml:space="preserve"> The personnel at the chief operating level </w:t>
      </w:r>
      <w:r w:rsidR="00507A60" w:rsidRPr="00840D6A">
        <w:rPr>
          <w:rFonts w:ascii="Times New Roman" w:eastAsia="Times New Roman" w:hAnsi="Times New Roman" w:cs="Times New Roman"/>
          <w:sz w:val="24"/>
          <w:szCs w:val="24"/>
          <w:lang w:val="en-GB"/>
        </w:rPr>
        <w:t>were</w:t>
      </w:r>
      <w:r w:rsidRPr="00840D6A">
        <w:rPr>
          <w:rFonts w:ascii="Times New Roman" w:eastAsia="Times New Roman" w:hAnsi="Times New Roman" w:cs="Times New Roman"/>
          <w:sz w:val="24"/>
          <w:szCs w:val="24"/>
          <w:lang w:val="en-GB"/>
        </w:rPr>
        <w:t xml:space="preserve"> charged with the identification and management of sustainability members for event planning and coordination are </w:t>
      </w:r>
      <w:r w:rsidR="00507A60" w:rsidRPr="00840D6A">
        <w:rPr>
          <w:rFonts w:ascii="Times New Roman" w:eastAsia="Times New Roman" w:hAnsi="Times New Roman" w:cs="Times New Roman"/>
          <w:sz w:val="24"/>
          <w:szCs w:val="24"/>
          <w:lang w:val="en-GB"/>
        </w:rPr>
        <w:t>experienced</w:t>
      </w:r>
      <w:r w:rsidRPr="00840D6A">
        <w:rPr>
          <w:rFonts w:ascii="Times New Roman" w:eastAsia="Times New Roman" w:hAnsi="Times New Roman" w:cs="Times New Roman"/>
          <w:sz w:val="24"/>
          <w:szCs w:val="24"/>
          <w:lang w:val="en-GB"/>
        </w:rPr>
        <w:t xml:space="preserve"> in productive sustainable events.</w:t>
      </w:r>
    </w:p>
    <w:p w14:paraId="37D25A3A" w14:textId="7B5EB5EA"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Sustainability Specialists: Individuals who ventures </w:t>
      </w:r>
      <w:r w:rsidR="00507A60" w:rsidRPr="00840D6A">
        <w:rPr>
          <w:rFonts w:ascii="Times New Roman" w:eastAsia="Times New Roman" w:hAnsi="Times New Roman" w:cs="Times New Roman"/>
          <w:sz w:val="24"/>
          <w:szCs w:val="24"/>
          <w:lang w:val="en-GB"/>
        </w:rPr>
        <w:t>well-grounded</w:t>
      </w:r>
      <w:r w:rsidRPr="00840D6A">
        <w:rPr>
          <w:rFonts w:ascii="Times New Roman" w:eastAsia="Times New Roman" w:hAnsi="Times New Roman" w:cs="Times New Roman"/>
          <w:sz w:val="24"/>
          <w:szCs w:val="24"/>
          <w:lang w:val="en-GB"/>
        </w:rPr>
        <w:t xml:space="preserve"> in sustainability practices and technologies.</w:t>
      </w:r>
    </w:p>
    <w:p w14:paraId="1BDC2888" w14:textId="6AD6A323"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lastRenderedPageBreak/>
        <w:t>Technical Team:</w:t>
      </w:r>
      <w:r w:rsidRPr="00840D6A">
        <w:rPr>
          <w:rFonts w:ascii="Times New Roman" w:eastAsia="Times New Roman" w:hAnsi="Times New Roman" w:cs="Times New Roman"/>
          <w:sz w:val="24"/>
          <w:szCs w:val="24"/>
          <w:lang w:val="en-GB"/>
        </w:rPr>
        <w:t xml:space="preserve"> Technicians that can efficiently </w:t>
      </w:r>
      <w:r w:rsidR="00507A60" w:rsidRPr="00840D6A">
        <w:rPr>
          <w:rFonts w:ascii="Times New Roman" w:eastAsia="Times New Roman" w:hAnsi="Times New Roman" w:cs="Times New Roman"/>
          <w:sz w:val="24"/>
          <w:szCs w:val="24"/>
          <w:lang w:val="en-GB"/>
        </w:rPr>
        <w:t>manage</w:t>
      </w:r>
      <w:r w:rsidRPr="00840D6A">
        <w:rPr>
          <w:rFonts w:ascii="Times New Roman" w:eastAsia="Times New Roman" w:hAnsi="Times New Roman" w:cs="Times New Roman"/>
          <w:sz w:val="24"/>
          <w:szCs w:val="24"/>
          <w:lang w:val="en-GB"/>
        </w:rPr>
        <w:t xml:space="preserve"> audiovisual apparatus and demonstrations whereby green technology </w:t>
      </w:r>
      <w:r w:rsidR="00507A60">
        <w:rPr>
          <w:rFonts w:ascii="Times New Roman" w:eastAsia="Times New Roman" w:hAnsi="Times New Roman" w:cs="Times New Roman"/>
          <w:sz w:val="24"/>
          <w:szCs w:val="24"/>
          <w:lang w:val="en-GB"/>
        </w:rPr>
        <w:t xml:space="preserve">is </w:t>
      </w:r>
      <w:r w:rsidRPr="00840D6A">
        <w:rPr>
          <w:rFonts w:ascii="Times New Roman" w:eastAsia="Times New Roman" w:hAnsi="Times New Roman" w:cs="Times New Roman"/>
          <w:sz w:val="24"/>
          <w:szCs w:val="24"/>
          <w:lang w:val="en-GB"/>
        </w:rPr>
        <w:t>to be demonstrated (Walters et al., 2021).</w:t>
      </w:r>
    </w:p>
    <w:p w14:paraId="680BAB7E"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Skilled Facilitators:</w:t>
      </w:r>
      <w:r w:rsidRPr="00840D6A">
        <w:rPr>
          <w:rFonts w:ascii="Times New Roman" w:eastAsia="Times New Roman" w:hAnsi="Times New Roman" w:cs="Times New Roman"/>
          <w:sz w:val="24"/>
          <w:szCs w:val="24"/>
          <w:lang w:val="en-GB"/>
        </w:rPr>
        <w:t xml:space="preserve"> Experts who can conduct such workshops and panel discussions remain competent.</w:t>
      </w:r>
    </w:p>
    <w:p w14:paraId="22BEE28F"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Logistical Resources:</w:t>
      </w:r>
    </w:p>
    <w:p w14:paraId="10063D00"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Venue:</w:t>
      </w:r>
      <w:r w:rsidRPr="00840D6A">
        <w:rPr>
          <w:rFonts w:ascii="Times New Roman" w:eastAsia="Times New Roman" w:hAnsi="Times New Roman" w:cs="Times New Roman"/>
          <w:sz w:val="24"/>
          <w:szCs w:val="24"/>
          <w:lang w:val="en-GB"/>
        </w:rPr>
        <w:t xml:space="preserve"> Find a sustainable and green venue, with renewable energy sources providing this resource.</w:t>
      </w:r>
    </w:p>
    <w:p w14:paraId="5A5EF38D"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Audio-Visual Equipment: </w:t>
      </w:r>
      <w:r w:rsidRPr="00840D6A">
        <w:rPr>
          <w:rFonts w:ascii="Times New Roman" w:eastAsia="Times New Roman" w:hAnsi="Times New Roman" w:cs="Times New Roman"/>
          <w:sz w:val="24"/>
          <w:szCs w:val="24"/>
          <w:lang w:val="en-GB"/>
        </w:rPr>
        <w:t>Top-of-the-line AV materials – for presentations as well as technology demos (Anthes et al. 2019).</w:t>
      </w:r>
    </w:p>
    <w:p w14:paraId="07B25E2A"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Sustainable Supplies:</w:t>
      </w:r>
      <w:r w:rsidRPr="00840D6A">
        <w:rPr>
          <w:rFonts w:ascii="Times New Roman" w:eastAsia="Times New Roman" w:hAnsi="Times New Roman" w:cs="Times New Roman"/>
          <w:sz w:val="24"/>
          <w:szCs w:val="24"/>
          <w:lang w:val="en-GB"/>
        </w:rPr>
        <w:t xml:space="preserve"> Eco-friendly event supplies such as biodegradable cutlery, recycled paper and flyers as wells as signage.</w:t>
      </w:r>
    </w:p>
    <w:p w14:paraId="60D320FC"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Technology Exhibits:</w:t>
      </w:r>
      <w:r w:rsidRPr="00840D6A">
        <w:rPr>
          <w:rFonts w:ascii="Times New Roman" w:eastAsia="Times New Roman" w:hAnsi="Times New Roman" w:cs="Times New Roman"/>
          <w:sz w:val="24"/>
          <w:szCs w:val="24"/>
          <w:lang w:val="en-GB"/>
        </w:rPr>
        <w:t xml:space="preserve"> Green technology items in addition to prototypes for live performances.</w:t>
      </w:r>
    </w:p>
    <w:p w14:paraId="1EA55870"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Networking Facilities:</w:t>
      </w:r>
      <w:r w:rsidRPr="00840D6A">
        <w:rPr>
          <w:rFonts w:ascii="Times New Roman" w:eastAsia="Times New Roman" w:hAnsi="Times New Roman" w:cs="Times New Roman"/>
          <w:sz w:val="24"/>
          <w:szCs w:val="24"/>
          <w:lang w:val="en-GB"/>
        </w:rPr>
        <w:t xml:space="preserve"> Opportunities where attendees can network amongst themselves, the exhibitors, and even the presenters at the conference.</w:t>
      </w:r>
    </w:p>
    <w:p w14:paraId="483E81F3" w14:textId="7AEA7046"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Catering Services:</w:t>
      </w:r>
      <w:r w:rsidRPr="00840D6A">
        <w:rPr>
          <w:rFonts w:ascii="Times New Roman" w:eastAsia="Times New Roman" w:hAnsi="Times New Roman" w:cs="Times New Roman"/>
          <w:sz w:val="24"/>
          <w:szCs w:val="24"/>
          <w:lang w:val="en-GB"/>
        </w:rPr>
        <w:t xml:space="preserve"> For the sustainable sourcing of food, affordable and most preferably locally produced organic or </w:t>
      </w:r>
      <w:r w:rsidR="00DE28F7" w:rsidRPr="00840D6A">
        <w:rPr>
          <w:rFonts w:ascii="Times New Roman" w:eastAsia="Times New Roman" w:hAnsi="Times New Roman" w:cs="Times New Roman"/>
          <w:sz w:val="24"/>
          <w:szCs w:val="24"/>
          <w:lang w:val="en-GB"/>
        </w:rPr>
        <w:t>minimal waste</w:t>
      </w:r>
      <w:r w:rsidRPr="00840D6A">
        <w:rPr>
          <w:rFonts w:ascii="Times New Roman" w:eastAsia="Times New Roman" w:hAnsi="Times New Roman" w:cs="Times New Roman"/>
          <w:sz w:val="24"/>
          <w:szCs w:val="24"/>
          <w:lang w:val="en-GB"/>
        </w:rPr>
        <w:t xml:space="preserve"> altogether with marriages between customer’s sustainability culture.</w:t>
      </w:r>
    </w:p>
    <w:p w14:paraId="210C2923"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Transportation:</w:t>
      </w:r>
      <w:r w:rsidRPr="00840D6A">
        <w:rPr>
          <w:rFonts w:ascii="Times New Roman" w:eastAsia="Times New Roman" w:hAnsi="Times New Roman" w:cs="Times New Roman"/>
          <w:sz w:val="24"/>
          <w:szCs w:val="24"/>
          <w:lang w:val="en-GB"/>
        </w:rPr>
        <w:t xml:space="preserve"> The second statement is logical: efficient transportation, as well as the possibility to choose alternative means of eco-friendly traveling to the site.</w:t>
      </w:r>
    </w:p>
    <w:p w14:paraId="6A92DFBB"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Registration and Badging:</w:t>
      </w:r>
      <w:r w:rsidRPr="00840D6A">
        <w:rPr>
          <w:rFonts w:ascii="Times New Roman" w:eastAsia="Times New Roman" w:hAnsi="Times New Roman" w:cs="Times New Roman"/>
          <w:sz w:val="24"/>
          <w:szCs w:val="24"/>
          <w:lang w:val="en-GB"/>
        </w:rPr>
        <w:t xml:space="preserve"> The registration process should be improved, as well materials of eco-friendly badges.</w:t>
      </w:r>
    </w:p>
    <w:p w14:paraId="1F9DF5BB" w14:textId="77777777" w:rsidR="006A64E4"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The response of the human resources and logistical sources will also be crucial in all aspects of event operation management to support a successful running conference. The various parameters of the events will be run on sustainability concerns—from venues to catering, thereby sealing in a green commitment within the hospitality sector of implementing green technologies and eco-consciousness.</w:t>
      </w:r>
    </w:p>
    <w:p w14:paraId="7BFC551C" w14:textId="77777777" w:rsidR="00035A4F" w:rsidRDefault="00035A4F">
      <w:pPr>
        <w:spacing w:line="360" w:lineRule="auto"/>
        <w:jc w:val="both"/>
        <w:rPr>
          <w:rFonts w:ascii="Times New Roman" w:eastAsia="Times New Roman" w:hAnsi="Times New Roman" w:cs="Times New Roman"/>
          <w:sz w:val="24"/>
          <w:szCs w:val="24"/>
          <w:lang w:val="en-GB"/>
        </w:rPr>
      </w:pPr>
    </w:p>
    <w:p w14:paraId="0E04CBD9" w14:textId="77777777" w:rsidR="00035A4F" w:rsidRDefault="00035A4F">
      <w:pPr>
        <w:spacing w:line="360" w:lineRule="auto"/>
        <w:jc w:val="both"/>
        <w:rPr>
          <w:rFonts w:ascii="Times New Roman" w:eastAsia="Times New Roman" w:hAnsi="Times New Roman" w:cs="Times New Roman"/>
          <w:sz w:val="24"/>
          <w:szCs w:val="24"/>
          <w:lang w:val="en-GB"/>
        </w:rPr>
      </w:pPr>
    </w:p>
    <w:p w14:paraId="6F86C25E" w14:textId="77777777" w:rsidR="00035A4F" w:rsidRDefault="00035A4F">
      <w:pPr>
        <w:spacing w:line="360" w:lineRule="auto"/>
        <w:jc w:val="both"/>
        <w:rPr>
          <w:rFonts w:ascii="Times New Roman" w:eastAsia="Times New Roman" w:hAnsi="Times New Roman" w:cs="Times New Roman"/>
          <w:sz w:val="24"/>
          <w:szCs w:val="24"/>
          <w:lang w:val="en-GB"/>
        </w:rPr>
      </w:pPr>
    </w:p>
    <w:p w14:paraId="0190AA38" w14:textId="77777777" w:rsidR="00035A4F" w:rsidRDefault="00035A4F">
      <w:pPr>
        <w:spacing w:line="360" w:lineRule="auto"/>
        <w:jc w:val="both"/>
        <w:rPr>
          <w:rFonts w:ascii="Times New Roman" w:eastAsia="Times New Roman" w:hAnsi="Times New Roman" w:cs="Times New Roman"/>
          <w:sz w:val="24"/>
          <w:szCs w:val="24"/>
          <w:lang w:val="en-GB"/>
        </w:rPr>
      </w:pPr>
    </w:p>
    <w:p w14:paraId="719D328F" w14:textId="77777777" w:rsidR="00035A4F" w:rsidRDefault="00035A4F">
      <w:pPr>
        <w:spacing w:line="360" w:lineRule="auto"/>
        <w:jc w:val="both"/>
        <w:rPr>
          <w:rFonts w:ascii="Times New Roman" w:eastAsia="Times New Roman" w:hAnsi="Times New Roman" w:cs="Times New Roman"/>
          <w:sz w:val="24"/>
          <w:szCs w:val="24"/>
          <w:lang w:val="en-GB"/>
        </w:rPr>
      </w:pPr>
    </w:p>
    <w:p w14:paraId="655D0437" w14:textId="140B0F19" w:rsidR="00035A4F" w:rsidRDefault="00035A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COST: Figure 1 (</w:t>
      </w:r>
      <w:r w:rsidR="00C03966">
        <w:rPr>
          <w:rFonts w:ascii="Times New Roman" w:eastAsia="Times New Roman" w:hAnsi="Times New Roman" w:cs="Times New Roman"/>
          <w:sz w:val="24"/>
          <w:szCs w:val="24"/>
          <w:lang w:val="en-GB"/>
        </w:rPr>
        <w:t xml:space="preserve"> From </w:t>
      </w:r>
      <w:r>
        <w:rPr>
          <w:rFonts w:ascii="Times New Roman" w:eastAsia="Times New Roman" w:hAnsi="Times New Roman" w:cs="Times New Roman"/>
          <w:sz w:val="24"/>
          <w:szCs w:val="24"/>
          <w:lang w:val="en-GB"/>
        </w:rPr>
        <w:t>Assignment 1 )</w:t>
      </w:r>
    </w:p>
    <w:p w14:paraId="40857242" w14:textId="555E7E62" w:rsidR="00035A4F" w:rsidRPr="00840D6A" w:rsidRDefault="00035A4F">
      <w:pPr>
        <w:spacing w:line="360" w:lineRule="auto"/>
        <w:jc w:val="both"/>
        <w:rPr>
          <w:rFonts w:ascii="Times New Roman" w:eastAsia="Times New Roman" w:hAnsi="Times New Roman" w:cs="Times New Roman"/>
          <w:sz w:val="24"/>
          <w:szCs w:val="24"/>
          <w:lang w:val="en-GB"/>
        </w:rPr>
      </w:pPr>
      <w:r w:rsidRPr="00035A4F">
        <w:rPr>
          <w:rFonts w:ascii="Times New Roman" w:eastAsia="Times New Roman" w:hAnsi="Times New Roman" w:cs="Times New Roman"/>
          <w:sz w:val="24"/>
          <w:szCs w:val="24"/>
        </w:rPr>
        <w:drawing>
          <wp:inline distT="0" distB="0" distL="0" distR="0" wp14:anchorId="25234B65" wp14:editId="56103AB5">
            <wp:extent cx="4341529" cy="3820975"/>
            <wp:effectExtent l="0" t="0" r="1905" b="8255"/>
            <wp:docPr id="89" name="Google Shape;89;g29fba433eea_0_10" descr="A document with text on i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9" name="Google Shape;89;g29fba433eea_0_10" descr="A document with text on it&#10;&#10;Description automatically generated with medium confidence"/>
                    <pic:cNvPicPr preferRelativeResize="0"/>
                  </pic:nvPicPr>
                  <pic:blipFill>
                    <a:blip r:embed="rId8">
                      <a:alphaModFix/>
                    </a:blip>
                    <a:stretch>
                      <a:fillRect/>
                    </a:stretch>
                  </pic:blipFill>
                  <pic:spPr>
                    <a:xfrm>
                      <a:off x="0" y="0"/>
                      <a:ext cx="4341529" cy="3820975"/>
                    </a:xfrm>
                    <a:prstGeom prst="rect">
                      <a:avLst/>
                    </a:prstGeom>
                    <a:noFill/>
                    <a:ln>
                      <a:noFill/>
                    </a:ln>
                  </pic:spPr>
                </pic:pic>
              </a:graphicData>
            </a:graphic>
          </wp:inline>
        </w:drawing>
      </w:r>
    </w:p>
    <w:p w14:paraId="09E8D6E3" w14:textId="77777777" w:rsidR="006A64E4" w:rsidRPr="00840D6A" w:rsidRDefault="00840D6A" w:rsidP="00840D6A">
      <w:pPr>
        <w:pStyle w:val="Heading1"/>
        <w:rPr>
          <w:sz w:val="24"/>
          <w:szCs w:val="24"/>
          <w:lang w:val="en-GB"/>
        </w:rPr>
      </w:pPr>
      <w:bookmarkStart w:id="5" w:name="_Toc159839691"/>
      <w:r w:rsidRPr="00840D6A">
        <w:rPr>
          <w:lang w:val="en-GB"/>
        </w:rPr>
        <w:t>Event Budget:</w:t>
      </w:r>
      <w:bookmarkEnd w:id="5"/>
    </w:p>
    <w:tbl>
      <w:tblPr>
        <w:tblStyle w:val="a0"/>
        <w:tblW w:w="9210" w:type="dxa"/>
        <w:tblBorders>
          <w:top w:val="nil"/>
          <w:left w:val="nil"/>
          <w:bottom w:val="nil"/>
          <w:right w:val="nil"/>
          <w:insideH w:val="nil"/>
          <w:insideV w:val="nil"/>
        </w:tblBorders>
        <w:tblLayout w:type="fixed"/>
        <w:tblLook w:val="0600" w:firstRow="0" w:lastRow="0" w:firstColumn="0" w:lastColumn="0" w:noHBand="1" w:noVBand="1"/>
      </w:tblPr>
      <w:tblGrid>
        <w:gridCol w:w="2565"/>
        <w:gridCol w:w="3840"/>
        <w:gridCol w:w="2805"/>
      </w:tblGrid>
      <w:tr w:rsidR="006A64E4" w:rsidRPr="00840D6A" w14:paraId="0AB46DA4" w14:textId="77777777">
        <w:trPr>
          <w:trHeight w:val="315"/>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886EAC"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Category</w:t>
            </w:r>
          </w:p>
        </w:tc>
        <w:tc>
          <w:tcPr>
            <w:tcW w:w="38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10A9CC4"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Income</w:t>
            </w:r>
          </w:p>
        </w:tc>
        <w:tc>
          <w:tcPr>
            <w:tcW w:w="28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F2CF4B4"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Expenditure</w:t>
            </w:r>
          </w:p>
        </w:tc>
      </w:tr>
      <w:tr w:rsidR="006A64E4" w:rsidRPr="00840D6A" w14:paraId="3616B3A3" w14:textId="77777777">
        <w:trPr>
          <w:trHeight w:val="750"/>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6DEF4A9"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Registration Fees</w:t>
            </w:r>
          </w:p>
        </w:tc>
        <w:tc>
          <w:tcPr>
            <w:tcW w:w="38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25CC731"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Delegate registration fees</w:t>
            </w:r>
          </w:p>
        </w:tc>
        <w:tc>
          <w:tcPr>
            <w:tcW w:w="280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C528DCC"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Venue rental and setup</w:t>
            </w:r>
          </w:p>
        </w:tc>
      </w:tr>
      <w:tr w:rsidR="006A64E4" w:rsidRPr="00840D6A" w14:paraId="5B7FF29C" w14:textId="77777777">
        <w:trPr>
          <w:trHeight w:val="315"/>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FF636AE"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Exhibitor fees</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39C691C"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Audio-visual equipment</w:t>
            </w:r>
          </w:p>
        </w:tc>
        <w:tc>
          <w:tcPr>
            <w:tcW w:w="28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2791DFA" w14:textId="77777777" w:rsidR="006A64E4" w:rsidRPr="00840D6A" w:rsidRDefault="006A64E4">
            <w:pPr>
              <w:widowControl w:val="0"/>
              <w:rPr>
                <w:rFonts w:ascii="Times New Roman" w:eastAsia="Times New Roman" w:hAnsi="Times New Roman" w:cs="Times New Roman"/>
                <w:sz w:val="24"/>
                <w:szCs w:val="24"/>
                <w:lang w:val="en-GB"/>
              </w:rPr>
            </w:pPr>
          </w:p>
        </w:tc>
      </w:tr>
      <w:tr w:rsidR="006A64E4" w:rsidRPr="00840D6A" w14:paraId="4520268C" w14:textId="77777777">
        <w:trPr>
          <w:trHeight w:val="750"/>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8B2F00"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Sponsorships</w:t>
            </w:r>
          </w:p>
        </w:tc>
        <w:tc>
          <w:tcPr>
            <w:tcW w:w="38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96F528"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Sustainable technology sponsors</w:t>
            </w:r>
          </w:p>
        </w:tc>
        <w:tc>
          <w:tcPr>
            <w:tcW w:w="280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E47D76D"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Marketing and promotion</w:t>
            </w:r>
          </w:p>
        </w:tc>
      </w:tr>
      <w:tr w:rsidR="006A64E4" w:rsidRPr="00840D6A" w14:paraId="2CB6EA21" w14:textId="77777777">
        <w:trPr>
          <w:trHeight w:val="525"/>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D739A4E"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Green energy sponsors</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6F38D2F"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Sustainable catering</w:t>
            </w:r>
          </w:p>
        </w:tc>
        <w:tc>
          <w:tcPr>
            <w:tcW w:w="28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7C1ED0" w14:textId="77777777" w:rsidR="006A64E4" w:rsidRPr="00840D6A" w:rsidRDefault="006A64E4">
            <w:pPr>
              <w:widowControl w:val="0"/>
              <w:rPr>
                <w:rFonts w:ascii="Times New Roman" w:eastAsia="Times New Roman" w:hAnsi="Times New Roman" w:cs="Times New Roman"/>
                <w:sz w:val="24"/>
                <w:szCs w:val="24"/>
                <w:lang w:val="en-GB"/>
              </w:rPr>
            </w:pPr>
          </w:p>
        </w:tc>
      </w:tr>
      <w:tr w:rsidR="006A64E4" w:rsidRPr="00840D6A" w14:paraId="1212AFE7" w14:textId="77777777">
        <w:trPr>
          <w:trHeight w:val="750"/>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040C24B"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Grants</w:t>
            </w:r>
          </w:p>
        </w:tc>
        <w:tc>
          <w:tcPr>
            <w:tcW w:w="38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F6A639A"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Environmental grants</w:t>
            </w:r>
          </w:p>
        </w:tc>
        <w:tc>
          <w:tcPr>
            <w:tcW w:w="280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F7BF92B"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Staff salaries and wages</w:t>
            </w:r>
          </w:p>
        </w:tc>
      </w:tr>
      <w:tr w:rsidR="006A64E4" w:rsidRPr="00840D6A" w14:paraId="0DF8FC7D" w14:textId="77777777">
        <w:trPr>
          <w:trHeight w:val="750"/>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1F2FD1E"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Exhibition Sales</w:t>
            </w:r>
          </w:p>
        </w:tc>
        <w:tc>
          <w:tcPr>
            <w:tcW w:w="38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E55DB0"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Sales of exhibition spaces</w:t>
            </w:r>
          </w:p>
        </w:tc>
        <w:tc>
          <w:tcPr>
            <w:tcW w:w="280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747F118"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Workshop facilitators and speakers</w:t>
            </w:r>
          </w:p>
        </w:tc>
      </w:tr>
      <w:tr w:rsidR="006A64E4" w:rsidRPr="00840D6A" w14:paraId="490CFD64" w14:textId="77777777">
        <w:trPr>
          <w:trHeight w:val="525"/>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3FB07ED"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lastRenderedPageBreak/>
              <w:t>Additional Services</w:t>
            </w:r>
          </w:p>
        </w:tc>
        <w:tc>
          <w:tcPr>
            <w:tcW w:w="384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06BD1A2"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Networking event tickets</w:t>
            </w:r>
          </w:p>
        </w:tc>
        <w:tc>
          <w:tcPr>
            <w:tcW w:w="280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3561914"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Transportation and accommodation for speakers</w:t>
            </w:r>
          </w:p>
        </w:tc>
      </w:tr>
      <w:tr w:rsidR="006A64E4" w:rsidRPr="00840D6A" w14:paraId="1C077F39" w14:textId="77777777">
        <w:trPr>
          <w:trHeight w:val="525"/>
        </w:trPr>
        <w:tc>
          <w:tcPr>
            <w:tcW w:w="25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261B92D"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Post-event publications</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A09B0A4" w14:textId="77777777" w:rsidR="006A64E4" w:rsidRPr="00840D6A" w:rsidRDefault="00E15939">
            <w:pPr>
              <w:widowControl w:val="0"/>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Sustainable supplies and materials</w:t>
            </w:r>
          </w:p>
        </w:tc>
        <w:tc>
          <w:tcPr>
            <w:tcW w:w="2805" w:type="dxa"/>
            <w:tcBorders>
              <w:top w:val="single" w:sz="5" w:space="0" w:color="CCCCCC"/>
              <w:left w:val="single" w:sz="5" w:space="0" w:color="CCCCCC"/>
              <w:bottom w:val="single" w:sz="5" w:space="0" w:color="CCCCCC"/>
              <w:right w:val="single" w:sz="5" w:space="0" w:color="000000"/>
            </w:tcBorders>
            <w:tcMar>
              <w:top w:w="40" w:type="dxa"/>
              <w:left w:w="40" w:type="dxa"/>
              <w:bottom w:w="40" w:type="dxa"/>
              <w:right w:w="40" w:type="dxa"/>
            </w:tcMar>
            <w:vAlign w:val="bottom"/>
          </w:tcPr>
          <w:p w14:paraId="70CA4D61" w14:textId="77777777" w:rsidR="006A64E4" w:rsidRPr="00840D6A" w:rsidRDefault="006A64E4">
            <w:pPr>
              <w:widowControl w:val="0"/>
              <w:rPr>
                <w:rFonts w:ascii="Times New Roman" w:eastAsia="Times New Roman" w:hAnsi="Times New Roman" w:cs="Times New Roman"/>
                <w:sz w:val="24"/>
                <w:szCs w:val="24"/>
                <w:lang w:val="en-GB"/>
              </w:rPr>
            </w:pPr>
          </w:p>
        </w:tc>
      </w:tr>
    </w:tbl>
    <w:p w14:paraId="66A86048" w14:textId="77777777" w:rsidR="006A64E4" w:rsidRDefault="006A64E4">
      <w:pPr>
        <w:spacing w:line="360" w:lineRule="auto"/>
        <w:jc w:val="both"/>
        <w:rPr>
          <w:rFonts w:ascii="Times New Roman" w:eastAsia="Times New Roman" w:hAnsi="Times New Roman" w:cs="Times New Roman"/>
          <w:sz w:val="24"/>
          <w:szCs w:val="24"/>
          <w:lang w:val="en-GB"/>
        </w:rPr>
      </w:pPr>
    </w:p>
    <w:p w14:paraId="0EB8B68B" w14:textId="518FB363" w:rsidR="00035A4F" w:rsidRDefault="00035A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Predictive revenue: Figure 2 (</w:t>
      </w:r>
      <w:r w:rsidR="00C03966">
        <w:rPr>
          <w:rFonts w:ascii="Times New Roman" w:eastAsia="Times New Roman" w:hAnsi="Times New Roman" w:cs="Times New Roman"/>
          <w:sz w:val="24"/>
          <w:szCs w:val="24"/>
          <w:lang w:val="en-GB"/>
        </w:rPr>
        <w:t xml:space="preserve">from </w:t>
      </w:r>
      <w:r>
        <w:rPr>
          <w:rFonts w:ascii="Times New Roman" w:eastAsia="Times New Roman" w:hAnsi="Times New Roman" w:cs="Times New Roman"/>
          <w:sz w:val="24"/>
          <w:szCs w:val="24"/>
          <w:lang w:val="en-GB"/>
        </w:rPr>
        <w:t>assignment 1)</w:t>
      </w:r>
    </w:p>
    <w:p w14:paraId="7910374F" w14:textId="5B91245A" w:rsidR="00035A4F" w:rsidRPr="00840D6A" w:rsidRDefault="00035A4F">
      <w:pPr>
        <w:spacing w:line="360" w:lineRule="auto"/>
        <w:jc w:val="both"/>
        <w:rPr>
          <w:rFonts w:ascii="Times New Roman" w:eastAsia="Times New Roman" w:hAnsi="Times New Roman" w:cs="Times New Roman"/>
          <w:sz w:val="24"/>
          <w:szCs w:val="24"/>
          <w:lang w:val="en-GB"/>
        </w:rPr>
      </w:pPr>
      <w:r w:rsidRPr="00035A4F">
        <w:rPr>
          <w:rFonts w:ascii="Times New Roman" w:eastAsia="Times New Roman" w:hAnsi="Times New Roman" w:cs="Times New Roman"/>
          <w:sz w:val="24"/>
          <w:szCs w:val="24"/>
        </w:rPr>
        <w:drawing>
          <wp:inline distT="0" distB="0" distL="0" distR="0" wp14:anchorId="6A2C6D61" wp14:editId="456D1687">
            <wp:extent cx="5008416" cy="3820975"/>
            <wp:effectExtent l="0" t="0" r="1905" b="8255"/>
            <wp:docPr id="95" name="Google Shape;95;g2686d5f57bf_0_4" descr="A table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95" name="Google Shape;95;g2686d5f57bf_0_4" descr="A table with text on it&#10;&#10;Description automatically generated"/>
                    <pic:cNvPicPr preferRelativeResize="0"/>
                  </pic:nvPicPr>
                  <pic:blipFill>
                    <a:blip r:embed="rId9">
                      <a:alphaModFix/>
                    </a:blip>
                    <a:stretch>
                      <a:fillRect/>
                    </a:stretch>
                  </pic:blipFill>
                  <pic:spPr>
                    <a:xfrm>
                      <a:off x="0" y="0"/>
                      <a:ext cx="5008416" cy="3820975"/>
                    </a:xfrm>
                    <a:prstGeom prst="rect">
                      <a:avLst/>
                    </a:prstGeom>
                    <a:noFill/>
                    <a:ln>
                      <a:noFill/>
                    </a:ln>
                  </pic:spPr>
                </pic:pic>
              </a:graphicData>
            </a:graphic>
          </wp:inline>
        </w:drawing>
      </w:r>
    </w:p>
    <w:p w14:paraId="02DB37A9" w14:textId="77777777" w:rsidR="00035A4F" w:rsidRDefault="00035A4F">
      <w:pPr>
        <w:spacing w:line="360" w:lineRule="auto"/>
        <w:jc w:val="both"/>
        <w:rPr>
          <w:rFonts w:ascii="Times New Roman" w:eastAsia="Times New Roman" w:hAnsi="Times New Roman" w:cs="Times New Roman"/>
          <w:b/>
          <w:i/>
          <w:sz w:val="24"/>
          <w:szCs w:val="24"/>
          <w:lang w:val="en-GB"/>
        </w:rPr>
      </w:pPr>
    </w:p>
    <w:p w14:paraId="3D4AC64A" w14:textId="77777777" w:rsidR="00035A4F" w:rsidRDefault="00035A4F">
      <w:pPr>
        <w:spacing w:line="360" w:lineRule="auto"/>
        <w:jc w:val="both"/>
        <w:rPr>
          <w:rFonts w:ascii="Times New Roman" w:eastAsia="Times New Roman" w:hAnsi="Times New Roman" w:cs="Times New Roman"/>
          <w:b/>
          <w:i/>
          <w:sz w:val="24"/>
          <w:szCs w:val="24"/>
          <w:lang w:val="en-GB"/>
        </w:rPr>
      </w:pPr>
    </w:p>
    <w:p w14:paraId="0B58F3AC" w14:textId="77777777" w:rsidR="00035A4F" w:rsidRDefault="00035A4F">
      <w:pPr>
        <w:spacing w:line="360" w:lineRule="auto"/>
        <w:jc w:val="both"/>
        <w:rPr>
          <w:rFonts w:ascii="Times New Roman" w:eastAsia="Times New Roman" w:hAnsi="Times New Roman" w:cs="Times New Roman"/>
          <w:b/>
          <w:i/>
          <w:sz w:val="24"/>
          <w:szCs w:val="24"/>
          <w:lang w:val="en-GB"/>
        </w:rPr>
      </w:pPr>
    </w:p>
    <w:p w14:paraId="64829B4C" w14:textId="78A5CA90"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Explanation of Costs:</w:t>
      </w:r>
    </w:p>
    <w:p w14:paraId="018C9718"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Venue Rental: </w:t>
      </w:r>
      <w:r w:rsidRPr="00840D6A">
        <w:rPr>
          <w:rFonts w:ascii="Times New Roman" w:eastAsia="Times New Roman" w:hAnsi="Times New Roman" w:cs="Times New Roman"/>
          <w:sz w:val="24"/>
          <w:szCs w:val="24"/>
          <w:lang w:val="en-GB"/>
        </w:rPr>
        <w:t>The selection of a green place and thereby promotes this aspect of the theme comes on the costly side as far as rent is concerned because an eco-friendly building requires more funds for its rental maintenance (Yehia, 2019).</w:t>
      </w:r>
    </w:p>
    <w:p w14:paraId="098D1717"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Audio-Visual Equipment: </w:t>
      </w:r>
      <w:r w:rsidRPr="00840D6A">
        <w:rPr>
          <w:rFonts w:ascii="Times New Roman" w:eastAsia="Times New Roman" w:hAnsi="Times New Roman" w:cs="Times New Roman"/>
          <w:sz w:val="24"/>
          <w:szCs w:val="24"/>
          <w:lang w:val="en-GB"/>
        </w:rPr>
        <w:t>Presentations and live demonstrations along with the use of state-of-art AV equipment require careful capital investment of these organizations as they have a direct bearing on their brand image (Hernandez-de-Menendez et al., 2020).</w:t>
      </w:r>
    </w:p>
    <w:p w14:paraId="04BB76A5"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lastRenderedPageBreak/>
        <w:t>Marketing and Promotion:</w:t>
      </w:r>
      <w:r w:rsidRPr="00840D6A">
        <w:rPr>
          <w:rFonts w:ascii="Times New Roman" w:eastAsia="Times New Roman" w:hAnsi="Times New Roman" w:cs="Times New Roman"/>
          <w:sz w:val="24"/>
          <w:szCs w:val="24"/>
          <w:lang w:val="en-GB"/>
        </w:rPr>
        <w:t xml:space="preserve"> Devising an adequate marketing strategy should secure the promotion necessary for raising awareness while also recruiting delegates.</w:t>
      </w:r>
    </w:p>
    <w:p w14:paraId="26C35A24"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Catering:</w:t>
      </w:r>
      <w:r w:rsidRPr="00840D6A">
        <w:rPr>
          <w:rFonts w:ascii="Times New Roman" w:eastAsia="Times New Roman" w:hAnsi="Times New Roman" w:cs="Times New Roman"/>
          <w:sz w:val="24"/>
          <w:szCs w:val="24"/>
          <w:lang w:val="en-GB"/>
        </w:rPr>
        <w:t xml:space="preserve"> Although resorting to sustainable catering, which involves bestowing the focus on the locally and organic sourcing of ingredients may cost more compared to other options, this avenue is seemingly suitable for effectively fulfilling the event’s sustainability goals (Yehia, 2019).</w:t>
      </w:r>
    </w:p>
    <w:p w14:paraId="2F65F022"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Staff Salaries and Wages: </w:t>
      </w:r>
      <w:r w:rsidRPr="00840D6A">
        <w:rPr>
          <w:rFonts w:ascii="Times New Roman" w:eastAsia="Times New Roman" w:hAnsi="Times New Roman" w:cs="Times New Roman"/>
          <w:sz w:val="24"/>
          <w:szCs w:val="24"/>
          <w:lang w:val="en-GB"/>
        </w:rPr>
        <w:t>The expertise of organizations such as event managers, sustainability specialists, and technical teams needs to process them.</w:t>
      </w:r>
    </w:p>
    <w:p w14:paraId="74BA0A66"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Transportation and Accommodation: </w:t>
      </w:r>
      <w:r w:rsidRPr="00840D6A">
        <w:rPr>
          <w:rFonts w:ascii="Times New Roman" w:eastAsia="Times New Roman" w:hAnsi="Times New Roman" w:cs="Times New Roman"/>
          <w:sz w:val="24"/>
          <w:szCs w:val="24"/>
          <w:lang w:val="en-GB"/>
        </w:rPr>
        <w:t>The accommodation and transportation arrangements might need to be made available for the speakers as well as facilitators.</w:t>
      </w:r>
    </w:p>
    <w:p w14:paraId="202DDC89"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Sustainable Supplies:</w:t>
      </w:r>
      <w:r w:rsidRPr="00840D6A">
        <w:rPr>
          <w:rFonts w:ascii="Times New Roman" w:eastAsia="Times New Roman" w:hAnsi="Times New Roman" w:cs="Times New Roman"/>
          <w:sz w:val="24"/>
          <w:szCs w:val="24"/>
          <w:lang w:val="en-GB"/>
        </w:rPr>
        <w:t xml:space="preserve"> Organizing eco-friendly materials with the help of which sustainable events can be arranged leads to environmental awakening (Yehia, 2019).</w:t>
      </w:r>
    </w:p>
    <w:p w14:paraId="1A723E2D"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Funding Sources:</w:t>
      </w:r>
    </w:p>
    <w:p w14:paraId="2BC805FD"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Registration Fees:</w:t>
      </w:r>
      <w:r w:rsidRPr="00840D6A">
        <w:rPr>
          <w:rFonts w:ascii="Times New Roman" w:eastAsia="Times New Roman" w:hAnsi="Times New Roman" w:cs="Times New Roman"/>
          <w:sz w:val="24"/>
          <w:szCs w:val="24"/>
          <w:lang w:val="en-GB"/>
        </w:rPr>
        <w:t xml:space="preserve"> However, there is event revenue from delegates and exhibitors.</w:t>
      </w:r>
    </w:p>
    <w:p w14:paraId="339A72E2"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Sponsorships:</w:t>
      </w:r>
      <w:r w:rsidRPr="00840D6A">
        <w:rPr>
          <w:rFonts w:ascii="Times New Roman" w:eastAsia="Times New Roman" w:hAnsi="Times New Roman" w:cs="Times New Roman"/>
          <w:sz w:val="24"/>
          <w:szCs w:val="24"/>
          <w:lang w:val="en-GB"/>
        </w:rPr>
        <w:t xml:space="preserve"> Financing of the event will be made possible by sponsorship from green technology and energy providers with a cohesive theme.</w:t>
      </w:r>
    </w:p>
    <w:p w14:paraId="473615E1"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Grants:</w:t>
      </w:r>
      <w:r w:rsidRPr="00840D6A">
        <w:rPr>
          <w:rFonts w:ascii="Times New Roman" w:eastAsia="Times New Roman" w:hAnsi="Times New Roman" w:cs="Times New Roman"/>
          <w:sz w:val="24"/>
          <w:szCs w:val="24"/>
          <w:lang w:val="en-GB"/>
        </w:rPr>
        <w:t xml:space="preserve"> Sustainability-promoting authority environmental grants.</w:t>
      </w:r>
    </w:p>
    <w:p w14:paraId="00F2210C"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Exhibition Sales: </w:t>
      </w:r>
      <w:r w:rsidRPr="00840D6A">
        <w:rPr>
          <w:rFonts w:ascii="Times New Roman" w:eastAsia="Times New Roman" w:hAnsi="Times New Roman" w:cs="Times New Roman"/>
          <w:sz w:val="24"/>
          <w:szCs w:val="24"/>
          <w:lang w:val="en-GB"/>
        </w:rPr>
        <w:t>Earnings generated from exhibitors following green technology technologies.</w:t>
      </w:r>
    </w:p>
    <w:p w14:paraId="63EA87B3"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Additional Services: </w:t>
      </w:r>
      <w:r w:rsidRPr="00840D6A">
        <w:rPr>
          <w:rFonts w:ascii="Times New Roman" w:eastAsia="Times New Roman" w:hAnsi="Times New Roman" w:cs="Times New Roman"/>
          <w:sz w:val="24"/>
          <w:szCs w:val="24"/>
          <w:lang w:val="en-GB"/>
        </w:rPr>
        <w:t>A source of additional revenue that can be realized through ticket sales for networking events or after-event publications.</w:t>
      </w:r>
    </w:p>
    <w:p w14:paraId="3764BCAA" w14:textId="122C1D92"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The revenues generated from the event can be used to cover all the estimates that are already given based on sustainability, where eco-conscious options shall incur higher costs. The provisions of sponsorships from </w:t>
      </w:r>
      <w:r w:rsidR="00DE28F7" w:rsidRPr="00840D6A">
        <w:rPr>
          <w:rFonts w:ascii="Times New Roman" w:eastAsia="Times New Roman" w:hAnsi="Times New Roman" w:cs="Times New Roman"/>
          <w:sz w:val="24"/>
          <w:szCs w:val="24"/>
          <w:lang w:val="en-GB"/>
        </w:rPr>
        <w:t>sustainability-oriented</w:t>
      </w:r>
      <w:r w:rsidRPr="00840D6A">
        <w:rPr>
          <w:rFonts w:ascii="Times New Roman" w:eastAsia="Times New Roman" w:hAnsi="Times New Roman" w:cs="Times New Roman"/>
          <w:sz w:val="24"/>
          <w:szCs w:val="24"/>
          <w:lang w:val="en-GB"/>
        </w:rPr>
        <w:t xml:space="preserve"> companies and environmental grants will have an impact on the financing for such events like Green Tech Innovation Conference.</w:t>
      </w:r>
    </w:p>
    <w:p w14:paraId="2EA69482" w14:textId="77777777" w:rsidR="006A64E4" w:rsidRPr="00840D6A" w:rsidRDefault="00E15939" w:rsidP="00840D6A">
      <w:pPr>
        <w:pStyle w:val="Heading1"/>
        <w:rPr>
          <w:lang w:val="en-GB"/>
        </w:rPr>
      </w:pPr>
      <w:bookmarkStart w:id="6" w:name="_Toc159839692"/>
      <w:r w:rsidRPr="00840D6A">
        <w:rPr>
          <w:lang w:val="en-GB"/>
        </w:rPr>
        <w:t>Industry Trends/Impacts:</w:t>
      </w:r>
      <w:bookmarkEnd w:id="6"/>
    </w:p>
    <w:p w14:paraId="479C1565"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Over the last few years, the industry of meetings and events is undergoing changes supported by different trends. These trends only indirectly influence the “Green Tech Innovations Conference”. However, the conference itself is highly active in promoting a number of these innovations.</w:t>
      </w:r>
    </w:p>
    <w:p w14:paraId="49ED992F"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 xml:space="preserve">Sustainability: </w:t>
      </w:r>
      <w:r w:rsidRPr="00840D6A">
        <w:rPr>
          <w:rFonts w:ascii="Times New Roman" w:eastAsia="Times New Roman" w:hAnsi="Times New Roman" w:cs="Times New Roman"/>
          <w:sz w:val="24"/>
          <w:szCs w:val="24"/>
          <w:lang w:val="en-GB"/>
        </w:rPr>
        <w:t xml:space="preserve">Some of the most noticeable emerging trends in this field are an increased emphasis on sustainability as it concerns value creation (Furstenau et al., 2020). This is very harmoniously reflected in the "Green Tech Innovations Conference”, where it was shown that green technologies </w:t>
      </w:r>
      <w:r w:rsidRPr="00840D6A">
        <w:rPr>
          <w:rFonts w:ascii="Times New Roman" w:eastAsia="Times New Roman" w:hAnsi="Times New Roman" w:cs="Times New Roman"/>
          <w:sz w:val="24"/>
          <w:szCs w:val="24"/>
          <w:lang w:val="en-GB"/>
        </w:rPr>
        <w:lastRenderedPageBreak/>
        <w:t>are not just a trend but manifestation of environmental awareness. It provides a place for debates on environmentally responsible practices and innovations, which adds on to the general sustainability destination.</w:t>
      </w:r>
    </w:p>
    <w:p w14:paraId="3B1A8394" w14:textId="5C430B39"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 xml:space="preserve">Virtual and Hybrid Events: </w:t>
      </w:r>
      <w:r w:rsidRPr="00840D6A">
        <w:rPr>
          <w:rFonts w:ascii="Times New Roman" w:eastAsia="Times New Roman" w:hAnsi="Times New Roman" w:cs="Times New Roman"/>
          <w:sz w:val="24"/>
          <w:szCs w:val="24"/>
          <w:lang w:val="en-GB"/>
        </w:rPr>
        <w:t xml:space="preserve">The circumstances around the world have increased the tendency of further </w:t>
      </w:r>
      <w:r w:rsidR="00507A60" w:rsidRPr="00840D6A">
        <w:rPr>
          <w:rFonts w:ascii="Times New Roman" w:eastAsia="Times New Roman" w:hAnsi="Times New Roman" w:cs="Times New Roman"/>
          <w:sz w:val="24"/>
          <w:szCs w:val="24"/>
          <w:lang w:val="en-GB"/>
        </w:rPr>
        <w:t>pre-emption</w:t>
      </w:r>
      <w:r w:rsidRPr="00840D6A">
        <w:rPr>
          <w:rFonts w:ascii="Times New Roman" w:eastAsia="Times New Roman" w:hAnsi="Times New Roman" w:cs="Times New Roman"/>
          <w:sz w:val="24"/>
          <w:szCs w:val="24"/>
          <w:lang w:val="en-GB"/>
        </w:rPr>
        <w:t xml:space="preserve"> and adoption of virtual events as well as its hybrid model (Hammoud et al. 2022). This trend is also addressed in the context of virtually having the delegates from all over the globe participate in the conference. In this regard, this hybrid approach captures the key moment of adaptability in the industry events should be preserved, focused on sustainability.</w:t>
      </w:r>
    </w:p>
    <w:p w14:paraId="0336A700"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Technology Integration:</w:t>
      </w:r>
      <w:r w:rsidRPr="00840D6A">
        <w:rPr>
          <w:rFonts w:ascii="Times New Roman" w:eastAsia="Times New Roman" w:hAnsi="Times New Roman" w:cs="Times New Roman"/>
          <w:sz w:val="24"/>
          <w:szCs w:val="24"/>
          <w:lang w:val="en-GB"/>
        </w:rPr>
        <w:t xml:space="preserve"> Technology has become a part and important area for event planning and implementation; therefore, it is one of the dominant occurrences in doing events today (Allen et al. 2022). This tendency, in its turn, is reflected by the idea </w:t>
      </w:r>
      <w:r w:rsidR="00840D6A" w:rsidRPr="00840D6A">
        <w:rPr>
          <w:rFonts w:ascii="Times New Roman" w:eastAsia="Times New Roman" w:hAnsi="Times New Roman" w:cs="Times New Roman"/>
          <w:sz w:val="24"/>
          <w:szCs w:val="24"/>
          <w:lang w:val="en-GB"/>
        </w:rPr>
        <w:t>of</w:t>
      </w:r>
      <w:r w:rsidRPr="00840D6A">
        <w:rPr>
          <w:rFonts w:ascii="Times New Roman" w:eastAsia="Times New Roman" w:hAnsi="Times New Roman" w:cs="Times New Roman"/>
          <w:sz w:val="24"/>
          <w:szCs w:val="24"/>
          <w:lang w:val="en-GB"/>
        </w:rPr>
        <w:t xml:space="preserve"> </w:t>
      </w:r>
      <w:r w:rsidR="00840D6A" w:rsidRPr="00840D6A">
        <w:rPr>
          <w:rFonts w:ascii="Times New Roman" w:eastAsia="Times New Roman" w:hAnsi="Times New Roman" w:cs="Times New Roman"/>
          <w:sz w:val="24"/>
          <w:szCs w:val="24"/>
          <w:lang w:val="en-GB"/>
        </w:rPr>
        <w:t>“</w:t>
      </w:r>
      <w:r w:rsidRPr="00840D6A">
        <w:rPr>
          <w:rFonts w:ascii="Times New Roman" w:eastAsia="Times New Roman" w:hAnsi="Times New Roman" w:cs="Times New Roman"/>
          <w:sz w:val="24"/>
          <w:szCs w:val="24"/>
          <w:lang w:val="en-GB"/>
        </w:rPr>
        <w:t>Green Tech Innovations Conference,” which highlights cutting-edge sustainable technologies and their usage. Guests of the event will see for themselves technology being used in coordinating proper event management and appreciate a theme that has been established.</w:t>
      </w:r>
    </w:p>
    <w:p w14:paraId="62B1637F" w14:textId="77777777" w:rsidR="006A64E4" w:rsidRPr="00840D6A" w:rsidRDefault="00E15939" w:rsidP="00840D6A">
      <w:pPr>
        <w:pStyle w:val="Heading1"/>
        <w:rPr>
          <w:lang w:val="en-GB"/>
        </w:rPr>
      </w:pPr>
      <w:bookmarkStart w:id="7" w:name="_Toc159839693"/>
      <w:r w:rsidRPr="00840D6A">
        <w:rPr>
          <w:lang w:val="en-GB"/>
        </w:rPr>
        <w:t>Cultural</w:t>
      </w:r>
      <w:r w:rsidR="00840D6A" w:rsidRPr="00840D6A">
        <w:rPr>
          <w:lang w:val="en-GB"/>
        </w:rPr>
        <w:t xml:space="preserve"> and Situational Considerations:</w:t>
      </w:r>
      <w:bookmarkEnd w:id="7"/>
    </w:p>
    <w:p w14:paraId="4A42D754"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Cultural and situational considerations are important nodes that the “Green Tech Innovations Conference” recognizes as factors, which greatly contribute to how well or badly the event goes while also figuring out how powerful an impact it can set up.</w:t>
      </w:r>
    </w:p>
    <w:p w14:paraId="014B9A58"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Cultural Considerations:</w:t>
      </w:r>
    </w:p>
    <w:p w14:paraId="4C6CD9DD"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Cultural Sensitivity:</w:t>
      </w:r>
      <w:r w:rsidRPr="00840D6A">
        <w:rPr>
          <w:rFonts w:ascii="Times New Roman" w:eastAsia="Times New Roman" w:hAnsi="Times New Roman" w:cs="Times New Roman"/>
          <w:sz w:val="24"/>
          <w:szCs w:val="24"/>
          <w:lang w:val="en-GB"/>
        </w:rPr>
        <w:t xml:space="preserve"> The conference recognizes the significance of cultural sensitivity because there will be an international audience watching this event (Aririguzoh, 2022). Cultural awareness makes a participant-friendly event and should be given respect and prominence to various backgrounds of the audience.</w:t>
      </w:r>
    </w:p>
    <w:p w14:paraId="06EEE076"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Local Engagement: </w:t>
      </w:r>
      <w:r w:rsidRPr="00840D6A">
        <w:rPr>
          <w:rFonts w:ascii="Times New Roman" w:eastAsia="Times New Roman" w:hAnsi="Times New Roman" w:cs="Times New Roman"/>
          <w:sz w:val="24"/>
          <w:szCs w:val="24"/>
          <w:lang w:val="en-GB"/>
        </w:rPr>
        <w:t>In Copenhagen, Denmark – the cultural venue of WNF - culture takes on peculiar feature: sustainable living and environmental compatibility are promoted while technology is growing (Freudendal-Pedersen et al. 2020). It is necessary to match these moral commitments in order to build an inner connection with the word population and validate the above event’s sustainability that has been associated.</w:t>
      </w:r>
    </w:p>
    <w:p w14:paraId="1525C066"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i/>
          <w:sz w:val="24"/>
          <w:szCs w:val="24"/>
          <w:lang w:val="en-GB"/>
        </w:rPr>
        <w:t>Situational Considerations:</w:t>
      </w:r>
    </w:p>
    <w:p w14:paraId="6452BF00" w14:textId="63CD9D02"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lastRenderedPageBreak/>
        <w:t>Health and Safety:</w:t>
      </w:r>
      <w:r w:rsidRPr="00840D6A">
        <w:rPr>
          <w:rFonts w:ascii="Times New Roman" w:eastAsia="Times New Roman" w:hAnsi="Times New Roman" w:cs="Times New Roman"/>
          <w:sz w:val="24"/>
          <w:szCs w:val="24"/>
          <w:lang w:val="en-GB"/>
        </w:rPr>
        <w:t xml:space="preserve"> The spread of global health concerns in real has brought the much emphasis about importance of all dimensions associated with it such as safety and health (Ravi et al. 2020). The post conference is really focused on situational safety since </w:t>
      </w:r>
      <w:r w:rsidR="00507A60" w:rsidRPr="00840D6A">
        <w:rPr>
          <w:rFonts w:ascii="Times New Roman" w:eastAsia="Times New Roman" w:hAnsi="Times New Roman" w:cs="Times New Roman"/>
          <w:sz w:val="24"/>
          <w:szCs w:val="24"/>
          <w:lang w:val="en-GB"/>
        </w:rPr>
        <w:t>the</w:t>
      </w:r>
      <w:r w:rsidRPr="00840D6A">
        <w:rPr>
          <w:rFonts w:ascii="Times New Roman" w:eastAsia="Times New Roman" w:hAnsi="Times New Roman" w:cs="Times New Roman"/>
          <w:sz w:val="24"/>
          <w:szCs w:val="24"/>
          <w:lang w:val="en-GB"/>
        </w:rPr>
        <w:t xml:space="preserve"> attendees are subjected to strict health protocols and their physical well-being in the face of the current situational context.</w:t>
      </w:r>
    </w:p>
    <w:p w14:paraId="55765ACF" w14:textId="31E61CD2"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 xml:space="preserve">Economic Impact: </w:t>
      </w:r>
      <w:r w:rsidRPr="00840D6A">
        <w:rPr>
          <w:rFonts w:ascii="Times New Roman" w:eastAsia="Times New Roman" w:hAnsi="Times New Roman" w:cs="Times New Roman"/>
          <w:sz w:val="24"/>
          <w:szCs w:val="24"/>
          <w:lang w:val="en-GB"/>
        </w:rPr>
        <w:t xml:space="preserve">The impact of events on the economy </w:t>
      </w:r>
      <w:r w:rsidR="00507A60" w:rsidRPr="00840D6A">
        <w:rPr>
          <w:rFonts w:ascii="Times New Roman" w:eastAsia="Times New Roman" w:hAnsi="Times New Roman" w:cs="Times New Roman"/>
          <w:sz w:val="24"/>
          <w:szCs w:val="24"/>
          <w:lang w:val="en-GB"/>
        </w:rPr>
        <w:t>compromise</w:t>
      </w:r>
      <w:r w:rsidR="00507A60">
        <w:rPr>
          <w:rFonts w:ascii="Times New Roman" w:eastAsia="Times New Roman" w:hAnsi="Times New Roman" w:cs="Times New Roman"/>
          <w:sz w:val="24"/>
          <w:szCs w:val="24"/>
          <w:lang w:val="en-GB"/>
        </w:rPr>
        <w:t xml:space="preserve"> </w:t>
      </w:r>
      <w:r w:rsidR="00507A60" w:rsidRPr="00840D6A">
        <w:rPr>
          <w:rFonts w:ascii="Times New Roman" w:eastAsia="Times New Roman" w:hAnsi="Times New Roman" w:cs="Times New Roman"/>
          <w:sz w:val="24"/>
          <w:szCs w:val="24"/>
          <w:lang w:val="en-GB"/>
        </w:rPr>
        <w:t>situationally</w:t>
      </w:r>
      <w:r w:rsidRPr="00840D6A">
        <w:rPr>
          <w:rFonts w:ascii="Times New Roman" w:eastAsia="Times New Roman" w:hAnsi="Times New Roman" w:cs="Times New Roman"/>
          <w:sz w:val="24"/>
          <w:szCs w:val="24"/>
          <w:lang w:val="en-GB"/>
        </w:rPr>
        <w:t xml:space="preserve"> is large (Park, Chidlow and Choi, 2022). Obviously, the purpose for holding the </w:t>
      </w:r>
      <w:r w:rsidR="00507A60" w:rsidRPr="00840D6A">
        <w:rPr>
          <w:rFonts w:ascii="Times New Roman" w:eastAsia="Times New Roman" w:hAnsi="Times New Roman" w:cs="Times New Roman"/>
          <w:sz w:val="24"/>
          <w:szCs w:val="24"/>
          <w:lang w:val="en-GB"/>
        </w:rPr>
        <w:t>“Green</w:t>
      </w:r>
      <w:r w:rsidRPr="00840D6A">
        <w:rPr>
          <w:rFonts w:ascii="Times New Roman" w:eastAsia="Times New Roman" w:hAnsi="Times New Roman" w:cs="Times New Roman"/>
          <w:sz w:val="24"/>
          <w:szCs w:val="24"/>
          <w:lang w:val="en-GB"/>
        </w:rPr>
        <w:t xml:space="preserve"> Tech Innovations Conference” is to benefit the local economy as well; this can be realized by involve of local vendors, promotion of sustainability and increase in tourism.</w:t>
      </w:r>
    </w:p>
    <w:p w14:paraId="3886A20C" w14:textId="77777777"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b/>
          <w:sz w:val="24"/>
          <w:szCs w:val="24"/>
          <w:lang w:val="en-GB"/>
        </w:rPr>
        <w:t>Environmental Context:</w:t>
      </w:r>
      <w:r w:rsidRPr="00840D6A">
        <w:rPr>
          <w:rFonts w:ascii="Times New Roman" w:eastAsia="Times New Roman" w:hAnsi="Times New Roman" w:cs="Times New Roman"/>
          <w:sz w:val="24"/>
          <w:szCs w:val="24"/>
          <w:lang w:val="en-GB"/>
        </w:rPr>
        <w:t xml:space="preserve"> Considering the environmental context of Copenhagen’s complete focus on sustainability and green urbanization, this topic is indeed important (Smiley et al., 2022). The activities during the event should integrate with the objectives that are set by city and in line with suggested environmental goals to create a unified situational context.</w:t>
      </w:r>
    </w:p>
    <w:p w14:paraId="200380F3" w14:textId="77777777" w:rsidR="006A64E4" w:rsidRPr="00840D6A" w:rsidRDefault="00840D6A" w:rsidP="00840D6A">
      <w:pPr>
        <w:pStyle w:val="Heading1"/>
        <w:rPr>
          <w:lang w:val="en-GB"/>
        </w:rPr>
      </w:pPr>
      <w:bookmarkStart w:id="8" w:name="_Toc159839694"/>
      <w:r w:rsidRPr="00840D6A">
        <w:rPr>
          <w:lang w:val="en-GB"/>
        </w:rPr>
        <w:t>Conclusion:</w:t>
      </w:r>
      <w:bookmarkEnd w:id="8"/>
    </w:p>
    <w:p w14:paraId="4176B4E8" w14:textId="7EB31791" w:rsidR="006A64E4" w:rsidRPr="00840D6A" w:rsidRDefault="00E15939">
      <w:pPr>
        <w:spacing w:line="360" w:lineRule="auto"/>
        <w:jc w:val="both"/>
        <w:rPr>
          <w:rFonts w:ascii="Times New Roman" w:eastAsia="Times New Roman" w:hAnsi="Times New Roman" w:cs="Times New Roman"/>
          <w:sz w:val="24"/>
          <w:szCs w:val="24"/>
          <w:lang w:val="en-GB"/>
        </w:rPr>
      </w:pPr>
      <w:r w:rsidRPr="00840D6A">
        <w:rPr>
          <w:rFonts w:ascii="Times New Roman" w:eastAsia="Times New Roman" w:hAnsi="Times New Roman" w:cs="Times New Roman"/>
          <w:sz w:val="24"/>
          <w:szCs w:val="24"/>
          <w:lang w:val="en-GB"/>
        </w:rPr>
        <w:t xml:space="preserve">Conclusively, the ‘Green Tech Innovations Conference’ presents business ideas which serves as a transformation within the meeting/events industry to answer two crucial topics: sustainability and sustainable new technology. Rooted in an environment of the fluctuating circumstances, trendy about sustainability and transformational natured where cultural and situational associations do play their part. Focusing knowledge sharing, practical demonstrations and </w:t>
      </w:r>
      <w:r w:rsidR="00507A60" w:rsidRPr="00840D6A">
        <w:rPr>
          <w:rFonts w:ascii="Times New Roman" w:eastAsia="Times New Roman" w:hAnsi="Times New Roman" w:cs="Times New Roman"/>
          <w:sz w:val="24"/>
          <w:szCs w:val="24"/>
          <w:lang w:val="en-GB"/>
        </w:rPr>
        <w:t>forcing</w:t>
      </w:r>
      <w:r w:rsidRPr="00840D6A">
        <w:rPr>
          <w:rFonts w:ascii="Times New Roman" w:eastAsia="Times New Roman" w:hAnsi="Times New Roman" w:cs="Times New Roman"/>
          <w:sz w:val="24"/>
          <w:szCs w:val="24"/>
          <w:lang w:val="en-GB"/>
        </w:rPr>
        <w:t xml:space="preserve"> a change role as catalyst it promotes collaboration.</w:t>
      </w:r>
      <w:r w:rsidRPr="00840D6A">
        <w:rPr>
          <w:lang w:val="en-GB"/>
        </w:rPr>
        <w:br w:type="page"/>
      </w:r>
    </w:p>
    <w:p w14:paraId="0206FED4" w14:textId="77777777" w:rsidR="006A64E4" w:rsidRPr="00840D6A" w:rsidRDefault="00E15939" w:rsidP="00840D6A">
      <w:pPr>
        <w:pStyle w:val="Heading1"/>
        <w:rPr>
          <w:lang w:val="en-GB"/>
        </w:rPr>
      </w:pPr>
      <w:bookmarkStart w:id="9" w:name="_Toc159839695"/>
      <w:r w:rsidRPr="00840D6A">
        <w:rPr>
          <w:lang w:val="en-GB"/>
        </w:rPr>
        <w:lastRenderedPageBreak/>
        <w:t>References</w:t>
      </w:r>
      <w:bookmarkEnd w:id="9"/>
    </w:p>
    <w:p w14:paraId="616AB69F"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Alkhani, R., 2020. Understanding private-sector engagement in sustainable urban development and delivering the climate agenda in northwestern Europe—A case study of London and Copenhagen. </w:t>
      </w:r>
      <w:r w:rsidRPr="00840D6A">
        <w:rPr>
          <w:rFonts w:ascii="Times New Roman" w:hAnsi="Times New Roman" w:cs="Times New Roman"/>
          <w:i/>
          <w:color w:val="222222"/>
          <w:sz w:val="24"/>
          <w:szCs w:val="24"/>
          <w:highlight w:val="white"/>
          <w:lang w:val="en-GB"/>
        </w:rPr>
        <w:t>Sustainability</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12</w:t>
      </w:r>
      <w:r w:rsidRPr="00840D6A">
        <w:rPr>
          <w:rFonts w:ascii="Times New Roman" w:hAnsi="Times New Roman" w:cs="Times New Roman"/>
          <w:color w:val="222222"/>
          <w:sz w:val="24"/>
          <w:szCs w:val="24"/>
          <w:highlight w:val="white"/>
          <w:lang w:val="en-GB"/>
        </w:rPr>
        <w:t xml:space="preserve">(20), p.8431. Available at: </w:t>
      </w:r>
      <w:hyperlink r:id="rId10">
        <w:r w:rsidRPr="00840D6A">
          <w:rPr>
            <w:rFonts w:ascii="Times New Roman" w:hAnsi="Times New Roman" w:cs="Times New Roman"/>
            <w:color w:val="1155CC"/>
            <w:sz w:val="24"/>
            <w:szCs w:val="24"/>
            <w:highlight w:val="white"/>
            <w:u w:val="single"/>
            <w:lang w:val="en-GB"/>
          </w:rPr>
          <w:t>https://www.mdpi.com/2071-1050/12/20/8431</w:t>
        </w:r>
      </w:hyperlink>
      <w:r w:rsidRPr="00840D6A">
        <w:rPr>
          <w:rFonts w:ascii="Times New Roman" w:hAnsi="Times New Roman" w:cs="Times New Roman"/>
          <w:color w:val="222222"/>
          <w:sz w:val="24"/>
          <w:szCs w:val="24"/>
          <w:highlight w:val="white"/>
          <w:lang w:val="en-GB"/>
        </w:rPr>
        <w:t xml:space="preserve"> [Accessed 1 February 2024]</w:t>
      </w:r>
    </w:p>
    <w:p w14:paraId="55ECE707"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Allen, J., Harris, R., Jago, L., Tantrai, A., Jonson, P. and D'Arcy, E., 2022. </w:t>
      </w:r>
      <w:r w:rsidRPr="00840D6A">
        <w:rPr>
          <w:rFonts w:ascii="Times New Roman" w:hAnsi="Times New Roman" w:cs="Times New Roman"/>
          <w:i/>
          <w:color w:val="222222"/>
          <w:sz w:val="24"/>
          <w:szCs w:val="24"/>
          <w:highlight w:val="white"/>
          <w:lang w:val="en-GB"/>
        </w:rPr>
        <w:t>Festival and special event management</w:t>
      </w:r>
      <w:r w:rsidRPr="00840D6A">
        <w:rPr>
          <w:rFonts w:ascii="Times New Roman" w:hAnsi="Times New Roman" w:cs="Times New Roman"/>
          <w:color w:val="222222"/>
          <w:sz w:val="24"/>
          <w:szCs w:val="24"/>
          <w:highlight w:val="white"/>
          <w:lang w:val="en-GB"/>
        </w:rPr>
        <w:t xml:space="preserve">. John Wiley &amp; Sons. Available at: </w:t>
      </w:r>
      <w:hyperlink r:id="rId11" w:anchor="v=onepage&amp;q&amp;f=false">
        <w:r w:rsidRPr="00840D6A">
          <w:rPr>
            <w:rFonts w:ascii="Times New Roman" w:hAnsi="Times New Roman" w:cs="Times New Roman"/>
            <w:color w:val="1155CC"/>
            <w:sz w:val="24"/>
            <w:szCs w:val="24"/>
            <w:highlight w:val="white"/>
            <w:u w:val="single"/>
            <w:lang w:val="en-GB"/>
          </w:rPr>
          <w:t>https://books.google.co.in/books?hl=en&amp;lr=&amp;id=fbIxEAAAQBAJ&amp;oi=fnd&amp;pg=PR3&amp;dq=The+incorporation+of+technology+into+event+planning+and+execution+has+become+a+prevailing+trend&amp;ots=yU5Z5Z9p_u&amp;sig=e-Xi5vginrDWFF_kkdH-0bJl980&amp;redir_esc=y#v=onepage&amp;q&amp;f=false</w:t>
        </w:r>
      </w:hyperlink>
      <w:r w:rsidRPr="00840D6A">
        <w:rPr>
          <w:rFonts w:ascii="Times New Roman" w:hAnsi="Times New Roman" w:cs="Times New Roman"/>
          <w:color w:val="222222"/>
          <w:sz w:val="24"/>
          <w:szCs w:val="24"/>
          <w:highlight w:val="white"/>
          <w:lang w:val="en-GB"/>
        </w:rPr>
        <w:t xml:space="preserve"> [Accessed 1 February 2024]</w:t>
      </w:r>
    </w:p>
    <w:p w14:paraId="7C67CC49"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646EE">
        <w:rPr>
          <w:rFonts w:ascii="Times New Roman" w:hAnsi="Times New Roman" w:cs="Times New Roman"/>
          <w:color w:val="222222"/>
          <w:sz w:val="24"/>
          <w:szCs w:val="24"/>
          <w:highlight w:val="white"/>
          <w:lang w:val="de-DE"/>
        </w:rPr>
        <w:t xml:space="preserve">Anthes, C., García-Hernández, R.J., Wiedemann, M. and Kranzlmüller, D., 2019, March. </w:t>
      </w:r>
      <w:r w:rsidRPr="00840D6A">
        <w:rPr>
          <w:rFonts w:ascii="Times New Roman" w:hAnsi="Times New Roman" w:cs="Times New Roman"/>
          <w:color w:val="222222"/>
          <w:sz w:val="24"/>
          <w:szCs w:val="24"/>
          <w:highlight w:val="white"/>
          <w:lang w:val="en-GB"/>
        </w:rPr>
        <w:t xml:space="preserve">State of the art of virtual reality technology. In </w:t>
      </w:r>
      <w:r w:rsidRPr="00840D6A">
        <w:rPr>
          <w:rFonts w:ascii="Times New Roman" w:hAnsi="Times New Roman" w:cs="Times New Roman"/>
          <w:i/>
          <w:color w:val="222222"/>
          <w:sz w:val="24"/>
          <w:szCs w:val="24"/>
          <w:highlight w:val="white"/>
          <w:lang w:val="en-GB"/>
        </w:rPr>
        <w:t>2016 IEEE aerospace conference</w:t>
      </w:r>
      <w:r w:rsidRPr="00840D6A">
        <w:rPr>
          <w:rFonts w:ascii="Times New Roman" w:hAnsi="Times New Roman" w:cs="Times New Roman"/>
          <w:color w:val="222222"/>
          <w:sz w:val="24"/>
          <w:szCs w:val="24"/>
          <w:highlight w:val="white"/>
          <w:lang w:val="en-GB"/>
        </w:rPr>
        <w:t xml:space="preserve"> (pp. 1-19). IEEE. Available at: </w:t>
      </w:r>
      <w:hyperlink r:id="rId12">
        <w:r w:rsidRPr="00840D6A">
          <w:rPr>
            <w:rFonts w:ascii="Times New Roman" w:hAnsi="Times New Roman" w:cs="Times New Roman"/>
            <w:color w:val="1155CC"/>
            <w:sz w:val="24"/>
            <w:szCs w:val="24"/>
            <w:highlight w:val="white"/>
            <w:u w:val="single"/>
            <w:lang w:val="en-GB"/>
          </w:rPr>
          <w:t>https://ieeexplore.ieee.org/abstract/document/7500674/</w:t>
        </w:r>
      </w:hyperlink>
      <w:r w:rsidRPr="00840D6A">
        <w:rPr>
          <w:rFonts w:ascii="Times New Roman" w:hAnsi="Times New Roman" w:cs="Times New Roman"/>
          <w:color w:val="222222"/>
          <w:sz w:val="24"/>
          <w:szCs w:val="24"/>
          <w:highlight w:val="white"/>
          <w:lang w:val="en-GB"/>
        </w:rPr>
        <w:t xml:space="preserve">  [Accessed 1 February 2024]</w:t>
      </w:r>
    </w:p>
    <w:p w14:paraId="3514F712"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Aririguzoh, S., 2022. Communication competencies, culture and SDGs: effective processes to cross-cultural communication. </w:t>
      </w:r>
      <w:r w:rsidRPr="00840D6A">
        <w:rPr>
          <w:rFonts w:ascii="Times New Roman" w:hAnsi="Times New Roman" w:cs="Times New Roman"/>
          <w:i/>
          <w:color w:val="222222"/>
          <w:sz w:val="24"/>
          <w:szCs w:val="24"/>
          <w:highlight w:val="white"/>
          <w:lang w:val="en-GB"/>
        </w:rPr>
        <w:t>Humanities and Social Sciences Communications</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9</w:t>
      </w:r>
      <w:r w:rsidRPr="00840D6A">
        <w:rPr>
          <w:rFonts w:ascii="Times New Roman" w:hAnsi="Times New Roman" w:cs="Times New Roman"/>
          <w:color w:val="222222"/>
          <w:sz w:val="24"/>
          <w:szCs w:val="24"/>
          <w:highlight w:val="white"/>
          <w:lang w:val="en-GB"/>
        </w:rPr>
        <w:t xml:space="preserve">(1), pp.1-11. Available at: </w:t>
      </w:r>
      <w:hyperlink r:id="rId13">
        <w:r w:rsidRPr="00840D6A">
          <w:rPr>
            <w:rFonts w:ascii="Times New Roman" w:hAnsi="Times New Roman" w:cs="Times New Roman"/>
            <w:color w:val="1155CC"/>
            <w:sz w:val="24"/>
            <w:szCs w:val="24"/>
            <w:highlight w:val="white"/>
            <w:u w:val="single"/>
            <w:lang w:val="en-GB"/>
          </w:rPr>
          <w:t>https://www.nature.com/articles/s41599-022-01109-4</w:t>
        </w:r>
      </w:hyperlink>
      <w:r w:rsidRPr="00840D6A">
        <w:rPr>
          <w:rFonts w:ascii="Times New Roman" w:hAnsi="Times New Roman" w:cs="Times New Roman"/>
          <w:color w:val="222222"/>
          <w:sz w:val="24"/>
          <w:szCs w:val="24"/>
          <w:highlight w:val="white"/>
          <w:lang w:val="en-GB"/>
        </w:rPr>
        <w:t xml:space="preserve"> [Accessed 1 February 2024]</w:t>
      </w:r>
    </w:p>
    <w:p w14:paraId="00572C68" w14:textId="324604B3"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De Cieri, H. and Lazarova, M., 2021. “Your health and safety </w:t>
      </w:r>
      <w:r w:rsidR="00DE28F7" w:rsidRPr="00840D6A">
        <w:rPr>
          <w:rFonts w:ascii="Times New Roman" w:hAnsi="Times New Roman" w:cs="Times New Roman"/>
          <w:color w:val="222222"/>
          <w:sz w:val="24"/>
          <w:szCs w:val="24"/>
          <w:highlight w:val="white"/>
          <w:lang w:val="en-GB"/>
        </w:rPr>
        <w:t>are</w:t>
      </w:r>
      <w:r w:rsidRPr="00840D6A">
        <w:rPr>
          <w:rFonts w:ascii="Times New Roman" w:hAnsi="Times New Roman" w:cs="Times New Roman"/>
          <w:color w:val="222222"/>
          <w:sz w:val="24"/>
          <w:szCs w:val="24"/>
          <w:highlight w:val="white"/>
          <w:lang w:val="en-GB"/>
        </w:rPr>
        <w:t xml:space="preserve"> of utmost importance to us”: a review of research on the occupational health and safety of international employees. </w:t>
      </w:r>
      <w:r w:rsidRPr="00840D6A">
        <w:rPr>
          <w:rFonts w:ascii="Times New Roman" w:hAnsi="Times New Roman" w:cs="Times New Roman"/>
          <w:i/>
          <w:color w:val="222222"/>
          <w:sz w:val="24"/>
          <w:szCs w:val="24"/>
          <w:highlight w:val="white"/>
          <w:lang w:val="en-GB"/>
        </w:rPr>
        <w:t>Human Resource Management Review</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31</w:t>
      </w:r>
      <w:r w:rsidRPr="00840D6A">
        <w:rPr>
          <w:rFonts w:ascii="Times New Roman" w:hAnsi="Times New Roman" w:cs="Times New Roman"/>
          <w:color w:val="222222"/>
          <w:sz w:val="24"/>
          <w:szCs w:val="24"/>
          <w:highlight w:val="white"/>
          <w:lang w:val="en-GB"/>
        </w:rPr>
        <w:t xml:space="preserve">(4), p.100790. Available at: </w:t>
      </w:r>
      <w:hyperlink r:id="rId14">
        <w:r w:rsidRPr="00840D6A">
          <w:rPr>
            <w:rFonts w:ascii="Times New Roman" w:hAnsi="Times New Roman" w:cs="Times New Roman"/>
            <w:color w:val="1155CC"/>
            <w:sz w:val="24"/>
            <w:szCs w:val="24"/>
            <w:highlight w:val="white"/>
            <w:u w:val="single"/>
            <w:lang w:val="en-GB"/>
          </w:rPr>
          <w:t>https://www.sciencedirect.com/science/article/abs/pii/S1053482220300632</w:t>
        </w:r>
      </w:hyperlink>
      <w:r w:rsidRPr="00840D6A">
        <w:rPr>
          <w:rFonts w:ascii="Times New Roman" w:hAnsi="Times New Roman" w:cs="Times New Roman"/>
          <w:color w:val="222222"/>
          <w:sz w:val="24"/>
          <w:szCs w:val="24"/>
          <w:highlight w:val="white"/>
          <w:lang w:val="en-GB"/>
        </w:rPr>
        <w:t xml:space="preserve">  [Accessed 1 February 2024]</w:t>
      </w:r>
    </w:p>
    <w:p w14:paraId="2B4F5478"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Freudendal-Pedersen, M., Hartmann-Petersen, K., Friis, F., Rudolf Lindberg, M. and Grindsted, T.S., 2020. Sustainable mobility in the mobile risk society—designing innovative mobility solutions in Copenhagen. </w:t>
      </w:r>
      <w:r w:rsidRPr="00840D6A">
        <w:rPr>
          <w:rFonts w:ascii="Times New Roman" w:hAnsi="Times New Roman" w:cs="Times New Roman"/>
          <w:i/>
          <w:color w:val="222222"/>
          <w:sz w:val="24"/>
          <w:szCs w:val="24"/>
          <w:highlight w:val="white"/>
          <w:lang w:val="en-GB"/>
        </w:rPr>
        <w:t>Sustainability</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12</w:t>
      </w:r>
      <w:r w:rsidRPr="00840D6A">
        <w:rPr>
          <w:rFonts w:ascii="Times New Roman" w:hAnsi="Times New Roman" w:cs="Times New Roman"/>
          <w:color w:val="222222"/>
          <w:sz w:val="24"/>
          <w:szCs w:val="24"/>
          <w:highlight w:val="white"/>
          <w:lang w:val="en-GB"/>
        </w:rPr>
        <w:t xml:space="preserve">(17), p.7218. Available at: </w:t>
      </w:r>
      <w:hyperlink r:id="rId15">
        <w:r w:rsidRPr="00840D6A">
          <w:rPr>
            <w:rFonts w:ascii="Times New Roman" w:hAnsi="Times New Roman" w:cs="Times New Roman"/>
            <w:color w:val="1155CC"/>
            <w:sz w:val="24"/>
            <w:szCs w:val="24"/>
            <w:highlight w:val="white"/>
            <w:u w:val="single"/>
            <w:lang w:val="en-GB"/>
          </w:rPr>
          <w:t>https://www.mdpi.com/2071-1050/12/17/7218</w:t>
        </w:r>
      </w:hyperlink>
      <w:r w:rsidRPr="00840D6A">
        <w:rPr>
          <w:rFonts w:ascii="Times New Roman" w:hAnsi="Times New Roman" w:cs="Times New Roman"/>
          <w:color w:val="222222"/>
          <w:sz w:val="24"/>
          <w:szCs w:val="24"/>
          <w:highlight w:val="white"/>
          <w:lang w:val="en-GB"/>
        </w:rPr>
        <w:t xml:space="preserve"> [Accessed 1 February 2024]</w:t>
      </w:r>
    </w:p>
    <w:p w14:paraId="1D684C66"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Furstenau, L.B., Sott, M.K., Kipper, L.M., Machado, E.L., Lopez-Robles, J.R., Dohan, M.S., Cobo, M.J., Zahid, A., Abbasi, Q.H. and Imran, M.A., 2020. Link between sustainability and industry 4.0: trends, challenges and new perspectives. </w:t>
      </w:r>
      <w:r w:rsidRPr="00840D6A">
        <w:rPr>
          <w:rFonts w:ascii="Times New Roman" w:hAnsi="Times New Roman" w:cs="Times New Roman"/>
          <w:i/>
          <w:color w:val="222222"/>
          <w:sz w:val="24"/>
          <w:szCs w:val="24"/>
          <w:highlight w:val="white"/>
          <w:lang w:val="en-GB"/>
        </w:rPr>
        <w:t>Ieee Access</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8</w:t>
      </w:r>
      <w:r w:rsidRPr="00840D6A">
        <w:rPr>
          <w:rFonts w:ascii="Times New Roman" w:hAnsi="Times New Roman" w:cs="Times New Roman"/>
          <w:color w:val="222222"/>
          <w:sz w:val="24"/>
          <w:szCs w:val="24"/>
          <w:highlight w:val="white"/>
          <w:lang w:val="en-GB"/>
        </w:rPr>
        <w:t xml:space="preserve">, pp.140079-140096. Available at: </w:t>
      </w:r>
      <w:hyperlink r:id="rId16">
        <w:r w:rsidRPr="00840D6A">
          <w:rPr>
            <w:rFonts w:ascii="Times New Roman" w:hAnsi="Times New Roman" w:cs="Times New Roman"/>
            <w:color w:val="1155CC"/>
            <w:sz w:val="24"/>
            <w:szCs w:val="24"/>
            <w:highlight w:val="white"/>
            <w:u w:val="single"/>
            <w:lang w:val="en-GB"/>
          </w:rPr>
          <w:t>https://ieeexplore.ieee.org/abstract/document/9151934/</w:t>
        </w:r>
      </w:hyperlink>
      <w:r w:rsidRPr="00840D6A">
        <w:rPr>
          <w:rFonts w:ascii="Times New Roman" w:hAnsi="Times New Roman" w:cs="Times New Roman"/>
          <w:color w:val="222222"/>
          <w:sz w:val="24"/>
          <w:szCs w:val="24"/>
          <w:highlight w:val="white"/>
          <w:lang w:val="en-GB"/>
        </w:rPr>
        <w:t xml:space="preserve">  [Accessed 1 February 2024]</w:t>
      </w:r>
    </w:p>
    <w:p w14:paraId="4547ADE3"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lastRenderedPageBreak/>
        <w:t xml:space="preserve">Hammoud, G.A., Tawfik, H.F. and Rady Mohamed, S.S., 2022. Technological Innovation in Tourism and Events industry: A hybrid future of Events. </w:t>
      </w:r>
      <w:r w:rsidRPr="00840D6A">
        <w:rPr>
          <w:rFonts w:ascii="Times New Roman" w:hAnsi="Times New Roman" w:cs="Times New Roman"/>
          <w:i/>
          <w:color w:val="222222"/>
          <w:sz w:val="24"/>
          <w:szCs w:val="24"/>
          <w:highlight w:val="white"/>
          <w:lang w:val="en-GB"/>
        </w:rPr>
        <w:t>International Journal for Tourism, Archeology &amp; Hospitality (IJTAH)</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2</w:t>
      </w:r>
      <w:r w:rsidRPr="00840D6A">
        <w:rPr>
          <w:rFonts w:ascii="Times New Roman" w:hAnsi="Times New Roman" w:cs="Times New Roman"/>
          <w:color w:val="222222"/>
          <w:sz w:val="24"/>
          <w:szCs w:val="24"/>
          <w:highlight w:val="white"/>
          <w:lang w:val="en-GB"/>
        </w:rPr>
        <w:t xml:space="preserve">(3). Available at: </w:t>
      </w:r>
      <w:hyperlink r:id="rId17">
        <w:r w:rsidRPr="00840D6A">
          <w:rPr>
            <w:rFonts w:ascii="Times New Roman" w:hAnsi="Times New Roman" w:cs="Times New Roman"/>
            <w:color w:val="1155CC"/>
            <w:sz w:val="24"/>
            <w:szCs w:val="24"/>
            <w:highlight w:val="white"/>
            <w:u w:val="single"/>
            <w:lang w:val="en-GB"/>
          </w:rPr>
          <w:t>https://ijtah.journals.ekb.eg/article_283564_ce9340ba3c4e8a64907131af0801d39c.pdf</w:t>
        </w:r>
      </w:hyperlink>
      <w:r w:rsidRPr="00840D6A">
        <w:rPr>
          <w:rFonts w:ascii="Times New Roman" w:hAnsi="Times New Roman" w:cs="Times New Roman"/>
          <w:color w:val="222222"/>
          <w:sz w:val="24"/>
          <w:szCs w:val="24"/>
          <w:highlight w:val="white"/>
          <w:lang w:val="en-GB"/>
        </w:rPr>
        <w:t xml:space="preserve"> [Accessed 1 February 2024]</w:t>
      </w:r>
    </w:p>
    <w:p w14:paraId="69E6A638"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646EE">
        <w:rPr>
          <w:rFonts w:ascii="Times New Roman" w:hAnsi="Times New Roman" w:cs="Times New Roman"/>
          <w:color w:val="222222"/>
          <w:sz w:val="24"/>
          <w:szCs w:val="24"/>
          <w:highlight w:val="white"/>
          <w:lang w:val="fr-FR"/>
        </w:rPr>
        <w:t xml:space="preserve">Hernandez-de-Menendez, M., Escobar Díaz, C. and Morales-Menendez, R., 2020. </w:t>
      </w:r>
      <w:r w:rsidRPr="00840D6A">
        <w:rPr>
          <w:rFonts w:ascii="Times New Roman" w:hAnsi="Times New Roman" w:cs="Times New Roman"/>
          <w:color w:val="222222"/>
          <w:sz w:val="24"/>
          <w:szCs w:val="24"/>
          <w:highlight w:val="white"/>
          <w:lang w:val="en-GB"/>
        </w:rPr>
        <w:t xml:space="preserve">Technologies for the future of learning: state of the art. </w:t>
      </w:r>
      <w:r w:rsidRPr="00840D6A">
        <w:rPr>
          <w:rFonts w:ascii="Times New Roman" w:hAnsi="Times New Roman" w:cs="Times New Roman"/>
          <w:i/>
          <w:color w:val="222222"/>
          <w:sz w:val="24"/>
          <w:szCs w:val="24"/>
          <w:highlight w:val="white"/>
          <w:lang w:val="en-GB"/>
        </w:rPr>
        <w:t>International Journal on Interactive Design and Manufacturing (IJIDeM)</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14</w:t>
      </w:r>
      <w:r w:rsidRPr="00840D6A">
        <w:rPr>
          <w:rFonts w:ascii="Times New Roman" w:hAnsi="Times New Roman" w:cs="Times New Roman"/>
          <w:color w:val="222222"/>
          <w:sz w:val="24"/>
          <w:szCs w:val="24"/>
          <w:highlight w:val="white"/>
          <w:lang w:val="en-GB"/>
        </w:rPr>
        <w:t xml:space="preserve">, pp.683-695. Available at: </w:t>
      </w:r>
      <w:hyperlink r:id="rId18">
        <w:r w:rsidRPr="00840D6A">
          <w:rPr>
            <w:rFonts w:ascii="Times New Roman" w:hAnsi="Times New Roman" w:cs="Times New Roman"/>
            <w:color w:val="1155CC"/>
            <w:sz w:val="24"/>
            <w:szCs w:val="24"/>
            <w:highlight w:val="white"/>
            <w:u w:val="single"/>
            <w:lang w:val="en-GB"/>
          </w:rPr>
          <w:t>https://link.springer.com/article/10.1007/s12008-019-00640-0</w:t>
        </w:r>
      </w:hyperlink>
      <w:r w:rsidRPr="00840D6A">
        <w:rPr>
          <w:rFonts w:ascii="Times New Roman" w:hAnsi="Times New Roman" w:cs="Times New Roman"/>
          <w:color w:val="222222"/>
          <w:sz w:val="24"/>
          <w:szCs w:val="24"/>
          <w:highlight w:val="white"/>
          <w:lang w:val="en-GB"/>
        </w:rPr>
        <w:t xml:space="preserve"> [Accessed 1 February 2024]</w:t>
      </w:r>
    </w:p>
    <w:p w14:paraId="50839A7E"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Jenkins, J.D., Luke, M. and Thernstrom, S., 2018. Getting to zero carbon emissions in the electric power sector. </w:t>
      </w:r>
      <w:r w:rsidRPr="00840D6A">
        <w:rPr>
          <w:rFonts w:ascii="Times New Roman" w:hAnsi="Times New Roman" w:cs="Times New Roman"/>
          <w:i/>
          <w:color w:val="222222"/>
          <w:sz w:val="24"/>
          <w:szCs w:val="24"/>
          <w:highlight w:val="white"/>
          <w:lang w:val="en-GB"/>
        </w:rPr>
        <w:t>Joule</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2</w:t>
      </w:r>
      <w:r w:rsidRPr="00840D6A">
        <w:rPr>
          <w:rFonts w:ascii="Times New Roman" w:hAnsi="Times New Roman" w:cs="Times New Roman"/>
          <w:color w:val="222222"/>
          <w:sz w:val="24"/>
          <w:szCs w:val="24"/>
          <w:highlight w:val="white"/>
          <w:lang w:val="en-GB"/>
        </w:rPr>
        <w:t xml:space="preserve">(12), pp.2498-2510. Available at: </w:t>
      </w:r>
      <w:hyperlink r:id="rId19">
        <w:r w:rsidRPr="00840D6A">
          <w:rPr>
            <w:rFonts w:ascii="Times New Roman" w:hAnsi="Times New Roman" w:cs="Times New Roman"/>
            <w:color w:val="1155CC"/>
            <w:sz w:val="24"/>
            <w:szCs w:val="24"/>
            <w:highlight w:val="white"/>
            <w:u w:val="single"/>
            <w:lang w:val="en-GB"/>
          </w:rPr>
          <w:t>https://www.cell.com/joule/pdf/S2542-4351(18)30562-2.pdf</w:t>
        </w:r>
      </w:hyperlink>
      <w:r w:rsidRPr="00840D6A">
        <w:rPr>
          <w:rFonts w:ascii="Times New Roman" w:hAnsi="Times New Roman" w:cs="Times New Roman"/>
          <w:color w:val="222222"/>
          <w:sz w:val="24"/>
          <w:szCs w:val="24"/>
          <w:highlight w:val="white"/>
          <w:lang w:val="en-GB"/>
        </w:rPr>
        <w:t xml:space="preserve"> [Accessed 1 February 2024]</w:t>
      </w:r>
    </w:p>
    <w:p w14:paraId="63CAC00B"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Jones, M., 2020. </w:t>
      </w:r>
      <w:r w:rsidRPr="00840D6A">
        <w:rPr>
          <w:rFonts w:ascii="Times New Roman" w:hAnsi="Times New Roman" w:cs="Times New Roman"/>
          <w:i/>
          <w:color w:val="222222"/>
          <w:sz w:val="24"/>
          <w:szCs w:val="24"/>
          <w:highlight w:val="white"/>
          <w:lang w:val="en-GB"/>
        </w:rPr>
        <w:t>Sustainable event management: A practical guide</w:t>
      </w:r>
      <w:r w:rsidRPr="00840D6A">
        <w:rPr>
          <w:rFonts w:ascii="Times New Roman" w:hAnsi="Times New Roman" w:cs="Times New Roman"/>
          <w:color w:val="222222"/>
          <w:sz w:val="24"/>
          <w:szCs w:val="24"/>
          <w:highlight w:val="white"/>
          <w:lang w:val="en-GB"/>
        </w:rPr>
        <w:t xml:space="preserve">. Routledge. Available at: </w:t>
      </w:r>
      <w:hyperlink r:id="rId20">
        <w:r w:rsidRPr="00840D6A">
          <w:rPr>
            <w:rFonts w:ascii="Times New Roman" w:hAnsi="Times New Roman" w:cs="Times New Roman"/>
            <w:color w:val="1155CC"/>
            <w:sz w:val="24"/>
            <w:szCs w:val="24"/>
            <w:highlight w:val="white"/>
            <w:u w:val="single"/>
            <w:lang w:val="en-GB"/>
          </w:rPr>
          <w:t>https://www.taylorfrancis.com/books/mono/10.4324/9781315439723/sustainable-event-management-meegan-jones</w:t>
        </w:r>
      </w:hyperlink>
      <w:r w:rsidRPr="00840D6A">
        <w:rPr>
          <w:rFonts w:ascii="Times New Roman" w:hAnsi="Times New Roman" w:cs="Times New Roman"/>
          <w:color w:val="222222"/>
          <w:sz w:val="24"/>
          <w:szCs w:val="24"/>
          <w:highlight w:val="white"/>
          <w:lang w:val="en-GB"/>
        </w:rPr>
        <w:t xml:space="preserve">  [Accessed 1 February 2024]</w:t>
      </w:r>
    </w:p>
    <w:p w14:paraId="743651E4"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Park, B.I., Chidlow, A. and Choi, J., 2022. Corporate social responsibility: Stakeholders influence on MNEs’ activities. </w:t>
      </w:r>
      <w:r w:rsidRPr="00840D6A">
        <w:rPr>
          <w:rFonts w:ascii="Times New Roman" w:hAnsi="Times New Roman" w:cs="Times New Roman"/>
          <w:i/>
          <w:color w:val="222222"/>
          <w:sz w:val="24"/>
          <w:szCs w:val="24"/>
          <w:highlight w:val="white"/>
          <w:lang w:val="en-GB"/>
        </w:rPr>
        <w:t>International Business Review</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23</w:t>
      </w:r>
      <w:r w:rsidRPr="00840D6A">
        <w:rPr>
          <w:rFonts w:ascii="Times New Roman" w:hAnsi="Times New Roman" w:cs="Times New Roman"/>
          <w:color w:val="222222"/>
          <w:sz w:val="24"/>
          <w:szCs w:val="24"/>
          <w:highlight w:val="white"/>
          <w:lang w:val="en-GB"/>
        </w:rPr>
        <w:t xml:space="preserve">(5), pp.966-980. Available at: </w:t>
      </w:r>
      <w:hyperlink r:id="rId21">
        <w:r w:rsidRPr="00840D6A">
          <w:rPr>
            <w:rFonts w:ascii="Times New Roman" w:hAnsi="Times New Roman" w:cs="Times New Roman"/>
            <w:color w:val="1155CC"/>
            <w:sz w:val="24"/>
            <w:szCs w:val="24"/>
            <w:highlight w:val="white"/>
            <w:u w:val="single"/>
            <w:lang w:val="en-GB"/>
          </w:rPr>
          <w:t>https://www.sciencedirect.com/science/article/abs/pii/S0969593114000274</w:t>
        </w:r>
      </w:hyperlink>
      <w:r w:rsidRPr="00840D6A">
        <w:rPr>
          <w:rFonts w:ascii="Times New Roman" w:hAnsi="Times New Roman" w:cs="Times New Roman"/>
          <w:color w:val="222222"/>
          <w:sz w:val="24"/>
          <w:szCs w:val="24"/>
          <w:highlight w:val="white"/>
          <w:lang w:val="en-GB"/>
        </w:rPr>
        <w:t xml:space="preserve"> [Accessed 1 February 2024]</w:t>
      </w:r>
    </w:p>
    <w:p w14:paraId="62F0873F"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Pattinson, W.H., 2020. Making a city safe enough for travel by bicycle: comparing Inner Melbourne, Amsterdam, and Copenhagen. Available at: </w:t>
      </w:r>
      <w:hyperlink r:id="rId22">
        <w:r w:rsidRPr="00840D6A">
          <w:rPr>
            <w:rFonts w:ascii="Times New Roman" w:hAnsi="Times New Roman" w:cs="Times New Roman"/>
            <w:color w:val="1155CC"/>
            <w:sz w:val="24"/>
            <w:szCs w:val="24"/>
            <w:highlight w:val="white"/>
            <w:u w:val="single"/>
            <w:lang w:val="en-GB"/>
          </w:rPr>
          <w:t>https://www.researchgate.net/profile/Warwick-Pattinson/publication/341265946_Making_a_city_safe_enough_for_travel_by_bicycle_comparing_Inner_Melbourne_Amsterdam_and_Copenhagen_httpbdlhandlenet11343237541/links/5eb66368a6fdcc1f1dcafe6d/Making-a-city-safe-enough-for-travel-by-bicycle-comparing-Inner-Melbourne-Amsterdam-and-Copenhagen-http-bdlhandlenet-11343-237541.pdf</w:t>
        </w:r>
      </w:hyperlink>
      <w:r w:rsidRPr="00840D6A">
        <w:rPr>
          <w:rFonts w:ascii="Times New Roman" w:hAnsi="Times New Roman" w:cs="Times New Roman"/>
          <w:color w:val="222222"/>
          <w:sz w:val="24"/>
          <w:szCs w:val="24"/>
          <w:highlight w:val="white"/>
          <w:lang w:val="en-GB"/>
        </w:rPr>
        <w:t xml:space="preserve"> [Accessed 1 February 2024]</w:t>
      </w:r>
    </w:p>
    <w:p w14:paraId="4081599F"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Ravi, S.J., Warmbrod, K.L., Mullen, L., Meyer, D., Cameron, E., Bell, J., Bapat, P., Paterra, M., Machalaba, C., Nath, I. and Gostin, L.O., 2020. The value proposition of the global health security index. </w:t>
      </w:r>
      <w:r w:rsidRPr="00840D6A">
        <w:rPr>
          <w:rFonts w:ascii="Times New Roman" w:hAnsi="Times New Roman" w:cs="Times New Roman"/>
          <w:i/>
          <w:color w:val="222222"/>
          <w:sz w:val="24"/>
          <w:szCs w:val="24"/>
          <w:highlight w:val="white"/>
          <w:lang w:val="en-GB"/>
        </w:rPr>
        <w:t>BMJ global health</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5</w:t>
      </w:r>
      <w:r w:rsidRPr="00840D6A">
        <w:rPr>
          <w:rFonts w:ascii="Times New Roman" w:hAnsi="Times New Roman" w:cs="Times New Roman"/>
          <w:color w:val="222222"/>
          <w:sz w:val="24"/>
          <w:szCs w:val="24"/>
          <w:highlight w:val="white"/>
          <w:lang w:val="en-GB"/>
        </w:rPr>
        <w:t xml:space="preserve">(10). Available at: </w:t>
      </w:r>
      <w:hyperlink r:id="rId23">
        <w:r w:rsidRPr="00840D6A">
          <w:rPr>
            <w:rFonts w:ascii="Times New Roman" w:hAnsi="Times New Roman" w:cs="Times New Roman"/>
            <w:color w:val="1155CC"/>
            <w:sz w:val="24"/>
            <w:szCs w:val="24"/>
            <w:highlight w:val="white"/>
            <w:u w:val="single"/>
            <w:lang w:val="en-GB"/>
          </w:rPr>
          <w:t>https://www.ncbi.nlm.nih.gov/pmc/articles/PMC7545501/</w:t>
        </w:r>
      </w:hyperlink>
      <w:r w:rsidRPr="00840D6A">
        <w:rPr>
          <w:rFonts w:ascii="Times New Roman" w:hAnsi="Times New Roman" w:cs="Times New Roman"/>
          <w:color w:val="222222"/>
          <w:sz w:val="24"/>
          <w:szCs w:val="24"/>
          <w:highlight w:val="white"/>
          <w:lang w:val="en-GB"/>
        </w:rPr>
        <w:t xml:space="preserve"> [Accessed 1 February 2024]</w:t>
      </w:r>
    </w:p>
    <w:p w14:paraId="3D580B85"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lastRenderedPageBreak/>
        <w:t xml:space="preserve">Shrivastava, P., Smith, M.S., O’Brien, K. and Zsolnai, L., 2020. Transforming sustainability science to generate positive social and environmental change globally. </w:t>
      </w:r>
      <w:r w:rsidRPr="00840D6A">
        <w:rPr>
          <w:rFonts w:ascii="Times New Roman" w:hAnsi="Times New Roman" w:cs="Times New Roman"/>
          <w:i/>
          <w:color w:val="222222"/>
          <w:sz w:val="24"/>
          <w:szCs w:val="24"/>
          <w:highlight w:val="white"/>
          <w:lang w:val="en-GB"/>
        </w:rPr>
        <w:t>One Earth</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2</w:t>
      </w:r>
      <w:r w:rsidRPr="00840D6A">
        <w:rPr>
          <w:rFonts w:ascii="Times New Roman" w:hAnsi="Times New Roman" w:cs="Times New Roman"/>
          <w:color w:val="222222"/>
          <w:sz w:val="24"/>
          <w:szCs w:val="24"/>
          <w:highlight w:val="white"/>
          <w:lang w:val="en-GB"/>
        </w:rPr>
        <w:t xml:space="preserve">(4), pp.329-340. Available at: </w:t>
      </w:r>
      <w:hyperlink r:id="rId24">
        <w:r w:rsidRPr="00840D6A">
          <w:rPr>
            <w:rFonts w:ascii="Times New Roman" w:hAnsi="Times New Roman" w:cs="Times New Roman"/>
            <w:color w:val="1155CC"/>
            <w:sz w:val="24"/>
            <w:szCs w:val="24"/>
            <w:highlight w:val="white"/>
            <w:u w:val="single"/>
            <w:lang w:val="en-GB"/>
          </w:rPr>
          <w:t>https://www.cell.com/one-earth/pdf/S2590-3322(20)30161-5.pdf</w:t>
        </w:r>
      </w:hyperlink>
      <w:r w:rsidRPr="00840D6A">
        <w:rPr>
          <w:rFonts w:ascii="Times New Roman" w:hAnsi="Times New Roman" w:cs="Times New Roman"/>
          <w:color w:val="222222"/>
          <w:sz w:val="24"/>
          <w:szCs w:val="24"/>
          <w:highlight w:val="white"/>
          <w:lang w:val="en-GB"/>
        </w:rPr>
        <w:t xml:space="preserve"> [Accessed 1 February 2024]</w:t>
      </w:r>
    </w:p>
    <w:p w14:paraId="75BEB039"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Smiley, K.T., Chen, Y.A. and Shao, W., 2022. Being green in a green capital: Assessing drivers of pro-environmental behaviors in Copenhagen. </w:t>
      </w:r>
      <w:r w:rsidRPr="00840D6A">
        <w:rPr>
          <w:rFonts w:ascii="Times New Roman" w:hAnsi="Times New Roman" w:cs="Times New Roman"/>
          <w:i/>
          <w:color w:val="222222"/>
          <w:sz w:val="24"/>
          <w:szCs w:val="24"/>
          <w:highlight w:val="white"/>
          <w:lang w:val="en-GB"/>
        </w:rPr>
        <w:t>Cities</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122</w:t>
      </w:r>
      <w:r w:rsidRPr="00840D6A">
        <w:rPr>
          <w:rFonts w:ascii="Times New Roman" w:hAnsi="Times New Roman" w:cs="Times New Roman"/>
          <w:color w:val="222222"/>
          <w:sz w:val="24"/>
          <w:szCs w:val="24"/>
          <w:highlight w:val="white"/>
          <w:lang w:val="en-GB"/>
        </w:rPr>
        <w:t xml:space="preserve">, p.103538. Available at: </w:t>
      </w:r>
      <w:hyperlink r:id="rId25">
        <w:r w:rsidRPr="00840D6A">
          <w:rPr>
            <w:rFonts w:ascii="Times New Roman" w:hAnsi="Times New Roman" w:cs="Times New Roman"/>
            <w:color w:val="1155CC"/>
            <w:sz w:val="24"/>
            <w:szCs w:val="24"/>
            <w:highlight w:val="white"/>
            <w:u w:val="single"/>
            <w:lang w:val="en-GB"/>
          </w:rPr>
          <w:t>https://www.sciencedirect.com/science/article/abs/pii/S0264275121004376</w:t>
        </w:r>
      </w:hyperlink>
      <w:r w:rsidRPr="00840D6A">
        <w:rPr>
          <w:rFonts w:ascii="Times New Roman" w:hAnsi="Times New Roman" w:cs="Times New Roman"/>
          <w:color w:val="222222"/>
          <w:sz w:val="24"/>
          <w:szCs w:val="24"/>
          <w:highlight w:val="white"/>
          <w:lang w:val="en-GB"/>
        </w:rPr>
        <w:t xml:space="preserve">  [Accessed 1 February 2024]</w:t>
      </w:r>
    </w:p>
    <w:p w14:paraId="2F7B82C7"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Thomas, K. and Stephens, S., 2022. Understanding the Management Theory in Event Management: A Conceptual Framework. </w:t>
      </w:r>
      <w:r w:rsidRPr="00840D6A">
        <w:rPr>
          <w:rFonts w:ascii="Times New Roman" w:hAnsi="Times New Roman" w:cs="Times New Roman"/>
          <w:i/>
          <w:color w:val="222222"/>
          <w:sz w:val="24"/>
          <w:szCs w:val="24"/>
          <w:highlight w:val="white"/>
          <w:lang w:val="en-GB"/>
        </w:rPr>
        <w:t>Available at SSRN 4051469</w:t>
      </w:r>
      <w:r w:rsidRPr="00840D6A">
        <w:rPr>
          <w:rFonts w:ascii="Times New Roman" w:hAnsi="Times New Roman" w:cs="Times New Roman"/>
          <w:color w:val="222222"/>
          <w:sz w:val="24"/>
          <w:szCs w:val="24"/>
          <w:highlight w:val="white"/>
          <w:lang w:val="en-GB"/>
        </w:rPr>
        <w:t xml:space="preserve">. Available at: </w:t>
      </w:r>
      <w:hyperlink r:id="rId26">
        <w:r w:rsidRPr="00840D6A">
          <w:rPr>
            <w:rFonts w:ascii="Times New Roman" w:hAnsi="Times New Roman" w:cs="Times New Roman"/>
            <w:color w:val="1155CC"/>
            <w:sz w:val="24"/>
            <w:szCs w:val="24"/>
            <w:highlight w:val="white"/>
            <w:u w:val="single"/>
            <w:lang w:val="en-GB"/>
          </w:rPr>
          <w:t>https://papers.ssrn.com/sol3/papers.cfm?abstract_id=4051469</w:t>
        </w:r>
      </w:hyperlink>
      <w:r w:rsidRPr="00840D6A">
        <w:rPr>
          <w:rFonts w:ascii="Times New Roman" w:hAnsi="Times New Roman" w:cs="Times New Roman"/>
          <w:color w:val="222222"/>
          <w:sz w:val="24"/>
          <w:szCs w:val="24"/>
          <w:highlight w:val="white"/>
          <w:lang w:val="en-GB"/>
        </w:rPr>
        <w:t xml:space="preserve"> [Accessed 1 February 2024]</w:t>
      </w:r>
    </w:p>
    <w:p w14:paraId="3054E0BD"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Walters, A.H., Ghannoum, M., Lisan, M.A. and Moore, K.E., 2021. Environmental technological education in a developing country—Libya. </w:t>
      </w:r>
      <w:r w:rsidRPr="00840D6A">
        <w:rPr>
          <w:rFonts w:ascii="Times New Roman" w:hAnsi="Times New Roman" w:cs="Times New Roman"/>
          <w:i/>
          <w:color w:val="222222"/>
          <w:sz w:val="24"/>
          <w:szCs w:val="24"/>
          <w:highlight w:val="white"/>
          <w:lang w:val="en-GB"/>
        </w:rPr>
        <w:t>The Environmentalist</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1</w:t>
      </w:r>
      <w:r w:rsidRPr="00840D6A">
        <w:rPr>
          <w:rFonts w:ascii="Times New Roman" w:hAnsi="Times New Roman" w:cs="Times New Roman"/>
          <w:color w:val="222222"/>
          <w:sz w:val="24"/>
          <w:szCs w:val="24"/>
          <w:highlight w:val="white"/>
          <w:lang w:val="en-GB"/>
        </w:rPr>
        <w:t xml:space="preserve">(2), pp.133-143. Available at: </w:t>
      </w:r>
      <w:hyperlink r:id="rId27">
        <w:r w:rsidRPr="00840D6A">
          <w:rPr>
            <w:rFonts w:ascii="Times New Roman" w:hAnsi="Times New Roman" w:cs="Times New Roman"/>
            <w:color w:val="1155CC"/>
            <w:sz w:val="24"/>
            <w:szCs w:val="24"/>
            <w:highlight w:val="white"/>
            <w:u w:val="single"/>
            <w:lang w:val="en-GB"/>
          </w:rPr>
          <w:t>https://www.sciencedirect.com/science/article/abs/pii/S0251108881913693</w:t>
        </w:r>
      </w:hyperlink>
      <w:r w:rsidRPr="00840D6A">
        <w:rPr>
          <w:rFonts w:ascii="Times New Roman" w:hAnsi="Times New Roman" w:cs="Times New Roman"/>
          <w:color w:val="222222"/>
          <w:sz w:val="24"/>
          <w:szCs w:val="24"/>
          <w:highlight w:val="white"/>
          <w:lang w:val="en-GB"/>
        </w:rPr>
        <w:t xml:space="preserve">   [Accessed 1 February 2024]</w:t>
      </w:r>
    </w:p>
    <w:p w14:paraId="433E8156"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Xiong, X., Johnson, T., Jayaraman, D., McDonald, E.G., Martel, M. and Barkun, A.N., 2020. At the crossroad with morbidity and mortality conferences: lessons learned through a narrative systematic review. </w:t>
      </w:r>
      <w:r w:rsidRPr="00840D6A">
        <w:rPr>
          <w:rFonts w:ascii="Times New Roman" w:hAnsi="Times New Roman" w:cs="Times New Roman"/>
          <w:i/>
          <w:color w:val="222222"/>
          <w:sz w:val="24"/>
          <w:szCs w:val="24"/>
          <w:highlight w:val="white"/>
          <w:lang w:val="en-GB"/>
        </w:rPr>
        <w:t>Canadian Journal of Gastroenterology and Hepatology</w:t>
      </w:r>
      <w:r w:rsidRPr="00840D6A">
        <w:rPr>
          <w:rFonts w:ascii="Times New Roman" w:hAnsi="Times New Roman" w:cs="Times New Roman"/>
          <w:color w:val="222222"/>
          <w:sz w:val="24"/>
          <w:szCs w:val="24"/>
          <w:highlight w:val="white"/>
          <w:lang w:val="en-GB"/>
        </w:rPr>
        <w:t xml:space="preserve">, </w:t>
      </w:r>
      <w:r w:rsidRPr="00840D6A">
        <w:rPr>
          <w:rFonts w:ascii="Times New Roman" w:hAnsi="Times New Roman" w:cs="Times New Roman"/>
          <w:i/>
          <w:color w:val="222222"/>
          <w:sz w:val="24"/>
          <w:szCs w:val="24"/>
          <w:highlight w:val="white"/>
          <w:lang w:val="en-GB"/>
        </w:rPr>
        <w:t>2016</w:t>
      </w:r>
      <w:r w:rsidRPr="00840D6A">
        <w:rPr>
          <w:rFonts w:ascii="Times New Roman" w:hAnsi="Times New Roman" w:cs="Times New Roman"/>
          <w:color w:val="222222"/>
          <w:sz w:val="24"/>
          <w:szCs w:val="24"/>
          <w:highlight w:val="white"/>
          <w:lang w:val="en-GB"/>
        </w:rPr>
        <w:t xml:space="preserve">. Available at: </w:t>
      </w:r>
      <w:hyperlink r:id="rId28">
        <w:r w:rsidRPr="00840D6A">
          <w:rPr>
            <w:rFonts w:ascii="Times New Roman" w:hAnsi="Times New Roman" w:cs="Times New Roman"/>
            <w:color w:val="1155CC"/>
            <w:sz w:val="24"/>
            <w:szCs w:val="24"/>
            <w:highlight w:val="white"/>
            <w:u w:val="single"/>
            <w:lang w:val="en-GB"/>
          </w:rPr>
          <w:t>https://www.hindawi.com/journals/cjgh/2016/7679196/</w:t>
        </w:r>
      </w:hyperlink>
      <w:r w:rsidRPr="00840D6A">
        <w:rPr>
          <w:rFonts w:ascii="Times New Roman" w:hAnsi="Times New Roman" w:cs="Times New Roman"/>
          <w:color w:val="222222"/>
          <w:sz w:val="24"/>
          <w:szCs w:val="24"/>
          <w:highlight w:val="white"/>
          <w:lang w:val="en-GB"/>
        </w:rPr>
        <w:t xml:space="preserve">  [Accessed 1 February 2024]</w:t>
      </w:r>
    </w:p>
    <w:p w14:paraId="4FF48F71" w14:textId="77777777" w:rsidR="00840D6A" w:rsidRPr="00840D6A" w:rsidRDefault="00840D6A">
      <w:pPr>
        <w:spacing w:line="360" w:lineRule="auto"/>
        <w:jc w:val="both"/>
        <w:rPr>
          <w:rFonts w:ascii="Times New Roman" w:hAnsi="Times New Roman" w:cs="Times New Roman"/>
          <w:color w:val="222222"/>
          <w:sz w:val="24"/>
          <w:szCs w:val="24"/>
          <w:highlight w:val="white"/>
          <w:lang w:val="en-GB"/>
        </w:rPr>
      </w:pPr>
      <w:r w:rsidRPr="00840D6A">
        <w:rPr>
          <w:rFonts w:ascii="Times New Roman" w:hAnsi="Times New Roman" w:cs="Times New Roman"/>
          <w:color w:val="222222"/>
          <w:sz w:val="24"/>
          <w:szCs w:val="24"/>
          <w:highlight w:val="white"/>
          <w:lang w:val="en-GB"/>
        </w:rPr>
        <w:t xml:space="preserve">Yehia, S.N., 2019. </w:t>
      </w:r>
      <w:r w:rsidRPr="00840D6A">
        <w:rPr>
          <w:rFonts w:ascii="Times New Roman" w:hAnsi="Times New Roman" w:cs="Times New Roman"/>
          <w:i/>
          <w:color w:val="222222"/>
          <w:sz w:val="24"/>
          <w:szCs w:val="24"/>
          <w:highlight w:val="white"/>
          <w:lang w:val="en-GB"/>
        </w:rPr>
        <w:t>Managing Sustainable Global Events: Sustainability Practices of Expo 2020</w:t>
      </w:r>
      <w:r w:rsidRPr="00840D6A">
        <w:rPr>
          <w:rFonts w:ascii="Times New Roman" w:hAnsi="Times New Roman" w:cs="Times New Roman"/>
          <w:color w:val="222222"/>
          <w:sz w:val="24"/>
          <w:szCs w:val="24"/>
          <w:highlight w:val="white"/>
          <w:lang w:val="en-GB"/>
        </w:rPr>
        <w:t xml:space="preserve"> (Doctoral dissertation, The British University in Dubai). Available at: </w:t>
      </w:r>
      <w:hyperlink r:id="rId29">
        <w:r w:rsidRPr="00840D6A">
          <w:rPr>
            <w:rFonts w:ascii="Times New Roman" w:hAnsi="Times New Roman" w:cs="Times New Roman"/>
            <w:color w:val="1155CC"/>
            <w:sz w:val="24"/>
            <w:szCs w:val="24"/>
            <w:highlight w:val="white"/>
            <w:u w:val="single"/>
            <w:lang w:val="en-GB"/>
          </w:rPr>
          <w:t>https://www.proquest.com/openview/b69d5ce8760acadae0da952ee208612b/1?pq-origsite=gscholar&amp;cbl=2026366&amp;diss=y</w:t>
        </w:r>
      </w:hyperlink>
      <w:r w:rsidRPr="00840D6A">
        <w:rPr>
          <w:rFonts w:ascii="Times New Roman" w:hAnsi="Times New Roman" w:cs="Times New Roman"/>
          <w:color w:val="222222"/>
          <w:sz w:val="24"/>
          <w:szCs w:val="24"/>
          <w:highlight w:val="white"/>
          <w:lang w:val="en-GB"/>
        </w:rPr>
        <w:t xml:space="preserve">  [Accessed 1 February 2024]</w:t>
      </w:r>
    </w:p>
    <w:p w14:paraId="742FBBAA" w14:textId="77777777" w:rsidR="006A64E4" w:rsidRPr="00840D6A" w:rsidRDefault="006A64E4">
      <w:pPr>
        <w:spacing w:line="360" w:lineRule="auto"/>
        <w:jc w:val="both"/>
        <w:rPr>
          <w:color w:val="222222"/>
          <w:sz w:val="20"/>
          <w:szCs w:val="20"/>
          <w:highlight w:val="white"/>
          <w:lang w:val="en-GB"/>
        </w:rPr>
      </w:pPr>
    </w:p>
    <w:p w14:paraId="663F4BE3" w14:textId="77777777" w:rsidR="006A64E4" w:rsidRPr="00840D6A" w:rsidRDefault="006A64E4">
      <w:pPr>
        <w:spacing w:line="360" w:lineRule="auto"/>
        <w:jc w:val="both"/>
        <w:rPr>
          <w:color w:val="222222"/>
          <w:sz w:val="20"/>
          <w:szCs w:val="20"/>
          <w:highlight w:val="white"/>
          <w:lang w:val="en-GB"/>
        </w:rPr>
      </w:pPr>
    </w:p>
    <w:p w14:paraId="254F294B" w14:textId="77777777" w:rsidR="006A64E4" w:rsidRPr="00840D6A" w:rsidRDefault="006A64E4">
      <w:pPr>
        <w:spacing w:line="360" w:lineRule="auto"/>
        <w:jc w:val="both"/>
        <w:rPr>
          <w:color w:val="222222"/>
          <w:sz w:val="20"/>
          <w:szCs w:val="20"/>
          <w:highlight w:val="white"/>
          <w:lang w:val="en-GB"/>
        </w:rPr>
      </w:pPr>
    </w:p>
    <w:p w14:paraId="68EFF650" w14:textId="77777777" w:rsidR="006A64E4" w:rsidRPr="00840D6A" w:rsidRDefault="006A64E4">
      <w:pPr>
        <w:spacing w:line="360" w:lineRule="auto"/>
        <w:jc w:val="both"/>
        <w:rPr>
          <w:color w:val="222222"/>
          <w:sz w:val="20"/>
          <w:szCs w:val="20"/>
          <w:highlight w:val="white"/>
          <w:lang w:val="en-GB"/>
        </w:rPr>
      </w:pPr>
    </w:p>
    <w:p w14:paraId="58C9539F" w14:textId="77777777" w:rsidR="006A64E4" w:rsidRPr="00840D6A" w:rsidRDefault="006A64E4">
      <w:pPr>
        <w:spacing w:line="360" w:lineRule="auto"/>
        <w:jc w:val="both"/>
        <w:rPr>
          <w:color w:val="222222"/>
          <w:sz w:val="20"/>
          <w:szCs w:val="20"/>
          <w:highlight w:val="white"/>
          <w:lang w:val="en-GB"/>
        </w:rPr>
      </w:pPr>
    </w:p>
    <w:p w14:paraId="3E99DE91" w14:textId="77777777" w:rsidR="006A64E4" w:rsidRPr="00840D6A" w:rsidRDefault="006A64E4">
      <w:pPr>
        <w:spacing w:line="360" w:lineRule="auto"/>
        <w:jc w:val="both"/>
        <w:rPr>
          <w:color w:val="222222"/>
          <w:sz w:val="20"/>
          <w:szCs w:val="20"/>
          <w:highlight w:val="white"/>
          <w:lang w:val="en-GB"/>
        </w:rPr>
      </w:pPr>
    </w:p>
    <w:p w14:paraId="2FFC386B" w14:textId="77777777" w:rsidR="006A64E4" w:rsidRPr="00840D6A" w:rsidRDefault="006A64E4">
      <w:pPr>
        <w:spacing w:line="360" w:lineRule="auto"/>
        <w:jc w:val="both"/>
        <w:rPr>
          <w:color w:val="222222"/>
          <w:sz w:val="20"/>
          <w:szCs w:val="20"/>
          <w:highlight w:val="white"/>
          <w:lang w:val="en-GB"/>
        </w:rPr>
      </w:pPr>
    </w:p>
    <w:p w14:paraId="7A0D2F3E" w14:textId="77777777" w:rsidR="006A64E4" w:rsidRPr="00840D6A" w:rsidRDefault="006A64E4">
      <w:pPr>
        <w:spacing w:line="360" w:lineRule="auto"/>
        <w:jc w:val="both"/>
        <w:rPr>
          <w:color w:val="222222"/>
          <w:sz w:val="20"/>
          <w:szCs w:val="20"/>
          <w:highlight w:val="white"/>
          <w:lang w:val="en-GB"/>
        </w:rPr>
      </w:pPr>
    </w:p>
    <w:sectPr w:rsidR="006A64E4" w:rsidRPr="00840D6A" w:rsidSect="00054086">
      <w:footerReference w:type="default" r:id="rId3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01AAA" w14:textId="77777777" w:rsidR="00054086" w:rsidRDefault="00054086" w:rsidP="00840D6A">
      <w:pPr>
        <w:spacing w:line="240" w:lineRule="auto"/>
      </w:pPr>
      <w:r>
        <w:separator/>
      </w:r>
    </w:p>
  </w:endnote>
  <w:endnote w:type="continuationSeparator" w:id="0">
    <w:p w14:paraId="7B6CD518" w14:textId="77777777" w:rsidR="00054086" w:rsidRDefault="00054086" w:rsidP="00840D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087721"/>
      <w:docPartObj>
        <w:docPartGallery w:val="Page Numbers (Bottom of Page)"/>
        <w:docPartUnique/>
      </w:docPartObj>
    </w:sdtPr>
    <w:sdtEndPr>
      <w:rPr>
        <w:noProof/>
      </w:rPr>
    </w:sdtEndPr>
    <w:sdtContent>
      <w:p w14:paraId="29189CEA" w14:textId="77777777" w:rsidR="00840D6A" w:rsidRDefault="00840D6A">
        <w:pPr>
          <w:pStyle w:val="Footer"/>
          <w:jc w:val="right"/>
        </w:pPr>
        <w:r>
          <w:fldChar w:fldCharType="begin"/>
        </w:r>
        <w:r>
          <w:instrText xml:space="preserve"> PAGE   \* MERGEFORMAT </w:instrText>
        </w:r>
        <w:r>
          <w:fldChar w:fldCharType="separate"/>
        </w:r>
        <w:r w:rsidR="009A28D2">
          <w:rPr>
            <w:noProof/>
          </w:rPr>
          <w:t>5</w:t>
        </w:r>
        <w:r>
          <w:rPr>
            <w:noProof/>
          </w:rPr>
          <w:fldChar w:fldCharType="end"/>
        </w:r>
      </w:p>
    </w:sdtContent>
  </w:sdt>
  <w:p w14:paraId="30489713" w14:textId="77777777" w:rsidR="00840D6A" w:rsidRDefault="00840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5DBBE" w14:textId="77777777" w:rsidR="00054086" w:rsidRDefault="00054086" w:rsidP="00840D6A">
      <w:pPr>
        <w:spacing w:line="240" w:lineRule="auto"/>
      </w:pPr>
      <w:r>
        <w:separator/>
      </w:r>
    </w:p>
  </w:footnote>
  <w:footnote w:type="continuationSeparator" w:id="0">
    <w:p w14:paraId="3AD1F899" w14:textId="77777777" w:rsidR="00054086" w:rsidRDefault="00054086" w:rsidP="00840D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yMzUzMDMwNLYwMzZQ0lEKTi0uzszPAykwrAUASjGr9iwAAAA="/>
  </w:docVars>
  <w:rsids>
    <w:rsidRoot w:val="006A64E4"/>
    <w:rsid w:val="00035A4F"/>
    <w:rsid w:val="00054086"/>
    <w:rsid w:val="00324A85"/>
    <w:rsid w:val="004443AE"/>
    <w:rsid w:val="00507A60"/>
    <w:rsid w:val="006A64E4"/>
    <w:rsid w:val="00721E3F"/>
    <w:rsid w:val="00840D6A"/>
    <w:rsid w:val="008646EE"/>
    <w:rsid w:val="008D2607"/>
    <w:rsid w:val="008D7394"/>
    <w:rsid w:val="009A28D2"/>
    <w:rsid w:val="00C03966"/>
    <w:rsid w:val="00DB3793"/>
    <w:rsid w:val="00DE28F7"/>
    <w:rsid w:val="00E0325A"/>
    <w:rsid w:val="00E15939"/>
    <w:rsid w:val="00E93E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B4AF6"/>
  <w15:docId w15:val="{D7F98F33-5490-45D5-92F7-2CDD21A2C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840D6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C03966"/>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840D6A"/>
    <w:pPr>
      <w:ind w:left="720"/>
      <w:contextualSpacing/>
    </w:pPr>
  </w:style>
  <w:style w:type="paragraph" w:styleId="TOCHeading">
    <w:name w:val="TOC Heading"/>
    <w:basedOn w:val="Heading1"/>
    <w:next w:val="Normal"/>
    <w:uiPriority w:val="39"/>
    <w:unhideWhenUsed/>
    <w:qFormat/>
    <w:rsid w:val="00840D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40D6A"/>
    <w:pPr>
      <w:spacing w:after="100"/>
    </w:pPr>
  </w:style>
  <w:style w:type="character" w:styleId="Hyperlink">
    <w:name w:val="Hyperlink"/>
    <w:basedOn w:val="DefaultParagraphFont"/>
    <w:uiPriority w:val="99"/>
    <w:unhideWhenUsed/>
    <w:rsid w:val="00840D6A"/>
    <w:rPr>
      <w:color w:val="0000FF" w:themeColor="hyperlink"/>
      <w:u w:val="single"/>
    </w:rPr>
  </w:style>
  <w:style w:type="paragraph" w:styleId="Header">
    <w:name w:val="header"/>
    <w:basedOn w:val="Normal"/>
    <w:link w:val="HeaderChar"/>
    <w:uiPriority w:val="99"/>
    <w:unhideWhenUsed/>
    <w:rsid w:val="00840D6A"/>
    <w:pPr>
      <w:tabs>
        <w:tab w:val="center" w:pos="4513"/>
        <w:tab w:val="right" w:pos="9026"/>
      </w:tabs>
      <w:spacing w:line="240" w:lineRule="auto"/>
    </w:pPr>
  </w:style>
  <w:style w:type="character" w:customStyle="1" w:styleId="HeaderChar">
    <w:name w:val="Header Char"/>
    <w:basedOn w:val="DefaultParagraphFont"/>
    <w:link w:val="Header"/>
    <w:uiPriority w:val="99"/>
    <w:rsid w:val="00840D6A"/>
  </w:style>
  <w:style w:type="paragraph" w:styleId="Footer">
    <w:name w:val="footer"/>
    <w:basedOn w:val="Normal"/>
    <w:link w:val="FooterChar"/>
    <w:uiPriority w:val="99"/>
    <w:unhideWhenUsed/>
    <w:rsid w:val="00840D6A"/>
    <w:pPr>
      <w:tabs>
        <w:tab w:val="center" w:pos="4513"/>
        <w:tab w:val="right" w:pos="9026"/>
      </w:tabs>
      <w:spacing w:line="240" w:lineRule="auto"/>
    </w:pPr>
  </w:style>
  <w:style w:type="character" w:customStyle="1" w:styleId="FooterChar">
    <w:name w:val="Footer Char"/>
    <w:basedOn w:val="DefaultParagraphFont"/>
    <w:link w:val="Footer"/>
    <w:uiPriority w:val="99"/>
    <w:rsid w:val="00840D6A"/>
  </w:style>
  <w:style w:type="character" w:customStyle="1" w:styleId="Heading7Char">
    <w:name w:val="Heading 7 Char"/>
    <w:basedOn w:val="DefaultParagraphFont"/>
    <w:link w:val="Heading7"/>
    <w:uiPriority w:val="9"/>
    <w:rsid w:val="00C03966"/>
    <w:rPr>
      <w:rFonts w:asciiTheme="majorHAnsi" w:eastAsiaTheme="majorEastAsia" w:hAnsiTheme="majorHAnsi" w:cstheme="majorBidi"/>
      <w:i/>
      <w:iCs/>
      <w:color w:val="243F60" w:themeColor="accent1" w:themeShade="7F"/>
    </w:rPr>
  </w:style>
  <w:style w:type="paragraph" w:styleId="IntenseQuote">
    <w:name w:val="Intense Quote"/>
    <w:basedOn w:val="Normal"/>
    <w:next w:val="Normal"/>
    <w:link w:val="IntenseQuoteChar"/>
    <w:uiPriority w:val="30"/>
    <w:qFormat/>
    <w:rsid w:val="00C0396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C03966"/>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ature.com/articles/s41599-022-01109-4" TargetMode="External"/><Relationship Id="rId18" Type="http://schemas.openxmlformats.org/officeDocument/2006/relationships/hyperlink" Target="https://link.springer.com/article/10.1007/s12008-019-00640-0" TargetMode="External"/><Relationship Id="rId26" Type="http://schemas.openxmlformats.org/officeDocument/2006/relationships/hyperlink" Target="https://papers.ssrn.com/sol3/papers.cfm?abstract_id=4051469" TargetMode="External"/><Relationship Id="rId3" Type="http://schemas.openxmlformats.org/officeDocument/2006/relationships/settings" Target="settings.xml"/><Relationship Id="rId21" Type="http://schemas.openxmlformats.org/officeDocument/2006/relationships/hyperlink" Target="https://www.sciencedirect.com/science/article/abs/pii/S0969593114000274" TargetMode="External"/><Relationship Id="rId7" Type="http://schemas.openxmlformats.org/officeDocument/2006/relationships/image" Target="media/image1.png"/><Relationship Id="rId12" Type="http://schemas.openxmlformats.org/officeDocument/2006/relationships/hyperlink" Target="https://ieeexplore.ieee.org/abstract/document/7500674/" TargetMode="External"/><Relationship Id="rId17" Type="http://schemas.openxmlformats.org/officeDocument/2006/relationships/hyperlink" Target="https://ijtah.journals.ekb.eg/article_283564_ce9340ba3c4e8a64907131af0801d39c.pdf" TargetMode="External"/><Relationship Id="rId25" Type="http://schemas.openxmlformats.org/officeDocument/2006/relationships/hyperlink" Target="https://www.sciencedirect.com/science/article/abs/pii/S0264275121004376" TargetMode="External"/><Relationship Id="rId2" Type="http://schemas.openxmlformats.org/officeDocument/2006/relationships/styles" Target="styles.xml"/><Relationship Id="rId16" Type="http://schemas.openxmlformats.org/officeDocument/2006/relationships/hyperlink" Target="https://ieeexplore.ieee.org/abstract/document/9151934/" TargetMode="External"/><Relationship Id="rId20" Type="http://schemas.openxmlformats.org/officeDocument/2006/relationships/hyperlink" Target="https://www.taylorfrancis.com/books/mono/10.4324/9781315439723/sustainable-event-management-meegan-jones" TargetMode="External"/><Relationship Id="rId29" Type="http://schemas.openxmlformats.org/officeDocument/2006/relationships/hyperlink" Target="https://www.proquest.com/openview/b69d5ce8760acadae0da952ee208612b/1?pq-origsite=gscholar&amp;cbl=2026366&amp;diss=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books?hl=en&amp;lr=&amp;id=fbIxEAAAQBAJ&amp;oi=fnd&amp;pg=PR3&amp;dq=The+incorporation+of+technology+into+event+planning+and+execution+has+become+a+prevailing+trend&amp;ots=yU5Z5Z9p_u&amp;sig=e-Xi5vginrDWFF_kkdH-0bJl980&amp;redir_esc=y" TargetMode="External"/><Relationship Id="rId24" Type="http://schemas.openxmlformats.org/officeDocument/2006/relationships/hyperlink" Target="https://www.cell.com/one-earth/pdf/S2590-3322(20)30161-5.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dpi.com/2071-1050/12/17/7218" TargetMode="External"/><Relationship Id="rId23" Type="http://schemas.openxmlformats.org/officeDocument/2006/relationships/hyperlink" Target="https://www.ncbi.nlm.nih.gov/pmc/articles/PMC7545501/" TargetMode="External"/><Relationship Id="rId28" Type="http://schemas.openxmlformats.org/officeDocument/2006/relationships/hyperlink" Target="https://www.hindawi.com/journals/cjgh/2016/7679196/" TargetMode="External"/><Relationship Id="rId10" Type="http://schemas.openxmlformats.org/officeDocument/2006/relationships/hyperlink" Target="https://www.mdpi.com/2071-1050/12/20/8431" TargetMode="External"/><Relationship Id="rId19" Type="http://schemas.openxmlformats.org/officeDocument/2006/relationships/hyperlink" Target="https://www.cell.com/joule/pdf/S2542-4351(18)30562-2.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abs/pii/S1053482220300632" TargetMode="External"/><Relationship Id="rId22" Type="http://schemas.openxmlformats.org/officeDocument/2006/relationships/hyperlink" Target="https://www.researchgate.net/profile/Warwick-Pattinson/publication/341265946_Making_a_city_safe_enough_for_travel_by_bicycle_comparing_Inner_Melbourne_Amsterdam_and_Copenhagen_httpbdlhandlenet11343237541/links/5eb66368a6fdcc1f1dcafe6d/Making-a-city-safe-enough-for-travel-by-bicycle-comparing-Inner-Melbourne-Amsterdam-and-Copenhagen-http-bdlhandlenet-11343-237541.pdf" TargetMode="External"/><Relationship Id="rId27" Type="http://schemas.openxmlformats.org/officeDocument/2006/relationships/hyperlink" Target="https://www.sciencedirect.com/science/article/abs/pii/S025110888191369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04373C-66D1-4464-B94F-FFD83A12B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4126</Words>
  <Characters>23520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6</cp:revision>
  <dcterms:created xsi:type="dcterms:W3CDTF">2024-02-01T12:43:00Z</dcterms:created>
  <dcterms:modified xsi:type="dcterms:W3CDTF">2024-02-26T12:06:00Z</dcterms:modified>
</cp:coreProperties>
</file>