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F6F1A3" w14:textId="77777777" w:rsidR="003B5232" w:rsidRPr="001103E6" w:rsidRDefault="003B5232" w:rsidP="001103E6">
      <w:pPr>
        <w:jc w:val="center"/>
        <w:rPr>
          <w:b/>
          <w:bCs w:val="0"/>
        </w:rPr>
      </w:pPr>
      <w:r w:rsidRPr="001103E6">
        <w:rPr>
          <w:b/>
          <w:bCs w:val="0"/>
        </w:rPr>
        <w:t>Research Proposal</w:t>
      </w:r>
    </w:p>
    <w:p w14:paraId="38442BAC" w14:textId="79F624BF" w:rsidR="003B5995" w:rsidRPr="003B5995" w:rsidRDefault="003B5995" w:rsidP="001103E6">
      <w:pPr>
        <w:rPr>
          <w:b/>
          <w:bCs w:val="0"/>
          <w:sz w:val="24"/>
          <w:szCs w:val="24"/>
        </w:rPr>
      </w:pPr>
      <w:r w:rsidRPr="003B5995">
        <w:rPr>
          <w:b/>
          <w:bCs w:val="0"/>
          <w:sz w:val="24"/>
          <w:szCs w:val="24"/>
        </w:rPr>
        <w:t>Name. Ibrahim Mohamed</w:t>
      </w:r>
    </w:p>
    <w:p w14:paraId="50B31B68" w14:textId="4BBED996" w:rsidR="003B5995" w:rsidRPr="003B5995" w:rsidRDefault="003B5995" w:rsidP="001103E6">
      <w:pPr>
        <w:rPr>
          <w:b/>
          <w:bCs w:val="0"/>
          <w:sz w:val="24"/>
          <w:szCs w:val="24"/>
        </w:rPr>
      </w:pPr>
      <w:r w:rsidRPr="003B5995">
        <w:rPr>
          <w:b/>
          <w:bCs w:val="0"/>
          <w:sz w:val="24"/>
          <w:szCs w:val="24"/>
        </w:rPr>
        <w:t xml:space="preserve">Student number. </w:t>
      </w:r>
      <w:r w:rsidRPr="003B5995">
        <w:rPr>
          <w:b/>
          <w:bCs w:val="0"/>
          <w:sz w:val="24"/>
          <w:szCs w:val="24"/>
        </w:rPr>
        <w:t>2132801</w:t>
      </w:r>
    </w:p>
    <w:p w14:paraId="3501BE6A" w14:textId="77777777" w:rsidR="003B5995" w:rsidRPr="003B5995" w:rsidRDefault="003B5995" w:rsidP="003B5995">
      <w:pPr>
        <w:rPr>
          <w:b/>
          <w:bCs w:val="0"/>
          <w:sz w:val="24"/>
          <w:szCs w:val="24"/>
        </w:rPr>
      </w:pPr>
      <w:r w:rsidRPr="003B5995">
        <w:rPr>
          <w:b/>
          <w:bCs w:val="0"/>
          <w:sz w:val="24"/>
          <w:szCs w:val="24"/>
        </w:rPr>
        <w:t>Title: Gaza Between Quantity and Quality: How a Small Entity Created a Global Human Impact</w:t>
      </w:r>
    </w:p>
    <w:p w14:paraId="5D2D7C2D" w14:textId="77777777" w:rsidR="003B5995" w:rsidRPr="003B5232" w:rsidRDefault="003B5995" w:rsidP="001103E6"/>
    <w:p w14:paraId="3E2C63D0" w14:textId="77777777" w:rsidR="003B5232" w:rsidRDefault="003B5232" w:rsidP="00187ECE">
      <w:r>
        <w:br w:type="page"/>
      </w:r>
    </w:p>
    <w:sdt>
      <w:sdtPr>
        <w:rPr>
          <w:rFonts w:ascii="Times New Roman" w:eastAsiaTheme="minorHAnsi" w:hAnsi="Times New Roman" w:cstheme="minorBidi"/>
          <w:bCs/>
          <w:color w:val="auto"/>
          <w:sz w:val="22"/>
          <w:szCs w:val="22"/>
        </w:rPr>
        <w:id w:val="-1150209397"/>
        <w:docPartObj>
          <w:docPartGallery w:val="Table of Contents"/>
          <w:docPartUnique/>
        </w:docPartObj>
      </w:sdtPr>
      <w:sdtEndPr>
        <w:rPr>
          <w:b/>
          <w:noProof/>
        </w:rPr>
      </w:sdtEndPr>
      <w:sdtContent>
        <w:p w14:paraId="4A0A1170" w14:textId="51CDC2D9" w:rsidR="00DA7D87" w:rsidRDefault="00DA7D87">
          <w:pPr>
            <w:pStyle w:val="TOCHeading"/>
          </w:pPr>
          <w:r>
            <w:t>Contents</w:t>
          </w:r>
        </w:p>
        <w:p w14:paraId="0C1731DC" w14:textId="6FEE9C3D" w:rsidR="00AF28FC" w:rsidRDefault="00DA7D87">
          <w:pPr>
            <w:pStyle w:val="TOC1"/>
            <w:tabs>
              <w:tab w:val="right" w:leader="dot" w:pos="9350"/>
            </w:tabs>
            <w:rPr>
              <w:rFonts w:asciiTheme="minorHAnsi" w:eastAsiaTheme="minorEastAsia" w:hAnsiTheme="minorHAnsi"/>
              <w:bCs w:val="0"/>
              <w:noProof/>
              <w:kern w:val="2"/>
              <w:sz w:val="24"/>
              <w:szCs w:val="24"/>
              <w14:ligatures w14:val="standardContextual"/>
            </w:rPr>
          </w:pPr>
          <w:r>
            <w:fldChar w:fldCharType="begin"/>
          </w:r>
          <w:r>
            <w:instrText xml:space="preserve"> TOC \o "1-3" \h \z \u </w:instrText>
          </w:r>
          <w:r>
            <w:fldChar w:fldCharType="separate"/>
          </w:r>
          <w:hyperlink w:anchor="_Toc214561614" w:history="1">
            <w:r w:rsidR="00AF28FC" w:rsidRPr="006A4BBD">
              <w:rPr>
                <w:rStyle w:val="Hyperlink"/>
                <w:noProof/>
              </w:rPr>
              <w:t>Introduction and Background</w:t>
            </w:r>
            <w:r w:rsidR="00AF28FC">
              <w:rPr>
                <w:noProof/>
                <w:webHidden/>
              </w:rPr>
              <w:tab/>
            </w:r>
            <w:r w:rsidR="00AF28FC">
              <w:rPr>
                <w:noProof/>
                <w:webHidden/>
              </w:rPr>
              <w:fldChar w:fldCharType="begin"/>
            </w:r>
            <w:r w:rsidR="00AF28FC">
              <w:rPr>
                <w:noProof/>
                <w:webHidden/>
              </w:rPr>
              <w:instrText xml:space="preserve"> PAGEREF _Toc214561614 \h </w:instrText>
            </w:r>
            <w:r w:rsidR="00AF28FC">
              <w:rPr>
                <w:noProof/>
                <w:webHidden/>
              </w:rPr>
            </w:r>
            <w:r w:rsidR="00AF28FC">
              <w:rPr>
                <w:noProof/>
                <w:webHidden/>
              </w:rPr>
              <w:fldChar w:fldCharType="separate"/>
            </w:r>
            <w:r w:rsidR="00AF28FC">
              <w:rPr>
                <w:noProof/>
                <w:webHidden/>
              </w:rPr>
              <w:t>3</w:t>
            </w:r>
            <w:r w:rsidR="00AF28FC">
              <w:rPr>
                <w:noProof/>
                <w:webHidden/>
              </w:rPr>
              <w:fldChar w:fldCharType="end"/>
            </w:r>
          </w:hyperlink>
        </w:p>
        <w:p w14:paraId="70E08A74" w14:textId="2819D2F4" w:rsidR="00AF28FC" w:rsidRDefault="00AF28FC">
          <w:pPr>
            <w:pStyle w:val="TOC1"/>
            <w:tabs>
              <w:tab w:val="right" w:leader="dot" w:pos="9350"/>
            </w:tabs>
            <w:rPr>
              <w:rFonts w:asciiTheme="minorHAnsi" w:eastAsiaTheme="minorEastAsia" w:hAnsiTheme="minorHAnsi"/>
              <w:bCs w:val="0"/>
              <w:noProof/>
              <w:kern w:val="2"/>
              <w:sz w:val="24"/>
              <w:szCs w:val="24"/>
              <w14:ligatures w14:val="standardContextual"/>
            </w:rPr>
          </w:pPr>
          <w:hyperlink w:anchor="_Toc214561615" w:history="1">
            <w:r w:rsidRPr="006A4BBD">
              <w:rPr>
                <w:rStyle w:val="Hyperlink"/>
                <w:noProof/>
              </w:rPr>
              <w:t>Keywords</w:t>
            </w:r>
            <w:r>
              <w:rPr>
                <w:noProof/>
                <w:webHidden/>
              </w:rPr>
              <w:tab/>
            </w:r>
            <w:r>
              <w:rPr>
                <w:noProof/>
                <w:webHidden/>
              </w:rPr>
              <w:fldChar w:fldCharType="begin"/>
            </w:r>
            <w:r>
              <w:rPr>
                <w:noProof/>
                <w:webHidden/>
              </w:rPr>
              <w:instrText xml:space="preserve"> PAGEREF _Toc214561615 \h </w:instrText>
            </w:r>
            <w:r>
              <w:rPr>
                <w:noProof/>
                <w:webHidden/>
              </w:rPr>
            </w:r>
            <w:r>
              <w:rPr>
                <w:noProof/>
                <w:webHidden/>
              </w:rPr>
              <w:fldChar w:fldCharType="separate"/>
            </w:r>
            <w:r>
              <w:rPr>
                <w:noProof/>
                <w:webHidden/>
              </w:rPr>
              <w:t>3</w:t>
            </w:r>
            <w:r>
              <w:rPr>
                <w:noProof/>
                <w:webHidden/>
              </w:rPr>
              <w:fldChar w:fldCharType="end"/>
            </w:r>
          </w:hyperlink>
        </w:p>
        <w:p w14:paraId="712C738E" w14:textId="0B07D0E7" w:rsidR="00AF28FC" w:rsidRDefault="00AF28FC">
          <w:pPr>
            <w:pStyle w:val="TOC1"/>
            <w:tabs>
              <w:tab w:val="right" w:leader="dot" w:pos="9350"/>
            </w:tabs>
            <w:rPr>
              <w:rFonts w:asciiTheme="minorHAnsi" w:eastAsiaTheme="minorEastAsia" w:hAnsiTheme="minorHAnsi"/>
              <w:bCs w:val="0"/>
              <w:noProof/>
              <w:kern w:val="2"/>
              <w:sz w:val="24"/>
              <w:szCs w:val="24"/>
              <w14:ligatures w14:val="standardContextual"/>
            </w:rPr>
          </w:pPr>
          <w:hyperlink w:anchor="_Toc214561616" w:history="1">
            <w:r w:rsidRPr="006A4BBD">
              <w:rPr>
                <w:rStyle w:val="Hyperlink"/>
                <w:noProof/>
              </w:rPr>
              <w:t>Research Aim and Objectives</w:t>
            </w:r>
            <w:r>
              <w:rPr>
                <w:noProof/>
                <w:webHidden/>
              </w:rPr>
              <w:tab/>
            </w:r>
            <w:r>
              <w:rPr>
                <w:noProof/>
                <w:webHidden/>
              </w:rPr>
              <w:fldChar w:fldCharType="begin"/>
            </w:r>
            <w:r>
              <w:rPr>
                <w:noProof/>
                <w:webHidden/>
              </w:rPr>
              <w:instrText xml:space="preserve"> PAGEREF _Toc214561616 \h </w:instrText>
            </w:r>
            <w:r>
              <w:rPr>
                <w:noProof/>
                <w:webHidden/>
              </w:rPr>
            </w:r>
            <w:r>
              <w:rPr>
                <w:noProof/>
                <w:webHidden/>
              </w:rPr>
              <w:fldChar w:fldCharType="separate"/>
            </w:r>
            <w:r>
              <w:rPr>
                <w:noProof/>
                <w:webHidden/>
              </w:rPr>
              <w:t>3</w:t>
            </w:r>
            <w:r>
              <w:rPr>
                <w:noProof/>
                <w:webHidden/>
              </w:rPr>
              <w:fldChar w:fldCharType="end"/>
            </w:r>
          </w:hyperlink>
        </w:p>
        <w:p w14:paraId="515A12AF" w14:textId="215D8D54" w:rsidR="00AF28FC" w:rsidRDefault="00AF28FC">
          <w:pPr>
            <w:pStyle w:val="TOC1"/>
            <w:tabs>
              <w:tab w:val="right" w:leader="dot" w:pos="9350"/>
            </w:tabs>
            <w:rPr>
              <w:rFonts w:asciiTheme="minorHAnsi" w:eastAsiaTheme="minorEastAsia" w:hAnsiTheme="minorHAnsi"/>
              <w:bCs w:val="0"/>
              <w:noProof/>
              <w:kern w:val="2"/>
              <w:sz w:val="24"/>
              <w:szCs w:val="24"/>
              <w14:ligatures w14:val="standardContextual"/>
            </w:rPr>
          </w:pPr>
          <w:hyperlink w:anchor="_Toc214561617" w:history="1">
            <w:r w:rsidRPr="006A4BBD">
              <w:rPr>
                <w:rStyle w:val="Hyperlink"/>
                <w:noProof/>
              </w:rPr>
              <w:t>Research Questions</w:t>
            </w:r>
            <w:r>
              <w:rPr>
                <w:noProof/>
                <w:webHidden/>
              </w:rPr>
              <w:tab/>
            </w:r>
            <w:r>
              <w:rPr>
                <w:noProof/>
                <w:webHidden/>
              </w:rPr>
              <w:fldChar w:fldCharType="begin"/>
            </w:r>
            <w:r>
              <w:rPr>
                <w:noProof/>
                <w:webHidden/>
              </w:rPr>
              <w:instrText xml:space="preserve"> PAGEREF _Toc214561617 \h </w:instrText>
            </w:r>
            <w:r>
              <w:rPr>
                <w:noProof/>
                <w:webHidden/>
              </w:rPr>
            </w:r>
            <w:r>
              <w:rPr>
                <w:noProof/>
                <w:webHidden/>
              </w:rPr>
              <w:fldChar w:fldCharType="separate"/>
            </w:r>
            <w:r>
              <w:rPr>
                <w:noProof/>
                <w:webHidden/>
              </w:rPr>
              <w:t>4</w:t>
            </w:r>
            <w:r>
              <w:rPr>
                <w:noProof/>
                <w:webHidden/>
              </w:rPr>
              <w:fldChar w:fldCharType="end"/>
            </w:r>
          </w:hyperlink>
        </w:p>
        <w:p w14:paraId="078BA669" w14:textId="2FF52033" w:rsidR="00AF28FC" w:rsidRDefault="00AF28FC">
          <w:pPr>
            <w:pStyle w:val="TOC1"/>
            <w:tabs>
              <w:tab w:val="right" w:leader="dot" w:pos="9350"/>
            </w:tabs>
            <w:rPr>
              <w:rFonts w:asciiTheme="minorHAnsi" w:eastAsiaTheme="minorEastAsia" w:hAnsiTheme="minorHAnsi"/>
              <w:bCs w:val="0"/>
              <w:noProof/>
              <w:kern w:val="2"/>
              <w:sz w:val="24"/>
              <w:szCs w:val="24"/>
              <w14:ligatures w14:val="standardContextual"/>
            </w:rPr>
          </w:pPr>
          <w:hyperlink w:anchor="_Toc214561618" w:history="1">
            <w:r w:rsidRPr="006A4BBD">
              <w:rPr>
                <w:rStyle w:val="Hyperlink"/>
                <w:noProof/>
              </w:rPr>
              <w:t>Literature Review</w:t>
            </w:r>
            <w:r>
              <w:rPr>
                <w:noProof/>
                <w:webHidden/>
              </w:rPr>
              <w:tab/>
            </w:r>
            <w:r>
              <w:rPr>
                <w:noProof/>
                <w:webHidden/>
              </w:rPr>
              <w:fldChar w:fldCharType="begin"/>
            </w:r>
            <w:r>
              <w:rPr>
                <w:noProof/>
                <w:webHidden/>
              </w:rPr>
              <w:instrText xml:space="preserve"> PAGEREF _Toc214561618 \h </w:instrText>
            </w:r>
            <w:r>
              <w:rPr>
                <w:noProof/>
                <w:webHidden/>
              </w:rPr>
            </w:r>
            <w:r>
              <w:rPr>
                <w:noProof/>
                <w:webHidden/>
              </w:rPr>
              <w:fldChar w:fldCharType="separate"/>
            </w:r>
            <w:r>
              <w:rPr>
                <w:noProof/>
                <w:webHidden/>
              </w:rPr>
              <w:t>4</w:t>
            </w:r>
            <w:r>
              <w:rPr>
                <w:noProof/>
                <w:webHidden/>
              </w:rPr>
              <w:fldChar w:fldCharType="end"/>
            </w:r>
          </w:hyperlink>
        </w:p>
        <w:p w14:paraId="137BADAA" w14:textId="78A7F83C" w:rsidR="00AF28FC" w:rsidRDefault="00AF28FC">
          <w:pPr>
            <w:pStyle w:val="TOC1"/>
            <w:tabs>
              <w:tab w:val="right" w:leader="dot" w:pos="9350"/>
            </w:tabs>
            <w:rPr>
              <w:rFonts w:asciiTheme="minorHAnsi" w:eastAsiaTheme="minorEastAsia" w:hAnsiTheme="minorHAnsi"/>
              <w:bCs w:val="0"/>
              <w:noProof/>
              <w:kern w:val="2"/>
              <w:sz w:val="24"/>
              <w:szCs w:val="24"/>
              <w14:ligatures w14:val="standardContextual"/>
            </w:rPr>
          </w:pPr>
          <w:hyperlink w:anchor="_Toc214561619" w:history="1">
            <w:r w:rsidRPr="006A4BBD">
              <w:rPr>
                <w:rStyle w:val="Hyperlink"/>
                <w:noProof/>
              </w:rPr>
              <w:t>Methodology</w:t>
            </w:r>
            <w:r>
              <w:rPr>
                <w:noProof/>
                <w:webHidden/>
              </w:rPr>
              <w:tab/>
            </w:r>
            <w:r>
              <w:rPr>
                <w:noProof/>
                <w:webHidden/>
              </w:rPr>
              <w:fldChar w:fldCharType="begin"/>
            </w:r>
            <w:r>
              <w:rPr>
                <w:noProof/>
                <w:webHidden/>
              </w:rPr>
              <w:instrText xml:space="preserve"> PAGEREF _Toc214561619 \h </w:instrText>
            </w:r>
            <w:r>
              <w:rPr>
                <w:noProof/>
                <w:webHidden/>
              </w:rPr>
            </w:r>
            <w:r>
              <w:rPr>
                <w:noProof/>
                <w:webHidden/>
              </w:rPr>
              <w:fldChar w:fldCharType="separate"/>
            </w:r>
            <w:r>
              <w:rPr>
                <w:noProof/>
                <w:webHidden/>
              </w:rPr>
              <w:t>6</w:t>
            </w:r>
            <w:r>
              <w:rPr>
                <w:noProof/>
                <w:webHidden/>
              </w:rPr>
              <w:fldChar w:fldCharType="end"/>
            </w:r>
          </w:hyperlink>
        </w:p>
        <w:p w14:paraId="0AC209FC" w14:textId="7CFF8100" w:rsidR="00AF28FC" w:rsidRDefault="00AF28FC">
          <w:pPr>
            <w:pStyle w:val="TOC1"/>
            <w:tabs>
              <w:tab w:val="right" w:leader="dot" w:pos="9350"/>
            </w:tabs>
            <w:rPr>
              <w:rFonts w:asciiTheme="minorHAnsi" w:eastAsiaTheme="minorEastAsia" w:hAnsiTheme="minorHAnsi"/>
              <w:bCs w:val="0"/>
              <w:noProof/>
              <w:kern w:val="2"/>
              <w:sz w:val="24"/>
              <w:szCs w:val="24"/>
              <w14:ligatures w14:val="standardContextual"/>
            </w:rPr>
          </w:pPr>
          <w:hyperlink w:anchor="_Toc214561620" w:history="1">
            <w:r w:rsidRPr="006A4BBD">
              <w:rPr>
                <w:rStyle w:val="Hyperlink"/>
                <w:noProof/>
              </w:rPr>
              <w:t>Data Sources:</w:t>
            </w:r>
            <w:r>
              <w:rPr>
                <w:noProof/>
                <w:webHidden/>
              </w:rPr>
              <w:tab/>
            </w:r>
            <w:r>
              <w:rPr>
                <w:noProof/>
                <w:webHidden/>
              </w:rPr>
              <w:fldChar w:fldCharType="begin"/>
            </w:r>
            <w:r>
              <w:rPr>
                <w:noProof/>
                <w:webHidden/>
              </w:rPr>
              <w:instrText xml:space="preserve"> PAGEREF _Toc214561620 \h </w:instrText>
            </w:r>
            <w:r>
              <w:rPr>
                <w:noProof/>
                <w:webHidden/>
              </w:rPr>
            </w:r>
            <w:r>
              <w:rPr>
                <w:noProof/>
                <w:webHidden/>
              </w:rPr>
              <w:fldChar w:fldCharType="separate"/>
            </w:r>
            <w:r>
              <w:rPr>
                <w:noProof/>
                <w:webHidden/>
              </w:rPr>
              <w:t>7</w:t>
            </w:r>
            <w:r>
              <w:rPr>
                <w:noProof/>
                <w:webHidden/>
              </w:rPr>
              <w:fldChar w:fldCharType="end"/>
            </w:r>
          </w:hyperlink>
        </w:p>
        <w:p w14:paraId="5105B700" w14:textId="6236CA9B" w:rsidR="00AF28FC" w:rsidRDefault="00AF28FC">
          <w:pPr>
            <w:pStyle w:val="TOC1"/>
            <w:tabs>
              <w:tab w:val="right" w:leader="dot" w:pos="9350"/>
            </w:tabs>
            <w:rPr>
              <w:rFonts w:asciiTheme="minorHAnsi" w:eastAsiaTheme="minorEastAsia" w:hAnsiTheme="minorHAnsi"/>
              <w:bCs w:val="0"/>
              <w:noProof/>
              <w:kern w:val="2"/>
              <w:sz w:val="24"/>
              <w:szCs w:val="24"/>
              <w14:ligatures w14:val="standardContextual"/>
            </w:rPr>
          </w:pPr>
          <w:hyperlink w:anchor="_Toc214561621" w:history="1">
            <w:r w:rsidRPr="006A4BBD">
              <w:rPr>
                <w:rStyle w:val="Hyperlink"/>
                <w:noProof/>
              </w:rPr>
              <w:t>Expected Outcomes</w:t>
            </w:r>
            <w:r>
              <w:rPr>
                <w:noProof/>
                <w:webHidden/>
              </w:rPr>
              <w:tab/>
            </w:r>
            <w:r>
              <w:rPr>
                <w:noProof/>
                <w:webHidden/>
              </w:rPr>
              <w:fldChar w:fldCharType="begin"/>
            </w:r>
            <w:r>
              <w:rPr>
                <w:noProof/>
                <w:webHidden/>
              </w:rPr>
              <w:instrText xml:space="preserve"> PAGEREF _Toc214561621 \h </w:instrText>
            </w:r>
            <w:r>
              <w:rPr>
                <w:noProof/>
                <w:webHidden/>
              </w:rPr>
            </w:r>
            <w:r>
              <w:rPr>
                <w:noProof/>
                <w:webHidden/>
              </w:rPr>
              <w:fldChar w:fldCharType="separate"/>
            </w:r>
            <w:r>
              <w:rPr>
                <w:noProof/>
                <w:webHidden/>
              </w:rPr>
              <w:t>7</w:t>
            </w:r>
            <w:r>
              <w:rPr>
                <w:noProof/>
                <w:webHidden/>
              </w:rPr>
              <w:fldChar w:fldCharType="end"/>
            </w:r>
          </w:hyperlink>
        </w:p>
        <w:p w14:paraId="634A6C84" w14:textId="1954D595" w:rsidR="00AF28FC" w:rsidRDefault="00AF28FC">
          <w:pPr>
            <w:pStyle w:val="TOC1"/>
            <w:tabs>
              <w:tab w:val="right" w:leader="dot" w:pos="9350"/>
            </w:tabs>
            <w:rPr>
              <w:rFonts w:asciiTheme="minorHAnsi" w:eastAsiaTheme="minorEastAsia" w:hAnsiTheme="minorHAnsi"/>
              <w:bCs w:val="0"/>
              <w:noProof/>
              <w:kern w:val="2"/>
              <w:sz w:val="24"/>
              <w:szCs w:val="24"/>
              <w14:ligatures w14:val="standardContextual"/>
            </w:rPr>
          </w:pPr>
          <w:hyperlink w:anchor="_Toc214561622" w:history="1">
            <w:r w:rsidRPr="006A4BBD">
              <w:rPr>
                <w:rStyle w:val="Hyperlink"/>
                <w:noProof/>
              </w:rPr>
              <w:t>References</w:t>
            </w:r>
            <w:r>
              <w:rPr>
                <w:noProof/>
                <w:webHidden/>
              </w:rPr>
              <w:tab/>
            </w:r>
            <w:r>
              <w:rPr>
                <w:noProof/>
                <w:webHidden/>
              </w:rPr>
              <w:fldChar w:fldCharType="begin"/>
            </w:r>
            <w:r>
              <w:rPr>
                <w:noProof/>
                <w:webHidden/>
              </w:rPr>
              <w:instrText xml:space="preserve"> PAGEREF _Toc214561622 \h </w:instrText>
            </w:r>
            <w:r>
              <w:rPr>
                <w:noProof/>
                <w:webHidden/>
              </w:rPr>
            </w:r>
            <w:r>
              <w:rPr>
                <w:noProof/>
                <w:webHidden/>
              </w:rPr>
              <w:fldChar w:fldCharType="separate"/>
            </w:r>
            <w:r>
              <w:rPr>
                <w:noProof/>
                <w:webHidden/>
              </w:rPr>
              <w:t>9</w:t>
            </w:r>
            <w:r>
              <w:rPr>
                <w:noProof/>
                <w:webHidden/>
              </w:rPr>
              <w:fldChar w:fldCharType="end"/>
            </w:r>
          </w:hyperlink>
        </w:p>
        <w:p w14:paraId="7F4BC269" w14:textId="3931E4E9" w:rsidR="00DA7D87" w:rsidRDefault="00DA7D87">
          <w:r>
            <w:rPr>
              <w:b/>
              <w:noProof/>
            </w:rPr>
            <w:fldChar w:fldCharType="end"/>
          </w:r>
        </w:p>
      </w:sdtContent>
    </w:sdt>
    <w:p w14:paraId="7905D10E" w14:textId="77777777" w:rsidR="00DA7D87" w:rsidRDefault="00DA7D87">
      <w:pPr>
        <w:spacing w:after="160" w:line="259" w:lineRule="auto"/>
        <w:jc w:val="left"/>
        <w:rPr>
          <w:rFonts w:eastAsiaTheme="majorEastAsia" w:cstheme="majorBidi"/>
          <w:b/>
          <w:sz w:val="24"/>
          <w:szCs w:val="32"/>
        </w:rPr>
      </w:pPr>
      <w:r>
        <w:br w:type="page"/>
      </w:r>
    </w:p>
    <w:p w14:paraId="1720D76A" w14:textId="64F3D380" w:rsidR="003B5232" w:rsidRPr="003B5232" w:rsidRDefault="003B5232" w:rsidP="00187ECE">
      <w:pPr>
        <w:pStyle w:val="Heading1"/>
      </w:pPr>
      <w:bookmarkStart w:id="0" w:name="_Toc214561614"/>
      <w:r w:rsidRPr="003B5232">
        <w:lastRenderedPageBreak/>
        <w:t>Introduction and Background</w:t>
      </w:r>
      <w:bookmarkEnd w:id="0"/>
    </w:p>
    <w:p w14:paraId="02EF19D2" w14:textId="77777777" w:rsidR="001103E6" w:rsidRDefault="001103E6" w:rsidP="001103E6">
      <w:r>
        <w:t>Gaza is a tiny land with population of about 2.3 million individuals that have an area of only 365 km2. Gaza has turned into a symbol of human suffering, human strength and moral opposition all around the world, in spite of its limited size and resources. The war in the region has attracted attention of other countries, going beyond its borders of geography and population. The study will discuss the question of how Gaza as a small unit of the population and land has created a qualitative influence on the opinion of the world and humanitarian consciousness that is relatively too big. Although numerous wars are being covered because of their size in terms of humanities or even land and territory claims, the symbolism Gaza possesses is that it can attract global sympathy and activism despite its minor quantitative existence.</w:t>
      </w:r>
    </w:p>
    <w:p w14:paraId="29BE482F" w14:textId="77777777" w:rsidR="001103E6" w:rsidRDefault="001103E6" w:rsidP="001103E6">
      <w:r>
        <w:t xml:space="preserve">The </w:t>
      </w:r>
      <w:proofErr w:type="spellStart"/>
      <w:r>
        <w:t>gaza</w:t>
      </w:r>
      <w:proofErr w:type="spellEnd"/>
      <w:r>
        <w:t xml:space="preserve"> </w:t>
      </w:r>
      <w:proofErr w:type="spellStart"/>
      <w:r>
        <w:t>storey</w:t>
      </w:r>
      <w:proofErr w:type="spellEnd"/>
      <w:r>
        <w:t xml:space="preserve">, which has mostly been influenced by the representation of media, has made it a cross-border humanitarian issue. The continuous media reporting, the image of human suffering, and the politics of Gaza have transformed it not only into a regional concern but also into a universal code of resistance and human rights, that has played a role in shaping opinions of politics, human aid campaigns, and the public mood across the globe. This study will explore the manner in which the Gaza conflict has shaped discussions in the world due not only to its quantitative features (population, casualties, and territory) but also to its qualitative features (media representation, symbolic power). The point is to comprehend the reasons and the method of how this </w:t>
      </w:r>
      <w:proofErr w:type="spellStart"/>
      <w:r>
        <w:t>storey</w:t>
      </w:r>
      <w:proofErr w:type="spellEnd"/>
      <w:r>
        <w:t xml:space="preserve"> of Gaza, which is mainly based on human </w:t>
      </w:r>
      <w:proofErr w:type="spellStart"/>
      <w:r>
        <w:t>storeys</w:t>
      </w:r>
      <w:proofErr w:type="spellEnd"/>
      <w:r>
        <w:t xml:space="preserve"> and media frames, has been so intense to attract global attention and sympathy.</w:t>
      </w:r>
    </w:p>
    <w:p w14:paraId="600F8B4C" w14:textId="77777777" w:rsidR="00DA7D87" w:rsidRPr="003B5232" w:rsidRDefault="00DA7D87" w:rsidP="00DA7D87">
      <w:pPr>
        <w:pStyle w:val="Heading1"/>
      </w:pPr>
      <w:bookmarkStart w:id="1" w:name="_Toc214561615"/>
      <w:r w:rsidRPr="003B5232">
        <w:t>Keywords</w:t>
      </w:r>
      <w:bookmarkEnd w:id="1"/>
    </w:p>
    <w:p w14:paraId="656B4A55" w14:textId="2B98C23B" w:rsidR="00DA7D87" w:rsidRDefault="00DA7D87" w:rsidP="00DA7D87">
      <w:r w:rsidRPr="003B5232">
        <w:t>Gaza, asymmetric conflict, symbolic power, soft power, media framing, humanitarian impact, quantity vs quality, war and conflict studies, public opinion, global discourse.</w:t>
      </w:r>
    </w:p>
    <w:p w14:paraId="418152F5" w14:textId="77777777" w:rsidR="003B5232" w:rsidRPr="003B5232" w:rsidRDefault="003B5232" w:rsidP="00187ECE">
      <w:pPr>
        <w:pStyle w:val="Heading1"/>
      </w:pPr>
      <w:bookmarkStart w:id="2" w:name="_Toc214561616"/>
      <w:r w:rsidRPr="003B5232">
        <w:t>Research Aim and Objectives</w:t>
      </w:r>
      <w:bookmarkEnd w:id="2"/>
    </w:p>
    <w:p w14:paraId="6AF0012D" w14:textId="7C7B9F02" w:rsidR="003B5232" w:rsidRPr="003B5232" w:rsidRDefault="001103E6" w:rsidP="001103E6">
      <w:r>
        <w:t xml:space="preserve">The main objective of the study is to investigate the role of the small-scale quantitative existence of Gaza in creating a qualitative impact on the world opinion and humanitarian consciousness. To fulfil this purpose, the study will answer the following questions: to examine the statistical data about the Gaza population, </w:t>
      </w:r>
      <w:r>
        <w:lastRenderedPageBreak/>
        <w:t xml:space="preserve">land, casualties, and humanitarian signs; to find out how human </w:t>
      </w:r>
      <w:proofErr w:type="spellStart"/>
      <w:r>
        <w:t>storeys</w:t>
      </w:r>
      <w:proofErr w:type="spellEnd"/>
      <w:r>
        <w:t xml:space="preserve"> and media framing have enabled Gaza to extend beyond its geographical boundaries; and to see the impacts that have made Gaza featured disproportionately in the international discourse.</w:t>
      </w:r>
    </w:p>
    <w:p w14:paraId="146A12B6" w14:textId="77777777" w:rsidR="003B5232" w:rsidRPr="003B5232" w:rsidRDefault="003B5232" w:rsidP="00187ECE">
      <w:pPr>
        <w:pStyle w:val="Heading1"/>
      </w:pPr>
      <w:bookmarkStart w:id="3" w:name="_Toc214561617"/>
      <w:r w:rsidRPr="003B5232">
        <w:t>Research Questions</w:t>
      </w:r>
      <w:bookmarkEnd w:id="3"/>
    </w:p>
    <w:p w14:paraId="445C913B" w14:textId="77777777" w:rsidR="003B5232" w:rsidRDefault="003B5232" w:rsidP="00187ECE">
      <w:r w:rsidRPr="003B5232">
        <w:t>This study will address the following key research questions:</w:t>
      </w:r>
    </w:p>
    <w:p w14:paraId="61BF6079" w14:textId="39AB3D71" w:rsidR="00187ECE" w:rsidRPr="003B5232" w:rsidRDefault="00187ECE" w:rsidP="00187ECE">
      <w:r>
        <w:rPr>
          <w:noProof/>
          <w14:ligatures w14:val="standardContextual"/>
        </w:rPr>
        <w:drawing>
          <wp:inline distT="0" distB="0" distL="0" distR="0" wp14:anchorId="7960FC00" wp14:editId="441EB511">
            <wp:extent cx="5810250" cy="3200400"/>
            <wp:effectExtent l="38100" t="38100" r="57150" b="38100"/>
            <wp:docPr id="118028599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27FFE34" w14:textId="378CBA92" w:rsidR="003B5232" w:rsidRPr="003B5232" w:rsidRDefault="003B5232" w:rsidP="00187ECE">
      <w:r w:rsidRPr="003B5232">
        <w:t>These questions aim to explore the paradox between Gaza’s relatively small physical and demographic characteristics and its ability to create a significant global impact through symbolic representation and media framing.</w:t>
      </w:r>
    </w:p>
    <w:p w14:paraId="0347D0E2" w14:textId="77777777" w:rsidR="003B5232" w:rsidRPr="003B5232" w:rsidRDefault="003B5232" w:rsidP="00187ECE">
      <w:pPr>
        <w:pStyle w:val="Heading1"/>
      </w:pPr>
      <w:bookmarkStart w:id="4" w:name="_Toc214561618"/>
      <w:r w:rsidRPr="003B5232">
        <w:t>Literature Review</w:t>
      </w:r>
      <w:bookmarkEnd w:id="4"/>
    </w:p>
    <w:p w14:paraId="1A6D3DEB" w14:textId="77777777" w:rsidR="001103E6" w:rsidRDefault="001103E6" w:rsidP="001103E6">
      <w:r>
        <w:t>The war in Gaza has drawn a lot of focus among the academic community in international relations, conflict studies, media studies as well as humanitarian activism. The literature on the subject is usually based on the geopolitical and humanitarian role of Gaza but there is little analysis on how the symbolic power has cut across geographic and demographic lines. Prominent theoretical approaches are applicable in explaining the use of Gaza as a universal identity of resistance and human rights.</w:t>
      </w:r>
    </w:p>
    <w:p w14:paraId="6BED1053" w14:textId="77777777" w:rsidR="001103E6" w:rsidRDefault="001103E6" w:rsidP="001103E6">
      <w:r>
        <w:lastRenderedPageBreak/>
        <w:t xml:space="preserve">Symbolic Power: The notion of symbolic power introduced by Pierre Bourdieu can be used in the perspective of the representation of Gaza in the world media which is more than its physical dimensions. According to Bourdieu, there are more forms of power manifested through symbolic actions that influence the perception of the people than just in an economic or political way (Bourdieu, 1991). A good example of this type of power is the use of Gaza as a location of human suffering and moral opposition where its </w:t>
      </w:r>
      <w:proofErr w:type="spellStart"/>
      <w:r>
        <w:t>storey</w:t>
      </w:r>
      <w:proofErr w:type="spellEnd"/>
      <w:r>
        <w:t xml:space="preserve"> is more powerful than its physical existence.</w:t>
      </w:r>
    </w:p>
    <w:p w14:paraId="00982396" w14:textId="77777777" w:rsidR="001103E6" w:rsidRDefault="001103E6" w:rsidP="001103E6">
      <w:r>
        <w:t>Soft Power: The idea presented by Joseph Nye about soft power, which is capacity to influence worldviews by means of cultural and moral impact, as opposed to military power can be applied to Gaza as well. The symbolic status of Gaza, which has been built by its media reporting and human rights campaign, has enabled it to utilise soft power to persuade the international people as well as international humanitarian intervention (Nye, 2004). This model can be used in explaining the huge emotional and political impact that Gaza has exerted in the world considering its size.</w:t>
      </w:r>
    </w:p>
    <w:p w14:paraId="6799E677" w14:textId="77777777" w:rsidR="001103E6" w:rsidRDefault="001103E6" w:rsidP="001103E6">
      <w:r>
        <w:t xml:space="preserve">Media Framing Theory: Media framing theory is a theory that was formed by </w:t>
      </w:r>
      <w:proofErr w:type="spellStart"/>
      <w:r>
        <w:t>Entman</w:t>
      </w:r>
      <w:proofErr w:type="spellEnd"/>
      <w:r>
        <w:t xml:space="preserve"> (1993) and it argues that issues are framed in media which is known to affect how viewers perceive and respond to the information that is presented by the media. The image of Gaza that the media has created, especially in visual representation and human narrative, has defined it as an icon of defiance, injustice and strength. This framing has played a central role in developing Gaza as a regional problem to a global cause with massive </w:t>
      </w:r>
      <w:proofErr w:type="spellStart"/>
      <w:r>
        <w:t>mobilisation</w:t>
      </w:r>
      <w:proofErr w:type="spellEnd"/>
      <w:r>
        <w:t xml:space="preserve"> of political and humanitarian campaign (</w:t>
      </w:r>
      <w:proofErr w:type="spellStart"/>
      <w:r>
        <w:t>Entman</w:t>
      </w:r>
      <w:proofErr w:type="spellEnd"/>
      <w:r>
        <w:t>, 1993).</w:t>
      </w:r>
    </w:p>
    <w:p w14:paraId="11E72935" w14:textId="163CBCDF" w:rsidR="003B5232" w:rsidRPr="003B5232" w:rsidRDefault="001103E6" w:rsidP="001103E6">
      <w:r>
        <w:t xml:space="preserve">Asymmetric Warfare: Gaza is a classic example of the asymmetric warfare theory because the military conflict between Israel and Hamas is an uneven warfare. When the weaker party is in the conflict the weak party tends to use non-traditional sources of power such as moral and symbolic resistance. This study will examine how Gaza has employed the symbolic power to take its struggle to a new level beyond the military competition to capture the world on its plight through human </w:t>
      </w:r>
      <w:proofErr w:type="spellStart"/>
      <w:r>
        <w:t>storeys</w:t>
      </w:r>
      <w:proofErr w:type="spellEnd"/>
      <w:r>
        <w:t xml:space="preserve"> and the exaggeration of the media (Arreguin-Toft, 2001).</w:t>
      </w:r>
    </w:p>
    <w:p w14:paraId="6C24A05B" w14:textId="77777777" w:rsidR="003B5232" w:rsidRPr="003B5232" w:rsidRDefault="003B5232" w:rsidP="00187ECE">
      <w:pPr>
        <w:pStyle w:val="Heading1"/>
      </w:pPr>
      <w:bookmarkStart w:id="5" w:name="_Toc214561619"/>
      <w:r w:rsidRPr="003B5232">
        <w:lastRenderedPageBreak/>
        <w:t>Methodology</w:t>
      </w:r>
      <w:bookmarkEnd w:id="5"/>
    </w:p>
    <w:p w14:paraId="6B8D5A44" w14:textId="77777777" w:rsidR="001103E6" w:rsidRDefault="001103E6" w:rsidP="001103E6">
      <w:r>
        <w:t>To answer the research questions, a mixed-method approach will be chosen, which will combine both a quantitative and a qualitative analysis.</w:t>
      </w:r>
    </w:p>
    <w:p w14:paraId="28CCE0A9" w14:textId="77777777" w:rsidR="001103E6" w:rsidRDefault="001103E6" w:rsidP="001103E6">
      <w:r>
        <w:t>Quantitative Analysis: The population, territory and casualties of Gaza will be gathered in the form of statistical data which will be obtained through reputable sources including UN reports, WHO, and international NGOs. Such data will have numerical ground on which to compare the qualitative effect of media coverage of Gaza. The mission is to reveal why the size of Gaza is disproportionate to its world impact.</w:t>
      </w:r>
    </w:p>
    <w:p w14:paraId="56D373E8" w14:textId="77777777" w:rsidR="001103E6" w:rsidRDefault="001103E6" w:rsidP="001103E6">
      <w:r>
        <w:t xml:space="preserve">Qualitative Analysis: Media representations, humanitarian campaigns and social media posts on Gaza will be analysed through the discourse analysis. This will include the analysis of the news articles, posts in social media, international campaigns (e.g., </w:t>
      </w:r>
      <w:proofErr w:type="spellStart"/>
      <w:r>
        <w:t>FreeGaza</w:t>
      </w:r>
      <w:proofErr w:type="spellEnd"/>
      <w:r>
        <w:t xml:space="preserve">, </w:t>
      </w:r>
      <w:proofErr w:type="gramStart"/>
      <w:r>
        <w:t>Pray</w:t>
      </w:r>
      <w:proofErr w:type="gramEnd"/>
      <w:r>
        <w:t xml:space="preserve"> for Gaza), and images that have formed the social opinion. The analysis shall determine the most prominent themes and frames employed by the media to project Gaza as they appear in the media as a moral cause and not just a geopolitical problem.</w:t>
      </w:r>
    </w:p>
    <w:p w14:paraId="0C310ECE" w14:textId="23FFEDF1" w:rsidR="003B5232" w:rsidRPr="003B5232" w:rsidRDefault="001103E6" w:rsidP="001103E6">
      <w:r>
        <w:t>The qualitative analysis shall also focus on the importance of the transnational activism, application of social media in enhancing the global narrative of Gaza. Social media such as Twitter, Instagram, and Facebook have played a central role in disseminating the images and narratives that make the Gaza conflict personal, which have made it gain a symbolic value.</w:t>
      </w:r>
    </w:p>
    <w:p w14:paraId="5111B8DF" w14:textId="77777777" w:rsidR="003B5232" w:rsidRDefault="003B5232" w:rsidP="001103E6">
      <w:pPr>
        <w:pStyle w:val="Heading1"/>
      </w:pPr>
      <w:bookmarkStart w:id="6" w:name="_Toc214561620"/>
      <w:r w:rsidRPr="003B5232">
        <w:lastRenderedPageBreak/>
        <w:t>Data Sources:</w:t>
      </w:r>
      <w:bookmarkEnd w:id="6"/>
    </w:p>
    <w:p w14:paraId="702DB490" w14:textId="35D9386D" w:rsidR="00E540B4" w:rsidRPr="00E540B4" w:rsidRDefault="00E540B4" w:rsidP="00E540B4">
      <w:r>
        <w:rPr>
          <w:noProof/>
          <w14:ligatures w14:val="standardContextual"/>
        </w:rPr>
        <w:drawing>
          <wp:inline distT="0" distB="0" distL="0" distR="0" wp14:anchorId="69567E12" wp14:editId="432FC5CA">
            <wp:extent cx="5486400" cy="3200400"/>
            <wp:effectExtent l="0" t="25400" r="0" b="25400"/>
            <wp:docPr id="39613429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1C75A31" w14:textId="77777777" w:rsidR="003B5232" w:rsidRDefault="003B5232" w:rsidP="00187ECE">
      <w:pPr>
        <w:pStyle w:val="Heading1"/>
      </w:pPr>
      <w:bookmarkStart w:id="7" w:name="_Toc214561621"/>
      <w:r w:rsidRPr="003B5232">
        <w:t>Expected Outcomes</w:t>
      </w:r>
      <w:bookmarkEnd w:id="7"/>
    </w:p>
    <w:p w14:paraId="10FD924B" w14:textId="78E6ADB0" w:rsidR="0011573E" w:rsidRPr="0011573E" w:rsidRDefault="0011573E" w:rsidP="0011573E">
      <w:r>
        <w:rPr>
          <w:noProof/>
          <w14:ligatures w14:val="standardContextual"/>
        </w:rPr>
        <w:drawing>
          <wp:inline distT="0" distB="0" distL="0" distR="0" wp14:anchorId="44A23757" wp14:editId="356CFB6E">
            <wp:extent cx="6124575" cy="3876675"/>
            <wp:effectExtent l="25400" t="0" r="34925" b="0"/>
            <wp:docPr id="517594519"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2E29EFE2" w14:textId="0D42EC74" w:rsidR="003B5232" w:rsidRDefault="003B5232" w:rsidP="00187ECE">
      <w:r>
        <w:lastRenderedPageBreak/>
        <w:br w:type="page"/>
      </w:r>
    </w:p>
    <w:p w14:paraId="5B75DD87" w14:textId="17B393AB" w:rsidR="00A20B45" w:rsidRDefault="003B5232" w:rsidP="00187ECE">
      <w:pPr>
        <w:pStyle w:val="Heading1"/>
      </w:pPr>
      <w:bookmarkStart w:id="8" w:name="_Toc214561622"/>
      <w:r>
        <w:lastRenderedPageBreak/>
        <w:t>References</w:t>
      </w:r>
      <w:bookmarkEnd w:id="8"/>
    </w:p>
    <w:p w14:paraId="36A0BA08" w14:textId="066209EA" w:rsidR="00A37D7E" w:rsidRDefault="00A37D7E" w:rsidP="00187ECE">
      <w:proofErr w:type="spellStart"/>
      <w:r w:rsidRPr="00A37D7E">
        <w:t>Arreguín</w:t>
      </w:r>
      <w:proofErr w:type="spellEnd"/>
      <w:r w:rsidRPr="00A37D7E">
        <w:t xml:space="preserve">-Toft, I., 2001. </w:t>
      </w:r>
      <w:r w:rsidRPr="00A37D7E">
        <w:rPr>
          <w:i/>
          <w:iCs/>
        </w:rPr>
        <w:t>How the Weak Win Wars: A Theory of Asymmetric Conflict</w:t>
      </w:r>
      <w:r w:rsidRPr="00A37D7E">
        <w:t>. International Security, 26(1), pp. 93-128.</w:t>
      </w:r>
      <w:r>
        <w:t xml:space="preserve"> </w:t>
      </w:r>
      <w:hyperlink r:id="rId23" w:history="1">
        <w:r w:rsidRPr="00F3161E">
          <w:rPr>
            <w:rStyle w:val="Hyperlink"/>
          </w:rPr>
          <w:t>https://www.jstor.org/stable/3092079</w:t>
        </w:r>
      </w:hyperlink>
      <w:r>
        <w:t xml:space="preserve"> </w:t>
      </w:r>
    </w:p>
    <w:p w14:paraId="73C81EDF" w14:textId="72CD7714" w:rsidR="00A37D7E" w:rsidRDefault="00A37D7E" w:rsidP="00187ECE">
      <w:r w:rsidRPr="00A37D7E">
        <w:t xml:space="preserve">Bourdieu, P., 1991. </w:t>
      </w:r>
      <w:r w:rsidRPr="00A37D7E">
        <w:rPr>
          <w:i/>
          <w:iCs/>
        </w:rPr>
        <w:t>Language and Symbolic Power</w:t>
      </w:r>
      <w:r w:rsidRPr="00A37D7E">
        <w:t>. Harvard University Press.</w:t>
      </w:r>
      <w:r>
        <w:t xml:space="preserve"> </w:t>
      </w:r>
      <w:hyperlink r:id="rId24" w:history="1">
        <w:r w:rsidRPr="00F3161E">
          <w:rPr>
            <w:rStyle w:val="Hyperlink"/>
          </w:rPr>
          <w:t>https://monoskop.org/images/4/43/Bourdieu_Pierre_Language_and_Symbolic_Power_1991.pdf</w:t>
        </w:r>
      </w:hyperlink>
      <w:r>
        <w:t xml:space="preserve"> </w:t>
      </w:r>
    </w:p>
    <w:p w14:paraId="23255DE7" w14:textId="12CDE8A1" w:rsidR="00A37D7E" w:rsidRDefault="00A37D7E" w:rsidP="00187ECE">
      <w:proofErr w:type="spellStart"/>
      <w:r w:rsidRPr="00A37D7E">
        <w:t>Entman</w:t>
      </w:r>
      <w:proofErr w:type="spellEnd"/>
      <w:r w:rsidRPr="00A37D7E">
        <w:t xml:space="preserve">, R.M., 1993. </w:t>
      </w:r>
      <w:r w:rsidRPr="00A37D7E">
        <w:rPr>
          <w:i/>
          <w:iCs/>
        </w:rPr>
        <w:t>Framing: Toward Clarification of a Fractured Paradigm</w:t>
      </w:r>
      <w:r w:rsidRPr="00A37D7E">
        <w:t>. Journal of Communication, 43(4), pp. 51-58.</w:t>
      </w:r>
      <w:r>
        <w:t xml:space="preserve"> </w:t>
      </w:r>
      <w:hyperlink r:id="rId25" w:history="1">
        <w:r w:rsidRPr="00F3161E">
          <w:rPr>
            <w:rStyle w:val="Hyperlink"/>
          </w:rPr>
          <w:t>https://onlinelibrary.wiley.com/doi/abs/10.1111/j.1460-2466.1993.tb01304.x</w:t>
        </w:r>
      </w:hyperlink>
      <w:r>
        <w:t xml:space="preserve"> </w:t>
      </w:r>
    </w:p>
    <w:p w14:paraId="336817C3" w14:textId="39C93B1F" w:rsidR="003B5232" w:rsidRPr="003B5232" w:rsidRDefault="00A37D7E" w:rsidP="00187ECE">
      <w:r w:rsidRPr="00A37D7E">
        <w:t xml:space="preserve">Nye, J.S., 2004. </w:t>
      </w:r>
      <w:r w:rsidRPr="00A37D7E">
        <w:rPr>
          <w:i/>
          <w:iCs/>
        </w:rPr>
        <w:t>Soft Power: The Means to Success in World Politics</w:t>
      </w:r>
      <w:r w:rsidRPr="00A37D7E">
        <w:t>. Public Affairs.</w:t>
      </w:r>
      <w:r>
        <w:t xml:space="preserve"> </w:t>
      </w:r>
      <w:hyperlink r:id="rId26" w:history="1">
        <w:r w:rsidRPr="00F3161E">
          <w:rPr>
            <w:rStyle w:val="Hyperlink"/>
          </w:rPr>
          <w:t>https://www.belfercenter.org/sites/default/files/pantheon_files/files/publication/joe_nye_wielding_soft_power.pdf</w:t>
        </w:r>
      </w:hyperlink>
      <w:r>
        <w:t xml:space="preserve"> </w:t>
      </w:r>
    </w:p>
    <w:sectPr w:rsidR="003B5232" w:rsidRPr="003B5232">
      <w:head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D8D25C" w14:textId="77777777" w:rsidR="00D30133" w:rsidRDefault="00D30133" w:rsidP="00AF28FC">
      <w:pPr>
        <w:spacing w:after="0" w:line="240" w:lineRule="auto"/>
      </w:pPr>
      <w:r>
        <w:separator/>
      </w:r>
    </w:p>
  </w:endnote>
  <w:endnote w:type="continuationSeparator" w:id="0">
    <w:p w14:paraId="37E7BDF4" w14:textId="77777777" w:rsidR="00D30133" w:rsidRDefault="00D30133" w:rsidP="00AF28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AEB59A" w14:textId="77777777" w:rsidR="00D30133" w:rsidRDefault="00D30133" w:rsidP="00AF28FC">
      <w:pPr>
        <w:spacing w:after="0" w:line="240" w:lineRule="auto"/>
      </w:pPr>
      <w:r>
        <w:separator/>
      </w:r>
    </w:p>
  </w:footnote>
  <w:footnote w:type="continuationSeparator" w:id="0">
    <w:p w14:paraId="0AD70ACA" w14:textId="77777777" w:rsidR="00D30133" w:rsidRDefault="00D30133" w:rsidP="00AF28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Cs w:val="0"/>
      </w:rPr>
      <w:id w:val="-729536272"/>
      <w:docPartObj>
        <w:docPartGallery w:val="Page Numbers (Top of Page)"/>
        <w:docPartUnique/>
      </w:docPartObj>
    </w:sdtPr>
    <w:sdtEndPr>
      <w:rPr>
        <w:bCs/>
        <w:color w:val="7F7F7F" w:themeColor="background1" w:themeShade="7F"/>
        <w:spacing w:val="60"/>
      </w:rPr>
    </w:sdtEndPr>
    <w:sdtContent>
      <w:p w14:paraId="57ACE8B7" w14:textId="5FD0D9DB" w:rsidR="00AF28FC" w:rsidRDefault="00AF28FC">
        <w:pPr>
          <w:pStyle w:val="Header"/>
          <w:pBdr>
            <w:bottom w:val="single" w:sz="4" w:space="1" w:color="D9D9D9" w:themeColor="background1" w:themeShade="D9"/>
          </w:pBdr>
          <w:rPr>
            <w:b/>
            <w:bCs w:val="0"/>
          </w:rPr>
        </w:pPr>
        <w:r>
          <w:rPr>
            <w:bCs w:val="0"/>
          </w:rPr>
          <w:fldChar w:fldCharType="begin"/>
        </w:r>
        <w:r>
          <w:instrText xml:space="preserve"> PAGE   \* MERGEFORMAT </w:instrText>
        </w:r>
        <w:r>
          <w:rPr>
            <w:bCs w:val="0"/>
          </w:rPr>
          <w:fldChar w:fldCharType="separate"/>
        </w:r>
        <w:r>
          <w:rPr>
            <w:b/>
            <w:noProof/>
          </w:rPr>
          <w:t>2</w:t>
        </w:r>
        <w:r>
          <w:rPr>
            <w:b/>
            <w:bCs w:val="0"/>
            <w:noProof/>
          </w:rPr>
          <w:fldChar w:fldCharType="end"/>
        </w:r>
        <w:r>
          <w:rPr>
            <w:b/>
          </w:rPr>
          <w:t xml:space="preserve"> | </w:t>
        </w:r>
        <w:r>
          <w:rPr>
            <w:color w:val="7F7F7F" w:themeColor="background1" w:themeShade="7F"/>
            <w:spacing w:val="60"/>
          </w:rPr>
          <w:t>Page</w:t>
        </w:r>
      </w:p>
    </w:sdtContent>
  </w:sdt>
  <w:p w14:paraId="40B46E30" w14:textId="77777777" w:rsidR="00AF28FC" w:rsidRDefault="00AF28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297448"/>
    <w:multiLevelType w:val="multilevel"/>
    <w:tmpl w:val="64FEC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E85522"/>
    <w:multiLevelType w:val="multilevel"/>
    <w:tmpl w:val="99CEE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F07BAF"/>
    <w:multiLevelType w:val="multilevel"/>
    <w:tmpl w:val="596CE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5B6761"/>
    <w:multiLevelType w:val="multilevel"/>
    <w:tmpl w:val="5D7E3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A837AD"/>
    <w:multiLevelType w:val="multilevel"/>
    <w:tmpl w:val="70A614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407F7A"/>
    <w:multiLevelType w:val="multilevel"/>
    <w:tmpl w:val="A13CE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7928BB"/>
    <w:multiLevelType w:val="multilevel"/>
    <w:tmpl w:val="6D421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63519C"/>
    <w:multiLevelType w:val="multilevel"/>
    <w:tmpl w:val="27426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860057"/>
    <w:multiLevelType w:val="multilevel"/>
    <w:tmpl w:val="88966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CA5489"/>
    <w:multiLevelType w:val="multilevel"/>
    <w:tmpl w:val="8342F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9C4954"/>
    <w:multiLevelType w:val="multilevel"/>
    <w:tmpl w:val="B3B0E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2262608">
    <w:abstractNumId w:val="3"/>
  </w:num>
  <w:num w:numId="2" w16cid:durableId="127867419">
    <w:abstractNumId w:val="0"/>
  </w:num>
  <w:num w:numId="3" w16cid:durableId="1302228230">
    <w:abstractNumId w:val="5"/>
  </w:num>
  <w:num w:numId="4" w16cid:durableId="1443920355">
    <w:abstractNumId w:val="9"/>
  </w:num>
  <w:num w:numId="5" w16cid:durableId="1726374037">
    <w:abstractNumId w:val="7"/>
  </w:num>
  <w:num w:numId="6" w16cid:durableId="1981376483">
    <w:abstractNumId w:val="10"/>
  </w:num>
  <w:num w:numId="7" w16cid:durableId="2041079679">
    <w:abstractNumId w:val="8"/>
  </w:num>
  <w:num w:numId="8" w16cid:durableId="776683682">
    <w:abstractNumId w:val="6"/>
  </w:num>
  <w:num w:numId="9" w16cid:durableId="886332485">
    <w:abstractNumId w:val="4"/>
  </w:num>
  <w:num w:numId="10" w16cid:durableId="1882202961">
    <w:abstractNumId w:val="2"/>
  </w:num>
  <w:num w:numId="11" w16cid:durableId="2714788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232"/>
    <w:rsid w:val="000008C9"/>
    <w:rsid w:val="00025751"/>
    <w:rsid w:val="00035493"/>
    <w:rsid w:val="00066369"/>
    <w:rsid w:val="000811C1"/>
    <w:rsid w:val="000A06E3"/>
    <w:rsid w:val="000A141B"/>
    <w:rsid w:val="000C6E4D"/>
    <w:rsid w:val="000E29F4"/>
    <w:rsid w:val="001004FD"/>
    <w:rsid w:val="00104A94"/>
    <w:rsid w:val="001103E6"/>
    <w:rsid w:val="00110474"/>
    <w:rsid w:val="0011573E"/>
    <w:rsid w:val="00126CD2"/>
    <w:rsid w:val="00134C18"/>
    <w:rsid w:val="00144546"/>
    <w:rsid w:val="00151A0D"/>
    <w:rsid w:val="00187ECE"/>
    <w:rsid w:val="001A0643"/>
    <w:rsid w:val="001B74FB"/>
    <w:rsid w:val="001C5ECE"/>
    <w:rsid w:val="001F510D"/>
    <w:rsid w:val="002107CA"/>
    <w:rsid w:val="00226403"/>
    <w:rsid w:val="00262BF8"/>
    <w:rsid w:val="002674CF"/>
    <w:rsid w:val="00273C31"/>
    <w:rsid w:val="002854E5"/>
    <w:rsid w:val="002B218C"/>
    <w:rsid w:val="002B5E80"/>
    <w:rsid w:val="002D2009"/>
    <w:rsid w:val="002D3BCE"/>
    <w:rsid w:val="002D4C9E"/>
    <w:rsid w:val="00361265"/>
    <w:rsid w:val="00370C6A"/>
    <w:rsid w:val="00382B5A"/>
    <w:rsid w:val="003904EF"/>
    <w:rsid w:val="003A652E"/>
    <w:rsid w:val="003A710A"/>
    <w:rsid w:val="003B5232"/>
    <w:rsid w:val="003B5995"/>
    <w:rsid w:val="00450224"/>
    <w:rsid w:val="004533B8"/>
    <w:rsid w:val="00465BDD"/>
    <w:rsid w:val="00470641"/>
    <w:rsid w:val="00491D90"/>
    <w:rsid w:val="004B1A1D"/>
    <w:rsid w:val="004E549C"/>
    <w:rsid w:val="00537A8A"/>
    <w:rsid w:val="005468CB"/>
    <w:rsid w:val="00562E1C"/>
    <w:rsid w:val="00570F07"/>
    <w:rsid w:val="00577376"/>
    <w:rsid w:val="005A4E11"/>
    <w:rsid w:val="005C6BC8"/>
    <w:rsid w:val="00627871"/>
    <w:rsid w:val="00637DAA"/>
    <w:rsid w:val="006543FD"/>
    <w:rsid w:val="00663858"/>
    <w:rsid w:val="00673E2B"/>
    <w:rsid w:val="00676D43"/>
    <w:rsid w:val="00681241"/>
    <w:rsid w:val="00695A40"/>
    <w:rsid w:val="00697E3E"/>
    <w:rsid w:val="006C7DDB"/>
    <w:rsid w:val="006D1A42"/>
    <w:rsid w:val="006D70C8"/>
    <w:rsid w:val="006E0451"/>
    <w:rsid w:val="006E324E"/>
    <w:rsid w:val="006F121C"/>
    <w:rsid w:val="006F14E7"/>
    <w:rsid w:val="00724CC4"/>
    <w:rsid w:val="00744C68"/>
    <w:rsid w:val="00753FAE"/>
    <w:rsid w:val="00765A11"/>
    <w:rsid w:val="007726E2"/>
    <w:rsid w:val="00796A57"/>
    <w:rsid w:val="007A02A2"/>
    <w:rsid w:val="007B11C8"/>
    <w:rsid w:val="007D61A7"/>
    <w:rsid w:val="007F3BEB"/>
    <w:rsid w:val="00820E36"/>
    <w:rsid w:val="0082160F"/>
    <w:rsid w:val="00823E93"/>
    <w:rsid w:val="00831D56"/>
    <w:rsid w:val="00850409"/>
    <w:rsid w:val="00856D55"/>
    <w:rsid w:val="0087235F"/>
    <w:rsid w:val="008731F5"/>
    <w:rsid w:val="0088503A"/>
    <w:rsid w:val="008B056C"/>
    <w:rsid w:val="008C1582"/>
    <w:rsid w:val="008E7C03"/>
    <w:rsid w:val="009240B1"/>
    <w:rsid w:val="00937361"/>
    <w:rsid w:val="00946FCA"/>
    <w:rsid w:val="00964D27"/>
    <w:rsid w:val="0096537E"/>
    <w:rsid w:val="0097241D"/>
    <w:rsid w:val="00975BA1"/>
    <w:rsid w:val="009B6CE5"/>
    <w:rsid w:val="009C34D2"/>
    <w:rsid w:val="009E6A8E"/>
    <w:rsid w:val="009F2C69"/>
    <w:rsid w:val="00A01349"/>
    <w:rsid w:val="00A20B45"/>
    <w:rsid w:val="00A37D7E"/>
    <w:rsid w:val="00A402EE"/>
    <w:rsid w:val="00A45CB0"/>
    <w:rsid w:val="00A71E6A"/>
    <w:rsid w:val="00A966A3"/>
    <w:rsid w:val="00A967CB"/>
    <w:rsid w:val="00AA3240"/>
    <w:rsid w:val="00AA423A"/>
    <w:rsid w:val="00AB2CAB"/>
    <w:rsid w:val="00AB47F4"/>
    <w:rsid w:val="00AE709F"/>
    <w:rsid w:val="00AF28FC"/>
    <w:rsid w:val="00AF44B5"/>
    <w:rsid w:val="00B114E1"/>
    <w:rsid w:val="00B42F2E"/>
    <w:rsid w:val="00B54D04"/>
    <w:rsid w:val="00B740EB"/>
    <w:rsid w:val="00BC2F47"/>
    <w:rsid w:val="00BD5BB2"/>
    <w:rsid w:val="00BF3A28"/>
    <w:rsid w:val="00C61A76"/>
    <w:rsid w:val="00C735C8"/>
    <w:rsid w:val="00C748C4"/>
    <w:rsid w:val="00C7631F"/>
    <w:rsid w:val="00C76495"/>
    <w:rsid w:val="00CC5CF5"/>
    <w:rsid w:val="00D22FD5"/>
    <w:rsid w:val="00D30133"/>
    <w:rsid w:val="00DA13EC"/>
    <w:rsid w:val="00DA34AD"/>
    <w:rsid w:val="00DA70AC"/>
    <w:rsid w:val="00DA7D87"/>
    <w:rsid w:val="00DB0EBA"/>
    <w:rsid w:val="00E0053D"/>
    <w:rsid w:val="00E05394"/>
    <w:rsid w:val="00E164C0"/>
    <w:rsid w:val="00E261F5"/>
    <w:rsid w:val="00E33B6D"/>
    <w:rsid w:val="00E540B4"/>
    <w:rsid w:val="00E5667F"/>
    <w:rsid w:val="00E608DD"/>
    <w:rsid w:val="00E629B0"/>
    <w:rsid w:val="00E934C1"/>
    <w:rsid w:val="00EA2098"/>
    <w:rsid w:val="00EC131B"/>
    <w:rsid w:val="00EC6645"/>
    <w:rsid w:val="00EC6862"/>
    <w:rsid w:val="00EE3A0B"/>
    <w:rsid w:val="00F329C0"/>
    <w:rsid w:val="00F671B0"/>
    <w:rsid w:val="00F809AC"/>
    <w:rsid w:val="00F845C7"/>
    <w:rsid w:val="00F95BC8"/>
    <w:rsid w:val="00FA2243"/>
    <w:rsid w:val="00FA2624"/>
    <w:rsid w:val="00FB2A4A"/>
    <w:rsid w:val="00FC64DC"/>
    <w:rsid w:val="00FD058D"/>
    <w:rsid w:val="00FE4336"/>
    <w:rsid w:val="00FF19E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A876B"/>
  <w15:chartTrackingRefBased/>
  <w15:docId w15:val="{DC3FA5C1-CDAB-490F-99A6-F95184560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7ECE"/>
    <w:pPr>
      <w:spacing w:after="200" w:line="480" w:lineRule="auto"/>
      <w:jc w:val="both"/>
    </w:pPr>
    <w:rPr>
      <w:rFonts w:ascii="Times New Roman" w:hAnsi="Times New Roman"/>
      <w:bCs/>
      <w:kern w:val="0"/>
      <w14:ligatures w14:val="none"/>
    </w:rPr>
  </w:style>
  <w:style w:type="paragraph" w:styleId="Heading1">
    <w:name w:val="heading 1"/>
    <w:basedOn w:val="Normal"/>
    <w:next w:val="Normal"/>
    <w:link w:val="Heading1Char"/>
    <w:uiPriority w:val="9"/>
    <w:qFormat/>
    <w:rsid w:val="00370C6A"/>
    <w:pPr>
      <w:keepNext/>
      <w:keepLines/>
      <w:spacing w:before="240" w:after="0" w:line="360" w:lineRule="auto"/>
      <w:outlineLvl w:val="0"/>
    </w:pPr>
    <w:rPr>
      <w:rFonts w:eastAsiaTheme="majorEastAsia" w:cstheme="majorBidi"/>
      <w:b/>
      <w:sz w:val="24"/>
      <w:szCs w:val="32"/>
    </w:rPr>
  </w:style>
  <w:style w:type="paragraph" w:styleId="Heading2">
    <w:name w:val="heading 2"/>
    <w:basedOn w:val="Normal"/>
    <w:next w:val="Normal"/>
    <w:link w:val="Heading2Char"/>
    <w:uiPriority w:val="9"/>
    <w:unhideWhenUsed/>
    <w:qFormat/>
    <w:rsid w:val="00F845C7"/>
    <w:pPr>
      <w:keepNext/>
      <w:keepLines/>
      <w:widowControl w:val="0"/>
      <w:autoSpaceDE w:val="0"/>
      <w:autoSpaceDN w:val="0"/>
      <w:spacing w:before="40" w:after="0" w:line="240" w:lineRule="auto"/>
      <w:outlineLvl w:val="1"/>
    </w:pPr>
    <w:rPr>
      <w:rFonts w:asciiTheme="majorBidi" w:eastAsiaTheme="majorEastAsia" w:hAnsiTheme="majorBidi" w:cstheme="majorBidi"/>
      <w:bCs w:val="0"/>
      <w:color w:val="000000" w:themeColor="text1"/>
      <w:kern w:val="2"/>
      <w:sz w:val="26"/>
      <w:szCs w:val="26"/>
      <w14:ligatures w14:val="standardContextual"/>
    </w:rPr>
  </w:style>
  <w:style w:type="paragraph" w:styleId="Heading3">
    <w:name w:val="heading 3"/>
    <w:basedOn w:val="Normal"/>
    <w:next w:val="Normal"/>
    <w:link w:val="Heading3Char"/>
    <w:uiPriority w:val="9"/>
    <w:unhideWhenUsed/>
    <w:qFormat/>
    <w:rsid w:val="00491D90"/>
    <w:pPr>
      <w:keepNext/>
      <w:keepLines/>
      <w:spacing w:before="160" w:afterLines="120" w:after="288" w:line="360" w:lineRule="auto"/>
      <w:outlineLvl w:val="2"/>
    </w:pPr>
    <w:rPr>
      <w:rFonts w:eastAsiaTheme="majorEastAsia" w:cs="Times New Roman"/>
      <w:b/>
      <w:bCs w:val="0"/>
      <w:color w:val="000000" w:themeColor="text1"/>
      <w:kern w:val="2"/>
      <w:sz w:val="24"/>
      <w14:ligatures w14:val="standardContextual"/>
    </w:rPr>
  </w:style>
  <w:style w:type="paragraph" w:styleId="Heading4">
    <w:name w:val="heading 4"/>
    <w:basedOn w:val="Normal"/>
    <w:next w:val="Normal"/>
    <w:link w:val="Heading4Char"/>
    <w:uiPriority w:val="9"/>
    <w:unhideWhenUsed/>
    <w:qFormat/>
    <w:rsid w:val="00FE4336"/>
    <w:pPr>
      <w:keepNext/>
      <w:keepLines/>
      <w:spacing w:before="80" w:after="40" w:line="360" w:lineRule="auto"/>
      <w:outlineLvl w:val="3"/>
    </w:pPr>
    <w:rPr>
      <w:rFonts w:asciiTheme="majorBidi" w:eastAsiaTheme="majorEastAsia" w:hAnsiTheme="majorBidi" w:cstheme="majorBidi"/>
      <w:b/>
      <w:bCs w:val="0"/>
      <w:i/>
      <w:iCs/>
      <w:kern w:val="2"/>
      <w:sz w:val="24"/>
      <w14:ligatures w14:val="standardContextual"/>
    </w:rPr>
  </w:style>
  <w:style w:type="paragraph" w:styleId="Heading5">
    <w:name w:val="heading 5"/>
    <w:basedOn w:val="Normal"/>
    <w:next w:val="Normal"/>
    <w:link w:val="Heading5Char"/>
    <w:uiPriority w:val="9"/>
    <w:semiHidden/>
    <w:unhideWhenUsed/>
    <w:qFormat/>
    <w:rsid w:val="003B523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B523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B523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B523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B523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C6A"/>
    <w:rPr>
      <w:rFonts w:ascii="Times New Roman" w:eastAsiaTheme="majorEastAsia" w:hAnsi="Times New Roman" w:cstheme="majorBidi"/>
      <w:b/>
      <w:bCs/>
      <w:kern w:val="0"/>
      <w:sz w:val="24"/>
      <w:szCs w:val="32"/>
      <w:lang w:val="en-GB"/>
      <w14:ligatures w14:val="none"/>
    </w:rPr>
  </w:style>
  <w:style w:type="character" w:customStyle="1" w:styleId="Heading3Char">
    <w:name w:val="Heading 3 Char"/>
    <w:basedOn w:val="DefaultParagraphFont"/>
    <w:link w:val="Heading3"/>
    <w:uiPriority w:val="9"/>
    <w:rsid w:val="00491D90"/>
    <w:rPr>
      <w:rFonts w:ascii="Times New Roman" w:eastAsiaTheme="majorEastAsia" w:hAnsi="Times New Roman" w:cs="Times New Roman"/>
      <w:b/>
      <w:color w:val="000000" w:themeColor="text1"/>
      <w:sz w:val="24"/>
    </w:rPr>
  </w:style>
  <w:style w:type="character" w:customStyle="1" w:styleId="Heading2Char">
    <w:name w:val="Heading 2 Char"/>
    <w:basedOn w:val="DefaultParagraphFont"/>
    <w:link w:val="Heading2"/>
    <w:uiPriority w:val="9"/>
    <w:qFormat/>
    <w:rsid w:val="00F845C7"/>
    <w:rPr>
      <w:rFonts w:asciiTheme="majorBidi" w:eastAsiaTheme="majorEastAsia" w:hAnsiTheme="majorBidi" w:cstheme="majorBidi"/>
      <w:color w:val="000000" w:themeColor="text1"/>
      <w:sz w:val="26"/>
      <w:szCs w:val="26"/>
    </w:rPr>
  </w:style>
  <w:style w:type="character" w:customStyle="1" w:styleId="Heading4Char">
    <w:name w:val="Heading 4 Char"/>
    <w:basedOn w:val="DefaultParagraphFont"/>
    <w:link w:val="Heading4"/>
    <w:uiPriority w:val="9"/>
    <w:rsid w:val="00FE4336"/>
    <w:rPr>
      <w:rFonts w:asciiTheme="majorBidi" w:eastAsiaTheme="majorEastAsia" w:hAnsiTheme="majorBidi" w:cstheme="majorBidi"/>
      <w:b/>
      <w:i/>
      <w:iCs/>
      <w:sz w:val="24"/>
    </w:rPr>
  </w:style>
  <w:style w:type="character" w:customStyle="1" w:styleId="Heading5Char">
    <w:name w:val="Heading 5 Char"/>
    <w:basedOn w:val="DefaultParagraphFont"/>
    <w:link w:val="Heading5"/>
    <w:uiPriority w:val="9"/>
    <w:semiHidden/>
    <w:rsid w:val="003B5232"/>
    <w:rPr>
      <w:rFonts w:eastAsiaTheme="majorEastAsia" w:cstheme="majorBidi"/>
      <w:bCs/>
      <w:color w:val="2F5496" w:themeColor="accent1" w:themeShade="BF"/>
      <w:kern w:val="0"/>
      <w:lang w:val="en-GB"/>
      <w14:ligatures w14:val="none"/>
    </w:rPr>
  </w:style>
  <w:style w:type="character" w:customStyle="1" w:styleId="Heading6Char">
    <w:name w:val="Heading 6 Char"/>
    <w:basedOn w:val="DefaultParagraphFont"/>
    <w:link w:val="Heading6"/>
    <w:uiPriority w:val="9"/>
    <w:semiHidden/>
    <w:rsid w:val="003B5232"/>
    <w:rPr>
      <w:rFonts w:eastAsiaTheme="majorEastAsia" w:cstheme="majorBidi"/>
      <w:bCs/>
      <w:i/>
      <w:iCs/>
      <w:color w:val="595959" w:themeColor="text1" w:themeTint="A6"/>
      <w:kern w:val="0"/>
      <w:lang w:val="en-GB"/>
      <w14:ligatures w14:val="none"/>
    </w:rPr>
  </w:style>
  <w:style w:type="character" w:customStyle="1" w:styleId="Heading7Char">
    <w:name w:val="Heading 7 Char"/>
    <w:basedOn w:val="DefaultParagraphFont"/>
    <w:link w:val="Heading7"/>
    <w:uiPriority w:val="9"/>
    <w:semiHidden/>
    <w:rsid w:val="003B5232"/>
    <w:rPr>
      <w:rFonts w:eastAsiaTheme="majorEastAsia" w:cstheme="majorBidi"/>
      <w:bCs/>
      <w:color w:val="595959" w:themeColor="text1" w:themeTint="A6"/>
      <w:kern w:val="0"/>
      <w:lang w:val="en-GB"/>
      <w14:ligatures w14:val="none"/>
    </w:rPr>
  </w:style>
  <w:style w:type="character" w:customStyle="1" w:styleId="Heading8Char">
    <w:name w:val="Heading 8 Char"/>
    <w:basedOn w:val="DefaultParagraphFont"/>
    <w:link w:val="Heading8"/>
    <w:uiPriority w:val="9"/>
    <w:semiHidden/>
    <w:rsid w:val="003B5232"/>
    <w:rPr>
      <w:rFonts w:eastAsiaTheme="majorEastAsia" w:cstheme="majorBidi"/>
      <w:bCs/>
      <w:i/>
      <w:iCs/>
      <w:color w:val="272727" w:themeColor="text1" w:themeTint="D8"/>
      <w:kern w:val="0"/>
      <w:lang w:val="en-GB"/>
      <w14:ligatures w14:val="none"/>
    </w:rPr>
  </w:style>
  <w:style w:type="character" w:customStyle="1" w:styleId="Heading9Char">
    <w:name w:val="Heading 9 Char"/>
    <w:basedOn w:val="DefaultParagraphFont"/>
    <w:link w:val="Heading9"/>
    <w:uiPriority w:val="9"/>
    <w:semiHidden/>
    <w:rsid w:val="003B5232"/>
    <w:rPr>
      <w:rFonts w:eastAsiaTheme="majorEastAsia" w:cstheme="majorBidi"/>
      <w:bCs/>
      <w:color w:val="272727" w:themeColor="text1" w:themeTint="D8"/>
      <w:kern w:val="0"/>
      <w:lang w:val="en-GB"/>
      <w14:ligatures w14:val="none"/>
    </w:rPr>
  </w:style>
  <w:style w:type="paragraph" w:styleId="Title">
    <w:name w:val="Title"/>
    <w:basedOn w:val="Normal"/>
    <w:next w:val="Normal"/>
    <w:link w:val="TitleChar"/>
    <w:uiPriority w:val="10"/>
    <w:qFormat/>
    <w:rsid w:val="003B52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232"/>
    <w:rPr>
      <w:rFonts w:asciiTheme="majorHAnsi" w:eastAsiaTheme="majorEastAsia" w:hAnsiTheme="majorHAnsi" w:cstheme="majorBidi"/>
      <w:bCs/>
      <w:spacing w:val="-10"/>
      <w:kern w:val="28"/>
      <w:sz w:val="56"/>
      <w:szCs w:val="56"/>
      <w:lang w:val="en-GB"/>
      <w14:ligatures w14:val="none"/>
    </w:rPr>
  </w:style>
  <w:style w:type="paragraph" w:styleId="Subtitle">
    <w:name w:val="Subtitle"/>
    <w:basedOn w:val="Normal"/>
    <w:next w:val="Normal"/>
    <w:link w:val="SubtitleChar"/>
    <w:uiPriority w:val="11"/>
    <w:qFormat/>
    <w:rsid w:val="003B523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5232"/>
    <w:rPr>
      <w:rFonts w:eastAsiaTheme="majorEastAsia" w:cstheme="majorBidi"/>
      <w:bCs/>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3B523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B5232"/>
    <w:rPr>
      <w:rFonts w:ascii="Times New Roman" w:hAnsi="Times New Roman"/>
      <w:bCs/>
      <w:i/>
      <w:iCs/>
      <w:color w:val="404040" w:themeColor="text1" w:themeTint="BF"/>
      <w:kern w:val="0"/>
      <w:lang w:val="en-GB"/>
      <w14:ligatures w14:val="none"/>
    </w:rPr>
  </w:style>
  <w:style w:type="paragraph" w:styleId="ListParagraph">
    <w:name w:val="List Paragraph"/>
    <w:basedOn w:val="Normal"/>
    <w:uiPriority w:val="34"/>
    <w:qFormat/>
    <w:rsid w:val="003B5232"/>
    <w:pPr>
      <w:ind w:left="720"/>
      <w:contextualSpacing/>
    </w:pPr>
  </w:style>
  <w:style w:type="character" w:styleId="IntenseEmphasis">
    <w:name w:val="Intense Emphasis"/>
    <w:basedOn w:val="DefaultParagraphFont"/>
    <w:uiPriority w:val="21"/>
    <w:qFormat/>
    <w:rsid w:val="003B5232"/>
    <w:rPr>
      <w:i/>
      <w:iCs/>
      <w:color w:val="2F5496" w:themeColor="accent1" w:themeShade="BF"/>
    </w:rPr>
  </w:style>
  <w:style w:type="paragraph" w:styleId="IntenseQuote">
    <w:name w:val="Intense Quote"/>
    <w:basedOn w:val="Normal"/>
    <w:next w:val="Normal"/>
    <w:link w:val="IntenseQuoteChar"/>
    <w:uiPriority w:val="30"/>
    <w:qFormat/>
    <w:rsid w:val="003B523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B5232"/>
    <w:rPr>
      <w:rFonts w:ascii="Times New Roman" w:hAnsi="Times New Roman"/>
      <w:bCs/>
      <w:i/>
      <w:iCs/>
      <w:color w:val="2F5496" w:themeColor="accent1" w:themeShade="BF"/>
      <w:kern w:val="0"/>
      <w:lang w:val="en-GB"/>
      <w14:ligatures w14:val="none"/>
    </w:rPr>
  </w:style>
  <w:style w:type="character" w:styleId="IntenseReference">
    <w:name w:val="Intense Reference"/>
    <w:basedOn w:val="DefaultParagraphFont"/>
    <w:uiPriority w:val="32"/>
    <w:qFormat/>
    <w:rsid w:val="003B5232"/>
    <w:rPr>
      <w:b/>
      <w:bCs/>
      <w:smallCaps/>
      <w:color w:val="2F5496" w:themeColor="accent1" w:themeShade="BF"/>
      <w:spacing w:val="5"/>
    </w:rPr>
  </w:style>
  <w:style w:type="character" w:styleId="Hyperlink">
    <w:name w:val="Hyperlink"/>
    <w:basedOn w:val="DefaultParagraphFont"/>
    <w:uiPriority w:val="99"/>
    <w:unhideWhenUsed/>
    <w:rsid w:val="00A37D7E"/>
    <w:rPr>
      <w:color w:val="0563C1" w:themeColor="hyperlink"/>
      <w:u w:val="single"/>
    </w:rPr>
  </w:style>
  <w:style w:type="character" w:styleId="UnresolvedMention">
    <w:name w:val="Unresolved Mention"/>
    <w:basedOn w:val="DefaultParagraphFont"/>
    <w:uiPriority w:val="99"/>
    <w:semiHidden/>
    <w:unhideWhenUsed/>
    <w:rsid w:val="00A37D7E"/>
    <w:rPr>
      <w:color w:val="605E5C"/>
      <w:shd w:val="clear" w:color="auto" w:fill="E1DFDD"/>
    </w:rPr>
  </w:style>
  <w:style w:type="paragraph" w:styleId="TOCHeading">
    <w:name w:val="TOC Heading"/>
    <w:basedOn w:val="Heading1"/>
    <w:next w:val="Normal"/>
    <w:uiPriority w:val="39"/>
    <w:unhideWhenUsed/>
    <w:qFormat/>
    <w:rsid w:val="00DA7D87"/>
    <w:pPr>
      <w:spacing w:line="259" w:lineRule="auto"/>
      <w:jc w:val="left"/>
      <w:outlineLvl w:val="9"/>
    </w:pPr>
    <w:rPr>
      <w:rFonts w:asciiTheme="majorHAnsi" w:hAnsiTheme="majorHAnsi"/>
      <w:b w:val="0"/>
      <w:bCs w:val="0"/>
      <w:color w:val="2F5496" w:themeColor="accent1" w:themeShade="BF"/>
      <w:sz w:val="32"/>
    </w:rPr>
  </w:style>
  <w:style w:type="paragraph" w:styleId="TOC1">
    <w:name w:val="toc 1"/>
    <w:basedOn w:val="Normal"/>
    <w:next w:val="Normal"/>
    <w:autoRedefine/>
    <w:uiPriority w:val="39"/>
    <w:unhideWhenUsed/>
    <w:rsid w:val="00DA7D87"/>
    <w:pPr>
      <w:spacing w:after="100"/>
    </w:pPr>
  </w:style>
  <w:style w:type="paragraph" w:styleId="Header">
    <w:name w:val="header"/>
    <w:basedOn w:val="Normal"/>
    <w:link w:val="HeaderChar"/>
    <w:uiPriority w:val="99"/>
    <w:unhideWhenUsed/>
    <w:rsid w:val="00AF28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28FC"/>
    <w:rPr>
      <w:rFonts w:ascii="Times New Roman" w:hAnsi="Times New Roman"/>
      <w:bCs/>
      <w:kern w:val="0"/>
      <w14:ligatures w14:val="none"/>
    </w:rPr>
  </w:style>
  <w:style w:type="paragraph" w:styleId="Footer">
    <w:name w:val="footer"/>
    <w:basedOn w:val="Normal"/>
    <w:link w:val="FooterChar"/>
    <w:uiPriority w:val="99"/>
    <w:unhideWhenUsed/>
    <w:rsid w:val="00AF28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28FC"/>
    <w:rPr>
      <w:rFonts w:ascii="Times New Roman" w:hAnsi="Times New Roman"/>
      <w:bCs/>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hyperlink" Target="https://www.belfercenter.org/sites/default/files/pantheon_files/files/publication/joe_nye_wielding_soft_power.pdf" TargetMode="Externa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onlinelibrary.wiley.com/doi/abs/10.1111/j.1460-2466.1993.tb01304.x" TargetMode="Externa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monoskop.org/images/4/43/Bourdieu_Pierre_Language_and_Symbolic_Power_1991.pdf" TargetMode="Externa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www.jstor.org/stable/3092079" TargetMode="External"/><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A3D5E86-9421-407E-A18C-2BECEB1E1E2E}" type="doc">
      <dgm:prSet loTypeId="urn:microsoft.com/office/officeart/2011/layout/TabList" loCatId="list" qsTypeId="urn:microsoft.com/office/officeart/2005/8/quickstyle/3d1" qsCatId="3D" csTypeId="urn:microsoft.com/office/officeart/2005/8/colors/colorful3" csCatId="colorful" phldr="1"/>
      <dgm:spPr/>
      <dgm:t>
        <a:bodyPr/>
        <a:lstStyle/>
        <a:p>
          <a:endParaRPr lang="en-US"/>
        </a:p>
      </dgm:t>
    </dgm:pt>
    <dgm:pt modelId="{8500AC72-3C3D-4903-9C19-F18DA696C78C}">
      <dgm:prSet phldrT="[Text]" custT="1"/>
      <dgm:spPr/>
      <dgm:t>
        <a:bodyPr/>
        <a:lstStyle/>
        <a:p>
          <a:pPr>
            <a:buFont typeface="+mj-lt"/>
            <a:buAutoNum type="arabicPeriod"/>
          </a:pPr>
          <a:r>
            <a:rPr lang="en-US" sz="1200">
              <a:latin typeface="Times New Roman" panose="02020603050405020304" pitchFamily="18" charset="0"/>
              <a:cs typeface="Times New Roman" panose="02020603050405020304" pitchFamily="18" charset="0"/>
            </a:rPr>
            <a:t>How do the quantitative aspects of the Gaza conflict (population, territory, casualties) contrast with its qualitative global impact?</a:t>
          </a:r>
        </a:p>
      </dgm:t>
    </dgm:pt>
    <dgm:pt modelId="{92CFD80D-36BC-4441-A99C-056B68FFA76A}" type="parTrans" cxnId="{A03101EE-6445-454A-A220-9985AFA28213}">
      <dgm:prSet/>
      <dgm:spPr/>
      <dgm:t>
        <a:bodyPr/>
        <a:lstStyle/>
        <a:p>
          <a:endParaRPr lang="en-US" sz="1200">
            <a:latin typeface="Times New Roman" panose="02020603050405020304" pitchFamily="18" charset="0"/>
            <a:cs typeface="Times New Roman" panose="02020603050405020304" pitchFamily="18" charset="0"/>
          </a:endParaRPr>
        </a:p>
      </dgm:t>
    </dgm:pt>
    <dgm:pt modelId="{B01A4B30-E98F-4C70-BCE6-F12F42220F2F}" type="sibTrans" cxnId="{A03101EE-6445-454A-A220-9985AFA28213}">
      <dgm:prSet/>
      <dgm:spPr/>
      <dgm:t>
        <a:bodyPr/>
        <a:lstStyle/>
        <a:p>
          <a:endParaRPr lang="en-US" sz="1200">
            <a:latin typeface="Times New Roman" panose="02020603050405020304" pitchFamily="18" charset="0"/>
            <a:cs typeface="Times New Roman" panose="02020603050405020304" pitchFamily="18" charset="0"/>
          </a:endParaRPr>
        </a:p>
      </dgm:t>
    </dgm:pt>
    <dgm:pt modelId="{1ECCEDE2-6DF7-4BFC-8050-5910BA5504AF}">
      <dgm:prSet custT="1"/>
      <dgm:spPr/>
      <dgm:t>
        <a:bodyPr/>
        <a:lstStyle/>
        <a:p>
          <a:pPr>
            <a:buFont typeface="+mj-lt"/>
            <a:buAutoNum type="arabicPeriod"/>
          </a:pPr>
          <a:r>
            <a:rPr lang="en-US" sz="1200">
              <a:latin typeface="Times New Roman" panose="02020603050405020304" pitchFamily="18" charset="0"/>
              <a:cs typeface="Times New Roman" panose="02020603050405020304" pitchFamily="18" charset="0"/>
            </a:rPr>
            <a:t>How has media representation contributed to transforming Gaza from a regional issue into a global humanitarian symbol?</a:t>
          </a:r>
        </a:p>
      </dgm:t>
    </dgm:pt>
    <dgm:pt modelId="{176ACD94-BA0F-4B71-8DE0-E4E12B7B6001}" type="parTrans" cxnId="{B3C7AC7E-92A7-4A77-B407-4469A8495A3A}">
      <dgm:prSet/>
      <dgm:spPr/>
      <dgm:t>
        <a:bodyPr/>
        <a:lstStyle/>
        <a:p>
          <a:endParaRPr lang="en-US" sz="1200">
            <a:latin typeface="Times New Roman" panose="02020603050405020304" pitchFamily="18" charset="0"/>
            <a:cs typeface="Times New Roman" panose="02020603050405020304" pitchFamily="18" charset="0"/>
          </a:endParaRPr>
        </a:p>
      </dgm:t>
    </dgm:pt>
    <dgm:pt modelId="{D1EE6D9A-E5A2-4B1D-B027-C452D7368ED6}" type="sibTrans" cxnId="{B3C7AC7E-92A7-4A77-B407-4469A8495A3A}">
      <dgm:prSet/>
      <dgm:spPr/>
      <dgm:t>
        <a:bodyPr/>
        <a:lstStyle/>
        <a:p>
          <a:endParaRPr lang="en-US" sz="1200">
            <a:latin typeface="Times New Roman" panose="02020603050405020304" pitchFamily="18" charset="0"/>
            <a:cs typeface="Times New Roman" panose="02020603050405020304" pitchFamily="18" charset="0"/>
          </a:endParaRPr>
        </a:p>
      </dgm:t>
    </dgm:pt>
    <dgm:pt modelId="{718AEA4F-02F3-4BC4-8227-5B116BD076E0}">
      <dgm:prSet custT="1"/>
      <dgm:spPr/>
      <dgm:t>
        <a:bodyPr/>
        <a:lstStyle/>
        <a:p>
          <a:pPr>
            <a:buFont typeface="+mj-lt"/>
            <a:buAutoNum type="arabicPeriod"/>
          </a:pPr>
          <a:r>
            <a:rPr lang="en-US" sz="1200">
              <a:latin typeface="Times New Roman" panose="02020603050405020304" pitchFamily="18" charset="0"/>
              <a:cs typeface="Times New Roman" panose="02020603050405020304" pitchFamily="18" charset="0"/>
            </a:rPr>
            <a:t>What sociopolitical, psychological, or symbolic factors explain Gaza’s disproportionate influence on international discourse compared to its physical size?</a:t>
          </a:r>
        </a:p>
      </dgm:t>
    </dgm:pt>
    <dgm:pt modelId="{A6FDC25F-056D-48F3-9361-F0D478A726AE}" type="parTrans" cxnId="{DE5ABA22-73AC-4A25-9E3E-DCAA9A3BCC51}">
      <dgm:prSet/>
      <dgm:spPr/>
      <dgm:t>
        <a:bodyPr/>
        <a:lstStyle/>
        <a:p>
          <a:endParaRPr lang="en-US" sz="1200">
            <a:latin typeface="Times New Roman" panose="02020603050405020304" pitchFamily="18" charset="0"/>
            <a:cs typeface="Times New Roman" panose="02020603050405020304" pitchFamily="18" charset="0"/>
          </a:endParaRPr>
        </a:p>
      </dgm:t>
    </dgm:pt>
    <dgm:pt modelId="{FEC2895B-CBD6-4A06-8DA6-AA02190C23B6}" type="sibTrans" cxnId="{DE5ABA22-73AC-4A25-9E3E-DCAA9A3BCC51}">
      <dgm:prSet/>
      <dgm:spPr/>
      <dgm:t>
        <a:bodyPr/>
        <a:lstStyle/>
        <a:p>
          <a:endParaRPr lang="en-US" sz="1200">
            <a:latin typeface="Times New Roman" panose="02020603050405020304" pitchFamily="18" charset="0"/>
            <a:cs typeface="Times New Roman" panose="02020603050405020304" pitchFamily="18" charset="0"/>
          </a:endParaRPr>
        </a:p>
      </dgm:t>
    </dgm:pt>
    <dgm:pt modelId="{971ECE2C-6885-4619-B774-C61DB4E6398B}">
      <dgm:prSet custT="1"/>
      <dgm:spPr/>
      <dgm:t>
        <a:bodyPr/>
        <a:lstStyle/>
        <a:p>
          <a:pPr>
            <a:buFont typeface="+mj-lt"/>
            <a:buAutoNum type="arabicPeriod"/>
          </a:pPr>
          <a:r>
            <a:rPr lang="en-US" sz="1200">
              <a:latin typeface="Times New Roman" panose="02020603050405020304" pitchFamily="18" charset="0"/>
              <a:cs typeface="Times New Roman" panose="02020603050405020304" pitchFamily="18" charset="0"/>
            </a:rPr>
            <a:t>How does Gaza exemplify modern patterns of asymmetric conflict, where narrative, symbolism, and digital activism shape global perception?</a:t>
          </a:r>
        </a:p>
      </dgm:t>
    </dgm:pt>
    <dgm:pt modelId="{B3879F3A-3951-4E40-B409-854657455A0C}" type="parTrans" cxnId="{DCF229B7-A108-4BEC-8663-BAFF03FFA6EB}">
      <dgm:prSet/>
      <dgm:spPr/>
      <dgm:t>
        <a:bodyPr/>
        <a:lstStyle/>
        <a:p>
          <a:endParaRPr lang="en-US" sz="1200">
            <a:latin typeface="Times New Roman" panose="02020603050405020304" pitchFamily="18" charset="0"/>
            <a:cs typeface="Times New Roman" panose="02020603050405020304" pitchFamily="18" charset="0"/>
          </a:endParaRPr>
        </a:p>
      </dgm:t>
    </dgm:pt>
    <dgm:pt modelId="{B8138CE5-0080-46BE-8499-84C5FC621A0E}" type="sibTrans" cxnId="{DCF229B7-A108-4BEC-8663-BAFF03FFA6EB}">
      <dgm:prSet/>
      <dgm:spPr/>
      <dgm:t>
        <a:bodyPr/>
        <a:lstStyle/>
        <a:p>
          <a:endParaRPr lang="en-US" sz="1200">
            <a:latin typeface="Times New Roman" panose="02020603050405020304" pitchFamily="18" charset="0"/>
            <a:cs typeface="Times New Roman" panose="02020603050405020304" pitchFamily="18" charset="0"/>
          </a:endParaRPr>
        </a:p>
      </dgm:t>
    </dgm:pt>
    <dgm:pt modelId="{774725E8-6013-4486-A6AB-9110808E168F}">
      <dgm:prSet phldrT="[Text]" custT="1"/>
      <dgm:spPr/>
      <dgm:t>
        <a:bodyPr/>
        <a:lstStyle/>
        <a:p>
          <a:pPr rtl="0">
            <a:buFont typeface="+mj-lt"/>
            <a:buAutoNum type="arabicPeriod"/>
          </a:pPr>
          <a:r>
            <a:rPr lang="en-US" sz="1200" b="1">
              <a:latin typeface="Times New Roman" panose="02020603050405020304" pitchFamily="18" charset="0"/>
              <a:cs typeface="Times New Roman" panose="02020603050405020304" pitchFamily="18" charset="0"/>
            </a:rPr>
            <a:t>RQ: 1</a:t>
          </a:r>
        </a:p>
      </dgm:t>
    </dgm:pt>
    <dgm:pt modelId="{694EA2CF-4ED9-4F05-A535-47B0545FF78E}" type="parTrans" cxnId="{C9847F15-17F4-41A9-BC0C-AEA4BB6E662F}">
      <dgm:prSet/>
      <dgm:spPr/>
      <dgm:t>
        <a:bodyPr/>
        <a:lstStyle/>
        <a:p>
          <a:endParaRPr lang="en-US"/>
        </a:p>
      </dgm:t>
    </dgm:pt>
    <dgm:pt modelId="{3B1B8556-6C8B-47C5-AB6C-913F35C1EA7D}" type="sibTrans" cxnId="{C9847F15-17F4-41A9-BC0C-AEA4BB6E662F}">
      <dgm:prSet/>
      <dgm:spPr/>
      <dgm:t>
        <a:bodyPr/>
        <a:lstStyle/>
        <a:p>
          <a:endParaRPr lang="en-US"/>
        </a:p>
      </dgm:t>
    </dgm:pt>
    <dgm:pt modelId="{039E3BC8-B860-4970-B99B-E189796D1555}">
      <dgm:prSet phldrT="[Text]" custT="1"/>
      <dgm:spPr/>
      <dgm:t>
        <a:bodyPr/>
        <a:lstStyle/>
        <a:p>
          <a:r>
            <a:rPr lang="en-US" sz="1200" b="1">
              <a:latin typeface="Times New Roman" panose="02020603050405020304" pitchFamily="18" charset="0"/>
              <a:cs typeface="Times New Roman" panose="02020603050405020304" pitchFamily="18" charset="0"/>
            </a:rPr>
            <a:t>RQ: 2</a:t>
          </a:r>
          <a:endParaRPr lang="en-US" sz="1200">
            <a:latin typeface="Times New Roman" panose="02020603050405020304" pitchFamily="18" charset="0"/>
            <a:cs typeface="Times New Roman" panose="02020603050405020304" pitchFamily="18" charset="0"/>
          </a:endParaRPr>
        </a:p>
      </dgm:t>
    </dgm:pt>
    <dgm:pt modelId="{B48E4386-8996-4D5B-A043-BD0437217646}" type="parTrans" cxnId="{4BFB6DA6-1CAF-406F-8EBA-90355577C1A2}">
      <dgm:prSet/>
      <dgm:spPr/>
      <dgm:t>
        <a:bodyPr/>
        <a:lstStyle/>
        <a:p>
          <a:endParaRPr lang="en-US"/>
        </a:p>
      </dgm:t>
    </dgm:pt>
    <dgm:pt modelId="{381A2FEA-5F65-404C-8CF4-51228B49A53B}" type="sibTrans" cxnId="{4BFB6DA6-1CAF-406F-8EBA-90355577C1A2}">
      <dgm:prSet/>
      <dgm:spPr/>
      <dgm:t>
        <a:bodyPr/>
        <a:lstStyle/>
        <a:p>
          <a:endParaRPr lang="en-US"/>
        </a:p>
      </dgm:t>
    </dgm:pt>
    <dgm:pt modelId="{DFC2CCF6-38D0-4D19-B60F-056A90F489BA}">
      <dgm:prSet phldrT="[Text]" custT="1"/>
      <dgm:spPr/>
      <dgm:t>
        <a:bodyPr/>
        <a:lstStyle/>
        <a:p>
          <a:r>
            <a:rPr lang="en-US" sz="1200" b="1">
              <a:latin typeface="Times New Roman" panose="02020603050405020304" pitchFamily="18" charset="0"/>
              <a:cs typeface="Times New Roman" panose="02020603050405020304" pitchFamily="18" charset="0"/>
            </a:rPr>
            <a:t>RQ: 3</a:t>
          </a:r>
          <a:endParaRPr lang="en-US" sz="1200">
            <a:latin typeface="Times New Roman" panose="02020603050405020304" pitchFamily="18" charset="0"/>
            <a:cs typeface="Times New Roman" panose="02020603050405020304" pitchFamily="18" charset="0"/>
          </a:endParaRPr>
        </a:p>
      </dgm:t>
    </dgm:pt>
    <dgm:pt modelId="{BD74F7F3-FAA3-4088-B5AD-BB0F504BFBDC}" type="parTrans" cxnId="{1E6C77EF-CD18-4125-BD29-92E8F4467189}">
      <dgm:prSet/>
      <dgm:spPr/>
      <dgm:t>
        <a:bodyPr/>
        <a:lstStyle/>
        <a:p>
          <a:endParaRPr lang="en-US"/>
        </a:p>
      </dgm:t>
    </dgm:pt>
    <dgm:pt modelId="{7E19D8F0-BC0A-4312-B9F8-ED57D7708B72}" type="sibTrans" cxnId="{1E6C77EF-CD18-4125-BD29-92E8F4467189}">
      <dgm:prSet/>
      <dgm:spPr/>
      <dgm:t>
        <a:bodyPr/>
        <a:lstStyle/>
        <a:p>
          <a:endParaRPr lang="en-US"/>
        </a:p>
      </dgm:t>
    </dgm:pt>
    <dgm:pt modelId="{005AA0AB-AC2B-4662-9907-2C2246A10CFE}">
      <dgm:prSet phldrT="[Text]" custT="1"/>
      <dgm:spPr/>
      <dgm:t>
        <a:bodyPr/>
        <a:lstStyle/>
        <a:p>
          <a:r>
            <a:rPr lang="en-US" sz="1200" b="1">
              <a:latin typeface="Times New Roman" panose="02020603050405020304" pitchFamily="18" charset="0"/>
              <a:cs typeface="Times New Roman" panose="02020603050405020304" pitchFamily="18" charset="0"/>
            </a:rPr>
            <a:t>RQ: 4</a:t>
          </a:r>
          <a:endParaRPr lang="en-US" sz="1200">
            <a:latin typeface="Times New Roman" panose="02020603050405020304" pitchFamily="18" charset="0"/>
            <a:cs typeface="Times New Roman" panose="02020603050405020304" pitchFamily="18" charset="0"/>
          </a:endParaRPr>
        </a:p>
      </dgm:t>
    </dgm:pt>
    <dgm:pt modelId="{774EB7C1-502C-4A59-85C1-ABFACDD8E93A}" type="parTrans" cxnId="{FE0E8800-5995-4846-BA50-539C3E1606EC}">
      <dgm:prSet/>
      <dgm:spPr/>
      <dgm:t>
        <a:bodyPr/>
        <a:lstStyle/>
        <a:p>
          <a:endParaRPr lang="en-US"/>
        </a:p>
      </dgm:t>
    </dgm:pt>
    <dgm:pt modelId="{A5C27769-5A29-4209-83C3-5D8F6D4A7955}" type="sibTrans" cxnId="{FE0E8800-5995-4846-BA50-539C3E1606EC}">
      <dgm:prSet/>
      <dgm:spPr/>
      <dgm:t>
        <a:bodyPr/>
        <a:lstStyle/>
        <a:p>
          <a:endParaRPr lang="en-US"/>
        </a:p>
      </dgm:t>
    </dgm:pt>
    <dgm:pt modelId="{ACA63790-B26D-4E05-8480-5E73C8163AE0}" type="pres">
      <dgm:prSet presAssocID="{3A3D5E86-9421-407E-A18C-2BECEB1E1E2E}" presName="Name0" presStyleCnt="0">
        <dgm:presLayoutVars>
          <dgm:chMax/>
          <dgm:chPref val="3"/>
          <dgm:dir/>
          <dgm:animOne val="branch"/>
          <dgm:animLvl val="lvl"/>
        </dgm:presLayoutVars>
      </dgm:prSet>
      <dgm:spPr/>
    </dgm:pt>
    <dgm:pt modelId="{FC9AE5DF-62BC-4C94-855A-C105112281AF}" type="pres">
      <dgm:prSet presAssocID="{774725E8-6013-4486-A6AB-9110808E168F}" presName="composite" presStyleCnt="0"/>
      <dgm:spPr/>
    </dgm:pt>
    <dgm:pt modelId="{5957A6A1-3B31-4A3F-B0BC-5CE381074EF5}" type="pres">
      <dgm:prSet presAssocID="{774725E8-6013-4486-A6AB-9110808E168F}" presName="FirstChild" presStyleLbl="revTx" presStyleIdx="0" presStyleCnt="4">
        <dgm:presLayoutVars>
          <dgm:chMax val="0"/>
          <dgm:chPref val="0"/>
          <dgm:bulletEnabled val="1"/>
        </dgm:presLayoutVars>
      </dgm:prSet>
      <dgm:spPr/>
    </dgm:pt>
    <dgm:pt modelId="{20751204-F1A2-48AF-B583-ED89285CE59B}" type="pres">
      <dgm:prSet presAssocID="{774725E8-6013-4486-A6AB-9110808E168F}" presName="Parent" presStyleLbl="alignNode1" presStyleIdx="0" presStyleCnt="4">
        <dgm:presLayoutVars>
          <dgm:chMax val="3"/>
          <dgm:chPref val="3"/>
          <dgm:bulletEnabled val="1"/>
        </dgm:presLayoutVars>
      </dgm:prSet>
      <dgm:spPr/>
    </dgm:pt>
    <dgm:pt modelId="{52022BC8-8F68-4F89-9CA9-4E04F14766BB}" type="pres">
      <dgm:prSet presAssocID="{774725E8-6013-4486-A6AB-9110808E168F}" presName="Accent" presStyleLbl="parChTrans1D1" presStyleIdx="0" presStyleCnt="4"/>
      <dgm:spPr/>
    </dgm:pt>
    <dgm:pt modelId="{0AC07F26-35CA-490F-B71F-85AE4EE1B7D1}" type="pres">
      <dgm:prSet presAssocID="{3B1B8556-6C8B-47C5-AB6C-913F35C1EA7D}" presName="sibTrans" presStyleCnt="0"/>
      <dgm:spPr/>
    </dgm:pt>
    <dgm:pt modelId="{D2C20CDB-CF2F-4F52-A7E0-DC73DF9F9F09}" type="pres">
      <dgm:prSet presAssocID="{039E3BC8-B860-4970-B99B-E189796D1555}" presName="composite" presStyleCnt="0"/>
      <dgm:spPr/>
    </dgm:pt>
    <dgm:pt modelId="{40982BB1-1B84-4C22-A46A-EA221F6C57EF}" type="pres">
      <dgm:prSet presAssocID="{039E3BC8-B860-4970-B99B-E189796D1555}" presName="FirstChild" presStyleLbl="revTx" presStyleIdx="1" presStyleCnt="4">
        <dgm:presLayoutVars>
          <dgm:chMax val="0"/>
          <dgm:chPref val="0"/>
          <dgm:bulletEnabled val="1"/>
        </dgm:presLayoutVars>
      </dgm:prSet>
      <dgm:spPr/>
    </dgm:pt>
    <dgm:pt modelId="{FD340630-595D-41A4-8B5B-2BF2BF205A59}" type="pres">
      <dgm:prSet presAssocID="{039E3BC8-B860-4970-B99B-E189796D1555}" presName="Parent" presStyleLbl="alignNode1" presStyleIdx="1" presStyleCnt="4">
        <dgm:presLayoutVars>
          <dgm:chMax val="3"/>
          <dgm:chPref val="3"/>
          <dgm:bulletEnabled val="1"/>
        </dgm:presLayoutVars>
      </dgm:prSet>
      <dgm:spPr/>
    </dgm:pt>
    <dgm:pt modelId="{B6AD7C4D-D870-482A-9F20-80106A28D5A5}" type="pres">
      <dgm:prSet presAssocID="{039E3BC8-B860-4970-B99B-E189796D1555}" presName="Accent" presStyleLbl="parChTrans1D1" presStyleIdx="1" presStyleCnt="4"/>
      <dgm:spPr/>
    </dgm:pt>
    <dgm:pt modelId="{F34E1EB8-B9DE-47B7-AA4C-E34DF27C5444}" type="pres">
      <dgm:prSet presAssocID="{381A2FEA-5F65-404C-8CF4-51228B49A53B}" presName="sibTrans" presStyleCnt="0"/>
      <dgm:spPr/>
    </dgm:pt>
    <dgm:pt modelId="{EE290064-922A-406C-A87B-0676814FEB7E}" type="pres">
      <dgm:prSet presAssocID="{DFC2CCF6-38D0-4D19-B60F-056A90F489BA}" presName="composite" presStyleCnt="0"/>
      <dgm:spPr/>
    </dgm:pt>
    <dgm:pt modelId="{07F7FCD3-F3FF-4357-9A75-D194DF7A577A}" type="pres">
      <dgm:prSet presAssocID="{DFC2CCF6-38D0-4D19-B60F-056A90F489BA}" presName="FirstChild" presStyleLbl="revTx" presStyleIdx="2" presStyleCnt="4">
        <dgm:presLayoutVars>
          <dgm:chMax val="0"/>
          <dgm:chPref val="0"/>
          <dgm:bulletEnabled val="1"/>
        </dgm:presLayoutVars>
      </dgm:prSet>
      <dgm:spPr/>
    </dgm:pt>
    <dgm:pt modelId="{EFF04913-2DE7-4638-B26B-DEB2BFF2A49C}" type="pres">
      <dgm:prSet presAssocID="{DFC2CCF6-38D0-4D19-B60F-056A90F489BA}" presName="Parent" presStyleLbl="alignNode1" presStyleIdx="2" presStyleCnt="4">
        <dgm:presLayoutVars>
          <dgm:chMax val="3"/>
          <dgm:chPref val="3"/>
          <dgm:bulletEnabled val="1"/>
        </dgm:presLayoutVars>
      </dgm:prSet>
      <dgm:spPr/>
    </dgm:pt>
    <dgm:pt modelId="{C5991760-F499-4300-9151-28D862168FC5}" type="pres">
      <dgm:prSet presAssocID="{DFC2CCF6-38D0-4D19-B60F-056A90F489BA}" presName="Accent" presStyleLbl="parChTrans1D1" presStyleIdx="2" presStyleCnt="4"/>
      <dgm:spPr/>
    </dgm:pt>
    <dgm:pt modelId="{14845A9C-107D-4934-A5A9-1ECA13E35DBA}" type="pres">
      <dgm:prSet presAssocID="{7E19D8F0-BC0A-4312-B9F8-ED57D7708B72}" presName="sibTrans" presStyleCnt="0"/>
      <dgm:spPr/>
    </dgm:pt>
    <dgm:pt modelId="{40C21146-D95B-48FB-8E25-6D24A235E240}" type="pres">
      <dgm:prSet presAssocID="{005AA0AB-AC2B-4662-9907-2C2246A10CFE}" presName="composite" presStyleCnt="0"/>
      <dgm:spPr/>
    </dgm:pt>
    <dgm:pt modelId="{414B5A83-6BBA-424F-BA0C-E1CFD433EA54}" type="pres">
      <dgm:prSet presAssocID="{005AA0AB-AC2B-4662-9907-2C2246A10CFE}" presName="FirstChild" presStyleLbl="revTx" presStyleIdx="3" presStyleCnt="4">
        <dgm:presLayoutVars>
          <dgm:chMax val="0"/>
          <dgm:chPref val="0"/>
          <dgm:bulletEnabled val="1"/>
        </dgm:presLayoutVars>
      </dgm:prSet>
      <dgm:spPr/>
    </dgm:pt>
    <dgm:pt modelId="{51E2A7D5-112C-4F4B-91BD-464A07BA962A}" type="pres">
      <dgm:prSet presAssocID="{005AA0AB-AC2B-4662-9907-2C2246A10CFE}" presName="Parent" presStyleLbl="alignNode1" presStyleIdx="3" presStyleCnt="4">
        <dgm:presLayoutVars>
          <dgm:chMax val="3"/>
          <dgm:chPref val="3"/>
          <dgm:bulletEnabled val="1"/>
        </dgm:presLayoutVars>
      </dgm:prSet>
      <dgm:spPr/>
    </dgm:pt>
    <dgm:pt modelId="{826CC30E-5169-4145-A232-C23B31858056}" type="pres">
      <dgm:prSet presAssocID="{005AA0AB-AC2B-4662-9907-2C2246A10CFE}" presName="Accent" presStyleLbl="parChTrans1D1" presStyleIdx="3" presStyleCnt="4"/>
      <dgm:spPr/>
    </dgm:pt>
  </dgm:ptLst>
  <dgm:cxnLst>
    <dgm:cxn modelId="{FE0E8800-5995-4846-BA50-539C3E1606EC}" srcId="{3A3D5E86-9421-407E-A18C-2BECEB1E1E2E}" destId="{005AA0AB-AC2B-4662-9907-2C2246A10CFE}" srcOrd="3" destOrd="0" parTransId="{774EB7C1-502C-4A59-85C1-ABFACDD8E93A}" sibTransId="{A5C27769-5A29-4209-83C3-5D8F6D4A7955}"/>
    <dgm:cxn modelId="{52E19D0B-42A6-4214-B4F1-19AC7A71CE7D}" type="presOf" srcId="{3A3D5E86-9421-407E-A18C-2BECEB1E1E2E}" destId="{ACA63790-B26D-4E05-8480-5E73C8163AE0}" srcOrd="0" destOrd="0" presId="urn:microsoft.com/office/officeart/2011/layout/TabList"/>
    <dgm:cxn modelId="{E88BCD10-F039-45D6-AA2A-335DAA4AAD72}" type="presOf" srcId="{774725E8-6013-4486-A6AB-9110808E168F}" destId="{20751204-F1A2-48AF-B583-ED89285CE59B}" srcOrd="0" destOrd="0" presId="urn:microsoft.com/office/officeart/2011/layout/TabList"/>
    <dgm:cxn modelId="{C9847F15-17F4-41A9-BC0C-AEA4BB6E662F}" srcId="{3A3D5E86-9421-407E-A18C-2BECEB1E1E2E}" destId="{774725E8-6013-4486-A6AB-9110808E168F}" srcOrd="0" destOrd="0" parTransId="{694EA2CF-4ED9-4F05-A535-47B0545FF78E}" sibTransId="{3B1B8556-6C8B-47C5-AB6C-913F35C1EA7D}"/>
    <dgm:cxn modelId="{2E38471C-5DA2-4FA6-B2D5-2AE57764ED66}" type="presOf" srcId="{039E3BC8-B860-4970-B99B-E189796D1555}" destId="{FD340630-595D-41A4-8B5B-2BF2BF205A59}" srcOrd="0" destOrd="0" presId="urn:microsoft.com/office/officeart/2011/layout/TabList"/>
    <dgm:cxn modelId="{DE5ABA22-73AC-4A25-9E3E-DCAA9A3BCC51}" srcId="{DFC2CCF6-38D0-4D19-B60F-056A90F489BA}" destId="{718AEA4F-02F3-4BC4-8227-5B116BD076E0}" srcOrd="0" destOrd="0" parTransId="{A6FDC25F-056D-48F3-9361-F0D478A726AE}" sibTransId="{FEC2895B-CBD6-4A06-8DA6-AA02190C23B6}"/>
    <dgm:cxn modelId="{6D048823-9904-47C7-B968-FD9C03D37629}" type="presOf" srcId="{8500AC72-3C3D-4903-9C19-F18DA696C78C}" destId="{5957A6A1-3B31-4A3F-B0BC-5CE381074EF5}" srcOrd="0" destOrd="0" presId="urn:microsoft.com/office/officeart/2011/layout/TabList"/>
    <dgm:cxn modelId="{B3C7AC7E-92A7-4A77-B407-4469A8495A3A}" srcId="{039E3BC8-B860-4970-B99B-E189796D1555}" destId="{1ECCEDE2-6DF7-4BFC-8050-5910BA5504AF}" srcOrd="0" destOrd="0" parTransId="{176ACD94-BA0F-4B71-8DE0-E4E12B7B6001}" sibTransId="{D1EE6D9A-E5A2-4B1D-B027-C452D7368ED6}"/>
    <dgm:cxn modelId="{EB14238B-B512-4433-A8F2-63511F4EDD57}" type="presOf" srcId="{005AA0AB-AC2B-4662-9907-2C2246A10CFE}" destId="{51E2A7D5-112C-4F4B-91BD-464A07BA962A}" srcOrd="0" destOrd="0" presId="urn:microsoft.com/office/officeart/2011/layout/TabList"/>
    <dgm:cxn modelId="{0DD634A0-FDBB-4971-8097-19ECE145C288}" type="presOf" srcId="{971ECE2C-6885-4619-B774-C61DB4E6398B}" destId="{414B5A83-6BBA-424F-BA0C-E1CFD433EA54}" srcOrd="0" destOrd="0" presId="urn:microsoft.com/office/officeart/2011/layout/TabList"/>
    <dgm:cxn modelId="{4BFB6DA6-1CAF-406F-8EBA-90355577C1A2}" srcId="{3A3D5E86-9421-407E-A18C-2BECEB1E1E2E}" destId="{039E3BC8-B860-4970-B99B-E189796D1555}" srcOrd="1" destOrd="0" parTransId="{B48E4386-8996-4D5B-A043-BD0437217646}" sibTransId="{381A2FEA-5F65-404C-8CF4-51228B49A53B}"/>
    <dgm:cxn modelId="{AD2C6AB5-4DB8-4747-9481-8E3E229CE6B4}" type="presOf" srcId="{718AEA4F-02F3-4BC4-8227-5B116BD076E0}" destId="{07F7FCD3-F3FF-4357-9A75-D194DF7A577A}" srcOrd="0" destOrd="0" presId="urn:microsoft.com/office/officeart/2011/layout/TabList"/>
    <dgm:cxn modelId="{DCF229B7-A108-4BEC-8663-BAFF03FFA6EB}" srcId="{005AA0AB-AC2B-4662-9907-2C2246A10CFE}" destId="{971ECE2C-6885-4619-B774-C61DB4E6398B}" srcOrd="0" destOrd="0" parTransId="{B3879F3A-3951-4E40-B409-854657455A0C}" sibTransId="{B8138CE5-0080-46BE-8499-84C5FC621A0E}"/>
    <dgm:cxn modelId="{00AD85DD-E7FC-4CC2-995C-AAA78DE04DA3}" type="presOf" srcId="{DFC2CCF6-38D0-4D19-B60F-056A90F489BA}" destId="{EFF04913-2DE7-4638-B26B-DEB2BFF2A49C}" srcOrd="0" destOrd="0" presId="urn:microsoft.com/office/officeart/2011/layout/TabList"/>
    <dgm:cxn modelId="{A03101EE-6445-454A-A220-9985AFA28213}" srcId="{774725E8-6013-4486-A6AB-9110808E168F}" destId="{8500AC72-3C3D-4903-9C19-F18DA696C78C}" srcOrd="0" destOrd="0" parTransId="{92CFD80D-36BC-4441-A99C-056B68FFA76A}" sibTransId="{B01A4B30-E98F-4C70-BCE6-F12F42220F2F}"/>
    <dgm:cxn modelId="{1E6C77EF-CD18-4125-BD29-92E8F4467189}" srcId="{3A3D5E86-9421-407E-A18C-2BECEB1E1E2E}" destId="{DFC2CCF6-38D0-4D19-B60F-056A90F489BA}" srcOrd="2" destOrd="0" parTransId="{BD74F7F3-FAA3-4088-B5AD-BB0F504BFBDC}" sibTransId="{7E19D8F0-BC0A-4312-B9F8-ED57D7708B72}"/>
    <dgm:cxn modelId="{0DFC28F9-4224-4FD2-A679-D75298FD5E4E}" type="presOf" srcId="{1ECCEDE2-6DF7-4BFC-8050-5910BA5504AF}" destId="{40982BB1-1B84-4C22-A46A-EA221F6C57EF}" srcOrd="0" destOrd="0" presId="urn:microsoft.com/office/officeart/2011/layout/TabList"/>
    <dgm:cxn modelId="{37FB281F-6D6F-46A1-A8E5-AEFBE4616F13}" type="presParOf" srcId="{ACA63790-B26D-4E05-8480-5E73C8163AE0}" destId="{FC9AE5DF-62BC-4C94-855A-C105112281AF}" srcOrd="0" destOrd="0" presId="urn:microsoft.com/office/officeart/2011/layout/TabList"/>
    <dgm:cxn modelId="{23CE1787-DA67-434E-B320-37D8AED9AB15}" type="presParOf" srcId="{FC9AE5DF-62BC-4C94-855A-C105112281AF}" destId="{5957A6A1-3B31-4A3F-B0BC-5CE381074EF5}" srcOrd="0" destOrd="0" presId="urn:microsoft.com/office/officeart/2011/layout/TabList"/>
    <dgm:cxn modelId="{DDBEDFED-0F3B-4AF8-AD4C-8263CDC14483}" type="presParOf" srcId="{FC9AE5DF-62BC-4C94-855A-C105112281AF}" destId="{20751204-F1A2-48AF-B583-ED89285CE59B}" srcOrd="1" destOrd="0" presId="urn:microsoft.com/office/officeart/2011/layout/TabList"/>
    <dgm:cxn modelId="{D7CC909D-74D1-41EE-8E44-8FD4020A5756}" type="presParOf" srcId="{FC9AE5DF-62BC-4C94-855A-C105112281AF}" destId="{52022BC8-8F68-4F89-9CA9-4E04F14766BB}" srcOrd="2" destOrd="0" presId="urn:microsoft.com/office/officeart/2011/layout/TabList"/>
    <dgm:cxn modelId="{B79D4108-02CA-4ECE-B591-EB70C2ECA378}" type="presParOf" srcId="{ACA63790-B26D-4E05-8480-5E73C8163AE0}" destId="{0AC07F26-35CA-490F-B71F-85AE4EE1B7D1}" srcOrd="1" destOrd="0" presId="urn:microsoft.com/office/officeart/2011/layout/TabList"/>
    <dgm:cxn modelId="{A0AFDBF6-84C9-47A1-93E5-847144482025}" type="presParOf" srcId="{ACA63790-B26D-4E05-8480-5E73C8163AE0}" destId="{D2C20CDB-CF2F-4F52-A7E0-DC73DF9F9F09}" srcOrd="2" destOrd="0" presId="urn:microsoft.com/office/officeart/2011/layout/TabList"/>
    <dgm:cxn modelId="{78988BEC-09EE-44A0-B3AF-387C5130018E}" type="presParOf" srcId="{D2C20CDB-CF2F-4F52-A7E0-DC73DF9F9F09}" destId="{40982BB1-1B84-4C22-A46A-EA221F6C57EF}" srcOrd="0" destOrd="0" presId="urn:microsoft.com/office/officeart/2011/layout/TabList"/>
    <dgm:cxn modelId="{45F3BC31-7000-4ED1-8495-82E168F44BE6}" type="presParOf" srcId="{D2C20CDB-CF2F-4F52-A7E0-DC73DF9F9F09}" destId="{FD340630-595D-41A4-8B5B-2BF2BF205A59}" srcOrd="1" destOrd="0" presId="urn:microsoft.com/office/officeart/2011/layout/TabList"/>
    <dgm:cxn modelId="{2AD9E262-3BE6-4C8F-AC5C-D6624C83B459}" type="presParOf" srcId="{D2C20CDB-CF2F-4F52-A7E0-DC73DF9F9F09}" destId="{B6AD7C4D-D870-482A-9F20-80106A28D5A5}" srcOrd="2" destOrd="0" presId="urn:microsoft.com/office/officeart/2011/layout/TabList"/>
    <dgm:cxn modelId="{AB7A0D5F-96ED-4C7B-AA8A-92A4B9552F5C}" type="presParOf" srcId="{ACA63790-B26D-4E05-8480-5E73C8163AE0}" destId="{F34E1EB8-B9DE-47B7-AA4C-E34DF27C5444}" srcOrd="3" destOrd="0" presId="urn:microsoft.com/office/officeart/2011/layout/TabList"/>
    <dgm:cxn modelId="{E43F679D-4BBF-4192-92C6-7D6C41EA79EF}" type="presParOf" srcId="{ACA63790-B26D-4E05-8480-5E73C8163AE0}" destId="{EE290064-922A-406C-A87B-0676814FEB7E}" srcOrd="4" destOrd="0" presId="urn:microsoft.com/office/officeart/2011/layout/TabList"/>
    <dgm:cxn modelId="{53EB855D-44E2-423A-B455-09A1C3B447BE}" type="presParOf" srcId="{EE290064-922A-406C-A87B-0676814FEB7E}" destId="{07F7FCD3-F3FF-4357-9A75-D194DF7A577A}" srcOrd="0" destOrd="0" presId="urn:microsoft.com/office/officeart/2011/layout/TabList"/>
    <dgm:cxn modelId="{21EBFBE0-628F-48CD-AE30-08AF5D127734}" type="presParOf" srcId="{EE290064-922A-406C-A87B-0676814FEB7E}" destId="{EFF04913-2DE7-4638-B26B-DEB2BFF2A49C}" srcOrd="1" destOrd="0" presId="urn:microsoft.com/office/officeart/2011/layout/TabList"/>
    <dgm:cxn modelId="{C6000B35-9F1B-423E-8AAF-2CF732518D8F}" type="presParOf" srcId="{EE290064-922A-406C-A87B-0676814FEB7E}" destId="{C5991760-F499-4300-9151-28D862168FC5}" srcOrd="2" destOrd="0" presId="urn:microsoft.com/office/officeart/2011/layout/TabList"/>
    <dgm:cxn modelId="{B9F8F16B-6551-410C-A7BE-41A9AAE5B94D}" type="presParOf" srcId="{ACA63790-B26D-4E05-8480-5E73C8163AE0}" destId="{14845A9C-107D-4934-A5A9-1ECA13E35DBA}" srcOrd="5" destOrd="0" presId="urn:microsoft.com/office/officeart/2011/layout/TabList"/>
    <dgm:cxn modelId="{F78D9C9F-72A2-40FF-AC49-5C9F74F3FD74}" type="presParOf" srcId="{ACA63790-B26D-4E05-8480-5E73C8163AE0}" destId="{40C21146-D95B-48FB-8E25-6D24A235E240}" srcOrd="6" destOrd="0" presId="urn:microsoft.com/office/officeart/2011/layout/TabList"/>
    <dgm:cxn modelId="{066FCC95-69E5-4795-B2E8-0721D9BFA3EB}" type="presParOf" srcId="{40C21146-D95B-48FB-8E25-6D24A235E240}" destId="{414B5A83-6BBA-424F-BA0C-E1CFD433EA54}" srcOrd="0" destOrd="0" presId="urn:microsoft.com/office/officeart/2011/layout/TabList"/>
    <dgm:cxn modelId="{A57B5536-E516-4D6A-BFA9-1A459F2498F0}" type="presParOf" srcId="{40C21146-D95B-48FB-8E25-6D24A235E240}" destId="{51E2A7D5-112C-4F4B-91BD-464A07BA962A}" srcOrd="1" destOrd="0" presId="urn:microsoft.com/office/officeart/2011/layout/TabList"/>
    <dgm:cxn modelId="{B92F6069-96CB-4B9F-B3EC-FD0481E9FA90}" type="presParOf" srcId="{40C21146-D95B-48FB-8E25-6D24A235E240}" destId="{826CC30E-5169-4145-A232-C23B31858056}" srcOrd="2" destOrd="0" presId="urn:microsoft.com/office/officeart/2011/layout/Tab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3F951EC-B6F0-4F23-A4ED-C9849C753785}" type="doc">
      <dgm:prSet loTypeId="urn:microsoft.com/office/officeart/2005/8/layout/matrix2" loCatId="matrix" qsTypeId="urn:microsoft.com/office/officeart/2005/8/quickstyle/3d2" qsCatId="3D" csTypeId="urn:microsoft.com/office/officeart/2005/8/colors/colorful1" csCatId="colorful" phldr="1"/>
      <dgm:spPr/>
      <dgm:t>
        <a:bodyPr/>
        <a:lstStyle/>
        <a:p>
          <a:endParaRPr lang="en-US"/>
        </a:p>
      </dgm:t>
    </dgm:pt>
    <dgm:pt modelId="{2D4C945B-4B03-4C17-A29E-8673ED978359}">
      <dgm:prSet phldrT="[Text]"/>
      <dgm:spPr/>
      <dgm:t>
        <a:bodyPr/>
        <a:lstStyle/>
        <a:p>
          <a:pPr>
            <a:buSzPts val="1000"/>
            <a:buFont typeface="Symbol" panose="05050102010706020507" pitchFamily="18" charset="2"/>
            <a:buChar char=""/>
          </a:pPr>
          <a:r>
            <a:rPr lang="en-US"/>
            <a:t>UN reports (e.g., UNRWA, OCHA)</a:t>
          </a:r>
        </a:p>
      </dgm:t>
    </dgm:pt>
    <dgm:pt modelId="{D39A14BB-E59A-4C4C-88F4-3B2639DF50E1}" type="parTrans" cxnId="{D6C76737-5D58-4266-AAD5-0C7F28AF6123}">
      <dgm:prSet/>
      <dgm:spPr/>
      <dgm:t>
        <a:bodyPr/>
        <a:lstStyle/>
        <a:p>
          <a:endParaRPr lang="en-US"/>
        </a:p>
      </dgm:t>
    </dgm:pt>
    <dgm:pt modelId="{2CA62082-11A8-45F8-B384-FF222A4F8397}" type="sibTrans" cxnId="{D6C76737-5D58-4266-AAD5-0C7F28AF6123}">
      <dgm:prSet/>
      <dgm:spPr/>
      <dgm:t>
        <a:bodyPr/>
        <a:lstStyle/>
        <a:p>
          <a:endParaRPr lang="en-US"/>
        </a:p>
      </dgm:t>
    </dgm:pt>
    <dgm:pt modelId="{505ABD6A-DC07-49B9-BAC7-B4D642CF4A1A}">
      <dgm:prSet/>
      <dgm:spPr/>
      <dgm:t>
        <a:bodyPr/>
        <a:lstStyle/>
        <a:p>
          <a:pPr>
            <a:buSzPts val="1000"/>
            <a:buFont typeface="Symbol" panose="05050102010706020507" pitchFamily="18" charset="2"/>
            <a:buChar char=""/>
          </a:pPr>
          <a:r>
            <a:rPr lang="en-US"/>
            <a:t>Humanitarian organizations (e.g., Amnesty International, Human Rights Watch)</a:t>
          </a:r>
        </a:p>
      </dgm:t>
    </dgm:pt>
    <dgm:pt modelId="{10C053C4-7A9F-4D0A-8625-0B78B2ADA5E1}" type="parTrans" cxnId="{F139188E-9346-400A-A1E4-075192E6E44F}">
      <dgm:prSet/>
      <dgm:spPr/>
      <dgm:t>
        <a:bodyPr/>
        <a:lstStyle/>
        <a:p>
          <a:endParaRPr lang="en-US"/>
        </a:p>
      </dgm:t>
    </dgm:pt>
    <dgm:pt modelId="{09DB9E64-6790-42BA-8AAB-4370B3859F8B}" type="sibTrans" cxnId="{F139188E-9346-400A-A1E4-075192E6E44F}">
      <dgm:prSet/>
      <dgm:spPr/>
      <dgm:t>
        <a:bodyPr/>
        <a:lstStyle/>
        <a:p>
          <a:endParaRPr lang="en-US"/>
        </a:p>
      </dgm:t>
    </dgm:pt>
    <dgm:pt modelId="{1D3264D6-2EFD-4473-93C1-7A88C5D2E26A}">
      <dgm:prSet/>
      <dgm:spPr/>
      <dgm:t>
        <a:bodyPr/>
        <a:lstStyle/>
        <a:p>
          <a:pPr>
            <a:buSzPts val="1000"/>
            <a:buFont typeface="Symbol" panose="05050102010706020507" pitchFamily="18" charset="2"/>
            <a:buChar char=""/>
          </a:pPr>
          <a:r>
            <a:rPr lang="en-US"/>
            <a:t>News archives (e.g., BBC, Al Jazeera, The Guardian)</a:t>
          </a:r>
        </a:p>
      </dgm:t>
    </dgm:pt>
    <dgm:pt modelId="{0106B00F-0E8F-4A12-87E1-58F034D05C4A}" type="parTrans" cxnId="{02AA67FD-596D-4D7E-95BE-8D445D066DEE}">
      <dgm:prSet/>
      <dgm:spPr/>
      <dgm:t>
        <a:bodyPr/>
        <a:lstStyle/>
        <a:p>
          <a:endParaRPr lang="en-US"/>
        </a:p>
      </dgm:t>
    </dgm:pt>
    <dgm:pt modelId="{D226AED1-757F-48DC-9779-027688EF6F1B}" type="sibTrans" cxnId="{02AA67FD-596D-4D7E-95BE-8D445D066DEE}">
      <dgm:prSet/>
      <dgm:spPr/>
      <dgm:t>
        <a:bodyPr/>
        <a:lstStyle/>
        <a:p>
          <a:endParaRPr lang="en-US"/>
        </a:p>
      </dgm:t>
    </dgm:pt>
    <dgm:pt modelId="{A6405408-4F55-40CD-9BE1-DFF38EBF1B66}">
      <dgm:prSet/>
      <dgm:spPr/>
      <dgm:t>
        <a:bodyPr/>
        <a:lstStyle/>
        <a:p>
          <a:pPr>
            <a:buSzPts val="1000"/>
            <a:buFont typeface="Symbol" panose="05050102010706020507" pitchFamily="18" charset="2"/>
            <a:buChar char=""/>
          </a:pPr>
          <a:r>
            <a:rPr lang="en-US"/>
            <a:t>Social media platforms (e.g., Twitter, Instagram)</a:t>
          </a:r>
        </a:p>
      </dgm:t>
    </dgm:pt>
    <dgm:pt modelId="{598D68D3-EDB5-4068-AC6B-C073C03CA8B8}" type="parTrans" cxnId="{28094F9F-DB58-414E-AFBD-DF646D960CF8}">
      <dgm:prSet/>
      <dgm:spPr/>
      <dgm:t>
        <a:bodyPr/>
        <a:lstStyle/>
        <a:p>
          <a:endParaRPr lang="en-US"/>
        </a:p>
      </dgm:t>
    </dgm:pt>
    <dgm:pt modelId="{79C0404F-BD23-40E2-A6FD-D3B984FBC473}" type="sibTrans" cxnId="{28094F9F-DB58-414E-AFBD-DF646D960CF8}">
      <dgm:prSet/>
      <dgm:spPr/>
      <dgm:t>
        <a:bodyPr/>
        <a:lstStyle/>
        <a:p>
          <a:endParaRPr lang="en-US"/>
        </a:p>
      </dgm:t>
    </dgm:pt>
    <dgm:pt modelId="{0FE8FA2E-822E-4AA7-9772-EC0C2670740D}" type="pres">
      <dgm:prSet presAssocID="{63F951EC-B6F0-4F23-A4ED-C9849C753785}" presName="matrix" presStyleCnt="0">
        <dgm:presLayoutVars>
          <dgm:chMax val="1"/>
          <dgm:dir/>
          <dgm:resizeHandles val="exact"/>
        </dgm:presLayoutVars>
      </dgm:prSet>
      <dgm:spPr/>
    </dgm:pt>
    <dgm:pt modelId="{02D38E05-A213-4C48-BBF2-26EC78DB0AAB}" type="pres">
      <dgm:prSet presAssocID="{63F951EC-B6F0-4F23-A4ED-C9849C753785}" presName="axisShape" presStyleLbl="bgShp" presStyleIdx="0" presStyleCnt="1"/>
      <dgm:spPr/>
    </dgm:pt>
    <dgm:pt modelId="{B49C60E9-0A41-47B2-9B3E-8CBB9F1D1033}" type="pres">
      <dgm:prSet presAssocID="{63F951EC-B6F0-4F23-A4ED-C9849C753785}" presName="rect1" presStyleLbl="node1" presStyleIdx="0" presStyleCnt="4">
        <dgm:presLayoutVars>
          <dgm:chMax val="0"/>
          <dgm:chPref val="0"/>
          <dgm:bulletEnabled val="1"/>
        </dgm:presLayoutVars>
      </dgm:prSet>
      <dgm:spPr/>
    </dgm:pt>
    <dgm:pt modelId="{EB8B9962-41E1-4BD2-BE28-BEBC73D32355}" type="pres">
      <dgm:prSet presAssocID="{63F951EC-B6F0-4F23-A4ED-C9849C753785}" presName="rect2" presStyleLbl="node1" presStyleIdx="1" presStyleCnt="4">
        <dgm:presLayoutVars>
          <dgm:chMax val="0"/>
          <dgm:chPref val="0"/>
          <dgm:bulletEnabled val="1"/>
        </dgm:presLayoutVars>
      </dgm:prSet>
      <dgm:spPr/>
    </dgm:pt>
    <dgm:pt modelId="{5D2E75B1-6604-4AC9-9976-D480FC31AD13}" type="pres">
      <dgm:prSet presAssocID="{63F951EC-B6F0-4F23-A4ED-C9849C753785}" presName="rect3" presStyleLbl="node1" presStyleIdx="2" presStyleCnt="4">
        <dgm:presLayoutVars>
          <dgm:chMax val="0"/>
          <dgm:chPref val="0"/>
          <dgm:bulletEnabled val="1"/>
        </dgm:presLayoutVars>
      </dgm:prSet>
      <dgm:spPr/>
    </dgm:pt>
    <dgm:pt modelId="{FF89ABA7-A807-4D10-85C9-5D5E41A48E6B}" type="pres">
      <dgm:prSet presAssocID="{63F951EC-B6F0-4F23-A4ED-C9849C753785}" presName="rect4" presStyleLbl="node1" presStyleIdx="3" presStyleCnt="4">
        <dgm:presLayoutVars>
          <dgm:chMax val="0"/>
          <dgm:chPref val="0"/>
          <dgm:bulletEnabled val="1"/>
        </dgm:presLayoutVars>
      </dgm:prSet>
      <dgm:spPr/>
    </dgm:pt>
  </dgm:ptLst>
  <dgm:cxnLst>
    <dgm:cxn modelId="{D6C76737-5D58-4266-AAD5-0C7F28AF6123}" srcId="{63F951EC-B6F0-4F23-A4ED-C9849C753785}" destId="{2D4C945B-4B03-4C17-A29E-8673ED978359}" srcOrd="0" destOrd="0" parTransId="{D39A14BB-E59A-4C4C-88F4-3B2639DF50E1}" sibTransId="{2CA62082-11A8-45F8-B384-FF222A4F8397}"/>
    <dgm:cxn modelId="{E0921438-37D5-4949-9AC1-7D1638F56E58}" type="presOf" srcId="{A6405408-4F55-40CD-9BE1-DFF38EBF1B66}" destId="{FF89ABA7-A807-4D10-85C9-5D5E41A48E6B}" srcOrd="0" destOrd="0" presId="urn:microsoft.com/office/officeart/2005/8/layout/matrix2"/>
    <dgm:cxn modelId="{6D0EC33D-E158-4738-9278-83F8528FA0E1}" type="presOf" srcId="{1D3264D6-2EFD-4473-93C1-7A88C5D2E26A}" destId="{5D2E75B1-6604-4AC9-9976-D480FC31AD13}" srcOrd="0" destOrd="0" presId="urn:microsoft.com/office/officeart/2005/8/layout/matrix2"/>
    <dgm:cxn modelId="{E26CBC5C-1766-4A59-8DC0-59D887A4EC64}" type="presOf" srcId="{2D4C945B-4B03-4C17-A29E-8673ED978359}" destId="{B49C60E9-0A41-47B2-9B3E-8CBB9F1D1033}" srcOrd="0" destOrd="0" presId="urn:microsoft.com/office/officeart/2005/8/layout/matrix2"/>
    <dgm:cxn modelId="{E469967E-2861-4C6D-81BF-9AD997806FFF}" type="presOf" srcId="{505ABD6A-DC07-49B9-BAC7-B4D642CF4A1A}" destId="{EB8B9962-41E1-4BD2-BE28-BEBC73D32355}" srcOrd="0" destOrd="0" presId="urn:microsoft.com/office/officeart/2005/8/layout/matrix2"/>
    <dgm:cxn modelId="{F139188E-9346-400A-A1E4-075192E6E44F}" srcId="{63F951EC-B6F0-4F23-A4ED-C9849C753785}" destId="{505ABD6A-DC07-49B9-BAC7-B4D642CF4A1A}" srcOrd="1" destOrd="0" parTransId="{10C053C4-7A9F-4D0A-8625-0B78B2ADA5E1}" sibTransId="{09DB9E64-6790-42BA-8AAB-4370B3859F8B}"/>
    <dgm:cxn modelId="{C18C6093-DDB7-4DC8-9DDD-C807A22A6E99}" type="presOf" srcId="{63F951EC-B6F0-4F23-A4ED-C9849C753785}" destId="{0FE8FA2E-822E-4AA7-9772-EC0C2670740D}" srcOrd="0" destOrd="0" presId="urn:microsoft.com/office/officeart/2005/8/layout/matrix2"/>
    <dgm:cxn modelId="{28094F9F-DB58-414E-AFBD-DF646D960CF8}" srcId="{63F951EC-B6F0-4F23-A4ED-C9849C753785}" destId="{A6405408-4F55-40CD-9BE1-DFF38EBF1B66}" srcOrd="3" destOrd="0" parTransId="{598D68D3-EDB5-4068-AC6B-C073C03CA8B8}" sibTransId="{79C0404F-BD23-40E2-A6FD-D3B984FBC473}"/>
    <dgm:cxn modelId="{02AA67FD-596D-4D7E-95BE-8D445D066DEE}" srcId="{63F951EC-B6F0-4F23-A4ED-C9849C753785}" destId="{1D3264D6-2EFD-4473-93C1-7A88C5D2E26A}" srcOrd="2" destOrd="0" parTransId="{0106B00F-0E8F-4A12-87E1-58F034D05C4A}" sibTransId="{D226AED1-757F-48DC-9779-027688EF6F1B}"/>
    <dgm:cxn modelId="{0E5C9F53-020C-49D1-89BC-B32565EFA0EE}" type="presParOf" srcId="{0FE8FA2E-822E-4AA7-9772-EC0C2670740D}" destId="{02D38E05-A213-4C48-BBF2-26EC78DB0AAB}" srcOrd="0" destOrd="0" presId="urn:microsoft.com/office/officeart/2005/8/layout/matrix2"/>
    <dgm:cxn modelId="{45D69B56-73D7-4A52-8675-1C6038FF9196}" type="presParOf" srcId="{0FE8FA2E-822E-4AA7-9772-EC0C2670740D}" destId="{B49C60E9-0A41-47B2-9B3E-8CBB9F1D1033}" srcOrd="1" destOrd="0" presId="urn:microsoft.com/office/officeart/2005/8/layout/matrix2"/>
    <dgm:cxn modelId="{AE61CCAD-48C2-4944-BA87-43C845391752}" type="presParOf" srcId="{0FE8FA2E-822E-4AA7-9772-EC0C2670740D}" destId="{EB8B9962-41E1-4BD2-BE28-BEBC73D32355}" srcOrd="2" destOrd="0" presId="urn:microsoft.com/office/officeart/2005/8/layout/matrix2"/>
    <dgm:cxn modelId="{8B190C25-D8AF-4C0A-8C21-01B3A4B90820}" type="presParOf" srcId="{0FE8FA2E-822E-4AA7-9772-EC0C2670740D}" destId="{5D2E75B1-6604-4AC9-9976-D480FC31AD13}" srcOrd="3" destOrd="0" presId="urn:microsoft.com/office/officeart/2005/8/layout/matrix2"/>
    <dgm:cxn modelId="{FDAF53E4-835E-4AB4-B2D7-FB9B110A00EE}" type="presParOf" srcId="{0FE8FA2E-822E-4AA7-9772-EC0C2670740D}" destId="{FF89ABA7-A807-4D10-85C9-5D5E41A48E6B}" srcOrd="4" destOrd="0" presId="urn:microsoft.com/office/officeart/2005/8/layout/matrix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4102464-42F7-4EF4-AF41-DD4172E446C0}" type="doc">
      <dgm:prSet loTypeId="urn:microsoft.com/office/officeart/2005/8/layout/hProcess7" loCatId="process" qsTypeId="urn:microsoft.com/office/officeart/2005/8/quickstyle/3d1" qsCatId="3D" csTypeId="urn:microsoft.com/office/officeart/2005/8/colors/colorful2" csCatId="colorful" phldr="1"/>
      <dgm:spPr/>
      <dgm:t>
        <a:bodyPr/>
        <a:lstStyle/>
        <a:p>
          <a:endParaRPr lang="en-US"/>
        </a:p>
      </dgm:t>
    </dgm:pt>
    <dgm:pt modelId="{F1E80A3F-B6EB-41E7-8945-330E3DE5A69C}">
      <dgm:prSet/>
      <dgm:spPr/>
      <dgm:t>
        <a:bodyPr/>
        <a:lstStyle/>
        <a:p>
          <a:pPr>
            <a:buFont typeface="+mj-lt"/>
            <a:buAutoNum type="arabicPeriod"/>
          </a:pPr>
          <a:r>
            <a:rPr lang="en-US" b="1">
              <a:latin typeface="Times New Roman" panose="02020603050405020304" pitchFamily="18" charset="0"/>
              <a:cs typeface="Times New Roman" panose="02020603050405020304" pitchFamily="18" charset="0"/>
            </a:rPr>
            <a:t>Symbolic power transcends material size</a:t>
          </a:r>
          <a:endParaRPr lang="en-US">
            <a:latin typeface="Times New Roman" panose="02020603050405020304" pitchFamily="18" charset="0"/>
            <a:cs typeface="Times New Roman" panose="02020603050405020304" pitchFamily="18" charset="0"/>
          </a:endParaRPr>
        </a:p>
      </dgm:t>
    </dgm:pt>
    <dgm:pt modelId="{D8D41BAB-CA3D-41B9-9913-A9B3101F8841}" type="parTrans" cxnId="{4766DEBA-6C5A-4B37-9CFE-DA6858B51BD0}">
      <dgm:prSet/>
      <dgm:spPr/>
      <dgm:t>
        <a:bodyPr/>
        <a:lstStyle/>
        <a:p>
          <a:endParaRPr lang="en-US"/>
        </a:p>
      </dgm:t>
    </dgm:pt>
    <dgm:pt modelId="{F40EE79E-1F3D-4FDE-A91B-E840E095BF91}" type="sibTrans" cxnId="{4766DEBA-6C5A-4B37-9CFE-DA6858B51BD0}">
      <dgm:prSet/>
      <dgm:spPr/>
      <dgm:t>
        <a:bodyPr/>
        <a:lstStyle/>
        <a:p>
          <a:endParaRPr lang="en-US"/>
        </a:p>
      </dgm:t>
    </dgm:pt>
    <dgm:pt modelId="{3903AFF8-509E-4080-B79E-839D7A1CD606}">
      <dgm:prSet/>
      <dgm:spPr/>
      <dgm:t>
        <a:bodyPr/>
        <a:lstStyle/>
        <a:p>
          <a:pPr>
            <a:buFont typeface="+mj-lt"/>
            <a:buAutoNum type="arabicPeriod"/>
          </a:pPr>
          <a:r>
            <a:rPr lang="en-US" b="1">
              <a:latin typeface="Times New Roman" panose="02020603050405020304" pitchFamily="18" charset="0"/>
              <a:cs typeface="Times New Roman" panose="02020603050405020304" pitchFamily="18" charset="0"/>
            </a:rPr>
            <a:t>The role of media in constructing symbolic narratives</a:t>
          </a:r>
          <a:endParaRPr lang="en-US">
            <a:latin typeface="Times New Roman" panose="02020603050405020304" pitchFamily="18" charset="0"/>
            <a:cs typeface="Times New Roman" panose="02020603050405020304" pitchFamily="18" charset="0"/>
          </a:endParaRPr>
        </a:p>
      </dgm:t>
    </dgm:pt>
    <dgm:pt modelId="{1B387BBF-B9F6-46CC-BAA9-D9C8C28A044F}" type="parTrans" cxnId="{A4E05D3F-8EE5-4540-8444-B4738A7F3E01}">
      <dgm:prSet/>
      <dgm:spPr/>
      <dgm:t>
        <a:bodyPr/>
        <a:lstStyle/>
        <a:p>
          <a:endParaRPr lang="en-US"/>
        </a:p>
      </dgm:t>
    </dgm:pt>
    <dgm:pt modelId="{5333ECD0-D4C7-482B-A484-03D61AE498DA}" type="sibTrans" cxnId="{A4E05D3F-8EE5-4540-8444-B4738A7F3E01}">
      <dgm:prSet/>
      <dgm:spPr/>
      <dgm:t>
        <a:bodyPr/>
        <a:lstStyle/>
        <a:p>
          <a:endParaRPr lang="en-US"/>
        </a:p>
      </dgm:t>
    </dgm:pt>
    <dgm:pt modelId="{FF4AB8BD-587E-41D0-9424-2E84B8BA5E2F}">
      <dgm:prSet/>
      <dgm:spPr/>
      <dgm:t>
        <a:bodyPr/>
        <a:lstStyle/>
        <a:p>
          <a:pPr>
            <a:buFont typeface="+mj-lt"/>
            <a:buAutoNum type="arabicPeriod"/>
          </a:pPr>
          <a:r>
            <a:rPr lang="en-US" b="1">
              <a:latin typeface="Times New Roman" panose="02020603050405020304" pitchFamily="18" charset="0"/>
              <a:cs typeface="Times New Roman" panose="02020603050405020304" pitchFamily="18" charset="0"/>
            </a:rPr>
            <a:t>Human narratives surpass numerical data</a:t>
          </a:r>
          <a:endParaRPr lang="en-US">
            <a:latin typeface="Times New Roman" panose="02020603050405020304" pitchFamily="18" charset="0"/>
            <a:cs typeface="Times New Roman" panose="02020603050405020304" pitchFamily="18" charset="0"/>
          </a:endParaRPr>
        </a:p>
      </dgm:t>
    </dgm:pt>
    <dgm:pt modelId="{00E2CC3C-6E3A-4F00-83F6-687B93B6C9E4}" type="parTrans" cxnId="{65F08F88-0E9B-4E8B-82B2-E87979F09A3B}">
      <dgm:prSet/>
      <dgm:spPr/>
      <dgm:t>
        <a:bodyPr/>
        <a:lstStyle/>
        <a:p>
          <a:endParaRPr lang="en-US"/>
        </a:p>
      </dgm:t>
    </dgm:pt>
    <dgm:pt modelId="{38BC9085-40EA-4395-8856-32DF029080A1}" type="sibTrans" cxnId="{65F08F88-0E9B-4E8B-82B2-E87979F09A3B}">
      <dgm:prSet/>
      <dgm:spPr/>
      <dgm:t>
        <a:bodyPr/>
        <a:lstStyle/>
        <a:p>
          <a:endParaRPr lang="en-US"/>
        </a:p>
      </dgm:t>
    </dgm:pt>
    <dgm:pt modelId="{294B1DFC-14D1-460B-BD0D-7DF895B4F6B5}">
      <dgm:prSet/>
      <dgm:spPr/>
      <dgm:t>
        <a:bodyPr/>
        <a:lstStyle/>
        <a:p>
          <a:pPr>
            <a:buFont typeface="+mj-lt"/>
            <a:buAutoNum type="arabicPeriod"/>
          </a:pPr>
          <a:r>
            <a:rPr lang="en-US" b="1">
              <a:latin typeface="Times New Roman" panose="02020603050405020304" pitchFamily="18" charset="0"/>
              <a:cs typeface="Times New Roman" panose="02020603050405020304" pitchFamily="18" charset="0"/>
            </a:rPr>
            <a:t>Contributions to broader academic discourse</a:t>
          </a:r>
          <a:r>
            <a:rPr lang="en-US">
              <a:latin typeface="Times New Roman" panose="02020603050405020304" pitchFamily="18" charset="0"/>
              <a:cs typeface="Times New Roman" panose="02020603050405020304" pitchFamily="18" charset="0"/>
            </a:rPr>
            <a:t>:</a:t>
          </a:r>
        </a:p>
      </dgm:t>
    </dgm:pt>
    <dgm:pt modelId="{4EA9D341-FB46-446C-BCCC-EF7E38714BDA}" type="parTrans" cxnId="{29E5407B-7400-4F94-8863-E47701F90EBA}">
      <dgm:prSet/>
      <dgm:spPr/>
      <dgm:t>
        <a:bodyPr/>
        <a:lstStyle/>
        <a:p>
          <a:endParaRPr lang="en-US"/>
        </a:p>
      </dgm:t>
    </dgm:pt>
    <dgm:pt modelId="{015ABB4E-8508-46A4-A313-899F7CF568A7}" type="sibTrans" cxnId="{29E5407B-7400-4F94-8863-E47701F90EBA}">
      <dgm:prSet/>
      <dgm:spPr/>
      <dgm:t>
        <a:bodyPr/>
        <a:lstStyle/>
        <a:p>
          <a:endParaRPr lang="en-US"/>
        </a:p>
      </dgm:t>
    </dgm:pt>
    <dgm:pt modelId="{69EC993A-6E07-4B3F-8E62-AF79A4D457B6}">
      <dgm:prSet/>
      <dgm:spPr/>
      <dgm:t>
        <a:bodyPr/>
        <a:lstStyle/>
        <a:p>
          <a:pPr>
            <a:buFont typeface="+mj-lt"/>
            <a:buAutoNum type="arabicPeriod"/>
          </a:pPr>
          <a:r>
            <a:rPr lang="en-US">
              <a:latin typeface="Times New Roman" panose="02020603050405020304" pitchFamily="18" charset="0"/>
              <a:cs typeface="Times New Roman" panose="02020603050405020304" pitchFamily="18" charset="0"/>
            </a:rPr>
            <a:t>Gaza’s limited population and geographical size do not correlate with its global impact. The study will highlight how symbolic narratives can amplify the influence of regions or conflicts far beyond their quantitative dimensions.</a:t>
          </a:r>
        </a:p>
      </dgm:t>
    </dgm:pt>
    <dgm:pt modelId="{51CEBF11-38F5-4A72-A1FC-A82C57390C80}" type="parTrans" cxnId="{FE60E53F-EE01-4DF3-8140-93FCDF3B484C}">
      <dgm:prSet/>
      <dgm:spPr/>
      <dgm:t>
        <a:bodyPr/>
        <a:lstStyle/>
        <a:p>
          <a:endParaRPr lang="en-US"/>
        </a:p>
      </dgm:t>
    </dgm:pt>
    <dgm:pt modelId="{4EDC012A-AF5B-4EA6-B5C9-82C34AACDD0F}" type="sibTrans" cxnId="{FE60E53F-EE01-4DF3-8140-93FCDF3B484C}">
      <dgm:prSet/>
      <dgm:spPr/>
      <dgm:t>
        <a:bodyPr/>
        <a:lstStyle/>
        <a:p>
          <a:endParaRPr lang="en-US"/>
        </a:p>
      </dgm:t>
    </dgm:pt>
    <dgm:pt modelId="{EB869DF9-69DF-40E9-85AD-8D5E4E7C4ABA}">
      <dgm:prSet/>
      <dgm:spPr/>
      <dgm:t>
        <a:bodyPr/>
        <a:lstStyle/>
        <a:p>
          <a:pPr>
            <a:buFont typeface="+mj-lt"/>
            <a:buAutoNum type="arabicPeriod"/>
          </a:pPr>
          <a:r>
            <a:rPr lang="en-US">
              <a:latin typeface="Times New Roman" panose="02020603050405020304" pitchFamily="18" charset="0"/>
              <a:cs typeface="Times New Roman" panose="02020603050405020304" pitchFamily="18" charset="0"/>
            </a:rPr>
            <a:t>Media framing and the portrayal of Gaza in humanitarian discourse have played a crucial role in transforming the conflict from a regional dispute to a global cause.</a:t>
          </a:r>
        </a:p>
      </dgm:t>
    </dgm:pt>
    <dgm:pt modelId="{60CAB112-2B6B-4DC6-9B2C-C7065BFB3128}" type="parTrans" cxnId="{C94F9513-707F-41C2-8A6E-9DE9D5FC2E15}">
      <dgm:prSet/>
      <dgm:spPr/>
      <dgm:t>
        <a:bodyPr/>
        <a:lstStyle/>
        <a:p>
          <a:endParaRPr lang="en-US"/>
        </a:p>
      </dgm:t>
    </dgm:pt>
    <dgm:pt modelId="{1A397341-2BD6-41AA-81D7-446CFA935FE4}" type="sibTrans" cxnId="{C94F9513-707F-41C2-8A6E-9DE9D5FC2E15}">
      <dgm:prSet/>
      <dgm:spPr/>
      <dgm:t>
        <a:bodyPr/>
        <a:lstStyle/>
        <a:p>
          <a:endParaRPr lang="en-US"/>
        </a:p>
      </dgm:t>
    </dgm:pt>
    <dgm:pt modelId="{9899A334-66B2-434C-AF0B-DFA427D05F0A}">
      <dgm:prSet/>
      <dgm:spPr/>
      <dgm:t>
        <a:bodyPr/>
        <a:lstStyle/>
        <a:p>
          <a:pPr>
            <a:buFont typeface="+mj-lt"/>
            <a:buAutoNum type="arabicPeriod"/>
          </a:pPr>
          <a:r>
            <a:rPr lang="en-US">
              <a:latin typeface="Times New Roman" panose="02020603050405020304" pitchFamily="18" charset="0"/>
              <a:cs typeface="Times New Roman" panose="02020603050405020304" pitchFamily="18" charset="0"/>
            </a:rPr>
            <a:t>The emotional resonance of human stories, such as those of Gaza’s civilians, has outstripped the significance of raw statistics in shaping global humanitarian responses.</a:t>
          </a:r>
        </a:p>
      </dgm:t>
    </dgm:pt>
    <dgm:pt modelId="{A1EBC36F-421A-4568-802F-AE29BF0767C6}" type="parTrans" cxnId="{21B7C94D-7AAD-4B8D-B917-5DBBE12D6AFC}">
      <dgm:prSet/>
      <dgm:spPr/>
      <dgm:t>
        <a:bodyPr/>
        <a:lstStyle/>
        <a:p>
          <a:endParaRPr lang="en-US"/>
        </a:p>
      </dgm:t>
    </dgm:pt>
    <dgm:pt modelId="{A51E2ADB-6D1C-4D95-9E36-A164D700625F}" type="sibTrans" cxnId="{21B7C94D-7AAD-4B8D-B917-5DBBE12D6AFC}">
      <dgm:prSet/>
      <dgm:spPr/>
      <dgm:t>
        <a:bodyPr/>
        <a:lstStyle/>
        <a:p>
          <a:endParaRPr lang="en-US"/>
        </a:p>
      </dgm:t>
    </dgm:pt>
    <dgm:pt modelId="{93FF6E8A-1E90-49FF-9753-05E741AE85CF}">
      <dgm:prSet/>
      <dgm:spPr/>
      <dgm:t>
        <a:bodyPr/>
        <a:lstStyle/>
        <a:p>
          <a:pPr>
            <a:buFont typeface="+mj-lt"/>
            <a:buAutoNum type="arabicPeriod"/>
          </a:pPr>
          <a:r>
            <a:rPr lang="en-US">
              <a:latin typeface="Times New Roman" panose="02020603050405020304" pitchFamily="18" charset="0"/>
              <a:cs typeface="Times New Roman" panose="02020603050405020304" pitchFamily="18" charset="0"/>
            </a:rPr>
            <a:t>The study will contribute to broader discussions in international relations, conflict studies, media studies, and humanitarian ethics, specifically addressing the role of symbolic resistance in asymmetric warfare.</a:t>
          </a:r>
        </a:p>
      </dgm:t>
    </dgm:pt>
    <dgm:pt modelId="{C63274FC-EEFE-4AC2-8530-3DF06D4CAE9B}" type="parTrans" cxnId="{316EEFA8-1F7B-4A6B-87F4-38676C6B8CBE}">
      <dgm:prSet/>
      <dgm:spPr/>
      <dgm:t>
        <a:bodyPr/>
        <a:lstStyle/>
        <a:p>
          <a:endParaRPr lang="en-US"/>
        </a:p>
      </dgm:t>
    </dgm:pt>
    <dgm:pt modelId="{AF0370C7-05D9-4DB7-880E-F31CF5E5985F}" type="sibTrans" cxnId="{316EEFA8-1F7B-4A6B-87F4-38676C6B8CBE}">
      <dgm:prSet/>
      <dgm:spPr/>
      <dgm:t>
        <a:bodyPr/>
        <a:lstStyle/>
        <a:p>
          <a:endParaRPr lang="en-US"/>
        </a:p>
      </dgm:t>
    </dgm:pt>
    <dgm:pt modelId="{90D9AC53-59BD-4DB2-B123-7720590FB775}" type="pres">
      <dgm:prSet presAssocID="{34102464-42F7-4EF4-AF41-DD4172E446C0}" presName="Name0" presStyleCnt="0">
        <dgm:presLayoutVars>
          <dgm:dir/>
          <dgm:animLvl val="lvl"/>
          <dgm:resizeHandles val="exact"/>
        </dgm:presLayoutVars>
      </dgm:prSet>
      <dgm:spPr/>
    </dgm:pt>
    <dgm:pt modelId="{C804BD77-17C7-41EE-A1B7-AEF13B373736}" type="pres">
      <dgm:prSet presAssocID="{F1E80A3F-B6EB-41E7-8945-330E3DE5A69C}" presName="compositeNode" presStyleCnt="0">
        <dgm:presLayoutVars>
          <dgm:bulletEnabled val="1"/>
        </dgm:presLayoutVars>
      </dgm:prSet>
      <dgm:spPr/>
    </dgm:pt>
    <dgm:pt modelId="{E94D2989-C963-4B83-BB49-71868820C803}" type="pres">
      <dgm:prSet presAssocID="{F1E80A3F-B6EB-41E7-8945-330E3DE5A69C}" presName="bgRect" presStyleLbl="node1" presStyleIdx="0" presStyleCnt="4"/>
      <dgm:spPr/>
    </dgm:pt>
    <dgm:pt modelId="{07BF42DC-600C-4BBB-93C3-7703C2769666}" type="pres">
      <dgm:prSet presAssocID="{F1E80A3F-B6EB-41E7-8945-330E3DE5A69C}" presName="parentNode" presStyleLbl="node1" presStyleIdx="0" presStyleCnt="4">
        <dgm:presLayoutVars>
          <dgm:chMax val="0"/>
          <dgm:bulletEnabled val="1"/>
        </dgm:presLayoutVars>
      </dgm:prSet>
      <dgm:spPr/>
    </dgm:pt>
    <dgm:pt modelId="{D6163308-1F63-49C4-926E-7577EE834DA6}" type="pres">
      <dgm:prSet presAssocID="{F1E80A3F-B6EB-41E7-8945-330E3DE5A69C}" presName="childNode" presStyleLbl="node1" presStyleIdx="0" presStyleCnt="4">
        <dgm:presLayoutVars>
          <dgm:bulletEnabled val="1"/>
        </dgm:presLayoutVars>
      </dgm:prSet>
      <dgm:spPr/>
    </dgm:pt>
    <dgm:pt modelId="{7BA3D614-A9A8-425C-B8CC-D1B79281A598}" type="pres">
      <dgm:prSet presAssocID="{F40EE79E-1F3D-4FDE-A91B-E840E095BF91}" presName="hSp" presStyleCnt="0"/>
      <dgm:spPr/>
    </dgm:pt>
    <dgm:pt modelId="{F5B06582-4EE7-42D3-8DB9-A64DEC1C21FD}" type="pres">
      <dgm:prSet presAssocID="{F40EE79E-1F3D-4FDE-A91B-E840E095BF91}" presName="vProcSp" presStyleCnt="0"/>
      <dgm:spPr/>
    </dgm:pt>
    <dgm:pt modelId="{511D42D8-B9B9-4945-BF2C-0763F73B5DFA}" type="pres">
      <dgm:prSet presAssocID="{F40EE79E-1F3D-4FDE-A91B-E840E095BF91}" presName="vSp1" presStyleCnt="0"/>
      <dgm:spPr/>
    </dgm:pt>
    <dgm:pt modelId="{AA4B9F83-85F3-495D-A6E7-2E7BF6748593}" type="pres">
      <dgm:prSet presAssocID="{F40EE79E-1F3D-4FDE-A91B-E840E095BF91}" presName="simulatedConn" presStyleLbl="solidFgAcc1" presStyleIdx="0" presStyleCnt="3"/>
      <dgm:spPr/>
    </dgm:pt>
    <dgm:pt modelId="{10D2571F-0CE4-4488-9B68-77BB9D51879D}" type="pres">
      <dgm:prSet presAssocID="{F40EE79E-1F3D-4FDE-A91B-E840E095BF91}" presName="vSp2" presStyleCnt="0"/>
      <dgm:spPr/>
    </dgm:pt>
    <dgm:pt modelId="{DC6CF05F-702E-4F7C-AFE7-2DF2CB189843}" type="pres">
      <dgm:prSet presAssocID="{F40EE79E-1F3D-4FDE-A91B-E840E095BF91}" presName="sibTrans" presStyleCnt="0"/>
      <dgm:spPr/>
    </dgm:pt>
    <dgm:pt modelId="{F039A24F-D389-4B0A-BA65-526C170C4E76}" type="pres">
      <dgm:prSet presAssocID="{3903AFF8-509E-4080-B79E-839D7A1CD606}" presName="compositeNode" presStyleCnt="0">
        <dgm:presLayoutVars>
          <dgm:bulletEnabled val="1"/>
        </dgm:presLayoutVars>
      </dgm:prSet>
      <dgm:spPr/>
    </dgm:pt>
    <dgm:pt modelId="{23FBA486-B840-4581-8A6D-CD164F16FC6D}" type="pres">
      <dgm:prSet presAssocID="{3903AFF8-509E-4080-B79E-839D7A1CD606}" presName="bgRect" presStyleLbl="node1" presStyleIdx="1" presStyleCnt="4"/>
      <dgm:spPr/>
    </dgm:pt>
    <dgm:pt modelId="{7C4797A6-B1D4-4AED-AC38-9655006C1989}" type="pres">
      <dgm:prSet presAssocID="{3903AFF8-509E-4080-B79E-839D7A1CD606}" presName="parentNode" presStyleLbl="node1" presStyleIdx="1" presStyleCnt="4">
        <dgm:presLayoutVars>
          <dgm:chMax val="0"/>
          <dgm:bulletEnabled val="1"/>
        </dgm:presLayoutVars>
      </dgm:prSet>
      <dgm:spPr/>
    </dgm:pt>
    <dgm:pt modelId="{F6629B0F-B265-497B-BDE9-C4519267FC7C}" type="pres">
      <dgm:prSet presAssocID="{3903AFF8-509E-4080-B79E-839D7A1CD606}" presName="childNode" presStyleLbl="node1" presStyleIdx="1" presStyleCnt="4">
        <dgm:presLayoutVars>
          <dgm:bulletEnabled val="1"/>
        </dgm:presLayoutVars>
      </dgm:prSet>
      <dgm:spPr/>
    </dgm:pt>
    <dgm:pt modelId="{4A7F2F96-77D6-4787-9BB3-4D157ADF8FCA}" type="pres">
      <dgm:prSet presAssocID="{5333ECD0-D4C7-482B-A484-03D61AE498DA}" presName="hSp" presStyleCnt="0"/>
      <dgm:spPr/>
    </dgm:pt>
    <dgm:pt modelId="{97285C66-ACC3-4BB8-A4AC-114791DFCA61}" type="pres">
      <dgm:prSet presAssocID="{5333ECD0-D4C7-482B-A484-03D61AE498DA}" presName="vProcSp" presStyleCnt="0"/>
      <dgm:spPr/>
    </dgm:pt>
    <dgm:pt modelId="{B56C3334-1CE6-490C-8868-C38BE59FE307}" type="pres">
      <dgm:prSet presAssocID="{5333ECD0-D4C7-482B-A484-03D61AE498DA}" presName="vSp1" presStyleCnt="0"/>
      <dgm:spPr/>
    </dgm:pt>
    <dgm:pt modelId="{2014557D-BC8E-4EFD-B631-F232250ABD40}" type="pres">
      <dgm:prSet presAssocID="{5333ECD0-D4C7-482B-A484-03D61AE498DA}" presName="simulatedConn" presStyleLbl="solidFgAcc1" presStyleIdx="1" presStyleCnt="3"/>
      <dgm:spPr/>
    </dgm:pt>
    <dgm:pt modelId="{FC653C34-9B64-49C4-B586-729036108D98}" type="pres">
      <dgm:prSet presAssocID="{5333ECD0-D4C7-482B-A484-03D61AE498DA}" presName="vSp2" presStyleCnt="0"/>
      <dgm:spPr/>
    </dgm:pt>
    <dgm:pt modelId="{236E21FC-0954-4C70-AE93-F0FD8D64FADB}" type="pres">
      <dgm:prSet presAssocID="{5333ECD0-D4C7-482B-A484-03D61AE498DA}" presName="sibTrans" presStyleCnt="0"/>
      <dgm:spPr/>
    </dgm:pt>
    <dgm:pt modelId="{619F84AB-2C0D-44F1-985F-04728175E7F4}" type="pres">
      <dgm:prSet presAssocID="{FF4AB8BD-587E-41D0-9424-2E84B8BA5E2F}" presName="compositeNode" presStyleCnt="0">
        <dgm:presLayoutVars>
          <dgm:bulletEnabled val="1"/>
        </dgm:presLayoutVars>
      </dgm:prSet>
      <dgm:spPr/>
    </dgm:pt>
    <dgm:pt modelId="{1D832AFF-BC8C-441A-9E7E-20615B090B6E}" type="pres">
      <dgm:prSet presAssocID="{FF4AB8BD-587E-41D0-9424-2E84B8BA5E2F}" presName="bgRect" presStyleLbl="node1" presStyleIdx="2" presStyleCnt="4"/>
      <dgm:spPr/>
    </dgm:pt>
    <dgm:pt modelId="{229E1DA0-77BC-4EA1-8140-35902AB9033D}" type="pres">
      <dgm:prSet presAssocID="{FF4AB8BD-587E-41D0-9424-2E84B8BA5E2F}" presName="parentNode" presStyleLbl="node1" presStyleIdx="2" presStyleCnt="4">
        <dgm:presLayoutVars>
          <dgm:chMax val="0"/>
          <dgm:bulletEnabled val="1"/>
        </dgm:presLayoutVars>
      </dgm:prSet>
      <dgm:spPr/>
    </dgm:pt>
    <dgm:pt modelId="{EA529F27-B142-4ABF-81FE-EB42058AF22E}" type="pres">
      <dgm:prSet presAssocID="{FF4AB8BD-587E-41D0-9424-2E84B8BA5E2F}" presName="childNode" presStyleLbl="node1" presStyleIdx="2" presStyleCnt="4">
        <dgm:presLayoutVars>
          <dgm:bulletEnabled val="1"/>
        </dgm:presLayoutVars>
      </dgm:prSet>
      <dgm:spPr/>
    </dgm:pt>
    <dgm:pt modelId="{F3E5B5A7-1A46-4B87-AE0E-758EBFED10AA}" type="pres">
      <dgm:prSet presAssocID="{38BC9085-40EA-4395-8856-32DF029080A1}" presName="hSp" presStyleCnt="0"/>
      <dgm:spPr/>
    </dgm:pt>
    <dgm:pt modelId="{9AFDFAB8-1CF7-4072-9D0C-0457F1A0E2B2}" type="pres">
      <dgm:prSet presAssocID="{38BC9085-40EA-4395-8856-32DF029080A1}" presName="vProcSp" presStyleCnt="0"/>
      <dgm:spPr/>
    </dgm:pt>
    <dgm:pt modelId="{DD30A2C1-A609-49EC-A0C4-BA9DC9223470}" type="pres">
      <dgm:prSet presAssocID="{38BC9085-40EA-4395-8856-32DF029080A1}" presName="vSp1" presStyleCnt="0"/>
      <dgm:spPr/>
    </dgm:pt>
    <dgm:pt modelId="{B4AEC9F6-7BF5-43F0-AB38-4407B1D257A3}" type="pres">
      <dgm:prSet presAssocID="{38BC9085-40EA-4395-8856-32DF029080A1}" presName="simulatedConn" presStyleLbl="solidFgAcc1" presStyleIdx="2" presStyleCnt="3"/>
      <dgm:spPr/>
    </dgm:pt>
    <dgm:pt modelId="{4DBC57A9-9199-499A-AEDF-FD472F7C9385}" type="pres">
      <dgm:prSet presAssocID="{38BC9085-40EA-4395-8856-32DF029080A1}" presName="vSp2" presStyleCnt="0"/>
      <dgm:spPr/>
    </dgm:pt>
    <dgm:pt modelId="{81DDB163-32E1-48A0-93B3-A199544510F3}" type="pres">
      <dgm:prSet presAssocID="{38BC9085-40EA-4395-8856-32DF029080A1}" presName="sibTrans" presStyleCnt="0"/>
      <dgm:spPr/>
    </dgm:pt>
    <dgm:pt modelId="{C2ED3CD5-2995-4345-888D-82309AEB527F}" type="pres">
      <dgm:prSet presAssocID="{294B1DFC-14D1-460B-BD0D-7DF895B4F6B5}" presName="compositeNode" presStyleCnt="0">
        <dgm:presLayoutVars>
          <dgm:bulletEnabled val="1"/>
        </dgm:presLayoutVars>
      </dgm:prSet>
      <dgm:spPr/>
    </dgm:pt>
    <dgm:pt modelId="{0D8D8E59-F304-4915-B113-B6AFEB49E8E3}" type="pres">
      <dgm:prSet presAssocID="{294B1DFC-14D1-460B-BD0D-7DF895B4F6B5}" presName="bgRect" presStyleLbl="node1" presStyleIdx="3" presStyleCnt="4"/>
      <dgm:spPr/>
    </dgm:pt>
    <dgm:pt modelId="{DC01951C-EBEC-47FE-B1A6-67DDE0A82F8F}" type="pres">
      <dgm:prSet presAssocID="{294B1DFC-14D1-460B-BD0D-7DF895B4F6B5}" presName="parentNode" presStyleLbl="node1" presStyleIdx="3" presStyleCnt="4">
        <dgm:presLayoutVars>
          <dgm:chMax val="0"/>
          <dgm:bulletEnabled val="1"/>
        </dgm:presLayoutVars>
      </dgm:prSet>
      <dgm:spPr/>
    </dgm:pt>
    <dgm:pt modelId="{77EBB11A-91D6-4506-B92D-8B24FA26CCCA}" type="pres">
      <dgm:prSet presAssocID="{294B1DFC-14D1-460B-BD0D-7DF895B4F6B5}" presName="childNode" presStyleLbl="node1" presStyleIdx="3" presStyleCnt="4">
        <dgm:presLayoutVars>
          <dgm:bulletEnabled val="1"/>
        </dgm:presLayoutVars>
      </dgm:prSet>
      <dgm:spPr/>
    </dgm:pt>
  </dgm:ptLst>
  <dgm:cxnLst>
    <dgm:cxn modelId="{8FF0CC05-2224-4D72-BD6F-CDF55D6C97E6}" type="presOf" srcId="{FF4AB8BD-587E-41D0-9424-2E84B8BA5E2F}" destId="{229E1DA0-77BC-4EA1-8140-35902AB9033D}" srcOrd="1" destOrd="0" presId="urn:microsoft.com/office/officeart/2005/8/layout/hProcess7"/>
    <dgm:cxn modelId="{20711E06-B77F-42C6-8CF3-BDD4DA13EDB0}" type="presOf" srcId="{34102464-42F7-4EF4-AF41-DD4172E446C0}" destId="{90D9AC53-59BD-4DB2-B123-7720590FB775}" srcOrd="0" destOrd="0" presId="urn:microsoft.com/office/officeart/2005/8/layout/hProcess7"/>
    <dgm:cxn modelId="{C94F9513-707F-41C2-8A6E-9DE9D5FC2E15}" srcId="{3903AFF8-509E-4080-B79E-839D7A1CD606}" destId="{EB869DF9-69DF-40E9-85AD-8D5E4E7C4ABA}" srcOrd="0" destOrd="0" parTransId="{60CAB112-2B6B-4DC6-9B2C-C7065BFB3128}" sibTransId="{1A397341-2BD6-41AA-81D7-446CFA935FE4}"/>
    <dgm:cxn modelId="{352E6A1B-448F-4A5D-8F79-E045C53FF889}" type="presOf" srcId="{F1E80A3F-B6EB-41E7-8945-330E3DE5A69C}" destId="{07BF42DC-600C-4BBB-93C3-7703C2769666}" srcOrd="1" destOrd="0" presId="urn:microsoft.com/office/officeart/2005/8/layout/hProcess7"/>
    <dgm:cxn modelId="{A4E05D3F-8EE5-4540-8444-B4738A7F3E01}" srcId="{34102464-42F7-4EF4-AF41-DD4172E446C0}" destId="{3903AFF8-509E-4080-B79E-839D7A1CD606}" srcOrd="1" destOrd="0" parTransId="{1B387BBF-B9F6-46CC-BAA9-D9C8C28A044F}" sibTransId="{5333ECD0-D4C7-482B-A484-03D61AE498DA}"/>
    <dgm:cxn modelId="{FE60E53F-EE01-4DF3-8140-93FCDF3B484C}" srcId="{F1E80A3F-B6EB-41E7-8945-330E3DE5A69C}" destId="{69EC993A-6E07-4B3F-8E62-AF79A4D457B6}" srcOrd="0" destOrd="0" parTransId="{51CEBF11-38F5-4A72-A1FC-A82C57390C80}" sibTransId="{4EDC012A-AF5B-4EA6-B5C9-82C34AACDD0F}"/>
    <dgm:cxn modelId="{07FD524A-CF5A-40C4-BA64-26C7821CDA39}" type="presOf" srcId="{93FF6E8A-1E90-49FF-9753-05E741AE85CF}" destId="{77EBB11A-91D6-4506-B92D-8B24FA26CCCA}" srcOrd="0" destOrd="0" presId="urn:microsoft.com/office/officeart/2005/8/layout/hProcess7"/>
    <dgm:cxn modelId="{21B7C94D-7AAD-4B8D-B917-5DBBE12D6AFC}" srcId="{FF4AB8BD-587E-41D0-9424-2E84B8BA5E2F}" destId="{9899A334-66B2-434C-AF0B-DFA427D05F0A}" srcOrd="0" destOrd="0" parTransId="{A1EBC36F-421A-4568-802F-AE29BF0767C6}" sibTransId="{A51E2ADB-6D1C-4D95-9E36-A164D700625F}"/>
    <dgm:cxn modelId="{6205A552-6962-4BFB-BC31-FA5260D0080D}" type="presOf" srcId="{69EC993A-6E07-4B3F-8E62-AF79A4D457B6}" destId="{D6163308-1F63-49C4-926E-7577EE834DA6}" srcOrd="0" destOrd="0" presId="urn:microsoft.com/office/officeart/2005/8/layout/hProcess7"/>
    <dgm:cxn modelId="{E30EA463-2241-46B6-8970-9E390E98A956}" type="presOf" srcId="{EB869DF9-69DF-40E9-85AD-8D5E4E7C4ABA}" destId="{F6629B0F-B265-497B-BDE9-C4519267FC7C}" srcOrd="0" destOrd="0" presId="urn:microsoft.com/office/officeart/2005/8/layout/hProcess7"/>
    <dgm:cxn modelId="{B054716F-56D7-4291-B949-5F76BFE1863E}" type="presOf" srcId="{9899A334-66B2-434C-AF0B-DFA427D05F0A}" destId="{EA529F27-B142-4ABF-81FE-EB42058AF22E}" srcOrd="0" destOrd="0" presId="urn:microsoft.com/office/officeart/2005/8/layout/hProcess7"/>
    <dgm:cxn modelId="{29E5407B-7400-4F94-8863-E47701F90EBA}" srcId="{34102464-42F7-4EF4-AF41-DD4172E446C0}" destId="{294B1DFC-14D1-460B-BD0D-7DF895B4F6B5}" srcOrd="3" destOrd="0" parTransId="{4EA9D341-FB46-446C-BCCC-EF7E38714BDA}" sibTransId="{015ABB4E-8508-46A4-A313-899F7CF568A7}"/>
    <dgm:cxn modelId="{65F08F88-0E9B-4E8B-82B2-E87979F09A3B}" srcId="{34102464-42F7-4EF4-AF41-DD4172E446C0}" destId="{FF4AB8BD-587E-41D0-9424-2E84B8BA5E2F}" srcOrd="2" destOrd="0" parTransId="{00E2CC3C-6E3A-4F00-83F6-687B93B6C9E4}" sibTransId="{38BC9085-40EA-4395-8856-32DF029080A1}"/>
    <dgm:cxn modelId="{2E645798-74AB-4E14-8975-AC760920F8F0}" type="presOf" srcId="{3903AFF8-509E-4080-B79E-839D7A1CD606}" destId="{7C4797A6-B1D4-4AED-AC38-9655006C1989}" srcOrd="1" destOrd="0" presId="urn:microsoft.com/office/officeart/2005/8/layout/hProcess7"/>
    <dgm:cxn modelId="{2BBD889D-6078-4C88-8AB5-3E087F12694C}" type="presOf" srcId="{294B1DFC-14D1-460B-BD0D-7DF895B4F6B5}" destId="{DC01951C-EBEC-47FE-B1A6-67DDE0A82F8F}" srcOrd="1" destOrd="0" presId="urn:microsoft.com/office/officeart/2005/8/layout/hProcess7"/>
    <dgm:cxn modelId="{424D509E-C591-4A97-BBE6-E2516A5D987F}" type="presOf" srcId="{3903AFF8-509E-4080-B79E-839D7A1CD606}" destId="{23FBA486-B840-4581-8A6D-CD164F16FC6D}" srcOrd="0" destOrd="0" presId="urn:microsoft.com/office/officeart/2005/8/layout/hProcess7"/>
    <dgm:cxn modelId="{316EEFA8-1F7B-4A6B-87F4-38676C6B8CBE}" srcId="{294B1DFC-14D1-460B-BD0D-7DF895B4F6B5}" destId="{93FF6E8A-1E90-49FF-9753-05E741AE85CF}" srcOrd="0" destOrd="0" parTransId="{C63274FC-EEFE-4AC2-8530-3DF06D4CAE9B}" sibTransId="{AF0370C7-05D9-4DB7-880E-F31CF5E5985F}"/>
    <dgm:cxn modelId="{4766DEBA-6C5A-4B37-9CFE-DA6858B51BD0}" srcId="{34102464-42F7-4EF4-AF41-DD4172E446C0}" destId="{F1E80A3F-B6EB-41E7-8945-330E3DE5A69C}" srcOrd="0" destOrd="0" parTransId="{D8D41BAB-CA3D-41B9-9913-A9B3101F8841}" sibTransId="{F40EE79E-1F3D-4FDE-A91B-E840E095BF91}"/>
    <dgm:cxn modelId="{26E15BCC-0CB3-4802-B75A-B5BAB0CDAC5D}" type="presOf" srcId="{F1E80A3F-B6EB-41E7-8945-330E3DE5A69C}" destId="{E94D2989-C963-4B83-BB49-71868820C803}" srcOrd="0" destOrd="0" presId="urn:microsoft.com/office/officeart/2005/8/layout/hProcess7"/>
    <dgm:cxn modelId="{AF91C7D8-BE22-42AB-A711-805ADA012A08}" type="presOf" srcId="{FF4AB8BD-587E-41D0-9424-2E84B8BA5E2F}" destId="{1D832AFF-BC8C-441A-9E7E-20615B090B6E}" srcOrd="0" destOrd="0" presId="urn:microsoft.com/office/officeart/2005/8/layout/hProcess7"/>
    <dgm:cxn modelId="{0F7A97DD-F1BD-4E89-82B9-D2E27ED23485}" type="presOf" srcId="{294B1DFC-14D1-460B-BD0D-7DF895B4F6B5}" destId="{0D8D8E59-F304-4915-B113-B6AFEB49E8E3}" srcOrd="0" destOrd="0" presId="urn:microsoft.com/office/officeart/2005/8/layout/hProcess7"/>
    <dgm:cxn modelId="{CFF5D367-496E-495D-83F3-03BBCC6BC582}" type="presParOf" srcId="{90D9AC53-59BD-4DB2-B123-7720590FB775}" destId="{C804BD77-17C7-41EE-A1B7-AEF13B373736}" srcOrd="0" destOrd="0" presId="urn:microsoft.com/office/officeart/2005/8/layout/hProcess7"/>
    <dgm:cxn modelId="{35E3B9AD-DF9A-48A8-97D4-99C27EA165E4}" type="presParOf" srcId="{C804BD77-17C7-41EE-A1B7-AEF13B373736}" destId="{E94D2989-C963-4B83-BB49-71868820C803}" srcOrd="0" destOrd="0" presId="urn:microsoft.com/office/officeart/2005/8/layout/hProcess7"/>
    <dgm:cxn modelId="{A52BDBC8-AA0F-49CA-9038-0F7DCC3FFECB}" type="presParOf" srcId="{C804BD77-17C7-41EE-A1B7-AEF13B373736}" destId="{07BF42DC-600C-4BBB-93C3-7703C2769666}" srcOrd="1" destOrd="0" presId="urn:microsoft.com/office/officeart/2005/8/layout/hProcess7"/>
    <dgm:cxn modelId="{2FE680D3-F62F-44F3-9DBF-C5C30F8F1178}" type="presParOf" srcId="{C804BD77-17C7-41EE-A1B7-AEF13B373736}" destId="{D6163308-1F63-49C4-926E-7577EE834DA6}" srcOrd="2" destOrd="0" presId="urn:microsoft.com/office/officeart/2005/8/layout/hProcess7"/>
    <dgm:cxn modelId="{8AB6A22A-7A19-46C5-A3E9-B3895A469F8A}" type="presParOf" srcId="{90D9AC53-59BD-4DB2-B123-7720590FB775}" destId="{7BA3D614-A9A8-425C-B8CC-D1B79281A598}" srcOrd="1" destOrd="0" presId="urn:microsoft.com/office/officeart/2005/8/layout/hProcess7"/>
    <dgm:cxn modelId="{24093B83-0146-406E-978E-9B7C9636BE5E}" type="presParOf" srcId="{90D9AC53-59BD-4DB2-B123-7720590FB775}" destId="{F5B06582-4EE7-42D3-8DB9-A64DEC1C21FD}" srcOrd="2" destOrd="0" presId="urn:microsoft.com/office/officeart/2005/8/layout/hProcess7"/>
    <dgm:cxn modelId="{826BFE33-39B0-4C8F-ABDE-D1F3441601DB}" type="presParOf" srcId="{F5B06582-4EE7-42D3-8DB9-A64DEC1C21FD}" destId="{511D42D8-B9B9-4945-BF2C-0763F73B5DFA}" srcOrd="0" destOrd="0" presId="urn:microsoft.com/office/officeart/2005/8/layout/hProcess7"/>
    <dgm:cxn modelId="{937887DF-8360-4876-9759-5FA78884DD2B}" type="presParOf" srcId="{F5B06582-4EE7-42D3-8DB9-A64DEC1C21FD}" destId="{AA4B9F83-85F3-495D-A6E7-2E7BF6748593}" srcOrd="1" destOrd="0" presId="urn:microsoft.com/office/officeart/2005/8/layout/hProcess7"/>
    <dgm:cxn modelId="{7E0BA910-59CB-4A40-A7FF-5836E665FA52}" type="presParOf" srcId="{F5B06582-4EE7-42D3-8DB9-A64DEC1C21FD}" destId="{10D2571F-0CE4-4488-9B68-77BB9D51879D}" srcOrd="2" destOrd="0" presId="urn:microsoft.com/office/officeart/2005/8/layout/hProcess7"/>
    <dgm:cxn modelId="{3AFA6F27-1D9C-4FD2-9010-8432544887FF}" type="presParOf" srcId="{90D9AC53-59BD-4DB2-B123-7720590FB775}" destId="{DC6CF05F-702E-4F7C-AFE7-2DF2CB189843}" srcOrd="3" destOrd="0" presId="urn:microsoft.com/office/officeart/2005/8/layout/hProcess7"/>
    <dgm:cxn modelId="{57408E4C-CC41-4C35-ADD9-DB5BE6E0371B}" type="presParOf" srcId="{90D9AC53-59BD-4DB2-B123-7720590FB775}" destId="{F039A24F-D389-4B0A-BA65-526C170C4E76}" srcOrd="4" destOrd="0" presId="urn:microsoft.com/office/officeart/2005/8/layout/hProcess7"/>
    <dgm:cxn modelId="{F503AA27-7F71-4ED1-8F2A-2A960E55C147}" type="presParOf" srcId="{F039A24F-D389-4B0A-BA65-526C170C4E76}" destId="{23FBA486-B840-4581-8A6D-CD164F16FC6D}" srcOrd="0" destOrd="0" presId="urn:microsoft.com/office/officeart/2005/8/layout/hProcess7"/>
    <dgm:cxn modelId="{AD085760-88F1-461D-B0F5-DAE11BAA3F94}" type="presParOf" srcId="{F039A24F-D389-4B0A-BA65-526C170C4E76}" destId="{7C4797A6-B1D4-4AED-AC38-9655006C1989}" srcOrd="1" destOrd="0" presId="urn:microsoft.com/office/officeart/2005/8/layout/hProcess7"/>
    <dgm:cxn modelId="{DE85A19A-86F4-420E-9424-F6262618A6C4}" type="presParOf" srcId="{F039A24F-D389-4B0A-BA65-526C170C4E76}" destId="{F6629B0F-B265-497B-BDE9-C4519267FC7C}" srcOrd="2" destOrd="0" presId="urn:microsoft.com/office/officeart/2005/8/layout/hProcess7"/>
    <dgm:cxn modelId="{232410BC-03C4-4E7F-B9B1-1E30A8027E0D}" type="presParOf" srcId="{90D9AC53-59BD-4DB2-B123-7720590FB775}" destId="{4A7F2F96-77D6-4787-9BB3-4D157ADF8FCA}" srcOrd="5" destOrd="0" presId="urn:microsoft.com/office/officeart/2005/8/layout/hProcess7"/>
    <dgm:cxn modelId="{FE77C161-AC63-48CA-9535-F607B2E100A8}" type="presParOf" srcId="{90D9AC53-59BD-4DB2-B123-7720590FB775}" destId="{97285C66-ACC3-4BB8-A4AC-114791DFCA61}" srcOrd="6" destOrd="0" presId="urn:microsoft.com/office/officeart/2005/8/layout/hProcess7"/>
    <dgm:cxn modelId="{BDB65BA1-385D-487D-B234-CF483F90AD1C}" type="presParOf" srcId="{97285C66-ACC3-4BB8-A4AC-114791DFCA61}" destId="{B56C3334-1CE6-490C-8868-C38BE59FE307}" srcOrd="0" destOrd="0" presId="urn:microsoft.com/office/officeart/2005/8/layout/hProcess7"/>
    <dgm:cxn modelId="{EBDFDE8A-E793-41D8-A8B1-2C7CF7E42B01}" type="presParOf" srcId="{97285C66-ACC3-4BB8-A4AC-114791DFCA61}" destId="{2014557D-BC8E-4EFD-B631-F232250ABD40}" srcOrd="1" destOrd="0" presId="urn:microsoft.com/office/officeart/2005/8/layout/hProcess7"/>
    <dgm:cxn modelId="{D96E3247-BF6C-4E45-A058-657032141391}" type="presParOf" srcId="{97285C66-ACC3-4BB8-A4AC-114791DFCA61}" destId="{FC653C34-9B64-49C4-B586-729036108D98}" srcOrd="2" destOrd="0" presId="urn:microsoft.com/office/officeart/2005/8/layout/hProcess7"/>
    <dgm:cxn modelId="{36DBD1A3-E261-45A1-8898-4C58A3ABD7BF}" type="presParOf" srcId="{90D9AC53-59BD-4DB2-B123-7720590FB775}" destId="{236E21FC-0954-4C70-AE93-F0FD8D64FADB}" srcOrd="7" destOrd="0" presId="urn:microsoft.com/office/officeart/2005/8/layout/hProcess7"/>
    <dgm:cxn modelId="{21078A92-8B30-48FB-AA2A-CBFE1389E11F}" type="presParOf" srcId="{90D9AC53-59BD-4DB2-B123-7720590FB775}" destId="{619F84AB-2C0D-44F1-985F-04728175E7F4}" srcOrd="8" destOrd="0" presId="urn:microsoft.com/office/officeart/2005/8/layout/hProcess7"/>
    <dgm:cxn modelId="{53263BF0-3C4A-42B8-873A-1286F8D3E160}" type="presParOf" srcId="{619F84AB-2C0D-44F1-985F-04728175E7F4}" destId="{1D832AFF-BC8C-441A-9E7E-20615B090B6E}" srcOrd="0" destOrd="0" presId="urn:microsoft.com/office/officeart/2005/8/layout/hProcess7"/>
    <dgm:cxn modelId="{9DE48C39-6395-4206-8E12-32944B819AD7}" type="presParOf" srcId="{619F84AB-2C0D-44F1-985F-04728175E7F4}" destId="{229E1DA0-77BC-4EA1-8140-35902AB9033D}" srcOrd="1" destOrd="0" presId="urn:microsoft.com/office/officeart/2005/8/layout/hProcess7"/>
    <dgm:cxn modelId="{1AA73578-F15A-43B1-A548-971264C8D0EB}" type="presParOf" srcId="{619F84AB-2C0D-44F1-985F-04728175E7F4}" destId="{EA529F27-B142-4ABF-81FE-EB42058AF22E}" srcOrd="2" destOrd="0" presId="urn:microsoft.com/office/officeart/2005/8/layout/hProcess7"/>
    <dgm:cxn modelId="{300B5B03-B9BF-4D98-8578-72134AAFAEA0}" type="presParOf" srcId="{90D9AC53-59BD-4DB2-B123-7720590FB775}" destId="{F3E5B5A7-1A46-4B87-AE0E-758EBFED10AA}" srcOrd="9" destOrd="0" presId="urn:microsoft.com/office/officeart/2005/8/layout/hProcess7"/>
    <dgm:cxn modelId="{B1801640-9ED6-4D13-9BB4-EE5406EC04C1}" type="presParOf" srcId="{90D9AC53-59BD-4DB2-B123-7720590FB775}" destId="{9AFDFAB8-1CF7-4072-9D0C-0457F1A0E2B2}" srcOrd="10" destOrd="0" presId="urn:microsoft.com/office/officeart/2005/8/layout/hProcess7"/>
    <dgm:cxn modelId="{98E0EBA5-BEA9-4FE7-98BC-2A14EF957C8C}" type="presParOf" srcId="{9AFDFAB8-1CF7-4072-9D0C-0457F1A0E2B2}" destId="{DD30A2C1-A609-49EC-A0C4-BA9DC9223470}" srcOrd="0" destOrd="0" presId="urn:microsoft.com/office/officeart/2005/8/layout/hProcess7"/>
    <dgm:cxn modelId="{4AAE5F62-AF0E-40A1-AA85-A5E2FAF63E75}" type="presParOf" srcId="{9AFDFAB8-1CF7-4072-9D0C-0457F1A0E2B2}" destId="{B4AEC9F6-7BF5-43F0-AB38-4407B1D257A3}" srcOrd="1" destOrd="0" presId="urn:microsoft.com/office/officeart/2005/8/layout/hProcess7"/>
    <dgm:cxn modelId="{2F51CE15-C87D-43D7-B5FC-5DB3282EAF47}" type="presParOf" srcId="{9AFDFAB8-1CF7-4072-9D0C-0457F1A0E2B2}" destId="{4DBC57A9-9199-499A-AEDF-FD472F7C9385}" srcOrd="2" destOrd="0" presId="urn:microsoft.com/office/officeart/2005/8/layout/hProcess7"/>
    <dgm:cxn modelId="{A82FB500-97AC-42E2-95E7-D2FAED702BD8}" type="presParOf" srcId="{90D9AC53-59BD-4DB2-B123-7720590FB775}" destId="{81DDB163-32E1-48A0-93B3-A199544510F3}" srcOrd="11" destOrd="0" presId="urn:microsoft.com/office/officeart/2005/8/layout/hProcess7"/>
    <dgm:cxn modelId="{A87D5FDD-FEF2-44DD-811F-F7F79FBBD9C0}" type="presParOf" srcId="{90D9AC53-59BD-4DB2-B123-7720590FB775}" destId="{C2ED3CD5-2995-4345-888D-82309AEB527F}" srcOrd="12" destOrd="0" presId="urn:microsoft.com/office/officeart/2005/8/layout/hProcess7"/>
    <dgm:cxn modelId="{77140D5E-D4F6-4277-A6EA-7E4AB57CF5CE}" type="presParOf" srcId="{C2ED3CD5-2995-4345-888D-82309AEB527F}" destId="{0D8D8E59-F304-4915-B113-B6AFEB49E8E3}" srcOrd="0" destOrd="0" presId="urn:microsoft.com/office/officeart/2005/8/layout/hProcess7"/>
    <dgm:cxn modelId="{669363A5-C856-4D40-81B1-2078D2208219}" type="presParOf" srcId="{C2ED3CD5-2995-4345-888D-82309AEB527F}" destId="{DC01951C-EBEC-47FE-B1A6-67DDE0A82F8F}" srcOrd="1" destOrd="0" presId="urn:microsoft.com/office/officeart/2005/8/layout/hProcess7"/>
    <dgm:cxn modelId="{EF94E343-2D9B-48BB-9D74-5591350D96BE}" type="presParOf" srcId="{C2ED3CD5-2995-4345-888D-82309AEB527F}" destId="{77EBB11A-91D6-4506-B92D-8B24FA26CCCA}" srcOrd="2" destOrd="0" presId="urn:microsoft.com/office/officeart/2005/8/layout/hProcess7"/>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6CC30E-5169-4145-A232-C23B31858056}">
      <dsp:nvSpPr>
        <dsp:cNvPr id="0" name=""/>
        <dsp:cNvSpPr/>
      </dsp:nvSpPr>
      <dsp:spPr>
        <a:xfrm>
          <a:off x="0" y="3199719"/>
          <a:ext cx="5810250" cy="0"/>
        </a:xfrm>
        <a:prstGeom prst="line">
          <a:avLst/>
        </a:prstGeom>
        <a:noFill/>
        <a:ln w="12700" cap="flat" cmpd="sng" algn="ctr">
          <a:solidFill>
            <a:schemeClr val="accent3">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C5991760-F499-4300-9151-28D862168FC5}">
      <dsp:nvSpPr>
        <dsp:cNvPr id="0" name=""/>
        <dsp:cNvSpPr/>
      </dsp:nvSpPr>
      <dsp:spPr>
        <a:xfrm>
          <a:off x="0" y="2390323"/>
          <a:ext cx="5810250" cy="0"/>
        </a:xfrm>
        <a:prstGeom prst="line">
          <a:avLst/>
        </a:prstGeom>
        <a:noFill/>
        <a:ln w="12700" cap="flat" cmpd="sng" algn="ctr">
          <a:solidFill>
            <a:schemeClr val="accent3">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B6AD7C4D-D870-482A-9F20-80106A28D5A5}">
      <dsp:nvSpPr>
        <dsp:cNvPr id="0" name=""/>
        <dsp:cNvSpPr/>
      </dsp:nvSpPr>
      <dsp:spPr>
        <a:xfrm>
          <a:off x="0" y="1580928"/>
          <a:ext cx="5810250" cy="0"/>
        </a:xfrm>
        <a:prstGeom prst="line">
          <a:avLst/>
        </a:prstGeom>
        <a:noFill/>
        <a:ln w="12700" cap="flat" cmpd="sng" algn="ctr">
          <a:solidFill>
            <a:schemeClr val="accent3">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52022BC8-8F68-4F89-9CA9-4E04F14766BB}">
      <dsp:nvSpPr>
        <dsp:cNvPr id="0" name=""/>
        <dsp:cNvSpPr/>
      </dsp:nvSpPr>
      <dsp:spPr>
        <a:xfrm>
          <a:off x="0" y="771533"/>
          <a:ext cx="5810250" cy="0"/>
        </a:xfrm>
        <a:prstGeom prst="line">
          <a:avLst/>
        </a:prstGeom>
        <a:noFill/>
        <a:ln w="12700" cap="flat" cmpd="sng" algn="ctr">
          <a:solidFill>
            <a:schemeClr val="accent3">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5957A6A1-3B31-4A3F-B0BC-5CE381074EF5}">
      <dsp:nvSpPr>
        <dsp:cNvPr id="0" name=""/>
        <dsp:cNvSpPr/>
      </dsp:nvSpPr>
      <dsp:spPr>
        <a:xfrm>
          <a:off x="1510665" y="680"/>
          <a:ext cx="4299585" cy="7708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marL="0" lvl="0" indent="0" algn="l" defTabSz="533400">
            <a:lnSpc>
              <a:spcPct val="90000"/>
            </a:lnSpc>
            <a:spcBef>
              <a:spcPct val="0"/>
            </a:spcBef>
            <a:spcAft>
              <a:spcPct val="35000"/>
            </a:spcAft>
            <a:buFont typeface="+mj-lt"/>
            <a:buNone/>
          </a:pPr>
          <a:r>
            <a:rPr lang="en-US" sz="1200" kern="1200">
              <a:latin typeface="Times New Roman" panose="02020603050405020304" pitchFamily="18" charset="0"/>
              <a:cs typeface="Times New Roman" panose="02020603050405020304" pitchFamily="18" charset="0"/>
            </a:rPr>
            <a:t>How do the quantitative aspects of the Gaza conflict (population, territory, casualties) contrast with its qualitative global impact?</a:t>
          </a:r>
        </a:p>
      </dsp:txBody>
      <dsp:txXfrm>
        <a:off x="1510665" y="680"/>
        <a:ext cx="4299585" cy="770852"/>
      </dsp:txXfrm>
    </dsp:sp>
    <dsp:sp modelId="{20751204-F1A2-48AF-B583-ED89285CE59B}">
      <dsp:nvSpPr>
        <dsp:cNvPr id="0" name=""/>
        <dsp:cNvSpPr/>
      </dsp:nvSpPr>
      <dsp:spPr>
        <a:xfrm>
          <a:off x="0" y="680"/>
          <a:ext cx="1510665" cy="770852"/>
        </a:xfrm>
        <a:prstGeom prst="round2SameRect">
          <a:avLst>
            <a:gd name="adj1" fmla="val 16670"/>
            <a:gd name="adj2" fmla="val 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w="6350" cap="flat" cmpd="sng" algn="ctr">
          <a:solidFill>
            <a:schemeClr val="accent3">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rtl="0">
            <a:lnSpc>
              <a:spcPct val="90000"/>
            </a:lnSpc>
            <a:spcBef>
              <a:spcPct val="0"/>
            </a:spcBef>
            <a:spcAft>
              <a:spcPct val="35000"/>
            </a:spcAft>
            <a:buFont typeface="+mj-lt"/>
            <a:buNone/>
          </a:pPr>
          <a:r>
            <a:rPr lang="en-US" sz="1200" b="1" kern="1200">
              <a:latin typeface="Times New Roman" panose="02020603050405020304" pitchFamily="18" charset="0"/>
              <a:cs typeface="Times New Roman" panose="02020603050405020304" pitchFamily="18" charset="0"/>
            </a:rPr>
            <a:t>RQ: 1</a:t>
          </a:r>
        </a:p>
      </dsp:txBody>
      <dsp:txXfrm>
        <a:off x="37637" y="38317"/>
        <a:ext cx="1435391" cy="733215"/>
      </dsp:txXfrm>
    </dsp:sp>
    <dsp:sp modelId="{40982BB1-1B84-4C22-A46A-EA221F6C57EF}">
      <dsp:nvSpPr>
        <dsp:cNvPr id="0" name=""/>
        <dsp:cNvSpPr/>
      </dsp:nvSpPr>
      <dsp:spPr>
        <a:xfrm>
          <a:off x="1510665" y="810076"/>
          <a:ext cx="4299585" cy="7708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marL="0" lvl="0" indent="0" algn="l" defTabSz="533400">
            <a:lnSpc>
              <a:spcPct val="90000"/>
            </a:lnSpc>
            <a:spcBef>
              <a:spcPct val="0"/>
            </a:spcBef>
            <a:spcAft>
              <a:spcPct val="35000"/>
            </a:spcAft>
            <a:buFont typeface="+mj-lt"/>
            <a:buNone/>
          </a:pPr>
          <a:r>
            <a:rPr lang="en-US" sz="1200" kern="1200">
              <a:latin typeface="Times New Roman" panose="02020603050405020304" pitchFamily="18" charset="0"/>
              <a:cs typeface="Times New Roman" panose="02020603050405020304" pitchFamily="18" charset="0"/>
            </a:rPr>
            <a:t>How has media representation contributed to transforming Gaza from a regional issue into a global humanitarian symbol?</a:t>
          </a:r>
        </a:p>
      </dsp:txBody>
      <dsp:txXfrm>
        <a:off x="1510665" y="810076"/>
        <a:ext cx="4299585" cy="770852"/>
      </dsp:txXfrm>
    </dsp:sp>
    <dsp:sp modelId="{FD340630-595D-41A4-8B5B-2BF2BF205A59}">
      <dsp:nvSpPr>
        <dsp:cNvPr id="0" name=""/>
        <dsp:cNvSpPr/>
      </dsp:nvSpPr>
      <dsp:spPr>
        <a:xfrm>
          <a:off x="0" y="810076"/>
          <a:ext cx="1510665" cy="770852"/>
        </a:xfrm>
        <a:prstGeom prst="round2SameRect">
          <a:avLst>
            <a:gd name="adj1" fmla="val 16670"/>
            <a:gd name="adj2" fmla="val 0"/>
          </a:avLst>
        </a:prstGeom>
        <a:gradFill rotWithShape="0">
          <a:gsLst>
            <a:gs pos="0">
              <a:schemeClr val="accent3">
                <a:hueOff val="903533"/>
                <a:satOff val="33333"/>
                <a:lumOff val="-4902"/>
                <a:alphaOff val="0"/>
                <a:satMod val="103000"/>
                <a:lumMod val="102000"/>
                <a:tint val="94000"/>
              </a:schemeClr>
            </a:gs>
            <a:gs pos="50000">
              <a:schemeClr val="accent3">
                <a:hueOff val="903533"/>
                <a:satOff val="33333"/>
                <a:lumOff val="-4902"/>
                <a:alphaOff val="0"/>
                <a:satMod val="110000"/>
                <a:lumMod val="100000"/>
                <a:shade val="100000"/>
              </a:schemeClr>
            </a:gs>
            <a:gs pos="100000">
              <a:schemeClr val="accent3">
                <a:hueOff val="903533"/>
                <a:satOff val="33333"/>
                <a:lumOff val="-4902"/>
                <a:alphaOff val="0"/>
                <a:lumMod val="99000"/>
                <a:satMod val="120000"/>
                <a:shade val="78000"/>
              </a:schemeClr>
            </a:gs>
          </a:gsLst>
          <a:lin ang="5400000" scaled="0"/>
        </a:gradFill>
        <a:ln w="6350" cap="flat" cmpd="sng" algn="ctr">
          <a:solidFill>
            <a:schemeClr val="accent3">
              <a:hueOff val="903533"/>
              <a:satOff val="33333"/>
              <a:lumOff val="-4902"/>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RQ: 2</a:t>
          </a:r>
          <a:endParaRPr lang="en-US" sz="1200" kern="1200">
            <a:latin typeface="Times New Roman" panose="02020603050405020304" pitchFamily="18" charset="0"/>
            <a:cs typeface="Times New Roman" panose="02020603050405020304" pitchFamily="18" charset="0"/>
          </a:endParaRPr>
        </a:p>
      </dsp:txBody>
      <dsp:txXfrm>
        <a:off x="37637" y="847713"/>
        <a:ext cx="1435391" cy="733215"/>
      </dsp:txXfrm>
    </dsp:sp>
    <dsp:sp modelId="{07F7FCD3-F3FF-4357-9A75-D194DF7A577A}">
      <dsp:nvSpPr>
        <dsp:cNvPr id="0" name=""/>
        <dsp:cNvSpPr/>
      </dsp:nvSpPr>
      <dsp:spPr>
        <a:xfrm>
          <a:off x="1510665" y="1619471"/>
          <a:ext cx="4299585" cy="7708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marL="0" lvl="0" indent="0" algn="l" defTabSz="533400">
            <a:lnSpc>
              <a:spcPct val="90000"/>
            </a:lnSpc>
            <a:spcBef>
              <a:spcPct val="0"/>
            </a:spcBef>
            <a:spcAft>
              <a:spcPct val="35000"/>
            </a:spcAft>
            <a:buFont typeface="+mj-lt"/>
            <a:buNone/>
          </a:pPr>
          <a:r>
            <a:rPr lang="en-US" sz="1200" kern="1200">
              <a:latin typeface="Times New Roman" panose="02020603050405020304" pitchFamily="18" charset="0"/>
              <a:cs typeface="Times New Roman" panose="02020603050405020304" pitchFamily="18" charset="0"/>
            </a:rPr>
            <a:t>What sociopolitical, psychological, or symbolic factors explain Gaza’s disproportionate influence on international discourse compared to its physical size?</a:t>
          </a:r>
        </a:p>
      </dsp:txBody>
      <dsp:txXfrm>
        <a:off x="1510665" y="1619471"/>
        <a:ext cx="4299585" cy="770852"/>
      </dsp:txXfrm>
    </dsp:sp>
    <dsp:sp modelId="{EFF04913-2DE7-4638-B26B-DEB2BFF2A49C}">
      <dsp:nvSpPr>
        <dsp:cNvPr id="0" name=""/>
        <dsp:cNvSpPr/>
      </dsp:nvSpPr>
      <dsp:spPr>
        <a:xfrm>
          <a:off x="0" y="1619471"/>
          <a:ext cx="1510665" cy="770852"/>
        </a:xfrm>
        <a:prstGeom prst="round2SameRect">
          <a:avLst>
            <a:gd name="adj1" fmla="val 16670"/>
            <a:gd name="adj2" fmla="val 0"/>
          </a:avLst>
        </a:prstGeom>
        <a:gradFill rotWithShape="0">
          <a:gsLst>
            <a:gs pos="0">
              <a:schemeClr val="accent3">
                <a:hueOff val="1807066"/>
                <a:satOff val="66667"/>
                <a:lumOff val="-9804"/>
                <a:alphaOff val="0"/>
                <a:satMod val="103000"/>
                <a:lumMod val="102000"/>
                <a:tint val="94000"/>
              </a:schemeClr>
            </a:gs>
            <a:gs pos="50000">
              <a:schemeClr val="accent3">
                <a:hueOff val="1807066"/>
                <a:satOff val="66667"/>
                <a:lumOff val="-9804"/>
                <a:alphaOff val="0"/>
                <a:satMod val="110000"/>
                <a:lumMod val="100000"/>
                <a:shade val="100000"/>
              </a:schemeClr>
            </a:gs>
            <a:gs pos="100000">
              <a:schemeClr val="accent3">
                <a:hueOff val="1807066"/>
                <a:satOff val="66667"/>
                <a:lumOff val="-9804"/>
                <a:alphaOff val="0"/>
                <a:lumMod val="99000"/>
                <a:satMod val="120000"/>
                <a:shade val="78000"/>
              </a:schemeClr>
            </a:gs>
          </a:gsLst>
          <a:lin ang="5400000" scaled="0"/>
        </a:gradFill>
        <a:ln w="6350" cap="flat" cmpd="sng" algn="ctr">
          <a:solidFill>
            <a:schemeClr val="accent3">
              <a:hueOff val="1807066"/>
              <a:satOff val="66667"/>
              <a:lumOff val="-9804"/>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RQ: 3</a:t>
          </a:r>
          <a:endParaRPr lang="en-US" sz="1200" kern="1200">
            <a:latin typeface="Times New Roman" panose="02020603050405020304" pitchFamily="18" charset="0"/>
            <a:cs typeface="Times New Roman" panose="02020603050405020304" pitchFamily="18" charset="0"/>
          </a:endParaRPr>
        </a:p>
      </dsp:txBody>
      <dsp:txXfrm>
        <a:off x="37637" y="1657108"/>
        <a:ext cx="1435391" cy="733215"/>
      </dsp:txXfrm>
    </dsp:sp>
    <dsp:sp modelId="{414B5A83-6BBA-424F-BA0C-E1CFD433EA54}">
      <dsp:nvSpPr>
        <dsp:cNvPr id="0" name=""/>
        <dsp:cNvSpPr/>
      </dsp:nvSpPr>
      <dsp:spPr>
        <a:xfrm>
          <a:off x="1510665" y="2428866"/>
          <a:ext cx="4299585" cy="7708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marL="0" lvl="0" indent="0" algn="l" defTabSz="533400">
            <a:lnSpc>
              <a:spcPct val="90000"/>
            </a:lnSpc>
            <a:spcBef>
              <a:spcPct val="0"/>
            </a:spcBef>
            <a:spcAft>
              <a:spcPct val="35000"/>
            </a:spcAft>
            <a:buFont typeface="+mj-lt"/>
            <a:buNone/>
          </a:pPr>
          <a:r>
            <a:rPr lang="en-US" sz="1200" kern="1200">
              <a:latin typeface="Times New Roman" panose="02020603050405020304" pitchFamily="18" charset="0"/>
              <a:cs typeface="Times New Roman" panose="02020603050405020304" pitchFamily="18" charset="0"/>
            </a:rPr>
            <a:t>How does Gaza exemplify modern patterns of asymmetric conflict, where narrative, symbolism, and digital activism shape global perception?</a:t>
          </a:r>
        </a:p>
      </dsp:txBody>
      <dsp:txXfrm>
        <a:off x="1510665" y="2428866"/>
        <a:ext cx="4299585" cy="770852"/>
      </dsp:txXfrm>
    </dsp:sp>
    <dsp:sp modelId="{51E2A7D5-112C-4F4B-91BD-464A07BA962A}">
      <dsp:nvSpPr>
        <dsp:cNvPr id="0" name=""/>
        <dsp:cNvSpPr/>
      </dsp:nvSpPr>
      <dsp:spPr>
        <a:xfrm>
          <a:off x="0" y="2428866"/>
          <a:ext cx="1510665" cy="770852"/>
        </a:xfrm>
        <a:prstGeom prst="round2SameRect">
          <a:avLst>
            <a:gd name="adj1" fmla="val 16670"/>
            <a:gd name="adj2" fmla="val 0"/>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w="6350" cap="flat" cmpd="sng" algn="ctr">
          <a:solidFill>
            <a:schemeClr val="accent3">
              <a:hueOff val="2710599"/>
              <a:satOff val="100000"/>
              <a:lumOff val="-14706"/>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RQ: 4</a:t>
          </a:r>
          <a:endParaRPr lang="en-US" sz="1200" kern="1200">
            <a:latin typeface="Times New Roman" panose="02020603050405020304" pitchFamily="18" charset="0"/>
            <a:cs typeface="Times New Roman" panose="02020603050405020304" pitchFamily="18" charset="0"/>
          </a:endParaRPr>
        </a:p>
      </dsp:txBody>
      <dsp:txXfrm>
        <a:off x="37637" y="2466503"/>
        <a:ext cx="1435391" cy="73321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D38E05-A213-4C48-BBF2-26EC78DB0AAB}">
      <dsp:nvSpPr>
        <dsp:cNvPr id="0" name=""/>
        <dsp:cNvSpPr/>
      </dsp:nvSpPr>
      <dsp:spPr>
        <a:xfrm>
          <a:off x="1143000" y="0"/>
          <a:ext cx="3200400" cy="3200400"/>
        </a:xfrm>
        <a:prstGeom prst="quadArrow">
          <a:avLst>
            <a:gd name="adj1" fmla="val 2000"/>
            <a:gd name="adj2" fmla="val 4000"/>
            <a:gd name="adj3" fmla="val 500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B49C60E9-0A41-47B2-9B3E-8CBB9F1D1033}">
      <dsp:nvSpPr>
        <dsp:cNvPr id="0" name=""/>
        <dsp:cNvSpPr/>
      </dsp:nvSpPr>
      <dsp:spPr>
        <a:xfrm>
          <a:off x="1351026" y="208026"/>
          <a:ext cx="1280160" cy="1280160"/>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US" sz="1200" kern="1200"/>
            <a:t>UN reports (e.g., UNRWA, OCHA)</a:t>
          </a:r>
        </a:p>
      </dsp:txBody>
      <dsp:txXfrm>
        <a:off x="1413518" y="270518"/>
        <a:ext cx="1155176" cy="1155176"/>
      </dsp:txXfrm>
    </dsp:sp>
    <dsp:sp modelId="{EB8B9962-41E1-4BD2-BE28-BEBC73D32355}">
      <dsp:nvSpPr>
        <dsp:cNvPr id="0" name=""/>
        <dsp:cNvSpPr/>
      </dsp:nvSpPr>
      <dsp:spPr>
        <a:xfrm>
          <a:off x="2855214" y="208026"/>
          <a:ext cx="1280160" cy="1280160"/>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US" sz="1200" kern="1200"/>
            <a:t>Humanitarian organizations (e.g., Amnesty International, Human Rights Watch)</a:t>
          </a:r>
        </a:p>
      </dsp:txBody>
      <dsp:txXfrm>
        <a:off x="2917706" y="270518"/>
        <a:ext cx="1155176" cy="1155176"/>
      </dsp:txXfrm>
    </dsp:sp>
    <dsp:sp modelId="{5D2E75B1-6604-4AC9-9976-D480FC31AD13}">
      <dsp:nvSpPr>
        <dsp:cNvPr id="0" name=""/>
        <dsp:cNvSpPr/>
      </dsp:nvSpPr>
      <dsp:spPr>
        <a:xfrm>
          <a:off x="1351026" y="1712214"/>
          <a:ext cx="1280160" cy="1280160"/>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US" sz="1200" kern="1200"/>
            <a:t>News archives (e.g., BBC, Al Jazeera, The Guardian)</a:t>
          </a:r>
        </a:p>
      </dsp:txBody>
      <dsp:txXfrm>
        <a:off x="1413518" y="1774706"/>
        <a:ext cx="1155176" cy="1155176"/>
      </dsp:txXfrm>
    </dsp:sp>
    <dsp:sp modelId="{FF89ABA7-A807-4D10-85C9-5D5E41A48E6B}">
      <dsp:nvSpPr>
        <dsp:cNvPr id="0" name=""/>
        <dsp:cNvSpPr/>
      </dsp:nvSpPr>
      <dsp:spPr>
        <a:xfrm>
          <a:off x="2855214" y="1712214"/>
          <a:ext cx="1280160" cy="128016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US" sz="1200" kern="1200"/>
            <a:t>Social media platforms (e.g., Twitter, Instagram)</a:t>
          </a:r>
        </a:p>
      </dsp:txBody>
      <dsp:txXfrm>
        <a:off x="2917706" y="1774706"/>
        <a:ext cx="1155176" cy="115517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4D2989-C963-4B83-BB49-71868820C803}">
      <dsp:nvSpPr>
        <dsp:cNvPr id="0" name=""/>
        <dsp:cNvSpPr/>
      </dsp:nvSpPr>
      <dsp:spPr>
        <a:xfrm>
          <a:off x="2478" y="1043874"/>
          <a:ext cx="1490771" cy="1788926"/>
        </a:xfrm>
        <a:prstGeom prst="roundRect">
          <a:avLst>
            <a:gd name="adj" fmla="val 5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27432" rIns="35560" bIns="0" numCol="1" spcCol="1270" anchor="t" anchorCtr="0">
          <a:noAutofit/>
        </a:bodyPr>
        <a:lstStyle/>
        <a:p>
          <a:pPr marL="0" lvl="0" indent="0" algn="r" defTabSz="355600">
            <a:lnSpc>
              <a:spcPct val="90000"/>
            </a:lnSpc>
            <a:spcBef>
              <a:spcPct val="0"/>
            </a:spcBef>
            <a:spcAft>
              <a:spcPct val="35000"/>
            </a:spcAft>
            <a:buFont typeface="+mj-lt"/>
            <a:buNone/>
          </a:pPr>
          <a:r>
            <a:rPr lang="en-US" sz="800" b="1" kern="1200">
              <a:latin typeface="Times New Roman" panose="02020603050405020304" pitchFamily="18" charset="0"/>
              <a:cs typeface="Times New Roman" panose="02020603050405020304" pitchFamily="18" charset="0"/>
            </a:rPr>
            <a:t>Symbolic power transcends material size</a:t>
          </a:r>
          <a:endParaRPr lang="en-US" sz="800" kern="1200">
            <a:latin typeface="Times New Roman" panose="02020603050405020304" pitchFamily="18" charset="0"/>
            <a:cs typeface="Times New Roman" panose="02020603050405020304" pitchFamily="18" charset="0"/>
          </a:endParaRPr>
        </a:p>
      </dsp:txBody>
      <dsp:txXfrm rot="16200000">
        <a:off x="-581904" y="1628256"/>
        <a:ext cx="1466919" cy="298154"/>
      </dsp:txXfrm>
    </dsp:sp>
    <dsp:sp modelId="{D6163308-1F63-49C4-926E-7577EE834DA6}">
      <dsp:nvSpPr>
        <dsp:cNvPr id="0" name=""/>
        <dsp:cNvSpPr/>
      </dsp:nvSpPr>
      <dsp:spPr>
        <a:xfrm>
          <a:off x="300632" y="1043874"/>
          <a:ext cx="1110624" cy="1788926"/>
        </a:xfrm>
        <a:prstGeom prst="rect">
          <a:avLst/>
        </a:prstGeom>
        <a:noFill/>
        <a:ln>
          <a:noFill/>
        </a:ln>
        <a:effectLst/>
        <a:scene3d>
          <a:camera prst="orthographicFront"/>
          <a:lightRig rig="flat" dir="t"/>
        </a:scene3d>
        <a:sp3d/>
      </dsp:spPr>
      <dsp:style>
        <a:lnRef idx="0">
          <a:scrgbClr r="0" g="0" b="0"/>
        </a:lnRef>
        <a:fillRef idx="3">
          <a:scrgbClr r="0" g="0" b="0"/>
        </a:fillRef>
        <a:effectRef idx="2">
          <a:scrgbClr r="0" g="0" b="0"/>
        </a:effectRef>
        <a:fontRef idx="minor">
          <a:schemeClr val="lt1"/>
        </a:fontRef>
      </dsp:style>
      <dsp:txBody>
        <a:bodyPr spcFirstLastPara="0" vert="horz" wrap="square" lIns="0" tIns="34290" rIns="0" bIns="0" numCol="1" spcCol="1270" anchor="t" anchorCtr="0">
          <a:noAutofit/>
        </a:bodyPr>
        <a:lstStyle/>
        <a:p>
          <a:pPr marL="0" lvl="0" indent="0" algn="l" defTabSz="444500">
            <a:lnSpc>
              <a:spcPct val="90000"/>
            </a:lnSpc>
            <a:spcBef>
              <a:spcPct val="0"/>
            </a:spcBef>
            <a:spcAft>
              <a:spcPct val="35000"/>
            </a:spcAft>
            <a:buFont typeface="+mj-lt"/>
            <a:buNone/>
          </a:pPr>
          <a:r>
            <a:rPr lang="en-US" sz="1000" kern="1200">
              <a:latin typeface="Times New Roman" panose="02020603050405020304" pitchFamily="18" charset="0"/>
              <a:cs typeface="Times New Roman" panose="02020603050405020304" pitchFamily="18" charset="0"/>
            </a:rPr>
            <a:t>Gaza’s limited population and geographical size do not correlate with its global impact. The study will highlight how symbolic narratives can amplify the influence of regions or conflicts far beyond their quantitative dimensions.</a:t>
          </a:r>
        </a:p>
      </dsp:txBody>
      <dsp:txXfrm>
        <a:off x="300632" y="1043874"/>
        <a:ext cx="1110624" cy="1788926"/>
      </dsp:txXfrm>
    </dsp:sp>
    <dsp:sp modelId="{23FBA486-B840-4581-8A6D-CD164F16FC6D}">
      <dsp:nvSpPr>
        <dsp:cNvPr id="0" name=""/>
        <dsp:cNvSpPr/>
      </dsp:nvSpPr>
      <dsp:spPr>
        <a:xfrm>
          <a:off x="1545427" y="1043874"/>
          <a:ext cx="1490771" cy="1788926"/>
        </a:xfrm>
        <a:prstGeom prst="roundRect">
          <a:avLst>
            <a:gd name="adj" fmla="val 5000"/>
          </a:avLst>
        </a:prstGeom>
        <a:gradFill rotWithShape="0">
          <a:gsLst>
            <a:gs pos="0">
              <a:schemeClr val="accent2">
                <a:hueOff val="-485121"/>
                <a:satOff val="-27976"/>
                <a:lumOff val="2876"/>
                <a:alphaOff val="0"/>
                <a:satMod val="103000"/>
                <a:lumMod val="102000"/>
                <a:tint val="94000"/>
              </a:schemeClr>
            </a:gs>
            <a:gs pos="50000">
              <a:schemeClr val="accent2">
                <a:hueOff val="-485121"/>
                <a:satOff val="-27976"/>
                <a:lumOff val="2876"/>
                <a:alphaOff val="0"/>
                <a:satMod val="110000"/>
                <a:lumMod val="100000"/>
                <a:shade val="100000"/>
              </a:schemeClr>
            </a:gs>
            <a:gs pos="100000">
              <a:schemeClr val="accent2">
                <a:hueOff val="-485121"/>
                <a:satOff val="-27976"/>
                <a:lumOff val="287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27432" rIns="35560" bIns="0" numCol="1" spcCol="1270" anchor="t" anchorCtr="0">
          <a:noAutofit/>
        </a:bodyPr>
        <a:lstStyle/>
        <a:p>
          <a:pPr marL="0" lvl="0" indent="0" algn="r" defTabSz="355600">
            <a:lnSpc>
              <a:spcPct val="90000"/>
            </a:lnSpc>
            <a:spcBef>
              <a:spcPct val="0"/>
            </a:spcBef>
            <a:spcAft>
              <a:spcPct val="35000"/>
            </a:spcAft>
            <a:buFont typeface="+mj-lt"/>
            <a:buNone/>
          </a:pPr>
          <a:r>
            <a:rPr lang="en-US" sz="800" b="1" kern="1200">
              <a:latin typeface="Times New Roman" panose="02020603050405020304" pitchFamily="18" charset="0"/>
              <a:cs typeface="Times New Roman" panose="02020603050405020304" pitchFamily="18" charset="0"/>
            </a:rPr>
            <a:t>The role of media in constructing symbolic narratives</a:t>
          </a:r>
          <a:endParaRPr lang="en-US" sz="800" kern="1200">
            <a:latin typeface="Times New Roman" panose="02020603050405020304" pitchFamily="18" charset="0"/>
            <a:cs typeface="Times New Roman" panose="02020603050405020304" pitchFamily="18" charset="0"/>
          </a:endParaRPr>
        </a:p>
      </dsp:txBody>
      <dsp:txXfrm rot="16200000">
        <a:off x="961044" y="1628256"/>
        <a:ext cx="1466919" cy="298154"/>
      </dsp:txXfrm>
    </dsp:sp>
    <dsp:sp modelId="{AA4B9F83-85F3-495D-A6E7-2E7BF6748593}">
      <dsp:nvSpPr>
        <dsp:cNvPr id="0" name=""/>
        <dsp:cNvSpPr/>
      </dsp:nvSpPr>
      <dsp:spPr>
        <a:xfrm rot="5400000">
          <a:off x="1421445" y="2465481"/>
          <a:ext cx="262871" cy="223615"/>
        </a:xfrm>
        <a:prstGeom prst="flowChartExtract">
          <a:avLst/>
        </a:prstGeom>
        <a:solidFill>
          <a:schemeClr val="lt1">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F6629B0F-B265-497B-BDE9-C4519267FC7C}">
      <dsp:nvSpPr>
        <dsp:cNvPr id="0" name=""/>
        <dsp:cNvSpPr/>
      </dsp:nvSpPr>
      <dsp:spPr>
        <a:xfrm>
          <a:off x="1843581" y="1043874"/>
          <a:ext cx="1110624" cy="1788926"/>
        </a:xfrm>
        <a:prstGeom prst="rect">
          <a:avLst/>
        </a:prstGeom>
        <a:noFill/>
        <a:ln>
          <a:noFill/>
        </a:ln>
        <a:effectLst/>
        <a:scene3d>
          <a:camera prst="orthographicFront"/>
          <a:lightRig rig="flat" dir="t"/>
        </a:scene3d>
        <a:sp3d/>
      </dsp:spPr>
      <dsp:style>
        <a:lnRef idx="0">
          <a:scrgbClr r="0" g="0" b="0"/>
        </a:lnRef>
        <a:fillRef idx="3">
          <a:scrgbClr r="0" g="0" b="0"/>
        </a:fillRef>
        <a:effectRef idx="2">
          <a:scrgbClr r="0" g="0" b="0"/>
        </a:effectRef>
        <a:fontRef idx="minor">
          <a:schemeClr val="lt1"/>
        </a:fontRef>
      </dsp:style>
      <dsp:txBody>
        <a:bodyPr spcFirstLastPara="0" vert="horz" wrap="square" lIns="0" tIns="34290" rIns="0" bIns="0" numCol="1" spcCol="1270" anchor="t" anchorCtr="0">
          <a:noAutofit/>
        </a:bodyPr>
        <a:lstStyle/>
        <a:p>
          <a:pPr marL="0" lvl="0" indent="0" algn="l" defTabSz="444500">
            <a:lnSpc>
              <a:spcPct val="90000"/>
            </a:lnSpc>
            <a:spcBef>
              <a:spcPct val="0"/>
            </a:spcBef>
            <a:spcAft>
              <a:spcPct val="35000"/>
            </a:spcAft>
            <a:buFont typeface="+mj-lt"/>
            <a:buNone/>
          </a:pPr>
          <a:r>
            <a:rPr lang="en-US" sz="1000" kern="1200">
              <a:latin typeface="Times New Roman" panose="02020603050405020304" pitchFamily="18" charset="0"/>
              <a:cs typeface="Times New Roman" panose="02020603050405020304" pitchFamily="18" charset="0"/>
            </a:rPr>
            <a:t>Media framing and the portrayal of Gaza in humanitarian discourse have played a crucial role in transforming the conflict from a regional dispute to a global cause.</a:t>
          </a:r>
        </a:p>
      </dsp:txBody>
      <dsp:txXfrm>
        <a:off x="1843581" y="1043874"/>
        <a:ext cx="1110624" cy="1788926"/>
      </dsp:txXfrm>
    </dsp:sp>
    <dsp:sp modelId="{1D832AFF-BC8C-441A-9E7E-20615B090B6E}">
      <dsp:nvSpPr>
        <dsp:cNvPr id="0" name=""/>
        <dsp:cNvSpPr/>
      </dsp:nvSpPr>
      <dsp:spPr>
        <a:xfrm>
          <a:off x="3088376" y="1043874"/>
          <a:ext cx="1490771" cy="1788926"/>
        </a:xfrm>
        <a:prstGeom prst="roundRect">
          <a:avLst>
            <a:gd name="adj" fmla="val 5000"/>
          </a:avLst>
        </a:prstGeom>
        <a:gradFill rotWithShape="0">
          <a:gsLst>
            <a:gs pos="0">
              <a:schemeClr val="accent2">
                <a:hueOff val="-970242"/>
                <a:satOff val="-55952"/>
                <a:lumOff val="5752"/>
                <a:alphaOff val="0"/>
                <a:satMod val="103000"/>
                <a:lumMod val="102000"/>
                <a:tint val="94000"/>
              </a:schemeClr>
            </a:gs>
            <a:gs pos="50000">
              <a:schemeClr val="accent2">
                <a:hueOff val="-970242"/>
                <a:satOff val="-55952"/>
                <a:lumOff val="5752"/>
                <a:alphaOff val="0"/>
                <a:satMod val="110000"/>
                <a:lumMod val="100000"/>
                <a:shade val="100000"/>
              </a:schemeClr>
            </a:gs>
            <a:gs pos="100000">
              <a:schemeClr val="accent2">
                <a:hueOff val="-970242"/>
                <a:satOff val="-55952"/>
                <a:lumOff val="575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27432" rIns="35560" bIns="0" numCol="1" spcCol="1270" anchor="t" anchorCtr="0">
          <a:noAutofit/>
        </a:bodyPr>
        <a:lstStyle/>
        <a:p>
          <a:pPr marL="0" lvl="0" indent="0" algn="r" defTabSz="355600">
            <a:lnSpc>
              <a:spcPct val="90000"/>
            </a:lnSpc>
            <a:spcBef>
              <a:spcPct val="0"/>
            </a:spcBef>
            <a:spcAft>
              <a:spcPct val="35000"/>
            </a:spcAft>
            <a:buFont typeface="+mj-lt"/>
            <a:buNone/>
          </a:pPr>
          <a:r>
            <a:rPr lang="en-US" sz="800" b="1" kern="1200">
              <a:latin typeface="Times New Roman" panose="02020603050405020304" pitchFamily="18" charset="0"/>
              <a:cs typeface="Times New Roman" panose="02020603050405020304" pitchFamily="18" charset="0"/>
            </a:rPr>
            <a:t>Human narratives surpass numerical data</a:t>
          </a:r>
          <a:endParaRPr lang="en-US" sz="800" kern="1200">
            <a:latin typeface="Times New Roman" panose="02020603050405020304" pitchFamily="18" charset="0"/>
            <a:cs typeface="Times New Roman" panose="02020603050405020304" pitchFamily="18" charset="0"/>
          </a:endParaRPr>
        </a:p>
      </dsp:txBody>
      <dsp:txXfrm rot="16200000">
        <a:off x="2503993" y="1628256"/>
        <a:ext cx="1466919" cy="298154"/>
      </dsp:txXfrm>
    </dsp:sp>
    <dsp:sp modelId="{2014557D-BC8E-4EFD-B631-F232250ABD40}">
      <dsp:nvSpPr>
        <dsp:cNvPr id="0" name=""/>
        <dsp:cNvSpPr/>
      </dsp:nvSpPr>
      <dsp:spPr>
        <a:xfrm rot="5400000">
          <a:off x="2964394" y="2465481"/>
          <a:ext cx="262871" cy="223615"/>
        </a:xfrm>
        <a:prstGeom prst="flowChartExtract">
          <a:avLst/>
        </a:prstGeom>
        <a:solidFill>
          <a:schemeClr val="lt1">
            <a:hueOff val="0"/>
            <a:satOff val="0"/>
            <a:lumOff val="0"/>
            <a:alphaOff val="0"/>
          </a:schemeClr>
        </a:solidFill>
        <a:ln w="6350" cap="flat" cmpd="sng" algn="ctr">
          <a:solidFill>
            <a:schemeClr val="accent2">
              <a:hueOff val="-727682"/>
              <a:satOff val="-41964"/>
              <a:lumOff val="4314"/>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EA529F27-B142-4ABF-81FE-EB42058AF22E}">
      <dsp:nvSpPr>
        <dsp:cNvPr id="0" name=""/>
        <dsp:cNvSpPr/>
      </dsp:nvSpPr>
      <dsp:spPr>
        <a:xfrm>
          <a:off x="3386530" y="1043874"/>
          <a:ext cx="1110624" cy="1788926"/>
        </a:xfrm>
        <a:prstGeom prst="rect">
          <a:avLst/>
        </a:prstGeom>
        <a:noFill/>
        <a:ln>
          <a:noFill/>
        </a:ln>
        <a:effectLst/>
        <a:scene3d>
          <a:camera prst="orthographicFront"/>
          <a:lightRig rig="flat" dir="t"/>
        </a:scene3d>
        <a:sp3d/>
      </dsp:spPr>
      <dsp:style>
        <a:lnRef idx="0">
          <a:scrgbClr r="0" g="0" b="0"/>
        </a:lnRef>
        <a:fillRef idx="3">
          <a:scrgbClr r="0" g="0" b="0"/>
        </a:fillRef>
        <a:effectRef idx="2">
          <a:scrgbClr r="0" g="0" b="0"/>
        </a:effectRef>
        <a:fontRef idx="minor">
          <a:schemeClr val="lt1"/>
        </a:fontRef>
      </dsp:style>
      <dsp:txBody>
        <a:bodyPr spcFirstLastPara="0" vert="horz" wrap="square" lIns="0" tIns="34290" rIns="0" bIns="0" numCol="1" spcCol="1270" anchor="t" anchorCtr="0">
          <a:noAutofit/>
        </a:bodyPr>
        <a:lstStyle/>
        <a:p>
          <a:pPr marL="0" lvl="0" indent="0" algn="l" defTabSz="444500">
            <a:lnSpc>
              <a:spcPct val="90000"/>
            </a:lnSpc>
            <a:spcBef>
              <a:spcPct val="0"/>
            </a:spcBef>
            <a:spcAft>
              <a:spcPct val="35000"/>
            </a:spcAft>
            <a:buFont typeface="+mj-lt"/>
            <a:buNone/>
          </a:pPr>
          <a:r>
            <a:rPr lang="en-US" sz="1000" kern="1200">
              <a:latin typeface="Times New Roman" panose="02020603050405020304" pitchFamily="18" charset="0"/>
              <a:cs typeface="Times New Roman" panose="02020603050405020304" pitchFamily="18" charset="0"/>
            </a:rPr>
            <a:t>The emotional resonance of human stories, such as those of Gaza’s civilians, has outstripped the significance of raw statistics in shaping global humanitarian responses.</a:t>
          </a:r>
        </a:p>
      </dsp:txBody>
      <dsp:txXfrm>
        <a:off x="3386530" y="1043874"/>
        <a:ext cx="1110624" cy="1788926"/>
      </dsp:txXfrm>
    </dsp:sp>
    <dsp:sp modelId="{0D8D8E59-F304-4915-B113-B6AFEB49E8E3}">
      <dsp:nvSpPr>
        <dsp:cNvPr id="0" name=""/>
        <dsp:cNvSpPr/>
      </dsp:nvSpPr>
      <dsp:spPr>
        <a:xfrm>
          <a:off x="4631324" y="1043874"/>
          <a:ext cx="1490771" cy="1788926"/>
        </a:xfrm>
        <a:prstGeom prst="roundRect">
          <a:avLst>
            <a:gd name="adj" fmla="val 5000"/>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27432" rIns="35560" bIns="0" numCol="1" spcCol="1270" anchor="t" anchorCtr="0">
          <a:noAutofit/>
        </a:bodyPr>
        <a:lstStyle/>
        <a:p>
          <a:pPr marL="0" lvl="0" indent="0" algn="r" defTabSz="355600">
            <a:lnSpc>
              <a:spcPct val="90000"/>
            </a:lnSpc>
            <a:spcBef>
              <a:spcPct val="0"/>
            </a:spcBef>
            <a:spcAft>
              <a:spcPct val="35000"/>
            </a:spcAft>
            <a:buFont typeface="+mj-lt"/>
            <a:buNone/>
          </a:pPr>
          <a:r>
            <a:rPr lang="en-US" sz="800" b="1" kern="1200">
              <a:latin typeface="Times New Roman" panose="02020603050405020304" pitchFamily="18" charset="0"/>
              <a:cs typeface="Times New Roman" panose="02020603050405020304" pitchFamily="18" charset="0"/>
            </a:rPr>
            <a:t>Contributions to broader academic discourse</a:t>
          </a:r>
          <a:r>
            <a:rPr lang="en-US" sz="800" kern="1200">
              <a:latin typeface="Times New Roman" panose="02020603050405020304" pitchFamily="18" charset="0"/>
              <a:cs typeface="Times New Roman" panose="02020603050405020304" pitchFamily="18" charset="0"/>
            </a:rPr>
            <a:t>:</a:t>
          </a:r>
        </a:p>
      </dsp:txBody>
      <dsp:txXfrm rot="16200000">
        <a:off x="4046942" y="1628256"/>
        <a:ext cx="1466919" cy="298154"/>
      </dsp:txXfrm>
    </dsp:sp>
    <dsp:sp modelId="{B4AEC9F6-7BF5-43F0-AB38-4407B1D257A3}">
      <dsp:nvSpPr>
        <dsp:cNvPr id="0" name=""/>
        <dsp:cNvSpPr/>
      </dsp:nvSpPr>
      <dsp:spPr>
        <a:xfrm rot="5400000">
          <a:off x="4507343" y="2465481"/>
          <a:ext cx="262871" cy="223615"/>
        </a:xfrm>
        <a:prstGeom prst="flowChartExtract">
          <a:avLst/>
        </a:prstGeom>
        <a:solidFill>
          <a:schemeClr val="lt1">
            <a:hueOff val="0"/>
            <a:satOff val="0"/>
            <a:lumOff val="0"/>
            <a:alphaOff val="0"/>
          </a:schemeClr>
        </a:solidFill>
        <a:ln w="6350" cap="flat" cmpd="sng" algn="ctr">
          <a:solidFill>
            <a:schemeClr val="accent2">
              <a:hueOff val="-1455363"/>
              <a:satOff val="-83928"/>
              <a:lumOff val="8628"/>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77EBB11A-91D6-4506-B92D-8B24FA26CCCA}">
      <dsp:nvSpPr>
        <dsp:cNvPr id="0" name=""/>
        <dsp:cNvSpPr/>
      </dsp:nvSpPr>
      <dsp:spPr>
        <a:xfrm>
          <a:off x="4929479" y="1043874"/>
          <a:ext cx="1110624" cy="1788926"/>
        </a:xfrm>
        <a:prstGeom prst="rect">
          <a:avLst/>
        </a:prstGeom>
        <a:noFill/>
        <a:ln>
          <a:noFill/>
        </a:ln>
        <a:effectLst/>
        <a:scene3d>
          <a:camera prst="orthographicFront"/>
          <a:lightRig rig="flat" dir="t"/>
        </a:scene3d>
        <a:sp3d/>
      </dsp:spPr>
      <dsp:style>
        <a:lnRef idx="0">
          <a:scrgbClr r="0" g="0" b="0"/>
        </a:lnRef>
        <a:fillRef idx="3">
          <a:scrgbClr r="0" g="0" b="0"/>
        </a:fillRef>
        <a:effectRef idx="2">
          <a:scrgbClr r="0" g="0" b="0"/>
        </a:effectRef>
        <a:fontRef idx="minor">
          <a:schemeClr val="lt1"/>
        </a:fontRef>
      </dsp:style>
      <dsp:txBody>
        <a:bodyPr spcFirstLastPara="0" vert="horz" wrap="square" lIns="0" tIns="34290" rIns="0" bIns="0" numCol="1" spcCol="1270" anchor="t" anchorCtr="0">
          <a:noAutofit/>
        </a:bodyPr>
        <a:lstStyle/>
        <a:p>
          <a:pPr marL="0" lvl="0" indent="0" algn="l" defTabSz="444500">
            <a:lnSpc>
              <a:spcPct val="90000"/>
            </a:lnSpc>
            <a:spcBef>
              <a:spcPct val="0"/>
            </a:spcBef>
            <a:spcAft>
              <a:spcPct val="35000"/>
            </a:spcAft>
            <a:buFont typeface="+mj-lt"/>
            <a:buNone/>
          </a:pPr>
          <a:r>
            <a:rPr lang="en-US" sz="1000" kern="1200">
              <a:latin typeface="Times New Roman" panose="02020603050405020304" pitchFamily="18" charset="0"/>
              <a:cs typeface="Times New Roman" panose="02020603050405020304" pitchFamily="18" charset="0"/>
            </a:rPr>
            <a:t>The study will contribute to broader discussions in international relations, conflict studies, media studies, and humanitarian ethics, specifically addressing the role of symbolic resistance in asymmetric warfare.</a:t>
          </a:r>
        </a:p>
      </dsp:txBody>
      <dsp:txXfrm>
        <a:off x="4929479" y="1043874"/>
        <a:ext cx="1110624" cy="1788926"/>
      </dsp:txXfrm>
    </dsp:sp>
  </dsp:spTree>
</dsp:drawing>
</file>

<file path=word/diagrams/layout1.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4E6A34-0B4A-4C15-958F-2BCD1004B0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1369</Words>
  <Characters>7804</Characters>
  <Application>Microsoft Office Word</Application>
  <DocSecurity>0</DocSecurity>
  <Lines>65</Lines>
  <Paragraphs>18</Paragraphs>
  <ScaleCrop>false</ScaleCrop>
  <Company/>
  <LinksUpToDate>false</LinksUpToDate>
  <CharactersWithSpaces>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Iqbal</dc:creator>
  <cp:keywords/>
  <dc:description/>
  <cp:lastModifiedBy>Ibrahim Mohamed Mohamed Hussein Mohamed (2132801)</cp:lastModifiedBy>
  <cp:revision>2</cp:revision>
  <dcterms:created xsi:type="dcterms:W3CDTF">2025-11-21T00:43:00Z</dcterms:created>
  <dcterms:modified xsi:type="dcterms:W3CDTF">2025-11-21T00:43:00Z</dcterms:modified>
</cp:coreProperties>
</file>