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349063" w14:textId="77777777" w:rsidR="00E000D8" w:rsidRPr="004810B8" w:rsidRDefault="00E000D8" w:rsidP="00E000D8">
      <w:pPr>
        <w:pStyle w:val="a3"/>
        <w:rPr>
          <w:rFonts w:asciiTheme="minorHAnsi" w:hAnsiTheme="minorHAnsi" w:cstheme="minorHAnsi"/>
          <w:lang w:val="en-GB"/>
        </w:rPr>
      </w:pPr>
      <w:r w:rsidRPr="004810B8">
        <w:rPr>
          <w:rFonts w:asciiTheme="minorHAnsi" w:hAnsiTheme="minorHAnsi" w:cstheme="minorHAnsi"/>
          <w:lang w:val="en-GB"/>
        </w:rPr>
        <w:t>Ratio Analysis</w:t>
      </w:r>
    </w:p>
    <w:p w14:paraId="3ACC94AC" w14:textId="07316923" w:rsidR="005707A2" w:rsidRPr="004810B8" w:rsidRDefault="005707A2" w:rsidP="004634AA">
      <w:pPr>
        <w:rPr>
          <w:rFonts w:asciiTheme="minorHAnsi" w:hAnsiTheme="minorHAnsi" w:cstheme="minorHAnsi"/>
          <w:lang w:val="en-GB"/>
        </w:rPr>
      </w:pPr>
      <w:r w:rsidRPr="004810B8">
        <w:rPr>
          <w:rFonts w:asciiTheme="minorHAnsi" w:hAnsiTheme="minorHAnsi" w:cstheme="minorHAnsi"/>
          <w:lang w:val="en-GB"/>
        </w:rPr>
        <w:t xml:space="preserve">Module: </w:t>
      </w:r>
      <w:r w:rsidR="004634AA" w:rsidRPr="004634AA">
        <w:rPr>
          <w:rFonts w:asciiTheme="minorHAnsi" w:hAnsiTheme="minorHAnsi" w:cstheme="minorHAnsi"/>
          <w:lang w:val="en-GB"/>
        </w:rPr>
        <w:t>M5X01922_LON</w:t>
      </w:r>
    </w:p>
    <w:p w14:paraId="55706D77" w14:textId="77777777" w:rsidR="005707A2" w:rsidRPr="004810B8" w:rsidRDefault="005707A2" w:rsidP="005707A2">
      <w:pPr>
        <w:rPr>
          <w:rFonts w:asciiTheme="minorHAnsi" w:hAnsiTheme="minorHAnsi" w:cstheme="minorHAnsi"/>
          <w:lang w:val="en-GB"/>
        </w:rPr>
      </w:pPr>
      <w:r w:rsidRPr="004810B8">
        <w:rPr>
          <w:rFonts w:asciiTheme="minorHAnsi" w:hAnsiTheme="minorHAnsi" w:cstheme="minorHAnsi"/>
          <w:lang w:val="en-GB"/>
        </w:rPr>
        <w:t>Student: Penka Ilieva 1816778</w:t>
      </w:r>
    </w:p>
    <w:p w14:paraId="5524460C" w14:textId="4FBBCD7E" w:rsidR="005707A2" w:rsidRPr="004810B8" w:rsidRDefault="005707A2" w:rsidP="005707A2">
      <w:pPr>
        <w:rPr>
          <w:rFonts w:asciiTheme="minorHAnsi" w:hAnsiTheme="minorHAnsi" w:cstheme="minorHAnsi"/>
          <w:lang w:val="en-GB"/>
        </w:rPr>
      </w:pPr>
      <w:r w:rsidRPr="004810B8">
        <w:rPr>
          <w:rFonts w:asciiTheme="minorHAnsi" w:hAnsiTheme="minorHAnsi" w:cstheme="minorHAnsi"/>
          <w:lang w:val="en-GB"/>
        </w:rPr>
        <w:t>Lecturer:</w:t>
      </w:r>
      <w:r w:rsidR="004810B8" w:rsidRPr="004810B8">
        <w:rPr>
          <w:rFonts w:asciiTheme="minorHAnsi" w:hAnsiTheme="minorHAnsi" w:cstheme="minorHAnsi"/>
          <w:lang w:val="en-GB"/>
        </w:rPr>
        <w:t xml:space="preserve"> David Jenkins </w:t>
      </w:r>
      <w:r w:rsidRPr="004810B8">
        <w:rPr>
          <w:rFonts w:asciiTheme="minorHAnsi" w:hAnsiTheme="minorHAnsi" w:cstheme="minorHAnsi"/>
          <w:lang w:val="en-GB"/>
        </w:rPr>
        <w:t xml:space="preserve"> </w:t>
      </w:r>
    </w:p>
    <w:p w14:paraId="61EBBAB7" w14:textId="3DFA3EA1" w:rsidR="005707A2" w:rsidRPr="004810B8" w:rsidRDefault="005707A2" w:rsidP="00E000D8">
      <w:pPr>
        <w:rPr>
          <w:rFonts w:asciiTheme="minorHAnsi" w:hAnsiTheme="minorHAnsi" w:cstheme="minorHAnsi"/>
          <w:lang w:val="en-GB"/>
        </w:rPr>
      </w:pPr>
    </w:p>
    <w:p w14:paraId="44416C3F" w14:textId="1CE28AD9" w:rsidR="005707A2" w:rsidRPr="004810B8" w:rsidRDefault="005707A2" w:rsidP="00E000D8">
      <w:pPr>
        <w:rPr>
          <w:rFonts w:asciiTheme="minorHAnsi" w:hAnsiTheme="minorHAnsi" w:cstheme="minorHAnsi"/>
          <w:lang w:val="en-GB"/>
        </w:rPr>
      </w:pPr>
    </w:p>
    <w:p w14:paraId="39F57821" w14:textId="190E66E7" w:rsidR="005707A2" w:rsidRPr="004810B8" w:rsidRDefault="005707A2" w:rsidP="00E000D8">
      <w:pPr>
        <w:rPr>
          <w:rFonts w:asciiTheme="minorHAnsi" w:hAnsiTheme="minorHAnsi" w:cstheme="minorHAnsi"/>
          <w:lang w:val="en-GB"/>
        </w:rPr>
      </w:pPr>
    </w:p>
    <w:p w14:paraId="588E6862" w14:textId="6A4767D8" w:rsidR="005707A2" w:rsidRPr="004810B8" w:rsidRDefault="005707A2" w:rsidP="00E000D8">
      <w:pPr>
        <w:rPr>
          <w:rFonts w:asciiTheme="minorHAnsi" w:hAnsiTheme="minorHAnsi" w:cstheme="minorHAnsi"/>
          <w:lang w:val="en-GB"/>
        </w:rPr>
      </w:pPr>
    </w:p>
    <w:p w14:paraId="5067A70E" w14:textId="338098E8" w:rsidR="005707A2" w:rsidRPr="004810B8" w:rsidRDefault="005707A2" w:rsidP="00E000D8">
      <w:pPr>
        <w:rPr>
          <w:rFonts w:asciiTheme="minorHAnsi" w:hAnsiTheme="minorHAnsi" w:cstheme="minorHAnsi"/>
          <w:lang w:val="en-GB"/>
        </w:rPr>
      </w:pPr>
    </w:p>
    <w:p w14:paraId="6776C76F" w14:textId="52CDCE48" w:rsidR="005707A2" w:rsidRPr="004810B8" w:rsidRDefault="005707A2" w:rsidP="00E000D8">
      <w:pPr>
        <w:rPr>
          <w:rFonts w:asciiTheme="minorHAnsi" w:hAnsiTheme="minorHAnsi" w:cstheme="minorHAnsi"/>
          <w:lang w:val="en-GB"/>
        </w:rPr>
      </w:pPr>
    </w:p>
    <w:p w14:paraId="3C6F7BA5" w14:textId="1BE73A77" w:rsidR="005707A2" w:rsidRPr="004810B8" w:rsidRDefault="005707A2" w:rsidP="00E000D8">
      <w:pPr>
        <w:rPr>
          <w:rFonts w:asciiTheme="minorHAnsi" w:hAnsiTheme="minorHAnsi" w:cstheme="minorHAnsi"/>
          <w:lang w:val="en-GB"/>
        </w:rPr>
      </w:pPr>
    </w:p>
    <w:p w14:paraId="10BAB2B0" w14:textId="6565BA0A" w:rsidR="005707A2" w:rsidRPr="004810B8" w:rsidRDefault="005707A2" w:rsidP="00E000D8">
      <w:pPr>
        <w:rPr>
          <w:rFonts w:asciiTheme="minorHAnsi" w:hAnsiTheme="minorHAnsi" w:cstheme="minorHAnsi"/>
          <w:lang w:val="en-GB"/>
        </w:rPr>
      </w:pPr>
    </w:p>
    <w:p w14:paraId="0A9F0301" w14:textId="1142EA06" w:rsidR="005707A2" w:rsidRPr="004810B8" w:rsidRDefault="005707A2" w:rsidP="00E000D8">
      <w:pPr>
        <w:rPr>
          <w:rFonts w:asciiTheme="minorHAnsi" w:hAnsiTheme="minorHAnsi" w:cstheme="minorHAnsi"/>
          <w:lang w:val="en-GB"/>
        </w:rPr>
      </w:pPr>
    </w:p>
    <w:p w14:paraId="4F18A58C" w14:textId="7F93BCA1" w:rsidR="005707A2" w:rsidRPr="004810B8" w:rsidRDefault="005707A2" w:rsidP="00E000D8">
      <w:pPr>
        <w:rPr>
          <w:rFonts w:asciiTheme="minorHAnsi" w:hAnsiTheme="minorHAnsi" w:cstheme="minorHAnsi"/>
          <w:lang w:val="en-GB"/>
        </w:rPr>
      </w:pPr>
    </w:p>
    <w:p w14:paraId="61B86559" w14:textId="7A14E0B8" w:rsidR="005707A2" w:rsidRPr="004810B8" w:rsidRDefault="005707A2" w:rsidP="00E000D8">
      <w:pPr>
        <w:rPr>
          <w:rFonts w:asciiTheme="minorHAnsi" w:hAnsiTheme="minorHAnsi" w:cstheme="minorHAnsi"/>
          <w:lang w:val="en-GB"/>
        </w:rPr>
      </w:pPr>
    </w:p>
    <w:p w14:paraId="0DFDE770" w14:textId="60A45913" w:rsidR="005707A2" w:rsidRPr="004810B8" w:rsidRDefault="005707A2" w:rsidP="00E000D8">
      <w:pPr>
        <w:rPr>
          <w:rFonts w:asciiTheme="minorHAnsi" w:hAnsiTheme="minorHAnsi" w:cstheme="minorHAnsi"/>
          <w:lang w:val="en-GB"/>
        </w:rPr>
      </w:pPr>
    </w:p>
    <w:p w14:paraId="1BFA203F" w14:textId="65B3CB67" w:rsidR="005707A2" w:rsidRPr="004810B8" w:rsidRDefault="005707A2" w:rsidP="00E000D8">
      <w:pPr>
        <w:rPr>
          <w:rFonts w:asciiTheme="minorHAnsi" w:hAnsiTheme="minorHAnsi" w:cstheme="minorHAnsi"/>
          <w:lang w:val="en-GB"/>
        </w:rPr>
      </w:pPr>
    </w:p>
    <w:p w14:paraId="3D8F294D" w14:textId="3830449E" w:rsidR="005707A2" w:rsidRPr="004810B8" w:rsidRDefault="005707A2" w:rsidP="00E000D8">
      <w:pPr>
        <w:rPr>
          <w:rFonts w:asciiTheme="minorHAnsi" w:hAnsiTheme="minorHAnsi" w:cstheme="minorHAnsi"/>
          <w:lang w:val="en-GB"/>
        </w:rPr>
      </w:pPr>
    </w:p>
    <w:p w14:paraId="2EC52C7A" w14:textId="5D481E4F" w:rsidR="005707A2" w:rsidRPr="004810B8" w:rsidRDefault="005707A2" w:rsidP="00E000D8">
      <w:pPr>
        <w:rPr>
          <w:rFonts w:asciiTheme="minorHAnsi" w:hAnsiTheme="minorHAnsi" w:cstheme="minorHAnsi"/>
          <w:lang w:val="en-GB"/>
        </w:rPr>
      </w:pPr>
    </w:p>
    <w:p w14:paraId="32BF9C4F" w14:textId="77777777" w:rsidR="005707A2" w:rsidRPr="004810B8" w:rsidRDefault="005707A2" w:rsidP="00E000D8">
      <w:pPr>
        <w:rPr>
          <w:rFonts w:asciiTheme="minorHAnsi" w:hAnsiTheme="minorHAnsi" w:cstheme="minorHAnsi"/>
          <w:lang w:val="en-GB"/>
        </w:rPr>
      </w:pPr>
    </w:p>
    <w:sdt>
      <w:sdtPr>
        <w:rPr>
          <w:rFonts w:asciiTheme="minorHAnsi" w:eastAsiaTheme="minorHAnsi" w:hAnsiTheme="minorHAnsi" w:cstheme="minorHAnsi"/>
          <w:b w:val="0"/>
          <w:bCs w:val="0"/>
          <w:color w:val="auto"/>
          <w:sz w:val="24"/>
          <w:szCs w:val="22"/>
        </w:rPr>
        <w:id w:val="19075737"/>
        <w:docPartObj>
          <w:docPartGallery w:val="Table of Contents"/>
          <w:docPartUnique/>
        </w:docPartObj>
      </w:sdtPr>
      <w:sdtEndPr/>
      <w:sdtContent>
        <w:p w14:paraId="7C349065" w14:textId="77777777" w:rsidR="0053014F" w:rsidRPr="004810B8" w:rsidRDefault="0053014F" w:rsidP="0053014F">
          <w:pPr>
            <w:pStyle w:val="ac"/>
            <w:jc w:val="center"/>
            <w:rPr>
              <w:rFonts w:asciiTheme="minorHAnsi" w:hAnsiTheme="minorHAnsi" w:cstheme="minorHAnsi"/>
              <w:color w:val="auto"/>
              <w:sz w:val="24"/>
              <w:szCs w:val="24"/>
            </w:rPr>
          </w:pPr>
          <w:r w:rsidRPr="004810B8">
            <w:rPr>
              <w:rFonts w:asciiTheme="minorHAnsi" w:hAnsiTheme="minorHAnsi" w:cstheme="minorHAnsi"/>
              <w:color w:val="auto"/>
              <w:sz w:val="24"/>
              <w:szCs w:val="24"/>
            </w:rPr>
            <w:t>Table of Contents</w:t>
          </w:r>
        </w:p>
        <w:p w14:paraId="7C349066" w14:textId="11DDF158"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1.</w:t>
          </w:r>
          <w:r w:rsidR="00C5513D" w:rsidRPr="004810B8">
            <w:rPr>
              <w:rFonts w:asciiTheme="minorHAnsi" w:hAnsiTheme="minorHAnsi" w:cstheme="minorHAnsi"/>
            </w:rPr>
            <w:fldChar w:fldCharType="begin"/>
          </w:r>
          <w:r w:rsidR="0053014F" w:rsidRPr="004810B8">
            <w:rPr>
              <w:rFonts w:asciiTheme="minorHAnsi" w:hAnsiTheme="minorHAnsi" w:cstheme="minorHAnsi"/>
            </w:rPr>
            <w:instrText xml:space="preserve"> TOC \o "1-3" \h \z \u </w:instrText>
          </w:r>
          <w:r w:rsidR="00C5513D" w:rsidRPr="004810B8">
            <w:rPr>
              <w:rFonts w:asciiTheme="minorHAnsi" w:hAnsiTheme="minorHAnsi" w:cstheme="minorHAnsi"/>
            </w:rPr>
            <w:fldChar w:fldCharType="separate"/>
          </w:r>
          <w:hyperlink w:anchor="_Toc46343236" w:history="1">
            <w:r w:rsidR="0053014F" w:rsidRPr="004810B8">
              <w:rPr>
                <w:rStyle w:val="ad"/>
                <w:rFonts w:asciiTheme="minorHAnsi" w:hAnsiTheme="minorHAnsi" w:cstheme="minorHAnsi"/>
                <w:noProof/>
                <w:color w:val="auto"/>
                <w:lang w:val="en-GB"/>
              </w:rPr>
              <w:t>Executive summary</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_Toc46343236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3</w:t>
            </w:r>
            <w:r w:rsidR="00C5513D" w:rsidRPr="004810B8">
              <w:rPr>
                <w:rFonts w:asciiTheme="minorHAnsi" w:hAnsiTheme="minorHAnsi" w:cstheme="minorHAnsi"/>
                <w:noProof/>
                <w:webHidden/>
              </w:rPr>
              <w:fldChar w:fldCharType="end"/>
            </w:r>
          </w:hyperlink>
        </w:p>
        <w:p w14:paraId="7C349067" w14:textId="7B94C086"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2.</w:t>
          </w:r>
          <w:hyperlink w:anchor="_Toc46343237" w:history="1">
            <w:r w:rsidR="0053014F" w:rsidRPr="004810B8">
              <w:rPr>
                <w:rStyle w:val="ad"/>
                <w:rFonts w:asciiTheme="minorHAnsi" w:hAnsiTheme="minorHAnsi" w:cstheme="minorHAnsi"/>
                <w:noProof/>
                <w:color w:val="auto"/>
                <w:lang w:val="en-GB"/>
              </w:rPr>
              <w:t>Main part</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_Toc46343237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4</w:t>
            </w:r>
            <w:r w:rsidR="00C5513D" w:rsidRPr="004810B8">
              <w:rPr>
                <w:rFonts w:asciiTheme="minorHAnsi" w:hAnsiTheme="minorHAnsi" w:cstheme="minorHAnsi"/>
                <w:noProof/>
                <w:webHidden/>
              </w:rPr>
              <w:fldChar w:fldCharType="end"/>
            </w:r>
          </w:hyperlink>
        </w:p>
        <w:p w14:paraId="7C349068" w14:textId="77BB9F06"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3.</w:t>
          </w:r>
          <w:hyperlink w:anchor="_Toc46343238" w:history="1">
            <w:r w:rsidR="0053014F" w:rsidRPr="004810B8">
              <w:rPr>
                <w:rStyle w:val="ad"/>
                <w:rFonts w:asciiTheme="minorHAnsi" w:hAnsiTheme="minorHAnsi" w:cstheme="minorHAnsi"/>
                <w:noProof/>
                <w:color w:val="auto"/>
                <w:lang w:val="en-GB"/>
              </w:rPr>
              <w:t>Conclusion</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_Toc46343238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10</w:t>
            </w:r>
            <w:r w:rsidR="00C5513D" w:rsidRPr="004810B8">
              <w:rPr>
                <w:rFonts w:asciiTheme="minorHAnsi" w:hAnsiTheme="minorHAnsi" w:cstheme="minorHAnsi"/>
                <w:noProof/>
                <w:webHidden/>
              </w:rPr>
              <w:fldChar w:fldCharType="end"/>
            </w:r>
          </w:hyperlink>
        </w:p>
        <w:p w14:paraId="7C349069" w14:textId="232AB287"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4.</w:t>
          </w:r>
          <w:hyperlink w:anchor="_Toc46343239" w:history="1">
            <w:r w:rsidR="0053014F" w:rsidRPr="004810B8">
              <w:rPr>
                <w:rStyle w:val="ad"/>
                <w:rFonts w:asciiTheme="minorHAnsi" w:hAnsiTheme="minorHAnsi" w:cstheme="minorHAnsi"/>
                <w:noProof/>
                <w:color w:val="auto"/>
                <w:lang w:val="en-GB"/>
              </w:rPr>
              <w:t>Reference list</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_Toc46343239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11</w:t>
            </w:r>
            <w:r w:rsidR="00C5513D" w:rsidRPr="004810B8">
              <w:rPr>
                <w:rFonts w:asciiTheme="minorHAnsi" w:hAnsiTheme="minorHAnsi" w:cstheme="minorHAnsi"/>
                <w:noProof/>
                <w:webHidden/>
              </w:rPr>
              <w:fldChar w:fldCharType="end"/>
            </w:r>
          </w:hyperlink>
        </w:p>
        <w:p w14:paraId="7C34906A" w14:textId="77777777" w:rsidR="0053014F" w:rsidRPr="004810B8" w:rsidRDefault="00C5513D">
          <w:pPr>
            <w:rPr>
              <w:rFonts w:asciiTheme="minorHAnsi" w:hAnsiTheme="minorHAnsi" w:cstheme="minorHAnsi"/>
            </w:rPr>
          </w:pPr>
          <w:r w:rsidRPr="004810B8">
            <w:rPr>
              <w:rFonts w:asciiTheme="minorHAnsi" w:hAnsiTheme="minorHAnsi" w:cstheme="minorHAnsi"/>
            </w:rPr>
            <w:fldChar w:fldCharType="end"/>
          </w:r>
        </w:p>
      </w:sdtContent>
    </w:sdt>
    <w:p w14:paraId="7C34906B" w14:textId="77777777" w:rsidR="00E000D8" w:rsidRPr="004810B8" w:rsidRDefault="00E000D8">
      <w:pPr>
        <w:spacing w:after="200" w:line="276" w:lineRule="auto"/>
        <w:jc w:val="left"/>
        <w:rPr>
          <w:rFonts w:asciiTheme="minorHAnsi" w:hAnsiTheme="minorHAnsi" w:cstheme="minorHAnsi"/>
          <w:lang w:val="en-GB"/>
        </w:rPr>
      </w:pPr>
      <w:r w:rsidRPr="004810B8">
        <w:rPr>
          <w:rFonts w:asciiTheme="minorHAnsi" w:hAnsiTheme="minorHAnsi" w:cstheme="minorHAnsi"/>
          <w:lang w:val="en-GB"/>
        </w:rPr>
        <w:br w:type="page"/>
      </w:r>
    </w:p>
    <w:p w14:paraId="7C34906C" w14:textId="77777777" w:rsidR="00E000D8" w:rsidRPr="004810B8" w:rsidRDefault="0053014F" w:rsidP="004810B8">
      <w:pPr>
        <w:pStyle w:val="1"/>
        <w:jc w:val="left"/>
        <w:rPr>
          <w:rFonts w:asciiTheme="minorHAnsi" w:hAnsiTheme="minorHAnsi" w:cstheme="minorHAnsi"/>
          <w:lang w:val="en-GB"/>
        </w:rPr>
      </w:pPr>
      <w:bookmarkStart w:id="0" w:name="_Toc46343236"/>
      <w:r w:rsidRPr="004810B8">
        <w:rPr>
          <w:rFonts w:asciiTheme="minorHAnsi" w:hAnsiTheme="minorHAnsi" w:cstheme="minorHAnsi"/>
          <w:lang w:val="en-GB"/>
        </w:rPr>
        <w:lastRenderedPageBreak/>
        <w:t>Executive summary</w:t>
      </w:r>
      <w:bookmarkEnd w:id="0"/>
    </w:p>
    <w:p w14:paraId="7C34906D" w14:textId="68B24690" w:rsidR="00E000D8" w:rsidRPr="004810B8" w:rsidRDefault="00B76C68" w:rsidP="004810B8">
      <w:pPr>
        <w:jc w:val="left"/>
        <w:rPr>
          <w:rFonts w:asciiTheme="minorHAnsi" w:hAnsiTheme="minorHAnsi" w:cstheme="minorHAnsi"/>
          <w:lang w:val="en-GB"/>
        </w:rPr>
      </w:pPr>
      <w:r w:rsidRPr="004810B8">
        <w:rPr>
          <w:rFonts w:asciiTheme="minorHAnsi" w:hAnsiTheme="minorHAnsi" w:cstheme="minorHAnsi"/>
          <w:lang w:val="en-GB"/>
        </w:rPr>
        <w:t xml:space="preserve">The report prepared a ratio analysis of Rangemaster Plc. this is a UK based manufacturing organisation, known for its </w:t>
      </w:r>
      <w:r w:rsidR="004810B8" w:rsidRPr="004810B8">
        <w:rPr>
          <w:rFonts w:asciiTheme="minorHAnsi" w:hAnsiTheme="minorHAnsi" w:cstheme="minorHAnsi"/>
          <w:lang w:val="en-GB"/>
        </w:rPr>
        <w:t>high-quality</w:t>
      </w:r>
      <w:r w:rsidRPr="004810B8">
        <w:rPr>
          <w:rFonts w:asciiTheme="minorHAnsi" w:hAnsiTheme="minorHAnsi" w:cstheme="minorHAnsi"/>
          <w:lang w:val="en-GB"/>
        </w:rPr>
        <w:t xml:space="preserve"> kitchen appliances and home decor. The ratios of the financial performances of the organisation in the years 2018 and 2019 were compared. In the first place, the profitability ratio was analysed, whereby the net and gross profit rates were explored. The efficiency ratio, on the other hand, </w:t>
      </w:r>
      <w:r w:rsidR="004810B8" w:rsidRPr="004810B8">
        <w:rPr>
          <w:rFonts w:asciiTheme="minorHAnsi" w:hAnsiTheme="minorHAnsi" w:cstheme="minorHAnsi"/>
          <w:lang w:val="en-GB"/>
        </w:rPr>
        <w:t>investigated</w:t>
      </w:r>
      <w:r w:rsidRPr="004810B8">
        <w:rPr>
          <w:rFonts w:asciiTheme="minorHAnsi" w:hAnsiTheme="minorHAnsi" w:cstheme="minorHAnsi"/>
          <w:lang w:val="en-GB"/>
        </w:rPr>
        <w:t xml:space="preserve"> the value of inventories and trade receivables. The trade payables and taxation policies of the organisation were explored under the family of liquidity ratio. The capital structure family, on the other hand, went on to </w:t>
      </w:r>
      <w:r w:rsidR="004810B8" w:rsidRPr="004810B8">
        <w:rPr>
          <w:rFonts w:asciiTheme="minorHAnsi" w:hAnsiTheme="minorHAnsi" w:cstheme="minorHAnsi"/>
          <w:lang w:val="en-GB"/>
        </w:rPr>
        <w:t>investigate</w:t>
      </w:r>
      <w:r w:rsidRPr="004810B8">
        <w:rPr>
          <w:rFonts w:asciiTheme="minorHAnsi" w:hAnsiTheme="minorHAnsi" w:cstheme="minorHAnsi"/>
          <w:lang w:val="en-GB"/>
        </w:rPr>
        <w:t xml:space="preserve"> the liabilities and debt equity of the organisation. </w:t>
      </w:r>
      <w:r w:rsidR="0053014F" w:rsidRPr="004810B8">
        <w:rPr>
          <w:rFonts w:asciiTheme="minorHAnsi" w:hAnsiTheme="minorHAnsi" w:cstheme="minorHAnsi"/>
          <w:lang w:val="en-GB"/>
        </w:rPr>
        <w:t>Finally</w:t>
      </w:r>
      <w:r w:rsidRPr="004810B8">
        <w:rPr>
          <w:rFonts w:asciiTheme="minorHAnsi" w:hAnsiTheme="minorHAnsi" w:cstheme="minorHAnsi"/>
          <w:lang w:val="en-GB"/>
        </w:rPr>
        <w:t xml:space="preserve">, the investment ratio looked </w:t>
      </w:r>
      <w:r w:rsidR="0053014F" w:rsidRPr="004810B8">
        <w:rPr>
          <w:rFonts w:asciiTheme="minorHAnsi" w:hAnsiTheme="minorHAnsi" w:cstheme="minorHAnsi"/>
          <w:lang w:val="en-GB"/>
        </w:rPr>
        <w:t>deep</w:t>
      </w:r>
      <w:r w:rsidRPr="004810B8">
        <w:rPr>
          <w:rFonts w:asciiTheme="minorHAnsi" w:hAnsiTheme="minorHAnsi" w:cstheme="minorHAnsi"/>
          <w:lang w:val="en-GB"/>
        </w:rPr>
        <w:t xml:space="preserve"> into the </w:t>
      </w:r>
      <w:r w:rsidR="0053014F" w:rsidRPr="004810B8">
        <w:rPr>
          <w:rFonts w:asciiTheme="minorHAnsi" w:hAnsiTheme="minorHAnsi" w:cstheme="minorHAnsi"/>
          <w:lang w:val="en-GB"/>
        </w:rPr>
        <w:t xml:space="preserve">current investment opportunities of the company in terms of its liabilities and dividends. </w:t>
      </w:r>
      <w:r w:rsidR="00E000D8" w:rsidRPr="004810B8">
        <w:rPr>
          <w:rFonts w:asciiTheme="minorHAnsi" w:hAnsiTheme="minorHAnsi" w:cstheme="minorHAnsi"/>
          <w:lang w:val="en-GB"/>
        </w:rPr>
        <w:br w:type="page"/>
      </w:r>
    </w:p>
    <w:p w14:paraId="7C34906E" w14:textId="77777777" w:rsidR="00E000D8" w:rsidRPr="004810B8" w:rsidRDefault="0053014F" w:rsidP="004810B8">
      <w:pPr>
        <w:pStyle w:val="1"/>
        <w:jc w:val="left"/>
        <w:rPr>
          <w:rFonts w:asciiTheme="minorHAnsi" w:hAnsiTheme="minorHAnsi" w:cstheme="minorHAnsi"/>
          <w:lang w:val="en-GB"/>
        </w:rPr>
      </w:pPr>
      <w:bookmarkStart w:id="1" w:name="_Toc46343237"/>
      <w:r w:rsidRPr="004810B8">
        <w:rPr>
          <w:rFonts w:asciiTheme="minorHAnsi" w:hAnsiTheme="minorHAnsi" w:cstheme="minorHAnsi"/>
          <w:lang w:val="en-GB"/>
        </w:rPr>
        <w:lastRenderedPageBreak/>
        <w:t>Main part</w:t>
      </w:r>
      <w:bookmarkEnd w:id="1"/>
    </w:p>
    <w:p w14:paraId="7C34906F" w14:textId="18171082" w:rsidR="0053014F" w:rsidRPr="004810B8" w:rsidRDefault="0053014F" w:rsidP="004810B8">
      <w:pPr>
        <w:jc w:val="left"/>
        <w:rPr>
          <w:rFonts w:asciiTheme="minorHAnsi" w:hAnsiTheme="minorHAnsi" w:cstheme="minorHAnsi"/>
          <w:lang w:val="en-GB"/>
        </w:rPr>
      </w:pPr>
      <w:r w:rsidRPr="004810B8">
        <w:rPr>
          <w:rFonts w:asciiTheme="minorHAnsi" w:hAnsiTheme="minorHAnsi" w:cstheme="minorHAnsi"/>
          <w:lang w:val="en-GB"/>
        </w:rPr>
        <w:t xml:space="preserve">The main purpose of this report is to </w:t>
      </w:r>
      <w:r w:rsidR="004810B8" w:rsidRPr="004810B8">
        <w:rPr>
          <w:rFonts w:asciiTheme="minorHAnsi" w:hAnsiTheme="minorHAnsi" w:cstheme="minorHAnsi"/>
          <w:lang w:val="en-GB"/>
        </w:rPr>
        <w:t>investigate</w:t>
      </w:r>
      <w:r w:rsidRPr="004810B8">
        <w:rPr>
          <w:rFonts w:asciiTheme="minorHAnsi" w:hAnsiTheme="minorHAnsi" w:cstheme="minorHAnsi"/>
          <w:lang w:val="en-GB"/>
        </w:rPr>
        <w:t xml:space="preserve"> the financial purpose of Rangemaster Plc. it shall discuss the various families of ratio and analyse the same in the organisational context to understand the current financial position of the company. In this context, it shall analyse the profitability, </w:t>
      </w:r>
      <w:r w:rsidR="004810B8" w:rsidRPr="004810B8">
        <w:rPr>
          <w:rFonts w:asciiTheme="minorHAnsi" w:hAnsiTheme="minorHAnsi" w:cstheme="minorHAnsi"/>
          <w:lang w:val="en-GB"/>
        </w:rPr>
        <w:t>efficiency,</w:t>
      </w:r>
      <w:r w:rsidRPr="004810B8">
        <w:rPr>
          <w:rFonts w:asciiTheme="minorHAnsi" w:hAnsiTheme="minorHAnsi" w:cstheme="minorHAnsi"/>
          <w:lang w:val="en-GB"/>
        </w:rPr>
        <w:t xml:space="preserve"> and liquidity ratios of the company, while comparing the values generated in the years 2018 and 2019. It shall further discuss the capital structure and investment ratios of the company. The purpose shall be to understand its financial </w:t>
      </w:r>
      <w:r w:rsidR="004810B8" w:rsidRPr="004810B8">
        <w:rPr>
          <w:rFonts w:asciiTheme="minorHAnsi" w:hAnsiTheme="minorHAnsi" w:cstheme="minorHAnsi"/>
          <w:lang w:val="en-GB"/>
        </w:rPr>
        <w:t>position and</w:t>
      </w:r>
      <w:r w:rsidRPr="004810B8">
        <w:rPr>
          <w:rFonts w:asciiTheme="minorHAnsi" w:hAnsiTheme="minorHAnsi" w:cstheme="minorHAnsi"/>
          <w:lang w:val="en-GB"/>
        </w:rPr>
        <w:t xml:space="preserve"> recommend ways for the company to improve the same. </w:t>
      </w:r>
    </w:p>
    <w:p w14:paraId="7C349070" w14:textId="77777777" w:rsidR="00C940AD" w:rsidRPr="004810B8" w:rsidRDefault="00C940AD" w:rsidP="00E000D8">
      <w:pPr>
        <w:rPr>
          <w:rFonts w:asciiTheme="minorHAnsi" w:hAnsiTheme="minorHAnsi" w:cstheme="minorHAnsi"/>
          <w:b/>
          <w:lang w:val="en-GB"/>
        </w:rPr>
      </w:pPr>
      <w:r w:rsidRPr="004810B8">
        <w:rPr>
          <w:rFonts w:asciiTheme="minorHAnsi" w:hAnsiTheme="minorHAnsi" w:cstheme="minorHAnsi"/>
          <w:b/>
          <w:lang w:val="en-GB"/>
        </w:rPr>
        <w:t>2019</w:t>
      </w:r>
    </w:p>
    <w:tbl>
      <w:tblPr>
        <w:tblStyle w:val="af1"/>
        <w:tblW w:w="8665" w:type="dxa"/>
        <w:tblLook w:val="04A0" w:firstRow="1" w:lastRow="0" w:firstColumn="1" w:lastColumn="0" w:noHBand="0" w:noVBand="1"/>
      </w:tblPr>
      <w:tblGrid>
        <w:gridCol w:w="432"/>
        <w:gridCol w:w="293"/>
        <w:gridCol w:w="3036"/>
        <w:gridCol w:w="3518"/>
        <w:gridCol w:w="1386"/>
      </w:tblGrid>
      <w:tr w:rsidR="0077241E" w:rsidRPr="004810B8" w14:paraId="7C349072" w14:textId="77777777" w:rsidTr="0077241E">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8665" w:type="dxa"/>
            <w:gridSpan w:val="5"/>
            <w:noWrap/>
            <w:hideMark/>
          </w:tcPr>
          <w:p w14:paraId="7C349071" w14:textId="77777777" w:rsidR="0077241E" w:rsidRPr="004810B8" w:rsidRDefault="0077241E" w:rsidP="0077241E">
            <w:pPr>
              <w:spacing w:before="0" w:after="0" w:line="240" w:lineRule="auto"/>
              <w:jc w:val="left"/>
              <w:rPr>
                <w:rFonts w:asciiTheme="minorHAnsi" w:eastAsia="Times New Roman" w:hAnsiTheme="minorHAnsi" w:cstheme="minorHAnsi"/>
                <w:color w:val="FF0000"/>
              </w:rPr>
            </w:pPr>
            <w:r w:rsidRPr="004810B8">
              <w:rPr>
                <w:rFonts w:asciiTheme="minorHAnsi" w:eastAsia="Times New Roman" w:hAnsiTheme="minorHAnsi" w:cstheme="minorHAnsi"/>
                <w:color w:val="FF0000"/>
              </w:rPr>
              <w:t>BALANCE SHEET RATIOS: Stability (Staying Power)</w:t>
            </w:r>
          </w:p>
        </w:tc>
      </w:tr>
      <w:tr w:rsidR="0077241E" w:rsidRPr="004810B8" w14:paraId="7C349077"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73"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1</w:t>
            </w:r>
          </w:p>
        </w:tc>
        <w:tc>
          <w:tcPr>
            <w:tcW w:w="3329" w:type="dxa"/>
            <w:gridSpan w:val="2"/>
            <w:noWrap/>
            <w:hideMark/>
          </w:tcPr>
          <w:p w14:paraId="7C349074"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w:t>
            </w:r>
          </w:p>
        </w:tc>
        <w:tc>
          <w:tcPr>
            <w:tcW w:w="3518" w:type="dxa"/>
            <w:noWrap/>
            <w:hideMark/>
          </w:tcPr>
          <w:p w14:paraId="7C349075"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1385" w:type="dxa"/>
            <w:noWrap/>
            <w:hideMark/>
          </w:tcPr>
          <w:p w14:paraId="7C349076"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7D"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78"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79"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7A"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 Assets</w:t>
            </w:r>
          </w:p>
        </w:tc>
        <w:tc>
          <w:tcPr>
            <w:tcW w:w="3518" w:type="dxa"/>
            <w:noWrap/>
            <w:hideMark/>
          </w:tcPr>
          <w:p w14:paraId="7C34907B"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2,120.00 </w:t>
            </w:r>
          </w:p>
        </w:tc>
        <w:tc>
          <w:tcPr>
            <w:tcW w:w="1385" w:type="dxa"/>
            <w:vMerge w:val="restart"/>
            <w:noWrap/>
            <w:hideMark/>
          </w:tcPr>
          <w:p w14:paraId="7C34907C"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1.892857</w:t>
            </w:r>
          </w:p>
        </w:tc>
      </w:tr>
      <w:tr w:rsidR="0077241E" w:rsidRPr="004810B8" w14:paraId="7C349083"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7E"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7F"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80"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 Liabilities</w:t>
            </w:r>
          </w:p>
        </w:tc>
        <w:tc>
          <w:tcPr>
            <w:tcW w:w="3518" w:type="dxa"/>
            <w:noWrap/>
            <w:hideMark/>
          </w:tcPr>
          <w:p w14:paraId="7C349081"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1,120.00 </w:t>
            </w:r>
          </w:p>
        </w:tc>
        <w:tc>
          <w:tcPr>
            <w:tcW w:w="1385" w:type="dxa"/>
            <w:vMerge/>
            <w:hideMark/>
          </w:tcPr>
          <w:p w14:paraId="7C349082"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88"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84"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2</w:t>
            </w:r>
          </w:p>
        </w:tc>
        <w:tc>
          <w:tcPr>
            <w:tcW w:w="3329" w:type="dxa"/>
            <w:gridSpan w:val="2"/>
            <w:noWrap/>
            <w:hideMark/>
          </w:tcPr>
          <w:p w14:paraId="7C349085"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Quick</w:t>
            </w:r>
          </w:p>
        </w:tc>
        <w:tc>
          <w:tcPr>
            <w:tcW w:w="3518" w:type="dxa"/>
            <w:noWrap/>
            <w:hideMark/>
          </w:tcPr>
          <w:p w14:paraId="7C349086"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1385" w:type="dxa"/>
            <w:noWrap/>
            <w:hideMark/>
          </w:tcPr>
          <w:p w14:paraId="7C349087"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8E"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89"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8A"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8B"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Cash + Accts. Rec.</w:t>
            </w:r>
          </w:p>
        </w:tc>
        <w:tc>
          <w:tcPr>
            <w:tcW w:w="3518" w:type="dxa"/>
            <w:noWrap/>
            <w:hideMark/>
          </w:tcPr>
          <w:p w14:paraId="7C34908C"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2,120.00 </w:t>
            </w:r>
          </w:p>
        </w:tc>
        <w:tc>
          <w:tcPr>
            <w:tcW w:w="1385" w:type="dxa"/>
            <w:vMerge w:val="restart"/>
            <w:noWrap/>
            <w:hideMark/>
          </w:tcPr>
          <w:p w14:paraId="7C34908D"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0.550649</w:t>
            </w:r>
          </w:p>
        </w:tc>
      </w:tr>
      <w:tr w:rsidR="0077241E" w:rsidRPr="004810B8" w14:paraId="7C349094"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8F"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90"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91"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 Liabilities</w:t>
            </w:r>
          </w:p>
        </w:tc>
        <w:tc>
          <w:tcPr>
            <w:tcW w:w="3518" w:type="dxa"/>
            <w:noWrap/>
            <w:hideMark/>
          </w:tcPr>
          <w:p w14:paraId="7C349092"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3,850.00 </w:t>
            </w:r>
          </w:p>
        </w:tc>
        <w:tc>
          <w:tcPr>
            <w:tcW w:w="1385" w:type="dxa"/>
            <w:vMerge/>
            <w:hideMark/>
          </w:tcPr>
          <w:p w14:paraId="7C349093"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99"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95"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3</w:t>
            </w:r>
          </w:p>
        </w:tc>
        <w:tc>
          <w:tcPr>
            <w:tcW w:w="3329" w:type="dxa"/>
            <w:gridSpan w:val="2"/>
            <w:noWrap/>
            <w:hideMark/>
          </w:tcPr>
          <w:p w14:paraId="7C349096"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Debt-to-Worth</w:t>
            </w:r>
          </w:p>
        </w:tc>
        <w:tc>
          <w:tcPr>
            <w:tcW w:w="3518" w:type="dxa"/>
            <w:noWrap/>
            <w:hideMark/>
          </w:tcPr>
          <w:p w14:paraId="7C349097"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1385" w:type="dxa"/>
            <w:noWrap/>
            <w:hideMark/>
          </w:tcPr>
          <w:p w14:paraId="7C349098"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9F"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9A"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9B"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9C"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Total Liabilities</w:t>
            </w:r>
          </w:p>
        </w:tc>
        <w:tc>
          <w:tcPr>
            <w:tcW w:w="3518" w:type="dxa"/>
            <w:noWrap/>
            <w:hideMark/>
          </w:tcPr>
          <w:p w14:paraId="7C34909D"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3,850.00 </w:t>
            </w:r>
          </w:p>
        </w:tc>
        <w:tc>
          <w:tcPr>
            <w:tcW w:w="1385" w:type="dxa"/>
            <w:vMerge w:val="restart"/>
            <w:noWrap/>
            <w:hideMark/>
          </w:tcPr>
          <w:p w14:paraId="7C34909E"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1.994819</w:t>
            </w:r>
          </w:p>
        </w:tc>
      </w:tr>
      <w:tr w:rsidR="0077241E" w:rsidRPr="004810B8" w14:paraId="7C3490A5"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A0"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A1"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A2"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Net Worth</w:t>
            </w:r>
          </w:p>
        </w:tc>
        <w:tc>
          <w:tcPr>
            <w:tcW w:w="3518" w:type="dxa"/>
            <w:noWrap/>
            <w:hideMark/>
          </w:tcPr>
          <w:p w14:paraId="7C3490A3"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1,930.00 </w:t>
            </w:r>
          </w:p>
        </w:tc>
        <w:tc>
          <w:tcPr>
            <w:tcW w:w="1385" w:type="dxa"/>
            <w:vMerge/>
            <w:hideMark/>
          </w:tcPr>
          <w:p w14:paraId="7C3490A4"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AB"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A6"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A7"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A8"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518" w:type="dxa"/>
            <w:noWrap/>
            <w:hideMark/>
          </w:tcPr>
          <w:p w14:paraId="7C3490A9"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u w:val="single"/>
              </w:rPr>
            </w:pPr>
          </w:p>
        </w:tc>
        <w:tc>
          <w:tcPr>
            <w:tcW w:w="1385" w:type="dxa"/>
            <w:noWrap/>
            <w:hideMark/>
          </w:tcPr>
          <w:p w14:paraId="7C3490AA"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AD" w14:textId="77777777" w:rsidTr="0077241E">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8665" w:type="dxa"/>
            <w:gridSpan w:val="5"/>
            <w:noWrap/>
            <w:hideMark/>
          </w:tcPr>
          <w:p w14:paraId="7C3490AC" w14:textId="77777777" w:rsidR="0077241E" w:rsidRPr="004810B8" w:rsidRDefault="0077241E" w:rsidP="0077241E">
            <w:pPr>
              <w:spacing w:before="0" w:after="0" w:line="240" w:lineRule="auto"/>
              <w:jc w:val="left"/>
              <w:rPr>
                <w:rFonts w:asciiTheme="minorHAnsi" w:eastAsia="Times New Roman" w:hAnsiTheme="minorHAnsi" w:cstheme="minorHAnsi"/>
                <w:color w:val="FF0000"/>
              </w:rPr>
            </w:pPr>
            <w:r w:rsidRPr="004810B8">
              <w:rPr>
                <w:rFonts w:asciiTheme="minorHAnsi" w:eastAsia="Times New Roman" w:hAnsiTheme="minorHAnsi" w:cstheme="minorHAnsi"/>
                <w:color w:val="FF0000"/>
              </w:rPr>
              <w:t>INCOME STATEMENT RATIOS: Profitability (Earning Power)</w:t>
            </w:r>
          </w:p>
        </w:tc>
      </w:tr>
      <w:tr w:rsidR="0077241E" w:rsidRPr="004810B8" w14:paraId="7C3490B2"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AE"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4</w:t>
            </w:r>
          </w:p>
        </w:tc>
        <w:tc>
          <w:tcPr>
            <w:tcW w:w="3329" w:type="dxa"/>
            <w:gridSpan w:val="2"/>
            <w:noWrap/>
            <w:hideMark/>
          </w:tcPr>
          <w:p w14:paraId="7C3490AF"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Gross Margin</w:t>
            </w:r>
          </w:p>
        </w:tc>
        <w:tc>
          <w:tcPr>
            <w:tcW w:w="3518" w:type="dxa"/>
            <w:noWrap/>
            <w:hideMark/>
          </w:tcPr>
          <w:p w14:paraId="7C3490B0"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1385" w:type="dxa"/>
            <w:noWrap/>
            <w:hideMark/>
          </w:tcPr>
          <w:p w14:paraId="7C3490B1"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B8"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B3"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B4"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B5"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Gross Profit</w:t>
            </w:r>
          </w:p>
        </w:tc>
        <w:tc>
          <w:tcPr>
            <w:tcW w:w="3518" w:type="dxa"/>
            <w:noWrap/>
            <w:hideMark/>
          </w:tcPr>
          <w:p w14:paraId="7C3490B6"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1,340.00 </w:t>
            </w:r>
          </w:p>
        </w:tc>
        <w:tc>
          <w:tcPr>
            <w:tcW w:w="1385" w:type="dxa"/>
            <w:vMerge w:val="restart"/>
            <w:noWrap/>
            <w:hideMark/>
          </w:tcPr>
          <w:p w14:paraId="7C3490B7"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0.268</w:t>
            </w:r>
          </w:p>
        </w:tc>
      </w:tr>
      <w:tr w:rsidR="0077241E" w:rsidRPr="004810B8" w14:paraId="7C3490BE"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B9"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BA"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BB"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Sales</w:t>
            </w:r>
          </w:p>
        </w:tc>
        <w:tc>
          <w:tcPr>
            <w:tcW w:w="3518" w:type="dxa"/>
            <w:noWrap/>
            <w:hideMark/>
          </w:tcPr>
          <w:p w14:paraId="7C3490BC"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5,000.00 </w:t>
            </w:r>
          </w:p>
        </w:tc>
        <w:tc>
          <w:tcPr>
            <w:tcW w:w="1385" w:type="dxa"/>
            <w:vMerge/>
            <w:hideMark/>
          </w:tcPr>
          <w:p w14:paraId="7C3490BD"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C3"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BF"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5</w:t>
            </w:r>
          </w:p>
        </w:tc>
        <w:tc>
          <w:tcPr>
            <w:tcW w:w="3329" w:type="dxa"/>
            <w:gridSpan w:val="2"/>
            <w:noWrap/>
            <w:hideMark/>
          </w:tcPr>
          <w:p w14:paraId="7C3490C0"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Net Margin</w:t>
            </w:r>
          </w:p>
        </w:tc>
        <w:tc>
          <w:tcPr>
            <w:tcW w:w="3518" w:type="dxa"/>
            <w:noWrap/>
            <w:hideMark/>
          </w:tcPr>
          <w:p w14:paraId="7C3490C1"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1385" w:type="dxa"/>
            <w:noWrap/>
            <w:hideMark/>
          </w:tcPr>
          <w:p w14:paraId="7C3490C2"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C9" w14:textId="77777777" w:rsidTr="0077241E">
        <w:trPr>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C4"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C5"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C6"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Net Profit Before Tax</w:t>
            </w:r>
          </w:p>
        </w:tc>
        <w:tc>
          <w:tcPr>
            <w:tcW w:w="3518" w:type="dxa"/>
            <w:noWrap/>
            <w:hideMark/>
          </w:tcPr>
          <w:p w14:paraId="7C3490C7"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630.00 </w:t>
            </w:r>
          </w:p>
        </w:tc>
        <w:tc>
          <w:tcPr>
            <w:tcW w:w="1385" w:type="dxa"/>
            <w:vMerge w:val="restart"/>
            <w:noWrap/>
            <w:hideMark/>
          </w:tcPr>
          <w:p w14:paraId="7C3490C8"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0.126</w:t>
            </w:r>
          </w:p>
        </w:tc>
      </w:tr>
      <w:tr w:rsidR="0077241E" w:rsidRPr="004810B8" w14:paraId="7C3490CF" w14:textId="77777777" w:rsidTr="0077241E">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2" w:type="dxa"/>
            <w:noWrap/>
            <w:hideMark/>
          </w:tcPr>
          <w:p w14:paraId="7C3490CA"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293" w:type="dxa"/>
            <w:noWrap/>
            <w:hideMark/>
          </w:tcPr>
          <w:p w14:paraId="7C3490CB"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3036" w:type="dxa"/>
            <w:noWrap/>
            <w:hideMark/>
          </w:tcPr>
          <w:p w14:paraId="7C3490CC"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Sales</w:t>
            </w:r>
          </w:p>
        </w:tc>
        <w:tc>
          <w:tcPr>
            <w:tcW w:w="3518" w:type="dxa"/>
            <w:noWrap/>
            <w:hideMark/>
          </w:tcPr>
          <w:p w14:paraId="7C3490CD"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5,000.00 </w:t>
            </w:r>
          </w:p>
        </w:tc>
        <w:tc>
          <w:tcPr>
            <w:tcW w:w="1385" w:type="dxa"/>
            <w:vMerge/>
            <w:hideMark/>
          </w:tcPr>
          <w:p w14:paraId="7C3490CE"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p>
        </w:tc>
      </w:tr>
    </w:tbl>
    <w:p w14:paraId="7C3490D0" w14:textId="77777777" w:rsidR="0077241E" w:rsidRPr="004810B8" w:rsidRDefault="0077241E" w:rsidP="00E000D8">
      <w:pPr>
        <w:rPr>
          <w:rFonts w:asciiTheme="minorHAnsi" w:hAnsiTheme="minorHAnsi" w:cstheme="minorHAnsi"/>
          <w:color w:val="FF0000"/>
          <w:lang w:val="en-GB"/>
        </w:rPr>
      </w:pPr>
    </w:p>
    <w:p w14:paraId="7C3490D1" w14:textId="77777777" w:rsidR="00C940AD" w:rsidRPr="004810B8" w:rsidRDefault="00C940AD" w:rsidP="00E000D8">
      <w:pPr>
        <w:rPr>
          <w:rFonts w:asciiTheme="minorHAnsi" w:hAnsiTheme="minorHAnsi" w:cstheme="minorHAnsi"/>
          <w:b/>
          <w:color w:val="FF0000"/>
          <w:lang w:val="en-GB"/>
        </w:rPr>
      </w:pPr>
      <w:r w:rsidRPr="004810B8">
        <w:rPr>
          <w:rFonts w:asciiTheme="minorHAnsi" w:hAnsiTheme="minorHAnsi" w:cstheme="minorHAnsi"/>
          <w:b/>
          <w:color w:val="FF0000"/>
          <w:lang w:val="en-GB"/>
        </w:rPr>
        <w:t>2018</w:t>
      </w:r>
    </w:p>
    <w:tbl>
      <w:tblPr>
        <w:tblStyle w:val="-2"/>
        <w:tblW w:w="8957" w:type="dxa"/>
        <w:tblLook w:val="04A0" w:firstRow="1" w:lastRow="0" w:firstColumn="1" w:lastColumn="0" w:noHBand="0" w:noVBand="1"/>
      </w:tblPr>
      <w:tblGrid>
        <w:gridCol w:w="3637"/>
        <w:gridCol w:w="5320"/>
      </w:tblGrid>
      <w:tr w:rsidR="00C940AD" w:rsidRPr="004810B8" w14:paraId="7C3490D4" w14:textId="77777777" w:rsidTr="00C940A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2"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Ratios/ year</w:t>
            </w:r>
          </w:p>
        </w:tc>
        <w:tc>
          <w:tcPr>
            <w:tcW w:w="5320" w:type="dxa"/>
            <w:noWrap/>
            <w:hideMark/>
          </w:tcPr>
          <w:p w14:paraId="7C3490D3" w14:textId="77777777" w:rsidR="00C940AD" w:rsidRPr="004810B8" w:rsidRDefault="00C940AD" w:rsidP="00C940AD">
            <w:pPr>
              <w:spacing w:before="0" w:after="0" w:line="240" w:lineRule="auto"/>
              <w:jc w:val="righ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2018</w:t>
            </w:r>
          </w:p>
        </w:tc>
      </w:tr>
      <w:tr w:rsidR="00C940AD" w:rsidRPr="004810B8" w14:paraId="7C3490D7"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5"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LIQUIDITY RATIOS </w:t>
            </w:r>
          </w:p>
        </w:tc>
        <w:tc>
          <w:tcPr>
            <w:tcW w:w="5320" w:type="dxa"/>
            <w:noWrap/>
            <w:hideMark/>
          </w:tcPr>
          <w:p w14:paraId="7C3490D6"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DA"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8"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Current ratio</w:t>
            </w:r>
          </w:p>
        </w:tc>
        <w:tc>
          <w:tcPr>
            <w:tcW w:w="5320" w:type="dxa"/>
            <w:noWrap/>
            <w:hideMark/>
          </w:tcPr>
          <w:p w14:paraId="7C3490D9"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1.83</w:t>
            </w:r>
          </w:p>
        </w:tc>
      </w:tr>
      <w:tr w:rsidR="00C940AD" w:rsidRPr="004810B8" w14:paraId="7C3490DD"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B"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Acid test ratio</w:t>
            </w:r>
          </w:p>
        </w:tc>
        <w:tc>
          <w:tcPr>
            <w:tcW w:w="5320" w:type="dxa"/>
            <w:noWrap/>
            <w:hideMark/>
          </w:tcPr>
          <w:p w14:paraId="7C3490DC"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1.12</w:t>
            </w:r>
          </w:p>
        </w:tc>
      </w:tr>
      <w:tr w:rsidR="00C940AD" w:rsidRPr="004810B8" w14:paraId="7C3490E0"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E"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0DF"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E3"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1"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PROFITABILITY RATIO</w:t>
            </w:r>
          </w:p>
        </w:tc>
        <w:tc>
          <w:tcPr>
            <w:tcW w:w="5320" w:type="dxa"/>
            <w:noWrap/>
            <w:hideMark/>
          </w:tcPr>
          <w:p w14:paraId="7C3490E2"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E6"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4"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Gross profit ratio</w:t>
            </w:r>
          </w:p>
        </w:tc>
        <w:tc>
          <w:tcPr>
            <w:tcW w:w="5320" w:type="dxa"/>
            <w:noWrap/>
            <w:hideMark/>
          </w:tcPr>
          <w:p w14:paraId="7C3490E5"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27%</w:t>
            </w:r>
          </w:p>
        </w:tc>
      </w:tr>
      <w:tr w:rsidR="00C940AD" w:rsidRPr="004810B8" w14:paraId="7C3490E9"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7"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Net profit ratio </w:t>
            </w:r>
          </w:p>
        </w:tc>
        <w:tc>
          <w:tcPr>
            <w:tcW w:w="5320" w:type="dxa"/>
            <w:noWrap/>
            <w:hideMark/>
          </w:tcPr>
          <w:p w14:paraId="7C3490E8"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11%</w:t>
            </w:r>
          </w:p>
        </w:tc>
      </w:tr>
      <w:tr w:rsidR="00C940AD" w:rsidRPr="004810B8" w14:paraId="7C3490EC"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A"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lastRenderedPageBreak/>
              <w:t>Return on Capital Employed (ROCE)</w:t>
            </w:r>
          </w:p>
        </w:tc>
        <w:tc>
          <w:tcPr>
            <w:tcW w:w="5320" w:type="dxa"/>
            <w:noWrap/>
            <w:hideMark/>
          </w:tcPr>
          <w:p w14:paraId="7C3490EB"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31%</w:t>
            </w:r>
          </w:p>
        </w:tc>
      </w:tr>
      <w:tr w:rsidR="00C940AD" w:rsidRPr="004810B8" w14:paraId="7C3490EF"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D"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Return on Equity (ROE)</w:t>
            </w:r>
          </w:p>
        </w:tc>
        <w:tc>
          <w:tcPr>
            <w:tcW w:w="5320" w:type="dxa"/>
            <w:noWrap/>
            <w:hideMark/>
          </w:tcPr>
          <w:p w14:paraId="7C3490EE"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31%</w:t>
            </w:r>
          </w:p>
        </w:tc>
      </w:tr>
      <w:tr w:rsidR="00C940AD" w:rsidRPr="004810B8" w14:paraId="7C3490F2"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0"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0F1"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F5"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3"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EFFICIENCY RATIOS</w:t>
            </w:r>
          </w:p>
        </w:tc>
        <w:tc>
          <w:tcPr>
            <w:tcW w:w="5320" w:type="dxa"/>
            <w:noWrap/>
            <w:hideMark/>
          </w:tcPr>
          <w:p w14:paraId="7C3490F4"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F8"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6"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Inventory </w:t>
            </w:r>
            <w:proofErr w:type="spellStart"/>
            <w:r w:rsidRPr="004810B8">
              <w:rPr>
                <w:rFonts w:asciiTheme="minorHAnsi" w:eastAsia="Times New Roman" w:hAnsiTheme="minorHAnsi" w:cstheme="minorHAnsi"/>
                <w:color w:val="FF0000"/>
                <w:szCs w:val="24"/>
              </w:rPr>
              <w:t>tyrnover</w:t>
            </w:r>
            <w:proofErr w:type="spellEnd"/>
            <w:r w:rsidRPr="004810B8">
              <w:rPr>
                <w:rFonts w:asciiTheme="minorHAnsi" w:eastAsia="Times New Roman" w:hAnsiTheme="minorHAnsi" w:cstheme="minorHAnsi"/>
                <w:color w:val="FF0000"/>
                <w:szCs w:val="24"/>
              </w:rPr>
              <w:t xml:space="preserve"> period</w:t>
            </w:r>
          </w:p>
        </w:tc>
        <w:tc>
          <w:tcPr>
            <w:tcW w:w="5320" w:type="dxa"/>
            <w:noWrap/>
            <w:hideMark/>
          </w:tcPr>
          <w:p w14:paraId="7C3490F7"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75</w:t>
            </w:r>
          </w:p>
        </w:tc>
      </w:tr>
      <w:tr w:rsidR="00C940AD" w:rsidRPr="004810B8" w14:paraId="7C3490FB"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9"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Receivables collection period </w:t>
            </w:r>
          </w:p>
        </w:tc>
        <w:tc>
          <w:tcPr>
            <w:tcW w:w="5320" w:type="dxa"/>
            <w:noWrap/>
            <w:hideMark/>
          </w:tcPr>
          <w:p w14:paraId="7C3490FA"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61</w:t>
            </w:r>
          </w:p>
        </w:tc>
      </w:tr>
      <w:tr w:rsidR="00C940AD" w:rsidRPr="004810B8" w14:paraId="7C3490FE"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C"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Payables collection period </w:t>
            </w:r>
          </w:p>
        </w:tc>
        <w:tc>
          <w:tcPr>
            <w:tcW w:w="5320" w:type="dxa"/>
            <w:noWrap/>
            <w:hideMark/>
          </w:tcPr>
          <w:p w14:paraId="7C3490FD"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84</w:t>
            </w:r>
          </w:p>
        </w:tc>
      </w:tr>
      <w:tr w:rsidR="00C940AD" w:rsidRPr="004810B8" w14:paraId="7C349101"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F"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100"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04"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2"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CAPITAL STRUCTURE RATIOS </w:t>
            </w:r>
          </w:p>
        </w:tc>
        <w:tc>
          <w:tcPr>
            <w:tcW w:w="5320" w:type="dxa"/>
            <w:noWrap/>
            <w:hideMark/>
          </w:tcPr>
          <w:p w14:paraId="7C349103"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07"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5"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Debt equity ratio </w:t>
            </w:r>
          </w:p>
        </w:tc>
        <w:tc>
          <w:tcPr>
            <w:tcW w:w="5320" w:type="dxa"/>
            <w:noWrap/>
            <w:hideMark/>
          </w:tcPr>
          <w:p w14:paraId="7C349106"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0.61</w:t>
            </w:r>
          </w:p>
        </w:tc>
      </w:tr>
      <w:tr w:rsidR="00C940AD" w:rsidRPr="004810B8" w14:paraId="7C34910A"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8"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Interest cover</w:t>
            </w:r>
          </w:p>
        </w:tc>
        <w:tc>
          <w:tcPr>
            <w:tcW w:w="5320" w:type="dxa"/>
            <w:noWrap/>
            <w:hideMark/>
          </w:tcPr>
          <w:p w14:paraId="7C349109"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8.2</w:t>
            </w:r>
          </w:p>
        </w:tc>
      </w:tr>
      <w:tr w:rsidR="00C940AD" w:rsidRPr="004810B8" w14:paraId="7C34910D"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B"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10C"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10"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E"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INVESTORS' RATIOS </w:t>
            </w:r>
          </w:p>
        </w:tc>
        <w:tc>
          <w:tcPr>
            <w:tcW w:w="5320" w:type="dxa"/>
            <w:noWrap/>
            <w:hideMark/>
          </w:tcPr>
          <w:p w14:paraId="7C34910F"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13"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1"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proofErr w:type="spellStart"/>
            <w:r w:rsidRPr="004810B8">
              <w:rPr>
                <w:rFonts w:asciiTheme="minorHAnsi" w:eastAsia="Times New Roman" w:hAnsiTheme="minorHAnsi" w:cstheme="minorHAnsi"/>
                <w:color w:val="FF0000"/>
                <w:szCs w:val="24"/>
              </w:rPr>
              <w:t>Earning</w:t>
            </w:r>
            <w:proofErr w:type="spellEnd"/>
            <w:r w:rsidRPr="004810B8">
              <w:rPr>
                <w:rFonts w:asciiTheme="minorHAnsi" w:eastAsia="Times New Roman" w:hAnsiTheme="minorHAnsi" w:cstheme="minorHAnsi"/>
                <w:color w:val="FF0000"/>
                <w:szCs w:val="24"/>
              </w:rPr>
              <w:t xml:space="preserve"> per share (EPS)</w:t>
            </w:r>
          </w:p>
        </w:tc>
        <w:tc>
          <w:tcPr>
            <w:tcW w:w="5320" w:type="dxa"/>
            <w:noWrap/>
            <w:hideMark/>
          </w:tcPr>
          <w:p w14:paraId="7C349112"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0.51</w:t>
            </w:r>
          </w:p>
        </w:tc>
      </w:tr>
      <w:tr w:rsidR="00C940AD" w:rsidRPr="004810B8" w14:paraId="7C349116"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4"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Price Earnings Ratio (PE ratio)</w:t>
            </w:r>
          </w:p>
        </w:tc>
        <w:tc>
          <w:tcPr>
            <w:tcW w:w="5320" w:type="dxa"/>
            <w:noWrap/>
            <w:hideMark/>
          </w:tcPr>
          <w:p w14:paraId="7C349115"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5.4</w:t>
            </w:r>
          </w:p>
        </w:tc>
      </w:tr>
      <w:tr w:rsidR="00C940AD" w:rsidRPr="004810B8" w14:paraId="7C349119"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7"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Dividend Per share (DPS)</w:t>
            </w:r>
          </w:p>
        </w:tc>
        <w:tc>
          <w:tcPr>
            <w:tcW w:w="5320" w:type="dxa"/>
            <w:noWrap/>
            <w:hideMark/>
          </w:tcPr>
          <w:p w14:paraId="7C349118"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0.3</w:t>
            </w:r>
          </w:p>
        </w:tc>
      </w:tr>
      <w:tr w:rsidR="00C940AD" w:rsidRPr="004810B8" w14:paraId="7C34911C"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A"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Dividend Yield </w:t>
            </w:r>
          </w:p>
        </w:tc>
        <w:tc>
          <w:tcPr>
            <w:tcW w:w="5320" w:type="dxa"/>
            <w:noWrap/>
            <w:hideMark/>
          </w:tcPr>
          <w:p w14:paraId="7C34911B"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0.11</w:t>
            </w:r>
          </w:p>
        </w:tc>
      </w:tr>
      <w:tr w:rsidR="00C940AD" w:rsidRPr="004810B8" w14:paraId="7C34911F"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D"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Dividend Cover </w:t>
            </w:r>
          </w:p>
        </w:tc>
        <w:tc>
          <w:tcPr>
            <w:tcW w:w="5320" w:type="dxa"/>
            <w:noWrap/>
            <w:hideMark/>
          </w:tcPr>
          <w:p w14:paraId="7C34911E"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1.7</w:t>
            </w:r>
          </w:p>
        </w:tc>
      </w:tr>
    </w:tbl>
    <w:p w14:paraId="7C349120" w14:textId="77777777" w:rsidR="00C940AD" w:rsidRPr="004810B8" w:rsidRDefault="00C940AD" w:rsidP="00E000D8">
      <w:pPr>
        <w:rPr>
          <w:rFonts w:asciiTheme="minorHAnsi" w:hAnsiTheme="minorHAnsi" w:cstheme="minorHAnsi"/>
          <w:lang w:val="en-GB"/>
        </w:rPr>
      </w:pPr>
    </w:p>
    <w:p w14:paraId="7C349121" w14:textId="77777777" w:rsidR="00E000D8" w:rsidRPr="004810B8" w:rsidRDefault="00E000D8" w:rsidP="004810B8">
      <w:pPr>
        <w:pStyle w:val="a7"/>
        <w:numPr>
          <w:ilvl w:val="0"/>
          <w:numId w:val="1"/>
        </w:numPr>
        <w:jc w:val="left"/>
        <w:rPr>
          <w:rFonts w:asciiTheme="minorHAnsi" w:hAnsiTheme="minorHAnsi" w:cstheme="minorHAnsi"/>
          <w:b/>
          <w:lang w:val="en-GB"/>
        </w:rPr>
      </w:pPr>
      <w:r w:rsidRPr="004810B8">
        <w:rPr>
          <w:rFonts w:asciiTheme="minorHAnsi" w:hAnsiTheme="minorHAnsi" w:cstheme="minorHAnsi"/>
          <w:b/>
          <w:lang w:val="en-GB"/>
        </w:rPr>
        <w:t>Profitability</w:t>
      </w:r>
    </w:p>
    <w:p w14:paraId="7C349122" w14:textId="555A38FB" w:rsidR="00E13C7C" w:rsidRPr="004810B8" w:rsidRDefault="00E000D8" w:rsidP="004810B8">
      <w:pPr>
        <w:jc w:val="left"/>
        <w:rPr>
          <w:rFonts w:asciiTheme="minorHAnsi" w:hAnsiTheme="minorHAnsi" w:cstheme="minorHAnsi"/>
        </w:rPr>
      </w:pPr>
      <w:r w:rsidRPr="004810B8">
        <w:rPr>
          <w:rFonts w:asciiTheme="minorHAnsi" w:hAnsiTheme="minorHAnsi" w:cstheme="minorHAnsi"/>
          <w:lang w:val="en-GB"/>
        </w:rPr>
        <w:t xml:space="preserve">Profitability ratios refer to the analysis of the ability of a business organisation in terms of generating earnings in its revenue. Other than this, the balance sheet assets, operating </w:t>
      </w:r>
      <w:r w:rsidR="002947F9" w:rsidRPr="004810B8">
        <w:rPr>
          <w:rFonts w:asciiTheme="minorHAnsi" w:hAnsiTheme="minorHAnsi" w:cstheme="minorHAnsi"/>
          <w:lang w:val="en-GB"/>
        </w:rPr>
        <w:t>costs,</w:t>
      </w:r>
      <w:r w:rsidRPr="004810B8">
        <w:rPr>
          <w:rFonts w:asciiTheme="minorHAnsi" w:hAnsiTheme="minorHAnsi" w:cstheme="minorHAnsi"/>
          <w:lang w:val="en-GB"/>
        </w:rPr>
        <w:t xml:space="preserve"> and shareholder equity also play a major part in this ratio.</w:t>
      </w:r>
      <w:r w:rsidR="00230ECC" w:rsidRPr="004810B8">
        <w:rPr>
          <w:rFonts w:asciiTheme="minorHAnsi" w:hAnsiTheme="minorHAnsi" w:cstheme="minorHAnsi"/>
          <w:lang w:val="en-GB"/>
        </w:rPr>
        <w:t xml:space="preserve"> A profitability ratio is developed either between a company and its competitor, or between its profitability in two years. When the profitability rate of the host company is bigger than that of its rival or that in the current year, it is indicated that the company is at profit</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Nalurita</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00230ECC" w:rsidRPr="004810B8">
        <w:rPr>
          <w:rFonts w:asciiTheme="minorHAnsi" w:hAnsiTheme="minorHAnsi" w:cstheme="minorHAnsi"/>
          <w:lang w:val="en-GB"/>
        </w:rPr>
        <w:t xml:space="preserve">. The gross profit margin is one of the most </w:t>
      </w:r>
      <w:r w:rsidR="004810B8" w:rsidRPr="004810B8">
        <w:rPr>
          <w:rFonts w:asciiTheme="minorHAnsi" w:hAnsiTheme="minorHAnsi" w:cstheme="minorHAnsi"/>
          <w:lang w:val="en-GB"/>
        </w:rPr>
        <w:t>universally used</w:t>
      </w:r>
      <w:r w:rsidR="00230ECC" w:rsidRPr="004810B8">
        <w:rPr>
          <w:rFonts w:asciiTheme="minorHAnsi" w:hAnsiTheme="minorHAnsi" w:cstheme="minorHAnsi"/>
          <w:lang w:val="en-GB"/>
        </w:rPr>
        <w:t xml:space="preserve"> types of profitability ratios. This is mainly because companies such as Rangemaster Plc might experience seasonality. </w:t>
      </w:r>
      <w:r w:rsidR="00CF2C5A" w:rsidRPr="004810B8">
        <w:rPr>
          <w:rFonts w:asciiTheme="minorHAnsi" w:hAnsiTheme="minorHAnsi" w:cstheme="minorHAnsi"/>
          <w:lang w:val="en-GB"/>
        </w:rPr>
        <w:t xml:space="preserve">In such cases, they need to compare the profit margin of a specific quarter from the two years. </w:t>
      </w:r>
      <w:r w:rsidR="00E13C7C" w:rsidRPr="004810B8">
        <w:rPr>
          <w:rFonts w:asciiTheme="minorHAnsi" w:hAnsiTheme="minorHAnsi" w:cstheme="minorHAnsi"/>
          <w:lang w:val="en-GB"/>
        </w:rPr>
        <w:t xml:space="preserve">Profit margins, on the other hand, are used to measure the profitability of the company at various cost levels. </w:t>
      </w:r>
    </w:p>
    <w:p w14:paraId="7C349123" w14:textId="2EA953A6" w:rsidR="009C553A" w:rsidRPr="004810B8" w:rsidRDefault="00E13C7C" w:rsidP="004810B8">
      <w:pPr>
        <w:jc w:val="left"/>
        <w:rPr>
          <w:rFonts w:asciiTheme="minorHAnsi" w:hAnsiTheme="minorHAnsi" w:cstheme="minorHAnsi"/>
          <w:lang w:val="en-GB"/>
        </w:rPr>
      </w:pPr>
      <w:r w:rsidRPr="004810B8">
        <w:rPr>
          <w:rFonts w:asciiTheme="minorHAnsi" w:hAnsiTheme="minorHAnsi" w:cstheme="minorHAnsi"/>
          <w:lang w:val="en-GB"/>
        </w:rPr>
        <w:t xml:space="preserve">In context to Rangemaster Plc, the sales revenue is currently at £5,000,000 in 2019 from £4,550,000 in 2018. The cost of sales is also enhanced up to £3,660,000 from £3,330,000 in the previous year. There is a 9% increase in the overall sales flow of the company from the </w:t>
      </w:r>
      <w:r w:rsidRPr="004810B8">
        <w:rPr>
          <w:rFonts w:asciiTheme="minorHAnsi" w:hAnsiTheme="minorHAnsi" w:cstheme="minorHAnsi"/>
          <w:lang w:val="en-GB"/>
        </w:rPr>
        <w:lastRenderedPageBreak/>
        <w:t xml:space="preserve">previous year. </w:t>
      </w:r>
      <w:r w:rsidR="00282F3E" w:rsidRPr="004810B8">
        <w:rPr>
          <w:rFonts w:asciiTheme="minorHAnsi" w:hAnsiTheme="minorHAnsi" w:cstheme="minorHAnsi"/>
          <w:lang w:val="en-GB"/>
        </w:rPr>
        <w:t xml:space="preserve">The current gross profit is at £1,340,000, which is improvement since in the previous year it was at £1,220,000. This goes to show an increase of about 8.9% in the gross profit margin of the company. </w:t>
      </w:r>
      <w:r w:rsidR="004420F7" w:rsidRPr="004810B8">
        <w:rPr>
          <w:rFonts w:asciiTheme="minorHAnsi" w:hAnsiTheme="minorHAnsi" w:cstheme="minorHAnsi"/>
          <w:lang w:val="en-GB"/>
        </w:rPr>
        <w:t xml:space="preserve">The profit level before and after taxation differs largely. </w:t>
      </w:r>
      <w:r w:rsidR="009C553A" w:rsidRPr="004810B8">
        <w:rPr>
          <w:rFonts w:asciiTheme="minorHAnsi" w:hAnsiTheme="minorHAnsi" w:cstheme="minorHAnsi"/>
          <w:lang w:val="en-GB"/>
        </w:rPr>
        <w:t>In</w:t>
      </w:r>
      <w:r w:rsidR="005442A0" w:rsidRPr="004810B8">
        <w:rPr>
          <w:rFonts w:asciiTheme="minorHAnsi" w:hAnsiTheme="minorHAnsi" w:cstheme="minorHAnsi"/>
          <w:lang w:val="en-GB"/>
        </w:rPr>
        <w:t xml:space="preserve"> 2019, it has amounted to £960,000 </w:t>
      </w:r>
      <w:r w:rsidR="009C553A" w:rsidRPr="004810B8">
        <w:rPr>
          <w:rFonts w:asciiTheme="minorHAnsi" w:hAnsiTheme="minorHAnsi" w:cstheme="minorHAnsi"/>
          <w:lang w:val="en-GB"/>
        </w:rPr>
        <w:t xml:space="preserve">before taxation and to £880,000 after. This is a profit since in 2018; the amounts were at £820,000 and </w:t>
      </w:r>
      <w:r w:rsidR="004810B8" w:rsidRPr="004810B8">
        <w:rPr>
          <w:rFonts w:asciiTheme="minorHAnsi" w:hAnsiTheme="minorHAnsi" w:cstheme="minorHAnsi"/>
          <w:lang w:val="en-GB"/>
        </w:rPr>
        <w:t>£720,000,</w:t>
      </w:r>
      <w:r w:rsidR="009C553A" w:rsidRPr="004810B8">
        <w:rPr>
          <w:rFonts w:asciiTheme="minorHAnsi" w:hAnsiTheme="minorHAnsi" w:cstheme="minorHAnsi"/>
          <w:lang w:val="en-GB"/>
        </w:rPr>
        <w:t xml:space="preserve"> respectively. The net profit ratio has enhanced for about 30% in comparison to the previous year. </w:t>
      </w:r>
    </w:p>
    <w:p w14:paraId="7C349124" w14:textId="77777777" w:rsidR="009C553A" w:rsidRPr="004810B8" w:rsidRDefault="009C553A" w:rsidP="004810B8">
      <w:pPr>
        <w:jc w:val="left"/>
        <w:rPr>
          <w:rFonts w:asciiTheme="minorHAnsi" w:hAnsiTheme="minorHAnsi" w:cstheme="minorHAnsi"/>
        </w:rPr>
      </w:pPr>
      <w:r w:rsidRPr="004810B8">
        <w:rPr>
          <w:rFonts w:asciiTheme="minorHAnsi" w:hAnsiTheme="minorHAnsi" w:cstheme="minorHAnsi"/>
          <w:lang w:val="en-GB"/>
        </w:rPr>
        <w:t>Therefore, it might be stated that analysing the profitability ratio is majorly important to understand the positioning of an organisation. In this context, the enhancement of profitability ratio of Rangemaster Plc goes to reveal the improvement of the company from its performance in the previous year. Its new innovative ideas and operations have helped the company outperform itself</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Pando</w:t>
      </w:r>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2019</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This is also a great performance indicator, and the authorities of the organisation might be able to understand their current strategic position. They might also undertake strategies in the direction of improving the same in the future. </w:t>
      </w:r>
    </w:p>
    <w:p w14:paraId="7C349125" w14:textId="77777777" w:rsidR="009C553A" w:rsidRPr="004810B8" w:rsidRDefault="009C553A"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 xml:space="preserve">Efficiency </w:t>
      </w:r>
    </w:p>
    <w:p w14:paraId="7C349126" w14:textId="6723E1DF" w:rsidR="00D137FC" w:rsidRPr="004810B8" w:rsidRDefault="009C553A" w:rsidP="004810B8">
      <w:pPr>
        <w:jc w:val="left"/>
        <w:rPr>
          <w:rFonts w:asciiTheme="minorHAnsi" w:hAnsiTheme="minorHAnsi" w:cstheme="minorHAnsi"/>
        </w:rPr>
      </w:pPr>
      <w:r w:rsidRPr="004810B8">
        <w:rPr>
          <w:rFonts w:asciiTheme="minorHAnsi" w:hAnsiTheme="minorHAnsi" w:cstheme="minorHAnsi"/>
          <w:lang w:val="en-GB"/>
        </w:rPr>
        <w:t>The term</w:t>
      </w:r>
      <w:r w:rsidR="00B76C68" w:rsidRPr="004810B8">
        <w:rPr>
          <w:rFonts w:asciiTheme="minorHAnsi" w:hAnsiTheme="minorHAnsi" w:cstheme="minorHAnsi"/>
          <w:lang w:val="en-GB"/>
        </w:rPr>
        <w:t xml:space="preserve"> of</w:t>
      </w:r>
      <w:r w:rsidRPr="004810B8">
        <w:rPr>
          <w:rFonts w:asciiTheme="minorHAnsi" w:hAnsiTheme="minorHAnsi" w:cstheme="minorHAnsi"/>
          <w:lang w:val="en-GB"/>
        </w:rPr>
        <w:t xml:space="preserve"> efficiency ratio analysis aims to explore the abilities of an organisation to utilise its assets and manage the workflow effectively. </w:t>
      </w:r>
      <w:r w:rsidR="00D137FC" w:rsidRPr="004810B8">
        <w:rPr>
          <w:rFonts w:asciiTheme="minorHAnsi" w:hAnsiTheme="minorHAnsi" w:cstheme="minorHAnsi"/>
          <w:lang w:val="en-GB"/>
        </w:rPr>
        <w:t xml:space="preserve">These mainly involve the receivable and asset turnover ratios. These </w:t>
      </w:r>
      <w:r w:rsidR="004810B8" w:rsidRPr="004810B8">
        <w:rPr>
          <w:rFonts w:asciiTheme="minorHAnsi" w:hAnsiTheme="minorHAnsi" w:cstheme="minorHAnsi"/>
          <w:lang w:val="en-GB"/>
        </w:rPr>
        <w:t>investigate</w:t>
      </w:r>
      <w:r w:rsidR="00D137FC" w:rsidRPr="004810B8">
        <w:rPr>
          <w:rFonts w:asciiTheme="minorHAnsi" w:hAnsiTheme="minorHAnsi" w:cstheme="minorHAnsi"/>
          <w:lang w:val="en-GB"/>
        </w:rPr>
        <w:t xml:space="preserve"> the strategies of the company and their success in managing their assets. The inventory efficiency of an organisation is estimated in its inventory turnover ratio. It explores the number of times the inventory has been sold. The asset turnover, on the other hand, helps to determine the amount of revenue generated from the assets of the organisation</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Chang</w:t>
      </w:r>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00D137FC" w:rsidRPr="004810B8">
        <w:rPr>
          <w:rFonts w:asciiTheme="minorHAnsi" w:hAnsiTheme="minorHAnsi" w:cstheme="minorHAnsi"/>
          <w:lang w:val="en-GB"/>
        </w:rPr>
        <w:t xml:space="preserve">. The receivables turnover ratio is used to measure the effective strategies of a company while handling its debts and liabilities. In context to Rangemaster Plc, for instance, the efficiency ratio analysis might be effective to understand the current assets and receivable situation. The following study </w:t>
      </w:r>
      <w:r w:rsidR="004810B8" w:rsidRPr="004810B8">
        <w:rPr>
          <w:rFonts w:asciiTheme="minorHAnsi" w:hAnsiTheme="minorHAnsi" w:cstheme="minorHAnsi"/>
          <w:lang w:val="en-GB"/>
        </w:rPr>
        <w:t>investigates</w:t>
      </w:r>
      <w:r w:rsidR="00D137FC" w:rsidRPr="004810B8">
        <w:rPr>
          <w:rFonts w:asciiTheme="minorHAnsi" w:hAnsiTheme="minorHAnsi" w:cstheme="minorHAnsi"/>
          <w:lang w:val="en-GB"/>
        </w:rPr>
        <w:t xml:space="preserve"> the details of the same. </w:t>
      </w:r>
    </w:p>
    <w:p w14:paraId="7C349127" w14:textId="77777777" w:rsidR="00904261" w:rsidRPr="004810B8" w:rsidRDefault="00D15E4F" w:rsidP="004810B8">
      <w:pPr>
        <w:jc w:val="left"/>
        <w:rPr>
          <w:rFonts w:asciiTheme="minorHAnsi" w:hAnsiTheme="minorHAnsi" w:cstheme="minorHAnsi"/>
          <w:lang w:val="en-GB"/>
        </w:rPr>
      </w:pPr>
      <w:r w:rsidRPr="004810B8">
        <w:rPr>
          <w:rFonts w:asciiTheme="minorHAnsi" w:hAnsiTheme="minorHAnsi" w:cstheme="minorHAnsi"/>
          <w:lang w:val="en-GB"/>
        </w:rPr>
        <w:t xml:space="preserve">The value of the current assets of the company and its comparison with that in 2018 shows vast difference. For instance, the value of the inventories is currently at £740,000, from being at £690,000 in the previous year. This is a clear increase of about 6.75% in the period </w:t>
      </w:r>
      <w:r w:rsidRPr="004810B8">
        <w:rPr>
          <w:rFonts w:asciiTheme="minorHAnsi" w:hAnsiTheme="minorHAnsi" w:cstheme="minorHAnsi"/>
          <w:lang w:val="en-GB"/>
        </w:rPr>
        <w:lastRenderedPageBreak/>
        <w:t xml:space="preserve">of one year. The value of trade receivables, on the other hand, has also increased vastly. For instance, it has reached up to £820,000 from £760,000 in 2018. This is also an increase of 7.31% in the value of trade receivables. This goes to show the increase and improvement in their trading activities over the year. Further, there has been a decrease in the value of liabilities in long-term loans sector. While the company was indebted to over £1,000,000 in 2018, it currently has loans of only £800,000. </w:t>
      </w:r>
      <w:r w:rsidR="00904261" w:rsidRPr="004810B8">
        <w:rPr>
          <w:rFonts w:asciiTheme="minorHAnsi" w:hAnsiTheme="minorHAnsi" w:cstheme="minorHAnsi"/>
          <w:lang w:val="en-GB"/>
        </w:rPr>
        <w:t xml:space="preserve">This goes to show the improvement with a decrease of 20% in the current liabilities of the organisation. </w:t>
      </w:r>
    </w:p>
    <w:p w14:paraId="7C349128" w14:textId="6C1F4F37" w:rsidR="00904261" w:rsidRPr="004810B8" w:rsidRDefault="00904261" w:rsidP="004810B8">
      <w:pPr>
        <w:jc w:val="left"/>
        <w:rPr>
          <w:rFonts w:asciiTheme="minorHAnsi" w:hAnsiTheme="minorHAnsi" w:cstheme="minorHAnsi"/>
        </w:rPr>
      </w:pPr>
      <w:r w:rsidRPr="004810B8">
        <w:rPr>
          <w:rFonts w:asciiTheme="minorHAnsi" w:hAnsiTheme="minorHAnsi" w:cstheme="minorHAnsi"/>
          <w:lang w:val="en-GB"/>
        </w:rPr>
        <w:t>Therefore, the efficiency ratio is a major help for understanding the increase or decrease in the level of efficiency of an organisation over a span of time. It helps to gain insights regarding the issues and drawbacks, and therefore can be worked to avoid the same</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Pyza</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In the </w:t>
      </w:r>
      <w:r w:rsidR="004810B8" w:rsidRPr="004810B8">
        <w:rPr>
          <w:rFonts w:asciiTheme="minorHAnsi" w:hAnsiTheme="minorHAnsi" w:cstheme="minorHAnsi"/>
          <w:lang w:val="en-GB"/>
        </w:rPr>
        <w:t>above-mentioned</w:t>
      </w:r>
      <w:r w:rsidRPr="004810B8">
        <w:rPr>
          <w:rFonts w:asciiTheme="minorHAnsi" w:hAnsiTheme="minorHAnsi" w:cstheme="minorHAnsi"/>
          <w:lang w:val="en-GB"/>
        </w:rPr>
        <w:t xml:space="preserve"> study, it might be observed that the values of assets of Rangemaster Plc have increased from the previous year. This means that the authorities have generated more revenue over their assets in 2019. The decrease in liabilities and loans show that the company </w:t>
      </w:r>
      <w:r w:rsidR="004810B8" w:rsidRPr="004810B8">
        <w:rPr>
          <w:rFonts w:asciiTheme="minorHAnsi" w:hAnsiTheme="minorHAnsi" w:cstheme="minorHAnsi"/>
          <w:lang w:val="en-GB"/>
        </w:rPr>
        <w:t>can</w:t>
      </w:r>
      <w:r w:rsidRPr="004810B8">
        <w:rPr>
          <w:rFonts w:asciiTheme="minorHAnsi" w:hAnsiTheme="minorHAnsi" w:cstheme="minorHAnsi"/>
          <w:lang w:val="en-GB"/>
        </w:rPr>
        <w:t xml:space="preserve"> recover from its debts with the help of their increased profitability and revenue. </w:t>
      </w:r>
    </w:p>
    <w:p w14:paraId="7C349129" w14:textId="77777777" w:rsidR="00904261" w:rsidRPr="004810B8" w:rsidRDefault="00904261"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 xml:space="preserve">Liquidity </w:t>
      </w:r>
    </w:p>
    <w:p w14:paraId="7C34912A" w14:textId="77777777" w:rsidR="00AF1E5C" w:rsidRPr="004810B8" w:rsidRDefault="00904261" w:rsidP="004810B8">
      <w:pPr>
        <w:jc w:val="left"/>
        <w:rPr>
          <w:rFonts w:asciiTheme="minorHAnsi" w:hAnsiTheme="minorHAnsi" w:cstheme="minorHAnsi"/>
        </w:rPr>
      </w:pPr>
      <w:r w:rsidRPr="004810B8">
        <w:rPr>
          <w:rFonts w:asciiTheme="minorHAnsi" w:hAnsiTheme="minorHAnsi" w:cstheme="minorHAnsi"/>
          <w:lang w:val="en-GB"/>
        </w:rPr>
        <w:t>This type of ratios is determinants regarding the ability of an organisation to repay the debts and loans without having to raise external capital. These are used to measure the debt obligations of an organisation and its liabilities in its operations. Operating cash flow ration, quick ratio and current ratio are used in this process. The term liquidity refers to process of converting assets into cash value. These are mostly observed in a comparative view, that is, in the external and internal forms</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 xml:space="preserve">Bunker </w:t>
      </w:r>
      <w:r w:rsidR="0053014F" w:rsidRPr="004810B8">
        <w:rPr>
          <w:rFonts w:asciiTheme="minorHAnsi" w:hAnsiTheme="minorHAnsi" w:cstheme="minorHAnsi"/>
          <w:i/>
          <w:shd w:val="clear" w:color="auto" w:fill="FFFFFF"/>
        </w:rPr>
        <w:t>et al.</w:t>
      </w:r>
      <w:r w:rsidR="0053014F" w:rsidRPr="004810B8">
        <w:rPr>
          <w:rFonts w:asciiTheme="minorHAnsi" w:hAnsiTheme="minorHAnsi" w:cstheme="minorHAnsi"/>
          <w:shd w:val="clear" w:color="auto" w:fill="FFFFFF"/>
        </w:rPr>
        <w:t>, 2019</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The internal analysis uses several accounting periods to compare the value of the same accounting methods. External analysis, on the other hand, compares the liquidity of one organisation to another from a different industry. Current ratio analyses the ability of an organisation to pay its debts, while the quick ratio calculates its ability to deal with the short-term liabilities. </w:t>
      </w:r>
      <w:r w:rsidR="00AF1E5C" w:rsidRPr="004810B8">
        <w:rPr>
          <w:rFonts w:asciiTheme="minorHAnsi" w:hAnsiTheme="minorHAnsi" w:cstheme="minorHAnsi"/>
          <w:lang w:val="en-GB"/>
        </w:rPr>
        <w:t>A</w:t>
      </w:r>
      <w:r w:rsidRPr="004810B8">
        <w:rPr>
          <w:rFonts w:asciiTheme="minorHAnsi" w:hAnsiTheme="minorHAnsi" w:cstheme="minorHAnsi"/>
          <w:lang w:val="en-GB"/>
        </w:rPr>
        <w:t xml:space="preserve"> liquidity crisis occurs when the company is unable to meet its </w:t>
      </w:r>
      <w:r w:rsidR="00AF1E5C" w:rsidRPr="004810B8">
        <w:rPr>
          <w:rFonts w:asciiTheme="minorHAnsi" w:hAnsiTheme="minorHAnsi" w:cstheme="minorHAnsi"/>
          <w:lang w:val="en-GB"/>
        </w:rPr>
        <w:t xml:space="preserve">liabilities and debts. </w:t>
      </w:r>
    </w:p>
    <w:p w14:paraId="7C34912B" w14:textId="77777777" w:rsidR="00AF1E5C" w:rsidRPr="004810B8" w:rsidRDefault="00AF1E5C" w:rsidP="004810B8">
      <w:pPr>
        <w:jc w:val="left"/>
        <w:rPr>
          <w:rFonts w:asciiTheme="minorHAnsi" w:hAnsiTheme="minorHAnsi" w:cstheme="minorHAnsi"/>
          <w:lang w:val="en-GB"/>
        </w:rPr>
      </w:pPr>
      <w:r w:rsidRPr="004810B8">
        <w:rPr>
          <w:rFonts w:asciiTheme="minorHAnsi" w:hAnsiTheme="minorHAnsi" w:cstheme="minorHAnsi"/>
          <w:lang w:val="en-GB"/>
        </w:rPr>
        <w:t>In the first place, the total amount of current ratio</w:t>
      </w:r>
      <w:r w:rsidR="00CA0C17" w:rsidRPr="004810B8">
        <w:rPr>
          <w:rFonts w:asciiTheme="minorHAnsi" w:hAnsiTheme="minorHAnsi" w:cstheme="minorHAnsi"/>
          <w:lang w:val="en-GB"/>
        </w:rPr>
        <w:t xml:space="preserve"> of Rangemaster Plc</w:t>
      </w:r>
      <w:r w:rsidRPr="004810B8">
        <w:rPr>
          <w:rFonts w:asciiTheme="minorHAnsi" w:hAnsiTheme="minorHAnsi" w:cstheme="minorHAnsi"/>
          <w:lang w:val="en-GB"/>
        </w:rPr>
        <w:t xml:space="preserve"> is at £3,850,000 in 2019. It has increased from £3,610,000 in 2018. An increase of about 6.23% might be </w:t>
      </w:r>
      <w:r w:rsidRPr="004810B8">
        <w:rPr>
          <w:rFonts w:asciiTheme="minorHAnsi" w:hAnsiTheme="minorHAnsi" w:cstheme="minorHAnsi"/>
          <w:lang w:val="en-GB"/>
        </w:rPr>
        <w:lastRenderedPageBreak/>
        <w:t xml:space="preserve">noticed between the two years. Among the liabilities, a difference of £200,000 might be observed among the long-term goals of the company. The trade payables, on the other hand, have increased to £870,000 in 2019 from £770,000. Although there is an increase in the liabilities of the company, it should be considered that is has expanded its operations in the past year, and thereby garnered more trades. The taxation policies, on the other hand, have increased to £250,000 in 2019 from £210,000 in 2018. This is again because of the increased operations to the international market in the recent times. However, the reduction in long-term loans has proven that the company is able to manage its liabilities effectively. </w:t>
      </w:r>
    </w:p>
    <w:p w14:paraId="7C34912C" w14:textId="0A327D7B" w:rsidR="00965AEB" w:rsidRPr="004810B8" w:rsidRDefault="00AF1E5C" w:rsidP="004810B8">
      <w:pPr>
        <w:jc w:val="left"/>
        <w:rPr>
          <w:rFonts w:asciiTheme="minorHAnsi" w:hAnsiTheme="minorHAnsi" w:cstheme="minorHAnsi"/>
        </w:rPr>
      </w:pPr>
      <w:r w:rsidRPr="004810B8">
        <w:rPr>
          <w:rFonts w:asciiTheme="minorHAnsi" w:hAnsiTheme="minorHAnsi" w:cstheme="minorHAnsi"/>
          <w:lang w:val="en-GB"/>
        </w:rPr>
        <w:t>Thus, the liquidity ratio analysis helps the leaders and managers understand the growing financial conditions of an organisation. They might be able to generate information regarding their liabilities and debts from the liquidity condition. They might be able to understand if their liabilities are increasing</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Hindradjaja</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2019</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w:t>
      </w:r>
      <w:r w:rsidR="00E20FC0" w:rsidRPr="004810B8">
        <w:rPr>
          <w:rFonts w:asciiTheme="minorHAnsi" w:hAnsiTheme="minorHAnsi" w:cstheme="minorHAnsi"/>
          <w:lang w:val="en-GB"/>
        </w:rPr>
        <w:t xml:space="preserve">Based on this, they might take measures to handle their debts and loans </w:t>
      </w:r>
      <w:r w:rsidR="004810B8" w:rsidRPr="004810B8">
        <w:rPr>
          <w:rFonts w:asciiTheme="minorHAnsi" w:hAnsiTheme="minorHAnsi" w:cstheme="minorHAnsi"/>
          <w:lang w:val="en-GB"/>
        </w:rPr>
        <w:t>to</w:t>
      </w:r>
      <w:r w:rsidR="00E20FC0" w:rsidRPr="004810B8">
        <w:rPr>
          <w:rFonts w:asciiTheme="minorHAnsi" w:hAnsiTheme="minorHAnsi" w:cstheme="minorHAnsi"/>
          <w:lang w:val="en-GB"/>
        </w:rPr>
        <w:t xml:space="preserve"> maintain their business structure efficiently. </w:t>
      </w:r>
      <w:r w:rsidR="00965AEB" w:rsidRPr="004810B8">
        <w:rPr>
          <w:rFonts w:asciiTheme="minorHAnsi" w:hAnsiTheme="minorHAnsi" w:cstheme="minorHAnsi"/>
          <w:lang w:val="en-GB"/>
        </w:rPr>
        <w:t>They</w:t>
      </w:r>
      <w:r w:rsidR="00E20FC0" w:rsidRPr="004810B8">
        <w:rPr>
          <w:rFonts w:asciiTheme="minorHAnsi" w:hAnsiTheme="minorHAnsi" w:cstheme="minorHAnsi"/>
          <w:lang w:val="en-GB"/>
        </w:rPr>
        <w:t xml:space="preserve"> might take financial </w:t>
      </w:r>
      <w:r w:rsidR="00965AEB" w:rsidRPr="004810B8">
        <w:rPr>
          <w:rFonts w:asciiTheme="minorHAnsi" w:hAnsiTheme="minorHAnsi" w:cstheme="minorHAnsi"/>
          <w:lang w:val="en-GB"/>
        </w:rPr>
        <w:t>advices</w:t>
      </w:r>
      <w:r w:rsidR="00E20FC0" w:rsidRPr="004810B8">
        <w:rPr>
          <w:rFonts w:asciiTheme="minorHAnsi" w:hAnsiTheme="minorHAnsi" w:cstheme="minorHAnsi"/>
          <w:lang w:val="en-GB"/>
        </w:rPr>
        <w:t xml:space="preserve"> in case they realise they are </w:t>
      </w:r>
      <w:r w:rsidR="00965AEB" w:rsidRPr="004810B8">
        <w:rPr>
          <w:rFonts w:asciiTheme="minorHAnsi" w:hAnsiTheme="minorHAnsi" w:cstheme="minorHAnsi"/>
          <w:lang w:val="en-GB"/>
        </w:rPr>
        <w:t>unable</w:t>
      </w:r>
      <w:r w:rsidR="00E20FC0" w:rsidRPr="004810B8">
        <w:rPr>
          <w:rFonts w:asciiTheme="minorHAnsi" w:hAnsiTheme="minorHAnsi" w:cstheme="minorHAnsi"/>
          <w:lang w:val="en-GB"/>
        </w:rPr>
        <w:t xml:space="preserve"> to schedule their loans and repay the same in time. </w:t>
      </w:r>
      <w:r w:rsidR="00965AEB" w:rsidRPr="004810B8">
        <w:rPr>
          <w:rFonts w:asciiTheme="minorHAnsi" w:hAnsiTheme="minorHAnsi" w:cstheme="minorHAnsi"/>
          <w:lang w:val="en-GB"/>
        </w:rPr>
        <w:t>They</w:t>
      </w:r>
      <w:r w:rsidR="00E20FC0" w:rsidRPr="004810B8">
        <w:rPr>
          <w:rFonts w:asciiTheme="minorHAnsi" w:hAnsiTheme="minorHAnsi" w:cstheme="minorHAnsi"/>
          <w:lang w:val="en-GB"/>
        </w:rPr>
        <w:t xml:space="preserve"> might also face issues with </w:t>
      </w:r>
      <w:r w:rsidR="00965AEB" w:rsidRPr="004810B8">
        <w:rPr>
          <w:rFonts w:asciiTheme="minorHAnsi" w:hAnsiTheme="minorHAnsi" w:cstheme="minorHAnsi"/>
          <w:lang w:val="en-GB"/>
        </w:rPr>
        <w:t xml:space="preserve">the burdens of interest rates if they fail to recover from the same. </w:t>
      </w:r>
    </w:p>
    <w:p w14:paraId="7C34912D" w14:textId="77777777" w:rsidR="00965AEB" w:rsidRPr="004810B8" w:rsidRDefault="00965AEB"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Capital structure</w:t>
      </w:r>
    </w:p>
    <w:p w14:paraId="7C34912E" w14:textId="77777777" w:rsidR="00965AEB" w:rsidRPr="004810B8" w:rsidRDefault="00965AEB" w:rsidP="004810B8">
      <w:pPr>
        <w:jc w:val="left"/>
        <w:rPr>
          <w:rFonts w:asciiTheme="minorHAnsi" w:hAnsiTheme="minorHAnsi" w:cstheme="minorHAnsi"/>
        </w:rPr>
      </w:pPr>
      <w:r w:rsidRPr="004810B8">
        <w:rPr>
          <w:rFonts w:asciiTheme="minorHAnsi" w:hAnsiTheme="minorHAnsi" w:cstheme="minorHAnsi"/>
          <w:lang w:val="en-GB"/>
        </w:rPr>
        <w:t xml:space="preserve">A capital structure aims at understanding the long-term capital of an organisation. </w:t>
      </w:r>
      <w:r w:rsidR="001B70E9" w:rsidRPr="004810B8">
        <w:rPr>
          <w:rFonts w:asciiTheme="minorHAnsi" w:hAnsiTheme="minorHAnsi" w:cstheme="minorHAnsi"/>
          <w:lang w:val="en-GB"/>
        </w:rPr>
        <w:t>This</w:t>
      </w:r>
      <w:r w:rsidRPr="004810B8">
        <w:rPr>
          <w:rFonts w:asciiTheme="minorHAnsi" w:hAnsiTheme="minorHAnsi" w:cstheme="minorHAnsi"/>
          <w:lang w:val="en-GB"/>
        </w:rPr>
        <w:t xml:space="preserve"> combines the debt and equity of the organisation. </w:t>
      </w:r>
      <w:r w:rsidR="001B70E9" w:rsidRPr="004810B8">
        <w:rPr>
          <w:rFonts w:asciiTheme="minorHAnsi" w:hAnsiTheme="minorHAnsi" w:cstheme="minorHAnsi"/>
          <w:lang w:val="en-GB"/>
        </w:rPr>
        <w:t>It</w:t>
      </w:r>
      <w:r w:rsidRPr="004810B8">
        <w:rPr>
          <w:rFonts w:asciiTheme="minorHAnsi" w:hAnsiTheme="minorHAnsi" w:cstheme="minorHAnsi"/>
          <w:lang w:val="en-GB"/>
        </w:rPr>
        <w:t xml:space="preserve"> is a known fact tha</w:t>
      </w:r>
      <w:r w:rsidR="001B70E9" w:rsidRPr="004810B8">
        <w:rPr>
          <w:rFonts w:asciiTheme="minorHAnsi" w:hAnsiTheme="minorHAnsi" w:cstheme="minorHAnsi"/>
          <w:lang w:val="en-GB"/>
        </w:rPr>
        <w:t>t capital plays a part in funding the development of a venture. One of the major components of this structure is that of equity. It consists of the preferred and common stock of an organisation along with its retained earnin</w:t>
      </w:r>
      <w:r w:rsidR="00CA0C17" w:rsidRPr="004810B8">
        <w:rPr>
          <w:rFonts w:asciiTheme="minorHAnsi" w:hAnsiTheme="minorHAnsi" w:cstheme="minorHAnsi"/>
          <w:lang w:val="en-GB"/>
        </w:rPr>
        <w:t>gs. Debt is another part of the</w:t>
      </w:r>
      <w:r w:rsidR="001B70E9" w:rsidRPr="004810B8">
        <w:rPr>
          <w:rFonts w:asciiTheme="minorHAnsi" w:hAnsiTheme="minorHAnsi" w:cstheme="minorHAnsi"/>
          <w:lang w:val="en-GB"/>
        </w:rPr>
        <w:t xml:space="preserve"> capital structure. </w:t>
      </w:r>
      <w:r w:rsidR="00CA0C17" w:rsidRPr="004810B8">
        <w:rPr>
          <w:rFonts w:asciiTheme="minorHAnsi" w:hAnsiTheme="minorHAnsi" w:cstheme="minorHAnsi"/>
          <w:lang w:val="en-GB"/>
        </w:rPr>
        <w:t>It</w:t>
      </w:r>
      <w:r w:rsidR="001B70E9" w:rsidRPr="004810B8">
        <w:rPr>
          <w:rFonts w:asciiTheme="minorHAnsi" w:hAnsiTheme="minorHAnsi" w:cstheme="minorHAnsi"/>
          <w:lang w:val="en-GB"/>
        </w:rPr>
        <w:t xml:space="preserve"> refers to </w:t>
      </w:r>
      <w:r w:rsidR="00CA0C17" w:rsidRPr="004810B8">
        <w:rPr>
          <w:rFonts w:asciiTheme="minorHAnsi" w:hAnsiTheme="minorHAnsi" w:cstheme="minorHAnsi"/>
          <w:lang w:val="en-GB"/>
        </w:rPr>
        <w:t>liabilities and loans of an organisation in terms of its investment schemes</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Aggarwal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 xml:space="preserve">and </w:t>
      </w:r>
      <w:proofErr w:type="spellStart"/>
      <w:r w:rsidR="0053014F" w:rsidRPr="004810B8">
        <w:rPr>
          <w:rFonts w:asciiTheme="minorHAnsi" w:hAnsiTheme="minorHAnsi" w:cstheme="minorHAnsi"/>
          <w:shd w:val="clear" w:color="auto" w:fill="FFFFFF"/>
        </w:rPr>
        <w:t>Padhan</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00CA0C17" w:rsidRPr="004810B8">
        <w:rPr>
          <w:rFonts w:asciiTheme="minorHAnsi" w:hAnsiTheme="minorHAnsi" w:cstheme="minorHAnsi"/>
          <w:lang w:val="en-GB"/>
        </w:rPr>
        <w:t xml:space="preserve">. Capital structure often is considered the long-term loan section of a balance sheet. Three types of ratios might be associated with that of capital structure, including debt and debt to equity ratios. They help in deriving information regarding the capital position of the company. The capitalisation ratio, on the other hand, compares the debt and equity to understand the position of the current capital structure. </w:t>
      </w:r>
    </w:p>
    <w:p w14:paraId="7C34912F" w14:textId="77777777" w:rsidR="00AF65EA" w:rsidRPr="004810B8" w:rsidRDefault="00CA0C17" w:rsidP="004810B8">
      <w:pPr>
        <w:jc w:val="left"/>
        <w:rPr>
          <w:rFonts w:asciiTheme="minorHAnsi" w:hAnsiTheme="minorHAnsi" w:cstheme="minorHAnsi"/>
          <w:lang w:val="en-GB"/>
        </w:rPr>
      </w:pPr>
      <w:r w:rsidRPr="004810B8">
        <w:rPr>
          <w:rFonts w:asciiTheme="minorHAnsi" w:hAnsiTheme="minorHAnsi" w:cstheme="minorHAnsi"/>
          <w:lang w:val="en-GB"/>
        </w:rPr>
        <w:lastRenderedPageBreak/>
        <w:t xml:space="preserve">In context to Rangemaster Plc, the equity rate has remained the same in both the years, at £1,000,000 ordinary shares of £1. The retained earnings, however, have increased to reach £930,000 in 2019 from £630,000 in 2018. This goes to reveal a sharp increase of 32% approximately between the two years in terms of equity. </w:t>
      </w:r>
      <w:r w:rsidR="008251DA" w:rsidRPr="004810B8">
        <w:rPr>
          <w:rFonts w:asciiTheme="minorHAnsi" w:hAnsiTheme="minorHAnsi" w:cstheme="minorHAnsi"/>
          <w:lang w:val="en-GB"/>
        </w:rPr>
        <w:t>The</w:t>
      </w:r>
      <w:r w:rsidRPr="004810B8">
        <w:rPr>
          <w:rFonts w:asciiTheme="minorHAnsi" w:hAnsiTheme="minorHAnsi" w:cstheme="minorHAnsi"/>
          <w:lang w:val="en-GB"/>
        </w:rPr>
        <w:t xml:space="preserve"> overall current </w:t>
      </w:r>
      <w:r w:rsidR="008251DA" w:rsidRPr="004810B8">
        <w:rPr>
          <w:rFonts w:asciiTheme="minorHAnsi" w:hAnsiTheme="minorHAnsi" w:cstheme="minorHAnsi"/>
          <w:lang w:val="en-GB"/>
        </w:rPr>
        <w:t>liabilities of the organisation are</w:t>
      </w:r>
      <w:r w:rsidRPr="004810B8">
        <w:rPr>
          <w:rFonts w:asciiTheme="minorHAnsi" w:hAnsiTheme="minorHAnsi" w:cstheme="minorHAnsi"/>
          <w:lang w:val="en-GB"/>
        </w:rPr>
        <w:t xml:space="preserve"> at £3,850,000, increasing from £3,610,000 in 2018. </w:t>
      </w:r>
      <w:r w:rsidR="008251DA" w:rsidRPr="004810B8">
        <w:rPr>
          <w:rFonts w:asciiTheme="minorHAnsi" w:hAnsiTheme="minorHAnsi" w:cstheme="minorHAnsi"/>
          <w:lang w:val="en-GB"/>
        </w:rPr>
        <w:t xml:space="preserve">This shows a slight 2.59% increase in the debt ratio. The capitalisation ratio goes to show the predominance of equity increase over that of debt. Moreover, the reduction in long-term loans reveals that the company </w:t>
      </w:r>
      <w:proofErr w:type="gramStart"/>
      <w:r w:rsidR="008251DA" w:rsidRPr="004810B8">
        <w:rPr>
          <w:rFonts w:asciiTheme="minorHAnsi" w:hAnsiTheme="minorHAnsi" w:cstheme="minorHAnsi"/>
          <w:lang w:val="en-GB"/>
        </w:rPr>
        <w:t>is able to</w:t>
      </w:r>
      <w:proofErr w:type="gramEnd"/>
      <w:r w:rsidR="008251DA" w:rsidRPr="004810B8">
        <w:rPr>
          <w:rFonts w:asciiTheme="minorHAnsi" w:hAnsiTheme="minorHAnsi" w:cstheme="minorHAnsi"/>
          <w:lang w:val="en-GB"/>
        </w:rPr>
        <w:t xml:space="preserve"> repay its interests and move to increase the </w:t>
      </w:r>
      <w:r w:rsidR="00AF65EA" w:rsidRPr="004810B8">
        <w:rPr>
          <w:rFonts w:asciiTheme="minorHAnsi" w:hAnsiTheme="minorHAnsi" w:cstheme="minorHAnsi"/>
          <w:lang w:val="en-GB"/>
        </w:rPr>
        <w:t xml:space="preserve">revenue rate. The debt equity percentage is currently at 2.61, revealing the upper hand of the organisation to deal with the situation. Therefore, the company might be able to recover from the loans structure. </w:t>
      </w:r>
    </w:p>
    <w:p w14:paraId="7C349130" w14:textId="77777777" w:rsidR="00783EA3" w:rsidRPr="004810B8" w:rsidRDefault="00AF65EA" w:rsidP="004810B8">
      <w:pPr>
        <w:jc w:val="left"/>
        <w:rPr>
          <w:rFonts w:asciiTheme="minorHAnsi" w:hAnsiTheme="minorHAnsi" w:cstheme="minorHAnsi"/>
        </w:rPr>
      </w:pPr>
      <w:r w:rsidRPr="004810B8">
        <w:rPr>
          <w:rFonts w:asciiTheme="minorHAnsi" w:hAnsiTheme="minorHAnsi" w:cstheme="minorHAnsi"/>
          <w:lang w:val="en-GB"/>
        </w:rPr>
        <w:t>The concepts of debt and equity play a major part in determining the financial positioning of an organisation. The healthy blend between debt and equity helps to manage the financial growth of an organisation</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Kumar</w:t>
      </w:r>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w:t>
      </w:r>
      <w:r w:rsidR="00783EA3" w:rsidRPr="004810B8">
        <w:rPr>
          <w:rFonts w:asciiTheme="minorHAnsi" w:hAnsiTheme="minorHAnsi" w:cstheme="minorHAnsi"/>
          <w:lang w:val="en-GB"/>
        </w:rPr>
        <w:t xml:space="preserve">The upper hand of equity encourages investors to fund the organisation as it reveals the strength of the organisation to deal with the same. Moderate utilisation of leverage increases the opportunities regarding financial resources. On the other hand, companies with more leverage or debt than equity fail to grab the financial resources and investors for their operations. </w:t>
      </w:r>
    </w:p>
    <w:p w14:paraId="7C349131" w14:textId="77777777" w:rsidR="00783EA3" w:rsidRPr="004810B8" w:rsidRDefault="00783EA3"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Investment</w:t>
      </w:r>
    </w:p>
    <w:p w14:paraId="7C349132" w14:textId="12EBD060" w:rsidR="00A209C3" w:rsidRPr="004810B8" w:rsidRDefault="00783EA3" w:rsidP="004810B8">
      <w:pPr>
        <w:jc w:val="left"/>
        <w:rPr>
          <w:rFonts w:asciiTheme="minorHAnsi" w:hAnsiTheme="minorHAnsi" w:cstheme="minorHAnsi"/>
        </w:rPr>
      </w:pPr>
      <w:r w:rsidRPr="004810B8">
        <w:rPr>
          <w:rFonts w:asciiTheme="minorHAnsi" w:hAnsiTheme="minorHAnsi" w:cstheme="minorHAnsi"/>
          <w:lang w:val="en-GB"/>
        </w:rPr>
        <w:t xml:space="preserve">The investment ratio is another important financial aspect of an organisation. </w:t>
      </w:r>
      <w:r w:rsidR="00A209C3" w:rsidRPr="004810B8">
        <w:rPr>
          <w:rFonts w:asciiTheme="minorHAnsi" w:hAnsiTheme="minorHAnsi" w:cstheme="minorHAnsi"/>
          <w:lang w:val="en-GB"/>
        </w:rPr>
        <w:t xml:space="preserve">It plays a major part in funding the major important activities of the organisation. </w:t>
      </w:r>
      <w:r w:rsidR="00A209C3" w:rsidRPr="004810B8">
        <w:rPr>
          <w:rFonts w:asciiTheme="minorHAnsi" w:hAnsiTheme="minorHAnsi" w:cstheme="minorHAnsi"/>
          <w:lang w:val="en-GB"/>
        </w:rPr>
        <w:tab/>
        <w:t>This is used to analyse the performances of an organisation in terms of its financial aspects. Attributes such as price earnings ratio, earnings per share and earnings yield are comprised of this ratio family. The ordinary shareholders are of great importance in terms of investment ratios</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Kahraman</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2016</w:t>
      </w:r>
      <w:r w:rsidR="0053014F" w:rsidRPr="004810B8">
        <w:rPr>
          <w:rFonts w:asciiTheme="minorHAnsi" w:hAnsiTheme="minorHAnsi" w:cstheme="minorHAnsi"/>
          <w:lang w:val="en-GB"/>
        </w:rPr>
        <w:t>)</w:t>
      </w:r>
      <w:r w:rsidR="00A209C3" w:rsidRPr="004810B8">
        <w:rPr>
          <w:rFonts w:asciiTheme="minorHAnsi" w:hAnsiTheme="minorHAnsi" w:cstheme="minorHAnsi"/>
          <w:lang w:val="en-GB"/>
        </w:rPr>
        <w:t xml:space="preserve">. Apart from them, other stakeholders such as potential investors, analysts, and rival companies also play a big part. The profitability capital ratio of an organisation might be of </w:t>
      </w:r>
      <w:r w:rsidR="00ED42EA" w:rsidRPr="004810B8">
        <w:rPr>
          <w:rFonts w:asciiTheme="minorHAnsi" w:hAnsiTheme="minorHAnsi" w:cstheme="minorHAnsi"/>
          <w:lang w:val="en-GB"/>
        </w:rPr>
        <w:t>importance since</w:t>
      </w:r>
      <w:r w:rsidR="00A209C3" w:rsidRPr="004810B8">
        <w:rPr>
          <w:rFonts w:asciiTheme="minorHAnsi" w:hAnsiTheme="minorHAnsi" w:cstheme="minorHAnsi"/>
          <w:lang w:val="en-GB"/>
        </w:rPr>
        <w:t xml:space="preserve"> it helps to analyse the investment opportunities within the same. </w:t>
      </w:r>
    </w:p>
    <w:p w14:paraId="7C349133" w14:textId="6ADD8F2F" w:rsidR="00A209C3" w:rsidRPr="004810B8" w:rsidRDefault="00A209C3" w:rsidP="004810B8">
      <w:pPr>
        <w:jc w:val="left"/>
        <w:rPr>
          <w:rFonts w:asciiTheme="minorHAnsi" w:hAnsiTheme="minorHAnsi" w:cstheme="minorHAnsi"/>
          <w:lang w:val="en-GB"/>
        </w:rPr>
      </w:pPr>
      <w:r w:rsidRPr="004810B8">
        <w:rPr>
          <w:rFonts w:asciiTheme="minorHAnsi" w:hAnsiTheme="minorHAnsi" w:cstheme="minorHAnsi"/>
          <w:lang w:val="en-GB"/>
        </w:rPr>
        <w:lastRenderedPageBreak/>
        <w:t xml:space="preserve">High revenue does not necessarily contribute to high earning dividends. It rather </w:t>
      </w:r>
      <w:r w:rsidR="004810B8" w:rsidRPr="004810B8">
        <w:rPr>
          <w:rFonts w:asciiTheme="minorHAnsi" w:hAnsiTheme="minorHAnsi" w:cstheme="minorHAnsi"/>
          <w:lang w:val="en-GB"/>
        </w:rPr>
        <w:t>investigates</w:t>
      </w:r>
      <w:r w:rsidRPr="004810B8">
        <w:rPr>
          <w:rFonts w:asciiTheme="minorHAnsi" w:hAnsiTheme="minorHAnsi" w:cstheme="minorHAnsi"/>
          <w:lang w:val="en-GB"/>
        </w:rPr>
        <w:t xml:space="preserve"> productivity in terms of the profitability of an organisation. Solvency ratio, on the other hand, reveals the ability of the organisation to deal </w:t>
      </w:r>
      <w:r w:rsidR="00ED42EA" w:rsidRPr="004810B8">
        <w:rPr>
          <w:rFonts w:asciiTheme="minorHAnsi" w:hAnsiTheme="minorHAnsi" w:cstheme="minorHAnsi"/>
          <w:lang w:val="en-GB"/>
        </w:rPr>
        <w:t>with-it long-term</w:t>
      </w:r>
      <w:r w:rsidRPr="004810B8">
        <w:rPr>
          <w:rFonts w:asciiTheme="minorHAnsi" w:hAnsiTheme="minorHAnsi" w:cstheme="minorHAnsi"/>
          <w:lang w:val="en-GB"/>
        </w:rPr>
        <w:t xml:space="preserve"> loans. Another type of ratio might be that of valuation ratio which integrates the publicly traded stock price of an organisation to understand its market value. The price to earnings ratio helps to compare the stock price of the company with its earning based on per share. </w:t>
      </w:r>
    </w:p>
    <w:p w14:paraId="7C349134" w14:textId="77777777" w:rsidR="00370787" w:rsidRPr="004810B8" w:rsidRDefault="00370787" w:rsidP="004810B8">
      <w:pPr>
        <w:jc w:val="left"/>
        <w:rPr>
          <w:rFonts w:asciiTheme="minorHAnsi" w:hAnsiTheme="minorHAnsi" w:cstheme="minorHAnsi"/>
          <w:lang w:val="en-GB"/>
        </w:rPr>
      </w:pPr>
      <w:r w:rsidRPr="004810B8">
        <w:rPr>
          <w:rFonts w:asciiTheme="minorHAnsi" w:hAnsiTheme="minorHAnsi" w:cstheme="minorHAnsi"/>
          <w:lang w:val="en-GB"/>
        </w:rPr>
        <w:t>Rangemaster Plc has observed a significant improvement in context to its investment ratios. This might be observed in the increase of its ordinary dividends. While it was about £300,000 in 2018, it increased to reach £330,000 in 2019. This goes to show a sharp rise of 9% in the dividends of the organisation. This goes to show the ability of the organisation to handle its investments and treat them with respect. The investors might take interest in funding within the same since the company has been able to handle its long-term loans and liabilities effectively.</w:t>
      </w:r>
    </w:p>
    <w:p w14:paraId="7C349135" w14:textId="77777777" w:rsidR="00E000D8" w:rsidRPr="004810B8" w:rsidRDefault="00370787" w:rsidP="004810B8">
      <w:pPr>
        <w:jc w:val="left"/>
        <w:rPr>
          <w:rFonts w:asciiTheme="minorHAnsi" w:hAnsiTheme="minorHAnsi" w:cstheme="minorHAnsi"/>
        </w:rPr>
      </w:pPr>
      <w:r w:rsidRPr="004810B8">
        <w:rPr>
          <w:rFonts w:asciiTheme="minorHAnsi" w:hAnsiTheme="minorHAnsi" w:cstheme="minorHAnsi"/>
          <w:lang w:val="en-GB"/>
        </w:rPr>
        <w:t>The investment ratio family is therefore mandatory to understand the financial performance of an organisation. It helps in understanding the position of the company within the market. Using this, the authorities might be able to generate loans and investment for their operations</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Jäger</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and Schmidt</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2016</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They might also be able to improve their reputation within the market by identifying their issues and loopholes. The managers and leaders might be able to convince the investors and stakeholders by producing their documents regarding the investment ratio. This way, they might impress and retain them long term in the business market. </w:t>
      </w:r>
      <w:r w:rsidR="00E000D8" w:rsidRPr="004810B8">
        <w:rPr>
          <w:rFonts w:asciiTheme="minorHAnsi" w:hAnsiTheme="minorHAnsi" w:cstheme="minorHAnsi"/>
          <w:lang w:val="en-GB"/>
        </w:rPr>
        <w:br w:type="page"/>
      </w:r>
    </w:p>
    <w:p w14:paraId="7C349136" w14:textId="77777777" w:rsidR="00EE26DC" w:rsidRPr="004810B8" w:rsidRDefault="00B76C68" w:rsidP="004810B8">
      <w:pPr>
        <w:pStyle w:val="1"/>
        <w:jc w:val="left"/>
        <w:rPr>
          <w:rFonts w:asciiTheme="minorHAnsi" w:hAnsiTheme="minorHAnsi" w:cstheme="minorHAnsi"/>
          <w:lang w:val="en-GB"/>
        </w:rPr>
      </w:pPr>
      <w:bookmarkStart w:id="2" w:name="_Toc46343238"/>
      <w:r w:rsidRPr="004810B8">
        <w:rPr>
          <w:rFonts w:asciiTheme="minorHAnsi" w:hAnsiTheme="minorHAnsi" w:cstheme="minorHAnsi"/>
          <w:lang w:val="en-GB"/>
        </w:rPr>
        <w:lastRenderedPageBreak/>
        <w:t>Conclusion</w:t>
      </w:r>
      <w:bookmarkEnd w:id="2"/>
    </w:p>
    <w:p w14:paraId="7C349137" w14:textId="2AB644D8" w:rsidR="00B76C68" w:rsidRPr="004810B8" w:rsidRDefault="00370787" w:rsidP="004810B8">
      <w:pPr>
        <w:jc w:val="left"/>
        <w:rPr>
          <w:rFonts w:asciiTheme="minorHAnsi" w:hAnsiTheme="minorHAnsi" w:cstheme="minorHAnsi"/>
          <w:lang w:val="en-GB"/>
        </w:rPr>
      </w:pPr>
      <w:r w:rsidRPr="004810B8">
        <w:rPr>
          <w:rFonts w:asciiTheme="minorHAnsi" w:hAnsiTheme="minorHAnsi" w:cstheme="minorHAnsi"/>
          <w:lang w:val="en-GB"/>
        </w:rPr>
        <w:t xml:space="preserve">Therefore, it might be observed that financial performance of an organisation is majorly important to understand it position in the market. This report </w:t>
      </w:r>
      <w:r w:rsidR="004810B8" w:rsidRPr="004810B8">
        <w:rPr>
          <w:rFonts w:asciiTheme="minorHAnsi" w:hAnsiTheme="minorHAnsi" w:cstheme="minorHAnsi"/>
          <w:lang w:val="en-GB"/>
        </w:rPr>
        <w:t>investigated</w:t>
      </w:r>
      <w:r w:rsidRPr="004810B8">
        <w:rPr>
          <w:rFonts w:asciiTheme="minorHAnsi" w:hAnsiTheme="minorHAnsi" w:cstheme="minorHAnsi"/>
          <w:lang w:val="en-GB"/>
        </w:rPr>
        <w:t xml:space="preserve"> the performances of Rangemaster Plc, a British based manufacturing organisation. It has provided the citizens with high quality cookers, kitchen appliances, and interior decorations over the years. The report analysed the various ratios to understand the deeper aspects of the financial performance of the organisation</w:t>
      </w:r>
      <w:r w:rsidR="00B76C68" w:rsidRPr="004810B8">
        <w:rPr>
          <w:rFonts w:asciiTheme="minorHAnsi" w:hAnsiTheme="minorHAnsi" w:cstheme="minorHAnsi"/>
          <w:lang w:val="en-GB"/>
        </w:rPr>
        <w:t xml:space="preserve"> and compared it between 2019 and 2018 performances</w:t>
      </w:r>
      <w:r w:rsidRPr="004810B8">
        <w:rPr>
          <w:rFonts w:asciiTheme="minorHAnsi" w:hAnsiTheme="minorHAnsi" w:cstheme="minorHAnsi"/>
          <w:lang w:val="en-GB"/>
        </w:rPr>
        <w:t xml:space="preserve">. It </w:t>
      </w:r>
      <w:r w:rsidR="004810B8" w:rsidRPr="004810B8">
        <w:rPr>
          <w:rFonts w:asciiTheme="minorHAnsi" w:hAnsiTheme="minorHAnsi" w:cstheme="minorHAnsi"/>
          <w:lang w:val="en-GB"/>
        </w:rPr>
        <w:t>investigated</w:t>
      </w:r>
      <w:r w:rsidRPr="004810B8">
        <w:rPr>
          <w:rFonts w:asciiTheme="minorHAnsi" w:hAnsiTheme="minorHAnsi" w:cstheme="minorHAnsi"/>
          <w:lang w:val="en-GB"/>
        </w:rPr>
        <w:t xml:space="preserve"> the profitability ratio in the first place, analysing the sales revenue, gross and net profit amounts of the organisation. The net profit ratio has increased 30% over the year, revealing the proficiency of its performance quality. The efficiency and liquidity ratios of the organisation were also analysed. An increase of 6.23% in the liquidity amount might be observed. </w:t>
      </w:r>
      <w:r w:rsidR="00B76C68" w:rsidRPr="004810B8">
        <w:rPr>
          <w:rFonts w:asciiTheme="minorHAnsi" w:hAnsiTheme="minorHAnsi" w:cstheme="minorHAnsi"/>
          <w:lang w:val="en-GB"/>
        </w:rPr>
        <w:t xml:space="preserve">The capital structure and investment ratios of the organisation were also analysed. </w:t>
      </w:r>
    </w:p>
    <w:p w14:paraId="7C349138" w14:textId="4C68D6D2" w:rsidR="00E000D8" w:rsidRPr="004810B8" w:rsidRDefault="00B76C68" w:rsidP="004810B8">
      <w:pPr>
        <w:jc w:val="left"/>
        <w:rPr>
          <w:rFonts w:asciiTheme="minorHAnsi" w:hAnsiTheme="minorHAnsi" w:cstheme="minorHAnsi"/>
          <w:lang w:val="en-GB"/>
        </w:rPr>
      </w:pPr>
      <w:r w:rsidRPr="004810B8">
        <w:rPr>
          <w:rFonts w:asciiTheme="minorHAnsi" w:hAnsiTheme="minorHAnsi" w:cstheme="minorHAnsi"/>
          <w:lang w:val="en-GB"/>
        </w:rPr>
        <w:t xml:space="preserve">The company might be able to stabilise its financial position if they take interest in their liability ratios. They need to bring down the same to become more impressive to the investors and stakeholders. For this, they need to be able to generate greater revenues to repay the loans and debts in the current position. They also need to reduce taking new loans </w:t>
      </w:r>
      <w:r w:rsidR="004810B8" w:rsidRPr="004810B8">
        <w:rPr>
          <w:rFonts w:asciiTheme="minorHAnsi" w:hAnsiTheme="minorHAnsi" w:cstheme="minorHAnsi"/>
          <w:lang w:val="en-GB"/>
        </w:rPr>
        <w:t>to</w:t>
      </w:r>
      <w:r w:rsidRPr="004810B8">
        <w:rPr>
          <w:rFonts w:asciiTheme="minorHAnsi" w:hAnsiTheme="minorHAnsi" w:cstheme="minorHAnsi"/>
          <w:lang w:val="en-GB"/>
        </w:rPr>
        <w:t xml:space="preserve"> recover from their current situation. This way, they might be able to improve their financial performance further and therefore become large within the industry.</w:t>
      </w:r>
      <w:r w:rsidR="00E000D8" w:rsidRPr="004810B8">
        <w:rPr>
          <w:rFonts w:asciiTheme="minorHAnsi" w:hAnsiTheme="minorHAnsi" w:cstheme="minorHAnsi"/>
          <w:lang w:val="en-GB"/>
        </w:rPr>
        <w:br w:type="page"/>
      </w:r>
    </w:p>
    <w:p w14:paraId="7C349139" w14:textId="77777777" w:rsidR="00E000D8" w:rsidRPr="004810B8" w:rsidRDefault="00E000D8" w:rsidP="00E000D8">
      <w:pPr>
        <w:pStyle w:val="1"/>
        <w:rPr>
          <w:rFonts w:asciiTheme="minorHAnsi" w:hAnsiTheme="minorHAnsi" w:cstheme="minorHAnsi"/>
          <w:lang w:val="en-GB"/>
        </w:rPr>
      </w:pPr>
      <w:bookmarkStart w:id="3" w:name="_Toc46343239"/>
      <w:r w:rsidRPr="004810B8">
        <w:rPr>
          <w:rFonts w:asciiTheme="minorHAnsi" w:hAnsiTheme="minorHAnsi" w:cstheme="minorHAnsi"/>
          <w:lang w:val="en-GB"/>
        </w:rPr>
        <w:lastRenderedPageBreak/>
        <w:t>Reference list</w:t>
      </w:r>
      <w:bookmarkEnd w:id="3"/>
    </w:p>
    <w:p w14:paraId="7C34913A"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 xml:space="preserve">Aggarwal, D. and </w:t>
      </w:r>
      <w:proofErr w:type="spellStart"/>
      <w:r w:rsidRPr="004810B8">
        <w:rPr>
          <w:rFonts w:asciiTheme="minorHAnsi" w:hAnsiTheme="minorHAnsi" w:cstheme="minorHAnsi"/>
          <w:shd w:val="clear" w:color="auto" w:fill="FFFFFF"/>
        </w:rPr>
        <w:t>Padhan</w:t>
      </w:r>
      <w:proofErr w:type="spellEnd"/>
      <w:r w:rsidRPr="004810B8">
        <w:rPr>
          <w:rFonts w:asciiTheme="minorHAnsi" w:hAnsiTheme="minorHAnsi" w:cstheme="minorHAnsi"/>
          <w:shd w:val="clear" w:color="auto" w:fill="FFFFFF"/>
        </w:rPr>
        <w:t>, P.C., 2017. Impact of capital structure on firm value: evidence from Indian Hospitality Industry. </w:t>
      </w:r>
      <w:r w:rsidRPr="004810B8">
        <w:rPr>
          <w:rFonts w:asciiTheme="minorHAnsi" w:hAnsiTheme="minorHAnsi" w:cstheme="minorHAnsi"/>
          <w:i/>
          <w:iCs/>
          <w:shd w:val="clear" w:color="auto" w:fill="FFFFFF"/>
        </w:rPr>
        <w:t>Theoretical Economics Letters</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7</w:t>
      </w:r>
      <w:r w:rsidRPr="004810B8">
        <w:rPr>
          <w:rFonts w:asciiTheme="minorHAnsi" w:hAnsiTheme="minorHAnsi" w:cstheme="minorHAnsi"/>
          <w:shd w:val="clear" w:color="auto" w:fill="FFFFFF"/>
        </w:rPr>
        <w:t>(4), pp.982-1000.</w:t>
      </w:r>
    </w:p>
    <w:p w14:paraId="7C34913B"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Bunker, R.B., Cagle, C. and Harris, D., 2019. A Liquidity Ratio Analysis of Lean vs. Not-Lean Operations. </w:t>
      </w:r>
      <w:r w:rsidRPr="004810B8">
        <w:rPr>
          <w:rFonts w:asciiTheme="minorHAnsi" w:hAnsiTheme="minorHAnsi" w:cstheme="minorHAnsi"/>
          <w:i/>
          <w:iCs/>
          <w:shd w:val="clear" w:color="auto" w:fill="FFFFFF"/>
        </w:rPr>
        <w:t>Management Accounting Quarterly</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20</w:t>
      </w:r>
      <w:r w:rsidRPr="004810B8">
        <w:rPr>
          <w:rFonts w:asciiTheme="minorHAnsi" w:hAnsiTheme="minorHAnsi" w:cstheme="minorHAnsi"/>
          <w:shd w:val="clear" w:color="auto" w:fill="FFFFFF"/>
        </w:rPr>
        <w:t>(2), p.10.</w:t>
      </w:r>
    </w:p>
    <w:p w14:paraId="7C34913C"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 xml:space="preserve">Chang, Y.T., Lee, </w:t>
      </w:r>
      <w:proofErr w:type="gramStart"/>
      <w:r w:rsidRPr="004810B8">
        <w:rPr>
          <w:rFonts w:asciiTheme="minorHAnsi" w:hAnsiTheme="minorHAnsi" w:cstheme="minorHAnsi"/>
          <w:shd w:val="clear" w:color="auto" w:fill="FFFFFF"/>
        </w:rPr>
        <w:t>S.</w:t>
      </w:r>
      <w:proofErr w:type="gramEnd"/>
      <w:r w:rsidRPr="004810B8">
        <w:rPr>
          <w:rFonts w:asciiTheme="minorHAnsi" w:hAnsiTheme="minorHAnsi" w:cstheme="minorHAnsi"/>
          <w:shd w:val="clear" w:color="auto" w:fill="FFFFFF"/>
        </w:rPr>
        <w:t xml:space="preserve"> and Park, H.K., 2017. Efficiency analysis of major cruise lines. </w:t>
      </w:r>
      <w:r w:rsidRPr="004810B8">
        <w:rPr>
          <w:rFonts w:asciiTheme="minorHAnsi" w:hAnsiTheme="minorHAnsi" w:cstheme="minorHAnsi"/>
          <w:i/>
          <w:iCs/>
          <w:shd w:val="clear" w:color="auto" w:fill="FFFFFF"/>
        </w:rPr>
        <w:t>Tourism Management</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58</w:t>
      </w:r>
      <w:r w:rsidRPr="004810B8">
        <w:rPr>
          <w:rFonts w:asciiTheme="minorHAnsi" w:hAnsiTheme="minorHAnsi" w:cstheme="minorHAnsi"/>
          <w:shd w:val="clear" w:color="auto" w:fill="FFFFFF"/>
        </w:rPr>
        <w:t>, pp.78-88.</w:t>
      </w:r>
    </w:p>
    <w:p w14:paraId="7C34913D" w14:textId="77777777" w:rsidR="0053014F" w:rsidRPr="004810B8" w:rsidRDefault="0053014F" w:rsidP="0053014F">
      <w:pPr>
        <w:rPr>
          <w:rFonts w:asciiTheme="minorHAnsi" w:hAnsiTheme="minorHAnsi" w:cstheme="minorHAnsi"/>
          <w:shd w:val="clear" w:color="auto" w:fill="FFFFFF"/>
        </w:rPr>
      </w:pPr>
      <w:proofErr w:type="spellStart"/>
      <w:r w:rsidRPr="004810B8">
        <w:rPr>
          <w:rFonts w:asciiTheme="minorHAnsi" w:hAnsiTheme="minorHAnsi" w:cstheme="minorHAnsi"/>
          <w:shd w:val="clear" w:color="auto" w:fill="FFFFFF"/>
        </w:rPr>
        <w:t>Hindradjaja</w:t>
      </w:r>
      <w:proofErr w:type="spellEnd"/>
      <w:r w:rsidRPr="004810B8">
        <w:rPr>
          <w:rFonts w:asciiTheme="minorHAnsi" w:hAnsiTheme="minorHAnsi" w:cstheme="minorHAnsi"/>
          <w:shd w:val="clear" w:color="auto" w:fill="FFFFFF"/>
        </w:rPr>
        <w:t>, G.G., 2019. Financial Performance of Construction, Property, and Trading Companies Based on Working Capital, Liquidity Ratio, and Profitability Ratio. </w:t>
      </w:r>
      <w:r w:rsidRPr="004810B8">
        <w:rPr>
          <w:rFonts w:asciiTheme="minorHAnsi" w:hAnsiTheme="minorHAnsi" w:cstheme="minorHAnsi"/>
          <w:i/>
          <w:iCs/>
          <w:shd w:val="clear" w:color="auto" w:fill="FFFFFF"/>
        </w:rPr>
        <w:t>Advances in Civil Engineering and Sustainable Architecture</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2</w:t>
      </w:r>
      <w:r w:rsidRPr="004810B8">
        <w:rPr>
          <w:rFonts w:asciiTheme="minorHAnsi" w:hAnsiTheme="minorHAnsi" w:cstheme="minorHAnsi"/>
          <w:shd w:val="clear" w:color="auto" w:fill="FFFFFF"/>
        </w:rPr>
        <w:t>(1), pp.1-9.</w:t>
      </w:r>
    </w:p>
    <w:p w14:paraId="7C34913E" w14:textId="77777777" w:rsidR="0053014F" w:rsidRPr="004810B8" w:rsidRDefault="0053014F" w:rsidP="0053014F">
      <w:pPr>
        <w:rPr>
          <w:rFonts w:asciiTheme="minorHAnsi" w:hAnsiTheme="minorHAnsi" w:cstheme="minorHAnsi"/>
          <w:lang w:val="en-GB"/>
        </w:rPr>
      </w:pPr>
      <w:proofErr w:type="spellStart"/>
      <w:r w:rsidRPr="004810B8">
        <w:rPr>
          <w:rFonts w:asciiTheme="minorHAnsi" w:hAnsiTheme="minorHAnsi" w:cstheme="minorHAnsi"/>
          <w:shd w:val="clear" w:color="auto" w:fill="FFFFFF"/>
        </w:rPr>
        <w:t>Jäger</w:t>
      </w:r>
      <w:proofErr w:type="spellEnd"/>
      <w:r w:rsidRPr="004810B8">
        <w:rPr>
          <w:rFonts w:asciiTheme="minorHAnsi" w:hAnsiTheme="minorHAnsi" w:cstheme="minorHAnsi"/>
          <w:shd w:val="clear" w:color="auto" w:fill="FFFFFF"/>
        </w:rPr>
        <w:t>, P. and Schmidt, T., 2016. The political economy of public investment when population is aging: A panel cointegration analysis. </w:t>
      </w:r>
      <w:r w:rsidRPr="004810B8">
        <w:rPr>
          <w:rFonts w:asciiTheme="minorHAnsi" w:hAnsiTheme="minorHAnsi" w:cstheme="minorHAnsi"/>
          <w:i/>
          <w:iCs/>
          <w:shd w:val="clear" w:color="auto" w:fill="FFFFFF"/>
        </w:rPr>
        <w:t>European Journal of Political Economy</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43</w:t>
      </w:r>
      <w:r w:rsidRPr="004810B8">
        <w:rPr>
          <w:rFonts w:asciiTheme="minorHAnsi" w:hAnsiTheme="minorHAnsi" w:cstheme="minorHAnsi"/>
          <w:shd w:val="clear" w:color="auto" w:fill="FFFFFF"/>
        </w:rPr>
        <w:t>, pp.145-158.</w:t>
      </w:r>
    </w:p>
    <w:p w14:paraId="7C34913F" w14:textId="77777777" w:rsidR="0053014F" w:rsidRPr="004810B8" w:rsidRDefault="0053014F" w:rsidP="0053014F">
      <w:pPr>
        <w:rPr>
          <w:rFonts w:asciiTheme="minorHAnsi" w:hAnsiTheme="minorHAnsi" w:cstheme="minorHAnsi"/>
          <w:shd w:val="clear" w:color="auto" w:fill="FFFFFF"/>
        </w:rPr>
      </w:pPr>
      <w:proofErr w:type="spellStart"/>
      <w:r w:rsidRPr="004810B8">
        <w:rPr>
          <w:rFonts w:asciiTheme="minorHAnsi" w:hAnsiTheme="minorHAnsi" w:cstheme="minorHAnsi"/>
          <w:shd w:val="clear" w:color="auto" w:fill="FFFFFF"/>
        </w:rPr>
        <w:t>Kahraman</w:t>
      </w:r>
      <w:proofErr w:type="spellEnd"/>
      <w:r w:rsidRPr="004810B8">
        <w:rPr>
          <w:rFonts w:asciiTheme="minorHAnsi" w:hAnsiTheme="minorHAnsi" w:cstheme="minorHAnsi"/>
          <w:shd w:val="clear" w:color="auto" w:fill="FFFFFF"/>
        </w:rPr>
        <w:t xml:space="preserve">, C., </w:t>
      </w:r>
      <w:proofErr w:type="spellStart"/>
      <w:r w:rsidRPr="004810B8">
        <w:rPr>
          <w:rFonts w:asciiTheme="minorHAnsi" w:hAnsiTheme="minorHAnsi" w:cstheme="minorHAnsi"/>
          <w:shd w:val="clear" w:color="auto" w:fill="FFFFFF"/>
        </w:rPr>
        <w:t>Cevik</w:t>
      </w:r>
      <w:proofErr w:type="spellEnd"/>
      <w:r w:rsidRPr="004810B8">
        <w:rPr>
          <w:rFonts w:asciiTheme="minorHAnsi" w:hAnsiTheme="minorHAnsi" w:cstheme="minorHAnsi"/>
          <w:shd w:val="clear" w:color="auto" w:fill="FFFFFF"/>
        </w:rPr>
        <w:t xml:space="preserve"> </w:t>
      </w:r>
      <w:proofErr w:type="spellStart"/>
      <w:r w:rsidRPr="004810B8">
        <w:rPr>
          <w:rFonts w:asciiTheme="minorHAnsi" w:hAnsiTheme="minorHAnsi" w:cstheme="minorHAnsi"/>
          <w:shd w:val="clear" w:color="auto" w:fill="FFFFFF"/>
        </w:rPr>
        <w:t>Onar</w:t>
      </w:r>
      <w:proofErr w:type="spellEnd"/>
      <w:r w:rsidRPr="004810B8">
        <w:rPr>
          <w:rFonts w:asciiTheme="minorHAnsi" w:hAnsiTheme="minorHAnsi" w:cstheme="minorHAnsi"/>
          <w:shd w:val="clear" w:color="auto" w:fill="FFFFFF"/>
        </w:rPr>
        <w:t xml:space="preserve">, S. and </w:t>
      </w:r>
      <w:proofErr w:type="spellStart"/>
      <w:r w:rsidRPr="004810B8">
        <w:rPr>
          <w:rFonts w:asciiTheme="minorHAnsi" w:hAnsiTheme="minorHAnsi" w:cstheme="minorHAnsi"/>
          <w:shd w:val="clear" w:color="auto" w:fill="FFFFFF"/>
        </w:rPr>
        <w:t>Oztaysi</w:t>
      </w:r>
      <w:proofErr w:type="spellEnd"/>
      <w:r w:rsidRPr="004810B8">
        <w:rPr>
          <w:rFonts w:asciiTheme="minorHAnsi" w:hAnsiTheme="minorHAnsi" w:cstheme="minorHAnsi"/>
          <w:shd w:val="clear" w:color="auto" w:fill="FFFFFF"/>
        </w:rPr>
        <w:t>, B., 2016. A comparison of wind energy investment alternatives using interval-valued intuitionistic fuzzy benefit/cost analysis. </w:t>
      </w:r>
      <w:r w:rsidRPr="004810B8">
        <w:rPr>
          <w:rFonts w:asciiTheme="minorHAnsi" w:hAnsiTheme="minorHAnsi" w:cstheme="minorHAnsi"/>
          <w:i/>
          <w:iCs/>
          <w:shd w:val="clear" w:color="auto" w:fill="FFFFFF"/>
        </w:rPr>
        <w:t>Sustainability</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8</w:t>
      </w:r>
      <w:r w:rsidRPr="004810B8">
        <w:rPr>
          <w:rFonts w:asciiTheme="minorHAnsi" w:hAnsiTheme="minorHAnsi" w:cstheme="minorHAnsi"/>
          <w:shd w:val="clear" w:color="auto" w:fill="FFFFFF"/>
        </w:rPr>
        <w:t>(2), p.118.</w:t>
      </w:r>
    </w:p>
    <w:p w14:paraId="7C349140"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 xml:space="preserve">Kumar, S., </w:t>
      </w:r>
      <w:proofErr w:type="spellStart"/>
      <w:r w:rsidRPr="004810B8">
        <w:rPr>
          <w:rFonts w:asciiTheme="minorHAnsi" w:hAnsiTheme="minorHAnsi" w:cstheme="minorHAnsi"/>
          <w:shd w:val="clear" w:color="auto" w:fill="FFFFFF"/>
        </w:rPr>
        <w:t>Colombage</w:t>
      </w:r>
      <w:proofErr w:type="spellEnd"/>
      <w:r w:rsidRPr="004810B8">
        <w:rPr>
          <w:rFonts w:asciiTheme="minorHAnsi" w:hAnsiTheme="minorHAnsi" w:cstheme="minorHAnsi"/>
          <w:shd w:val="clear" w:color="auto" w:fill="FFFFFF"/>
        </w:rPr>
        <w:t>, S. and Rao, P., 2017. Research on capital structure determinants: a review and future directions. </w:t>
      </w:r>
      <w:r w:rsidRPr="004810B8">
        <w:rPr>
          <w:rFonts w:asciiTheme="minorHAnsi" w:hAnsiTheme="minorHAnsi" w:cstheme="minorHAnsi"/>
          <w:i/>
          <w:iCs/>
          <w:shd w:val="clear" w:color="auto" w:fill="FFFFFF"/>
        </w:rPr>
        <w:t>International Journal of Managerial Finance</w:t>
      </w:r>
      <w:r w:rsidRPr="004810B8">
        <w:rPr>
          <w:rFonts w:asciiTheme="minorHAnsi" w:hAnsiTheme="minorHAnsi" w:cstheme="minorHAnsi"/>
          <w:shd w:val="clear" w:color="auto" w:fill="FFFFFF"/>
        </w:rPr>
        <w:t>.</w:t>
      </w:r>
    </w:p>
    <w:p w14:paraId="7C349141" w14:textId="77777777" w:rsidR="0053014F" w:rsidRPr="004810B8" w:rsidRDefault="0053014F" w:rsidP="0053014F">
      <w:pPr>
        <w:rPr>
          <w:rFonts w:asciiTheme="minorHAnsi" w:hAnsiTheme="minorHAnsi" w:cstheme="minorHAnsi"/>
          <w:lang w:val="en-GB"/>
        </w:rPr>
      </w:pPr>
      <w:r w:rsidRPr="004810B8">
        <w:rPr>
          <w:rFonts w:asciiTheme="minorHAnsi" w:hAnsiTheme="minorHAnsi" w:cstheme="minorHAnsi"/>
          <w:shd w:val="clear" w:color="auto" w:fill="FFFFFF"/>
        </w:rPr>
        <w:t>Nalurita, F., 2017. The effect of profitability ratio, solvability ratio, market ratio on stock return. </w:t>
      </w:r>
      <w:r w:rsidRPr="004810B8">
        <w:rPr>
          <w:rFonts w:asciiTheme="minorHAnsi" w:hAnsiTheme="minorHAnsi" w:cstheme="minorHAnsi"/>
          <w:i/>
          <w:iCs/>
          <w:shd w:val="clear" w:color="auto" w:fill="FFFFFF"/>
        </w:rPr>
        <w:t>Business and Entrepreneurial Review</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15</w:t>
      </w:r>
      <w:r w:rsidRPr="004810B8">
        <w:rPr>
          <w:rFonts w:asciiTheme="minorHAnsi" w:hAnsiTheme="minorHAnsi" w:cstheme="minorHAnsi"/>
          <w:shd w:val="clear" w:color="auto" w:fill="FFFFFF"/>
        </w:rPr>
        <w:t>(1), pp.73-94.</w:t>
      </w:r>
    </w:p>
    <w:p w14:paraId="7C349142" w14:textId="77777777" w:rsidR="0053014F" w:rsidRPr="004810B8" w:rsidRDefault="0053014F" w:rsidP="0053014F">
      <w:pPr>
        <w:rPr>
          <w:rFonts w:asciiTheme="minorHAnsi" w:hAnsiTheme="minorHAnsi" w:cstheme="minorHAnsi"/>
          <w:lang w:val="en-GB"/>
        </w:rPr>
      </w:pPr>
      <w:r w:rsidRPr="004810B8">
        <w:rPr>
          <w:rFonts w:asciiTheme="minorHAnsi" w:hAnsiTheme="minorHAnsi" w:cstheme="minorHAnsi"/>
          <w:shd w:val="clear" w:color="auto" w:fill="FFFFFF"/>
        </w:rPr>
        <w:t>Pando, V., San-José, L.A. and Sicilia, J., 2019. Profitability ratio maximization in an inventory model with stock-dependent demand rate and non-linear holding cost. </w:t>
      </w:r>
      <w:r w:rsidRPr="004810B8">
        <w:rPr>
          <w:rFonts w:asciiTheme="minorHAnsi" w:hAnsiTheme="minorHAnsi" w:cstheme="minorHAnsi"/>
          <w:i/>
          <w:iCs/>
          <w:shd w:val="clear" w:color="auto" w:fill="FFFFFF"/>
        </w:rPr>
        <w:t>Applied Mathematical Modelling</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66</w:t>
      </w:r>
      <w:r w:rsidRPr="004810B8">
        <w:rPr>
          <w:rFonts w:asciiTheme="minorHAnsi" w:hAnsiTheme="minorHAnsi" w:cstheme="minorHAnsi"/>
          <w:shd w:val="clear" w:color="auto" w:fill="FFFFFF"/>
        </w:rPr>
        <w:t>, pp.643-661.</w:t>
      </w:r>
    </w:p>
    <w:p w14:paraId="7C349143" w14:textId="77777777" w:rsidR="0053014F" w:rsidRPr="004810B8" w:rsidRDefault="0053014F" w:rsidP="0053014F">
      <w:pPr>
        <w:rPr>
          <w:rFonts w:asciiTheme="minorHAnsi" w:hAnsiTheme="minorHAnsi" w:cstheme="minorHAnsi"/>
          <w:shd w:val="clear" w:color="auto" w:fill="FFFFFF"/>
        </w:rPr>
      </w:pPr>
      <w:proofErr w:type="spellStart"/>
      <w:r w:rsidRPr="004810B8">
        <w:rPr>
          <w:rFonts w:asciiTheme="minorHAnsi" w:hAnsiTheme="minorHAnsi" w:cstheme="minorHAnsi"/>
          <w:shd w:val="clear" w:color="auto" w:fill="FFFFFF"/>
        </w:rPr>
        <w:lastRenderedPageBreak/>
        <w:t>Pyza</w:t>
      </w:r>
      <w:proofErr w:type="spellEnd"/>
      <w:r w:rsidRPr="004810B8">
        <w:rPr>
          <w:rFonts w:asciiTheme="minorHAnsi" w:hAnsiTheme="minorHAnsi" w:cstheme="minorHAnsi"/>
          <w:shd w:val="clear" w:color="auto" w:fill="FFFFFF"/>
        </w:rPr>
        <w:t xml:space="preserve">, D., </w:t>
      </w:r>
      <w:proofErr w:type="spellStart"/>
      <w:r w:rsidRPr="004810B8">
        <w:rPr>
          <w:rFonts w:asciiTheme="minorHAnsi" w:hAnsiTheme="minorHAnsi" w:cstheme="minorHAnsi"/>
          <w:shd w:val="clear" w:color="auto" w:fill="FFFFFF"/>
        </w:rPr>
        <w:t>Jachimowski</w:t>
      </w:r>
      <w:proofErr w:type="spellEnd"/>
      <w:r w:rsidRPr="004810B8">
        <w:rPr>
          <w:rFonts w:asciiTheme="minorHAnsi" w:hAnsiTheme="minorHAnsi" w:cstheme="minorHAnsi"/>
          <w:shd w:val="clear" w:color="auto" w:fill="FFFFFF"/>
        </w:rPr>
        <w:t xml:space="preserve">, R., </w:t>
      </w:r>
      <w:proofErr w:type="spellStart"/>
      <w:r w:rsidRPr="004810B8">
        <w:rPr>
          <w:rFonts w:asciiTheme="minorHAnsi" w:hAnsiTheme="minorHAnsi" w:cstheme="minorHAnsi"/>
          <w:shd w:val="clear" w:color="auto" w:fill="FFFFFF"/>
        </w:rPr>
        <w:t>Jacyna-Gołda</w:t>
      </w:r>
      <w:proofErr w:type="spellEnd"/>
      <w:r w:rsidRPr="004810B8">
        <w:rPr>
          <w:rFonts w:asciiTheme="minorHAnsi" w:hAnsiTheme="minorHAnsi" w:cstheme="minorHAnsi"/>
          <w:shd w:val="clear" w:color="auto" w:fill="FFFFFF"/>
        </w:rPr>
        <w:t xml:space="preserve">, I. and </w:t>
      </w:r>
      <w:proofErr w:type="spellStart"/>
      <w:r w:rsidRPr="004810B8">
        <w:rPr>
          <w:rFonts w:asciiTheme="minorHAnsi" w:hAnsiTheme="minorHAnsi" w:cstheme="minorHAnsi"/>
          <w:shd w:val="clear" w:color="auto" w:fill="FFFFFF"/>
        </w:rPr>
        <w:t>Lewczuk</w:t>
      </w:r>
      <w:proofErr w:type="spellEnd"/>
      <w:r w:rsidRPr="004810B8">
        <w:rPr>
          <w:rFonts w:asciiTheme="minorHAnsi" w:hAnsiTheme="minorHAnsi" w:cstheme="minorHAnsi"/>
          <w:shd w:val="clear" w:color="auto" w:fill="FFFFFF"/>
        </w:rPr>
        <w:t>, K., 2017. Performance of equipment and means of internal transport and efficiency of implementation of warehouse processes. </w:t>
      </w:r>
      <w:r w:rsidRPr="004810B8">
        <w:rPr>
          <w:rFonts w:asciiTheme="minorHAnsi" w:hAnsiTheme="minorHAnsi" w:cstheme="minorHAnsi"/>
          <w:i/>
          <w:iCs/>
          <w:shd w:val="clear" w:color="auto" w:fill="FFFFFF"/>
        </w:rPr>
        <w:t>Procedia Engineering</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187</w:t>
      </w:r>
      <w:r w:rsidRPr="004810B8">
        <w:rPr>
          <w:rFonts w:asciiTheme="minorHAnsi" w:hAnsiTheme="minorHAnsi" w:cstheme="minorHAnsi"/>
          <w:shd w:val="clear" w:color="auto" w:fill="FFFFFF"/>
        </w:rPr>
        <w:t>, pp.706-711.</w:t>
      </w:r>
    </w:p>
    <w:p w14:paraId="7C349144" w14:textId="77777777" w:rsidR="0053014F" w:rsidRPr="004810B8" w:rsidRDefault="0053014F">
      <w:pPr>
        <w:rPr>
          <w:rFonts w:asciiTheme="minorHAnsi" w:hAnsiTheme="minorHAnsi" w:cstheme="minorHAnsi"/>
          <w:shd w:val="clear" w:color="auto" w:fill="FFFFFF"/>
        </w:rPr>
      </w:pPr>
    </w:p>
    <w:sectPr w:rsidR="0053014F" w:rsidRPr="004810B8" w:rsidSect="00EE26D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A8836" w14:textId="77777777" w:rsidR="00D15C8B" w:rsidRDefault="00D15C8B" w:rsidP="0053014F">
      <w:pPr>
        <w:spacing w:before="0" w:after="0" w:line="240" w:lineRule="auto"/>
      </w:pPr>
      <w:r>
        <w:separator/>
      </w:r>
    </w:p>
  </w:endnote>
  <w:endnote w:type="continuationSeparator" w:id="0">
    <w:p w14:paraId="22E0B7A5" w14:textId="77777777" w:rsidR="00D15C8B" w:rsidRDefault="00D15C8B" w:rsidP="005301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75736"/>
      <w:docPartObj>
        <w:docPartGallery w:val="Page Numbers (Bottom of Page)"/>
        <w:docPartUnique/>
      </w:docPartObj>
    </w:sdtPr>
    <w:sdtEndPr/>
    <w:sdtContent>
      <w:p w14:paraId="7C349149" w14:textId="77777777" w:rsidR="0053014F" w:rsidRDefault="004810B8">
        <w:pPr>
          <w:pStyle w:val="aa"/>
          <w:jc w:val="right"/>
        </w:pPr>
        <w:r>
          <w:fldChar w:fldCharType="begin"/>
        </w:r>
        <w:r>
          <w:instrText xml:space="preserve"> PAGE   \* MERGEFORMAT </w:instrText>
        </w:r>
        <w:r>
          <w:fldChar w:fldCharType="separate"/>
        </w:r>
        <w:r w:rsidR="002E337A">
          <w:rPr>
            <w:noProof/>
          </w:rPr>
          <w:t>4</w:t>
        </w:r>
        <w:r>
          <w:rPr>
            <w:noProof/>
          </w:rPr>
          <w:fldChar w:fldCharType="end"/>
        </w:r>
      </w:p>
    </w:sdtContent>
  </w:sdt>
  <w:p w14:paraId="7C34914A" w14:textId="77777777" w:rsidR="0053014F" w:rsidRDefault="005301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D063A4" w14:textId="77777777" w:rsidR="00D15C8B" w:rsidRDefault="00D15C8B" w:rsidP="0053014F">
      <w:pPr>
        <w:spacing w:before="0" w:after="0" w:line="240" w:lineRule="auto"/>
      </w:pPr>
      <w:r>
        <w:separator/>
      </w:r>
    </w:p>
  </w:footnote>
  <w:footnote w:type="continuationSeparator" w:id="0">
    <w:p w14:paraId="575156D6" w14:textId="77777777" w:rsidR="00D15C8B" w:rsidRDefault="00D15C8B" w:rsidP="0053014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07605"/>
    <w:multiLevelType w:val="hybridMultilevel"/>
    <w:tmpl w:val="4300A94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00D8"/>
    <w:rsid w:val="001B70E9"/>
    <w:rsid w:val="001E60FF"/>
    <w:rsid w:val="00221387"/>
    <w:rsid w:val="00230ECC"/>
    <w:rsid w:val="00282F3E"/>
    <w:rsid w:val="002854F3"/>
    <w:rsid w:val="002947F9"/>
    <w:rsid w:val="002E337A"/>
    <w:rsid w:val="00370787"/>
    <w:rsid w:val="00411A00"/>
    <w:rsid w:val="004420F7"/>
    <w:rsid w:val="004634AA"/>
    <w:rsid w:val="004810B8"/>
    <w:rsid w:val="0053014F"/>
    <w:rsid w:val="005442A0"/>
    <w:rsid w:val="005707A2"/>
    <w:rsid w:val="0077241E"/>
    <w:rsid w:val="00780EA0"/>
    <w:rsid w:val="00783EA3"/>
    <w:rsid w:val="007D4EBE"/>
    <w:rsid w:val="00820C66"/>
    <w:rsid w:val="008251DA"/>
    <w:rsid w:val="00841049"/>
    <w:rsid w:val="00885495"/>
    <w:rsid w:val="008D19C7"/>
    <w:rsid w:val="008F53BC"/>
    <w:rsid w:val="00904261"/>
    <w:rsid w:val="00965AEB"/>
    <w:rsid w:val="00984373"/>
    <w:rsid w:val="009A1269"/>
    <w:rsid w:val="009C553A"/>
    <w:rsid w:val="009F06AE"/>
    <w:rsid w:val="00A209C3"/>
    <w:rsid w:val="00A35DDD"/>
    <w:rsid w:val="00A877D3"/>
    <w:rsid w:val="00AF1E5C"/>
    <w:rsid w:val="00AF65EA"/>
    <w:rsid w:val="00B76C68"/>
    <w:rsid w:val="00BC07BD"/>
    <w:rsid w:val="00C32322"/>
    <w:rsid w:val="00C5513D"/>
    <w:rsid w:val="00C81F58"/>
    <w:rsid w:val="00C940AD"/>
    <w:rsid w:val="00CA0C17"/>
    <w:rsid w:val="00CF2C5A"/>
    <w:rsid w:val="00D137FC"/>
    <w:rsid w:val="00D15C8B"/>
    <w:rsid w:val="00D15E4F"/>
    <w:rsid w:val="00D91BC8"/>
    <w:rsid w:val="00E000D8"/>
    <w:rsid w:val="00E13C7C"/>
    <w:rsid w:val="00E20FC0"/>
    <w:rsid w:val="00ED42EA"/>
    <w:rsid w:val="00EE26DC"/>
    <w:rsid w:val="00FE1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9063"/>
  <w15:docId w15:val="{2DA2B8CA-0410-48EB-90C4-A8B8EC4E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0D8"/>
    <w:pPr>
      <w:spacing w:before="120" w:after="280" w:line="360" w:lineRule="auto"/>
      <w:jc w:val="both"/>
    </w:pPr>
    <w:rPr>
      <w:rFonts w:ascii="Times New Roman" w:hAnsi="Times New Roman"/>
      <w:sz w:val="24"/>
      <w:lang w:val="en-US"/>
    </w:rPr>
  </w:style>
  <w:style w:type="paragraph" w:styleId="1">
    <w:name w:val="heading 1"/>
    <w:basedOn w:val="a"/>
    <w:next w:val="a"/>
    <w:link w:val="10"/>
    <w:uiPriority w:val="9"/>
    <w:qFormat/>
    <w:rsid w:val="001E60FF"/>
    <w:pPr>
      <w:outlineLvl w:val="0"/>
    </w:pPr>
    <w:rPr>
      <w:rFonts w:cs="Times New Roman"/>
      <w:b/>
    </w:rPr>
  </w:style>
  <w:style w:type="paragraph" w:styleId="2">
    <w:name w:val="heading 2"/>
    <w:basedOn w:val="a"/>
    <w:next w:val="a"/>
    <w:link w:val="20"/>
    <w:uiPriority w:val="9"/>
    <w:semiHidden/>
    <w:unhideWhenUsed/>
    <w:qFormat/>
    <w:rsid w:val="00BC07BD"/>
    <w:pPr>
      <w:keepNext/>
      <w:keepLines/>
      <w:spacing w:before="200"/>
      <w:outlineLvl w:val="1"/>
    </w:pPr>
    <w:rPr>
      <w:rFonts w:eastAsiaTheme="majorEastAsia" w:cstheme="majorBidi"/>
      <w:b/>
      <w:bCs/>
      <w:szCs w:val="26"/>
      <w:lang w:val="en-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E1314"/>
    <w:pPr>
      <w:pBdr>
        <w:bottom w:val="single" w:sz="8" w:space="4" w:color="4F81BD" w:themeColor="accent1"/>
      </w:pBdr>
      <w:spacing w:after="300"/>
      <w:contextualSpacing/>
      <w:jc w:val="center"/>
    </w:pPr>
    <w:rPr>
      <w:rFonts w:eastAsiaTheme="majorEastAsia" w:cstheme="majorBidi"/>
      <w:spacing w:val="5"/>
      <w:kern w:val="28"/>
      <w:sz w:val="36"/>
      <w:szCs w:val="52"/>
      <w:lang w:val="en-IN"/>
    </w:rPr>
  </w:style>
  <w:style w:type="character" w:customStyle="1" w:styleId="a4">
    <w:name w:val="Заглавие Знак"/>
    <w:basedOn w:val="a0"/>
    <w:link w:val="a3"/>
    <w:uiPriority w:val="10"/>
    <w:rsid w:val="00FE1314"/>
    <w:rPr>
      <w:rFonts w:ascii="Times New Roman" w:eastAsiaTheme="majorEastAsia" w:hAnsi="Times New Roman" w:cstheme="majorBidi"/>
      <w:spacing w:val="5"/>
      <w:kern w:val="28"/>
      <w:sz w:val="36"/>
      <w:szCs w:val="52"/>
    </w:rPr>
  </w:style>
  <w:style w:type="character" w:customStyle="1" w:styleId="10">
    <w:name w:val="Заглавие 1 Знак"/>
    <w:basedOn w:val="a0"/>
    <w:link w:val="1"/>
    <w:uiPriority w:val="9"/>
    <w:rsid w:val="001E60FF"/>
    <w:rPr>
      <w:rFonts w:ascii="Times New Roman" w:hAnsi="Times New Roman" w:cs="Times New Roman"/>
      <w:b/>
      <w:sz w:val="24"/>
      <w:lang w:val="en-GB"/>
    </w:rPr>
  </w:style>
  <w:style w:type="character" w:customStyle="1" w:styleId="20">
    <w:name w:val="Заглавие 2 Знак"/>
    <w:basedOn w:val="a0"/>
    <w:link w:val="2"/>
    <w:uiPriority w:val="9"/>
    <w:semiHidden/>
    <w:rsid w:val="00BC07BD"/>
    <w:rPr>
      <w:rFonts w:ascii="Times New Roman" w:eastAsiaTheme="majorEastAsia" w:hAnsi="Times New Roman" w:cstheme="majorBidi"/>
      <w:b/>
      <w:bCs/>
      <w:sz w:val="24"/>
      <w:szCs w:val="26"/>
    </w:rPr>
  </w:style>
  <w:style w:type="paragraph" w:styleId="a5">
    <w:name w:val="Normal (Web)"/>
    <w:basedOn w:val="a"/>
    <w:uiPriority w:val="99"/>
    <w:unhideWhenUsed/>
    <w:rsid w:val="00984373"/>
    <w:pPr>
      <w:spacing w:before="100" w:beforeAutospacing="1" w:after="100" w:afterAutospacing="1" w:line="240" w:lineRule="auto"/>
      <w:jc w:val="left"/>
    </w:pPr>
    <w:rPr>
      <w:rFonts w:eastAsia="Times New Roman" w:cs="Times New Roman"/>
      <w:szCs w:val="24"/>
      <w:lang w:val="en-IN" w:eastAsia="en-IN"/>
    </w:rPr>
  </w:style>
  <w:style w:type="character" w:styleId="a6">
    <w:name w:val="Strong"/>
    <w:basedOn w:val="a0"/>
    <w:uiPriority w:val="22"/>
    <w:qFormat/>
    <w:rsid w:val="00984373"/>
    <w:rPr>
      <w:b/>
      <w:bCs/>
    </w:rPr>
  </w:style>
  <w:style w:type="paragraph" w:styleId="a7">
    <w:name w:val="List Paragraph"/>
    <w:basedOn w:val="a"/>
    <w:uiPriority w:val="34"/>
    <w:qFormat/>
    <w:rsid w:val="0053014F"/>
    <w:pPr>
      <w:ind w:left="720"/>
      <w:contextualSpacing/>
    </w:pPr>
  </w:style>
  <w:style w:type="paragraph" w:styleId="a8">
    <w:name w:val="header"/>
    <w:basedOn w:val="a"/>
    <w:link w:val="a9"/>
    <w:uiPriority w:val="99"/>
    <w:semiHidden/>
    <w:unhideWhenUsed/>
    <w:rsid w:val="0053014F"/>
    <w:pPr>
      <w:tabs>
        <w:tab w:val="center" w:pos="4513"/>
        <w:tab w:val="right" w:pos="9026"/>
      </w:tabs>
      <w:spacing w:before="0" w:after="0" w:line="240" w:lineRule="auto"/>
    </w:pPr>
  </w:style>
  <w:style w:type="character" w:customStyle="1" w:styleId="a9">
    <w:name w:val="Горен колонтитул Знак"/>
    <w:basedOn w:val="a0"/>
    <w:link w:val="a8"/>
    <w:uiPriority w:val="99"/>
    <w:semiHidden/>
    <w:rsid w:val="0053014F"/>
    <w:rPr>
      <w:rFonts w:ascii="Times New Roman" w:hAnsi="Times New Roman"/>
      <w:sz w:val="24"/>
      <w:lang w:val="en-US"/>
    </w:rPr>
  </w:style>
  <w:style w:type="paragraph" w:styleId="aa">
    <w:name w:val="footer"/>
    <w:basedOn w:val="a"/>
    <w:link w:val="ab"/>
    <w:uiPriority w:val="99"/>
    <w:unhideWhenUsed/>
    <w:rsid w:val="0053014F"/>
    <w:pPr>
      <w:tabs>
        <w:tab w:val="center" w:pos="4513"/>
        <w:tab w:val="right" w:pos="9026"/>
      </w:tabs>
      <w:spacing w:before="0" w:after="0" w:line="240" w:lineRule="auto"/>
    </w:pPr>
  </w:style>
  <w:style w:type="character" w:customStyle="1" w:styleId="ab">
    <w:name w:val="Долен колонтитул Знак"/>
    <w:basedOn w:val="a0"/>
    <w:link w:val="aa"/>
    <w:uiPriority w:val="99"/>
    <w:rsid w:val="0053014F"/>
    <w:rPr>
      <w:rFonts w:ascii="Times New Roman" w:hAnsi="Times New Roman"/>
      <w:sz w:val="24"/>
      <w:lang w:val="en-US"/>
    </w:rPr>
  </w:style>
  <w:style w:type="paragraph" w:styleId="ac">
    <w:name w:val="TOC Heading"/>
    <w:basedOn w:val="1"/>
    <w:next w:val="a"/>
    <w:uiPriority w:val="39"/>
    <w:semiHidden/>
    <w:unhideWhenUsed/>
    <w:qFormat/>
    <w:rsid w:val="0053014F"/>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11">
    <w:name w:val="toc 1"/>
    <w:basedOn w:val="a"/>
    <w:next w:val="a"/>
    <w:autoRedefine/>
    <w:uiPriority w:val="39"/>
    <w:unhideWhenUsed/>
    <w:rsid w:val="0053014F"/>
    <w:pPr>
      <w:spacing w:after="100"/>
    </w:pPr>
  </w:style>
  <w:style w:type="character" w:styleId="ad">
    <w:name w:val="Hyperlink"/>
    <w:basedOn w:val="a0"/>
    <w:uiPriority w:val="99"/>
    <w:unhideWhenUsed/>
    <w:rsid w:val="0053014F"/>
    <w:rPr>
      <w:color w:val="0000FF" w:themeColor="hyperlink"/>
      <w:u w:val="single"/>
    </w:rPr>
  </w:style>
  <w:style w:type="paragraph" w:styleId="ae">
    <w:name w:val="Balloon Text"/>
    <w:basedOn w:val="a"/>
    <w:link w:val="af"/>
    <w:uiPriority w:val="99"/>
    <w:semiHidden/>
    <w:unhideWhenUsed/>
    <w:rsid w:val="0053014F"/>
    <w:pPr>
      <w:spacing w:before="0" w:after="0" w:line="240" w:lineRule="auto"/>
    </w:pPr>
    <w:rPr>
      <w:rFonts w:ascii="Tahoma" w:hAnsi="Tahoma" w:cs="Tahoma"/>
      <w:sz w:val="16"/>
      <w:szCs w:val="16"/>
    </w:rPr>
  </w:style>
  <w:style w:type="character" w:customStyle="1" w:styleId="af">
    <w:name w:val="Изнесен текст Знак"/>
    <w:basedOn w:val="a0"/>
    <w:link w:val="ae"/>
    <w:uiPriority w:val="99"/>
    <w:semiHidden/>
    <w:rsid w:val="0053014F"/>
    <w:rPr>
      <w:rFonts w:ascii="Tahoma" w:hAnsi="Tahoma" w:cs="Tahoma"/>
      <w:sz w:val="16"/>
      <w:szCs w:val="16"/>
      <w:lang w:val="en-US"/>
    </w:rPr>
  </w:style>
  <w:style w:type="table" w:styleId="-3">
    <w:name w:val="Light Shading Accent 3"/>
    <w:basedOn w:val="a1"/>
    <w:uiPriority w:val="60"/>
    <w:rsid w:val="0077241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2">
    <w:name w:val="Light Shading Accent 2"/>
    <w:basedOn w:val="a1"/>
    <w:uiPriority w:val="60"/>
    <w:rsid w:val="0077241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f0">
    <w:name w:val="Table Grid"/>
    <w:basedOn w:val="a1"/>
    <w:uiPriority w:val="59"/>
    <w:rsid w:val="007724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1">
    <w:name w:val="Light Shading"/>
    <w:basedOn w:val="a1"/>
    <w:uiPriority w:val="60"/>
    <w:rsid w:val="0077241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452070">
      <w:bodyDiv w:val="1"/>
      <w:marLeft w:val="0"/>
      <w:marRight w:val="0"/>
      <w:marTop w:val="0"/>
      <w:marBottom w:val="0"/>
      <w:divBdr>
        <w:top w:val="none" w:sz="0" w:space="0" w:color="auto"/>
        <w:left w:val="none" w:sz="0" w:space="0" w:color="auto"/>
        <w:bottom w:val="none" w:sz="0" w:space="0" w:color="auto"/>
        <w:right w:val="none" w:sz="0" w:space="0" w:color="auto"/>
      </w:divBdr>
    </w:div>
    <w:div w:id="673918699">
      <w:bodyDiv w:val="1"/>
      <w:marLeft w:val="0"/>
      <w:marRight w:val="0"/>
      <w:marTop w:val="0"/>
      <w:marBottom w:val="0"/>
      <w:divBdr>
        <w:top w:val="none" w:sz="0" w:space="0" w:color="auto"/>
        <w:left w:val="none" w:sz="0" w:space="0" w:color="auto"/>
        <w:bottom w:val="none" w:sz="0" w:space="0" w:color="auto"/>
        <w:right w:val="none" w:sz="0" w:space="0" w:color="auto"/>
      </w:divBdr>
    </w:div>
    <w:div w:id="1272737425">
      <w:bodyDiv w:val="1"/>
      <w:marLeft w:val="0"/>
      <w:marRight w:val="0"/>
      <w:marTop w:val="0"/>
      <w:marBottom w:val="0"/>
      <w:divBdr>
        <w:top w:val="none" w:sz="0" w:space="0" w:color="auto"/>
        <w:left w:val="none" w:sz="0" w:space="0" w:color="auto"/>
        <w:bottom w:val="none" w:sz="0" w:space="0" w:color="auto"/>
        <w:right w:val="none" w:sz="0" w:space="0" w:color="auto"/>
      </w:divBdr>
    </w:div>
    <w:div w:id="185225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8FF55-4456-4A97-95D9-C06C78B6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2868</Words>
  <Characters>16353</Characters>
  <Application>Microsoft Office Word</Application>
  <DocSecurity>0</DocSecurity>
  <Lines>136</Lines>
  <Paragraphs>38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Executive summary 150</vt:lpstr>
      <vt:lpstr>Main part 2100</vt:lpstr>
      <vt:lpstr>Conclusion</vt:lpstr>
      <vt:lpstr>Reference list</vt:lpstr>
    </vt:vector>
  </TitlesOfParts>
  <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Iordanka Manoilova</cp:lastModifiedBy>
  <cp:revision>13</cp:revision>
  <dcterms:created xsi:type="dcterms:W3CDTF">2020-07-23T17:34:00Z</dcterms:created>
  <dcterms:modified xsi:type="dcterms:W3CDTF">2020-07-29T13:25:00Z</dcterms:modified>
</cp:coreProperties>
</file>