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68E9" w:rsidRDefault="00CC3394" w:rsidP="002868E9">
      <w:pPr>
        <w:jc w:val="center"/>
      </w:pPr>
      <w:r w:rsidRPr="00CC3394">
        <w:drawing>
          <wp:inline distT="0" distB="0" distL="0" distR="0">
            <wp:extent cx="5695950" cy="904875"/>
            <wp:effectExtent l="19050" t="0" r="0" b="0"/>
            <wp:docPr id="2" name="Picture 2" descr="Logo of UWTSD Moodle 2021/22"/>
            <wp:cNvGraphicFramePr/>
            <a:graphic xmlns:a="http://schemas.openxmlformats.org/drawingml/2006/main">
              <a:graphicData uri="http://schemas.openxmlformats.org/drawingml/2006/picture">
                <pic:pic xmlns:pic="http://schemas.openxmlformats.org/drawingml/2006/picture">
                  <pic:nvPicPr>
                    <pic:cNvPr id="2" name="Picture 1" descr="Logo of UWTSD Moodle 2021/22"/>
                    <pic:cNvPicPr>
                      <a:picLocks noChangeAspect="1"/>
                    </pic:cNvPicPr>
                  </pic:nvPicPr>
                  <pic:blipFill>
                    <a:blip r:embed="rId8"/>
                    <a:srcRect/>
                    <a:stretch>
                      <a:fillRect/>
                    </a:stretch>
                  </pic:blipFill>
                  <pic:spPr bwMode="auto">
                    <a:xfrm>
                      <a:off x="0" y="0"/>
                      <a:ext cx="5695950" cy="904875"/>
                    </a:xfrm>
                    <a:prstGeom prst="rect">
                      <a:avLst/>
                    </a:prstGeom>
                    <a:noFill/>
                    <a:ln w="9525">
                      <a:noFill/>
                      <a:miter lim="800000"/>
                      <a:headEnd/>
                      <a:tailEnd/>
                    </a:ln>
                  </pic:spPr>
                </pic:pic>
              </a:graphicData>
            </a:graphic>
          </wp:inline>
        </w:drawing>
      </w:r>
    </w:p>
    <w:p w:rsidR="002868E9" w:rsidRDefault="002868E9" w:rsidP="002868E9">
      <w:pPr>
        <w:jc w:val="center"/>
      </w:pPr>
    </w:p>
    <w:p w:rsidR="00CC3394" w:rsidRDefault="00CC3394" w:rsidP="00CC3394">
      <w:pPr>
        <w:jc w:val="center"/>
        <w:rPr>
          <w:rFonts w:cs="Times New Roman"/>
          <w:b/>
          <w:sz w:val="40"/>
          <w:szCs w:val="40"/>
        </w:rPr>
      </w:pPr>
      <w:r>
        <w:rPr>
          <w:rFonts w:cs="Times New Roman"/>
          <w:b/>
          <w:sz w:val="40"/>
          <w:szCs w:val="40"/>
        </w:rPr>
        <w:t>Programme: BA Business Management</w:t>
      </w:r>
    </w:p>
    <w:p w:rsidR="00CC3394" w:rsidRDefault="00CC3394" w:rsidP="00CC3394">
      <w:pPr>
        <w:jc w:val="center"/>
        <w:rPr>
          <w:rFonts w:cs="Times New Roman"/>
          <w:b/>
          <w:sz w:val="28"/>
          <w:szCs w:val="28"/>
        </w:rPr>
      </w:pPr>
    </w:p>
    <w:p w:rsidR="00CC3394" w:rsidRPr="00CC3394" w:rsidRDefault="001F390E" w:rsidP="00CC3394">
      <w:r>
        <w:rPr>
          <w:rFonts w:cs="Times New Roman"/>
          <w:b/>
          <w:sz w:val="32"/>
          <w:szCs w:val="32"/>
        </w:rPr>
        <w:t xml:space="preserve">          </w:t>
      </w:r>
      <w:r w:rsidR="00CC3394">
        <w:rPr>
          <w:rFonts w:cs="Times New Roman"/>
          <w:b/>
          <w:sz w:val="32"/>
          <w:szCs w:val="32"/>
        </w:rPr>
        <w:t>Module:</w:t>
      </w:r>
      <w:r w:rsidR="00CC3394" w:rsidRPr="002A3006">
        <w:rPr>
          <w:rFonts w:cs="Times New Roman"/>
          <w:b/>
          <w:sz w:val="32"/>
          <w:szCs w:val="32"/>
        </w:rPr>
        <w:t xml:space="preserve"> </w:t>
      </w:r>
      <w:r w:rsidR="00CC3394">
        <w:rPr>
          <w:rFonts w:cs="Times New Roman"/>
          <w:b/>
          <w:sz w:val="32"/>
          <w:szCs w:val="32"/>
        </w:rPr>
        <w:t xml:space="preserve">Community Engagement </w:t>
      </w:r>
      <w:r w:rsidR="00CC3394">
        <w:t xml:space="preserve"> </w:t>
      </w:r>
      <w:r>
        <w:t xml:space="preserve">  </w:t>
      </w:r>
      <w:r>
        <w:rPr>
          <w:rFonts w:cs="Times New Roman"/>
          <w:b/>
          <w:sz w:val="32"/>
          <w:szCs w:val="32"/>
        </w:rPr>
        <w:t>code:</w:t>
      </w:r>
      <w:r w:rsidR="00CC3394">
        <w:rPr>
          <w:rFonts w:cs="Times New Roman"/>
          <w:b/>
          <w:sz w:val="32"/>
          <w:szCs w:val="32"/>
        </w:rPr>
        <w:t xml:space="preserve"> LCBB400</w:t>
      </w:r>
      <w:r w:rsidR="00F249B6">
        <w:rPr>
          <w:rFonts w:cs="Times New Roman"/>
          <w:b/>
          <w:sz w:val="32"/>
          <w:szCs w:val="32"/>
        </w:rPr>
        <w:t>2</w:t>
      </w:r>
    </w:p>
    <w:p w:rsidR="00CC3394" w:rsidRDefault="001F390E" w:rsidP="00CC3394">
      <w:pPr>
        <w:rPr>
          <w:rFonts w:cs="Times New Roman"/>
          <w:b/>
          <w:sz w:val="32"/>
          <w:szCs w:val="32"/>
        </w:rPr>
      </w:pPr>
      <w:r>
        <w:rPr>
          <w:rFonts w:cs="Times New Roman"/>
          <w:b/>
          <w:sz w:val="32"/>
          <w:szCs w:val="32"/>
        </w:rPr>
        <w:t xml:space="preserve">          </w:t>
      </w:r>
      <w:r w:rsidR="00CC3394">
        <w:rPr>
          <w:rFonts w:cs="Times New Roman"/>
          <w:b/>
          <w:sz w:val="32"/>
          <w:szCs w:val="32"/>
        </w:rPr>
        <w:t xml:space="preserve">Lecturer: Dr. </w:t>
      </w:r>
      <w:r w:rsidR="008C669B">
        <w:rPr>
          <w:rFonts w:cs="Times New Roman"/>
          <w:b/>
          <w:sz w:val="32"/>
          <w:szCs w:val="32"/>
        </w:rPr>
        <w:t>Faizu Edu</w:t>
      </w:r>
    </w:p>
    <w:p w:rsidR="00CC3394" w:rsidRDefault="00CC3394" w:rsidP="00CC3394">
      <w:pPr>
        <w:rPr>
          <w:rFonts w:cs="Times New Roman"/>
          <w:color w:val="373A3C"/>
          <w:sz w:val="20"/>
          <w:szCs w:val="20"/>
          <w:shd w:val="clear" w:color="auto" w:fill="F9F9F9"/>
        </w:rPr>
      </w:pPr>
    </w:p>
    <w:p w:rsidR="001F390E" w:rsidRPr="001F390E" w:rsidRDefault="00CC3394" w:rsidP="00D753FA">
      <w:pPr>
        <w:jc w:val="center"/>
        <w:rPr>
          <w:b/>
          <w:sz w:val="32"/>
          <w:szCs w:val="32"/>
        </w:rPr>
      </w:pPr>
      <w:r>
        <w:rPr>
          <w:rFonts w:cs="Times New Roman"/>
          <w:b/>
          <w:sz w:val="32"/>
          <w:szCs w:val="32"/>
        </w:rPr>
        <w:t xml:space="preserve">Assignment Title: </w:t>
      </w:r>
      <w:r w:rsidRPr="006D30F5">
        <w:rPr>
          <w:rFonts w:cs="Times New Roman"/>
          <w:sz w:val="32"/>
          <w:szCs w:val="32"/>
        </w:rPr>
        <w:t>Assessme</w:t>
      </w:r>
      <w:r>
        <w:rPr>
          <w:rFonts w:cs="Times New Roman"/>
          <w:b/>
          <w:sz w:val="32"/>
          <w:szCs w:val="32"/>
        </w:rPr>
        <w:t xml:space="preserve">nt </w:t>
      </w:r>
      <w:r w:rsidRPr="00D753FA">
        <w:rPr>
          <w:rFonts w:cs="Times New Roman"/>
          <w:b/>
          <w:sz w:val="32"/>
          <w:szCs w:val="32"/>
        </w:rPr>
        <w:t xml:space="preserve">1 </w:t>
      </w:r>
      <w:r w:rsidR="00D753FA" w:rsidRPr="001F390E">
        <w:rPr>
          <w:b/>
          <w:sz w:val="32"/>
          <w:szCs w:val="32"/>
        </w:rPr>
        <w:t>The commonwealth games</w:t>
      </w:r>
    </w:p>
    <w:p w:rsidR="00D753FA" w:rsidRDefault="00D753FA" w:rsidP="00D753FA">
      <w:pPr>
        <w:jc w:val="center"/>
      </w:pPr>
      <w:r w:rsidRPr="001F390E">
        <w:rPr>
          <w:b/>
          <w:sz w:val="32"/>
          <w:szCs w:val="32"/>
        </w:rPr>
        <w:t xml:space="preserve"> held on Birmingham</w:t>
      </w:r>
    </w:p>
    <w:p w:rsidR="00CC3394" w:rsidRDefault="00CC3394" w:rsidP="00CC3394">
      <w:pPr>
        <w:rPr>
          <w:rFonts w:cs="Times New Roman"/>
          <w:b/>
          <w:color w:val="auto"/>
          <w:sz w:val="32"/>
          <w:szCs w:val="32"/>
        </w:rPr>
      </w:pPr>
    </w:p>
    <w:p w:rsidR="00CC3394" w:rsidRDefault="00CC3394" w:rsidP="00CC3394">
      <w:pPr>
        <w:jc w:val="center"/>
        <w:rPr>
          <w:rFonts w:cs="Times New Roman"/>
          <w:color w:val="000000"/>
          <w:sz w:val="36"/>
          <w:szCs w:val="36"/>
        </w:rPr>
      </w:pPr>
      <w:r>
        <w:rPr>
          <w:rFonts w:cs="Times New Roman"/>
          <w:color w:val="000000"/>
          <w:szCs w:val="24"/>
        </w:rPr>
        <w:t xml:space="preserve">                   </w:t>
      </w:r>
    </w:p>
    <w:p w:rsidR="00CC3394" w:rsidRDefault="00CC3394" w:rsidP="00CC3394">
      <w:pPr>
        <w:pStyle w:val="Heading1"/>
        <w:tabs>
          <w:tab w:val="left" w:pos="720"/>
        </w:tabs>
        <w:rPr>
          <w:rFonts w:cs="Times New Roman"/>
          <w:color w:val="000000"/>
          <w:sz w:val="36"/>
          <w:szCs w:val="36"/>
        </w:rPr>
      </w:pPr>
      <w:r>
        <w:rPr>
          <w:rFonts w:cs="Times New Roman"/>
          <w:color w:val="000000"/>
          <w:sz w:val="24"/>
          <w:szCs w:val="24"/>
        </w:rPr>
        <w:t xml:space="preserve">  </w:t>
      </w:r>
      <w:r>
        <w:rPr>
          <w:rFonts w:cs="Times New Roman"/>
          <w:color w:val="000000"/>
          <w:szCs w:val="28"/>
        </w:rPr>
        <w:t xml:space="preserve">Student Name: </w:t>
      </w:r>
      <w:r>
        <w:rPr>
          <w:rFonts w:eastAsia="Times New Roman" w:cs="Times New Roman"/>
          <w:color w:val="000000"/>
          <w:szCs w:val="28"/>
        </w:rPr>
        <w:t>Aysidora Asenova Stavreva</w:t>
      </w:r>
      <w:r>
        <w:rPr>
          <w:rFonts w:cs="Times New Roman"/>
          <w:color w:val="000000"/>
          <w:szCs w:val="28"/>
        </w:rPr>
        <w:t xml:space="preserve">    Student ID: 2030536</w:t>
      </w:r>
    </w:p>
    <w:p w:rsidR="00CC3394" w:rsidRDefault="00CC3394" w:rsidP="00CC3394">
      <w:pPr>
        <w:pStyle w:val="BodyText"/>
        <w:rPr>
          <w:rFonts w:ascii="Times New Roman" w:hAnsi="Times New Roman" w:cs="Times New Roman"/>
          <w:lang w:val="en-GB"/>
        </w:rPr>
      </w:pPr>
      <w:r>
        <w:rPr>
          <w:rFonts w:ascii="Times New Roman" w:hAnsi="Times New Roman" w:cs="Times New Roman"/>
          <w:lang w:val="en-GB"/>
        </w:rPr>
        <w:t xml:space="preserve">                               </w:t>
      </w:r>
    </w:p>
    <w:p w:rsidR="00CC3394" w:rsidRDefault="00CC3394" w:rsidP="00CC3394">
      <w:pPr>
        <w:pStyle w:val="BodyText"/>
        <w:rPr>
          <w:rFonts w:ascii="Times New Roman" w:hAnsi="Times New Roman" w:cs="Times New Roman"/>
          <w:lang w:val="en-GB"/>
        </w:rPr>
      </w:pPr>
    </w:p>
    <w:p w:rsidR="00CC3394" w:rsidRDefault="00CC3394" w:rsidP="00CC3394">
      <w:pPr>
        <w:pStyle w:val="BodyText"/>
        <w:rPr>
          <w:rFonts w:ascii="Times New Roman" w:hAnsi="Times New Roman" w:cs="Times New Roman"/>
          <w:lang w:val="en-GB"/>
        </w:rPr>
      </w:pPr>
    </w:p>
    <w:p w:rsidR="00CC3394" w:rsidRDefault="00CC3394" w:rsidP="00CC3394">
      <w:pPr>
        <w:pStyle w:val="BodyText"/>
        <w:rPr>
          <w:rFonts w:ascii="Times New Roman" w:hAnsi="Times New Roman" w:cs="Times New Roman"/>
          <w:lang w:val="en-GB"/>
        </w:rPr>
      </w:pPr>
    </w:p>
    <w:p w:rsidR="00CC3394" w:rsidRDefault="00CC3394" w:rsidP="00CC3394">
      <w:pPr>
        <w:pStyle w:val="BodyText"/>
        <w:jc w:val="center"/>
        <w:rPr>
          <w:rFonts w:ascii="Times New Roman" w:hAnsi="Times New Roman" w:cs="Times New Roman"/>
          <w:b/>
          <w:sz w:val="28"/>
          <w:szCs w:val="28"/>
          <w:lang w:val="en-GB"/>
        </w:rPr>
      </w:pPr>
    </w:p>
    <w:p w:rsidR="00CC3394" w:rsidRDefault="00CC3394" w:rsidP="00CC3394">
      <w:pPr>
        <w:pStyle w:val="BodyText"/>
        <w:jc w:val="center"/>
        <w:rPr>
          <w:rFonts w:ascii="Times New Roman" w:hAnsi="Times New Roman" w:cs="Times New Roman"/>
          <w:b/>
          <w:sz w:val="28"/>
          <w:szCs w:val="28"/>
          <w:lang w:val="en-GB"/>
        </w:rPr>
      </w:pPr>
      <w:r>
        <w:rPr>
          <w:rFonts w:ascii="Times New Roman" w:hAnsi="Times New Roman" w:cs="Times New Roman"/>
          <w:b/>
          <w:sz w:val="28"/>
          <w:szCs w:val="28"/>
          <w:lang w:val="en-GB"/>
        </w:rPr>
        <w:t>Date1</w:t>
      </w:r>
      <w:r w:rsidR="008C669B">
        <w:rPr>
          <w:rFonts w:ascii="Times New Roman" w:hAnsi="Times New Roman" w:cs="Times New Roman"/>
          <w:b/>
          <w:sz w:val="28"/>
          <w:szCs w:val="28"/>
          <w:lang w:val="en-GB"/>
        </w:rPr>
        <w:t>1</w:t>
      </w:r>
      <w:r>
        <w:rPr>
          <w:rFonts w:ascii="Times New Roman" w:hAnsi="Times New Roman" w:cs="Times New Roman"/>
          <w:b/>
          <w:sz w:val="28"/>
          <w:szCs w:val="28"/>
          <w:lang w:val="en-GB"/>
        </w:rPr>
        <w:t>.01.23   City: London</w:t>
      </w:r>
    </w:p>
    <w:p w:rsidR="00D52DA8" w:rsidRPr="00313DEA" w:rsidRDefault="00D52DA8" w:rsidP="00D52DA8">
      <w:pPr>
        <w:pStyle w:val="TOCHeading"/>
        <w:jc w:val="center"/>
        <w:rPr>
          <w:rFonts w:ascii="Times New Roman" w:hAnsi="Times New Roman" w:cs="Times New Roman"/>
          <w:b/>
          <w:color w:val="auto"/>
        </w:rPr>
      </w:pPr>
      <w:r w:rsidRPr="00313DEA">
        <w:rPr>
          <w:rFonts w:ascii="Times New Roman" w:hAnsi="Times New Roman" w:cs="Times New Roman"/>
          <w:b/>
          <w:color w:val="auto"/>
        </w:rPr>
        <w:lastRenderedPageBreak/>
        <w:t>Table of Contents</w:t>
      </w:r>
    </w:p>
    <w:p w:rsidR="00D52DA8" w:rsidRPr="009E1644" w:rsidRDefault="00D52DA8" w:rsidP="00D52DA8">
      <w:pPr>
        <w:pStyle w:val="TOC1"/>
        <w:tabs>
          <w:tab w:val="right" w:leader="dot" w:pos="9016"/>
        </w:tabs>
        <w:rPr>
          <w:rFonts w:asciiTheme="minorHAnsi" w:eastAsiaTheme="minorEastAsia" w:hAnsiTheme="minorHAnsi"/>
          <w:noProof/>
          <w:color w:val="auto"/>
          <w:sz w:val="28"/>
          <w:szCs w:val="28"/>
          <w:lang w:eastAsia="en-IN"/>
        </w:rPr>
      </w:pPr>
      <w:r w:rsidRPr="008625AB">
        <w:fldChar w:fldCharType="begin"/>
      </w:r>
      <w:r>
        <w:instrText xml:space="preserve"> TOC \o "1-3" \h \z \u </w:instrText>
      </w:r>
      <w:r w:rsidRPr="008625AB">
        <w:fldChar w:fldCharType="separate"/>
      </w:r>
      <w:hyperlink w:anchor="_Toc123518637" w:history="1">
        <w:r w:rsidRPr="009E1644">
          <w:rPr>
            <w:rStyle w:val="Hyperlink"/>
            <w:b/>
            <w:noProof/>
            <w:sz w:val="28"/>
            <w:szCs w:val="28"/>
            <w:lang w:val="en-US"/>
          </w:rPr>
          <w:t>Introduction</w:t>
        </w:r>
        <w:r w:rsidR="00093DED">
          <w:rPr>
            <w:noProof/>
            <w:webHidden/>
            <w:sz w:val="28"/>
            <w:szCs w:val="28"/>
          </w:rPr>
          <w:t>………………………………………………………………..</w:t>
        </w:r>
        <w:r w:rsidRPr="009E1644">
          <w:rPr>
            <w:noProof/>
            <w:webHidden/>
            <w:sz w:val="28"/>
            <w:szCs w:val="28"/>
          </w:rPr>
          <w:fldChar w:fldCharType="begin"/>
        </w:r>
        <w:r w:rsidRPr="009E1644">
          <w:rPr>
            <w:noProof/>
            <w:webHidden/>
            <w:sz w:val="28"/>
            <w:szCs w:val="28"/>
          </w:rPr>
          <w:instrText xml:space="preserve"> PAGEREF _Toc123518637 \h </w:instrText>
        </w:r>
        <w:r w:rsidRPr="009E1644">
          <w:rPr>
            <w:noProof/>
            <w:webHidden/>
            <w:sz w:val="28"/>
            <w:szCs w:val="28"/>
          </w:rPr>
        </w:r>
        <w:r w:rsidRPr="009E1644">
          <w:rPr>
            <w:noProof/>
            <w:webHidden/>
            <w:sz w:val="28"/>
            <w:szCs w:val="28"/>
          </w:rPr>
          <w:fldChar w:fldCharType="separate"/>
        </w:r>
        <w:r w:rsidRPr="009E1644">
          <w:rPr>
            <w:noProof/>
            <w:webHidden/>
            <w:sz w:val="28"/>
            <w:szCs w:val="28"/>
          </w:rPr>
          <w:t>2</w:t>
        </w:r>
        <w:r w:rsidRPr="009E1644">
          <w:rPr>
            <w:noProof/>
            <w:webHidden/>
            <w:sz w:val="28"/>
            <w:szCs w:val="28"/>
          </w:rPr>
          <w:fldChar w:fldCharType="end"/>
        </w:r>
      </w:hyperlink>
    </w:p>
    <w:p w:rsidR="00D52DA8" w:rsidRPr="009E1644" w:rsidRDefault="00D52DA8" w:rsidP="00D52DA8">
      <w:pPr>
        <w:pStyle w:val="Heading1"/>
        <w:rPr>
          <w:b w:val="0"/>
          <w:szCs w:val="28"/>
        </w:rPr>
      </w:pPr>
      <w:r w:rsidRPr="009E1644">
        <w:rPr>
          <w:szCs w:val="28"/>
        </w:rPr>
        <w:t>The projects -Differences</w:t>
      </w:r>
      <w:r w:rsidRPr="009E1644">
        <w:rPr>
          <w:b w:val="0"/>
          <w:szCs w:val="28"/>
        </w:rPr>
        <w:t>…………………………………………………</w:t>
      </w:r>
      <w:r w:rsidR="00093DED">
        <w:rPr>
          <w:b w:val="0"/>
          <w:szCs w:val="28"/>
        </w:rPr>
        <w:t>..</w:t>
      </w:r>
      <w:r w:rsidRPr="009E1644">
        <w:rPr>
          <w:b w:val="0"/>
          <w:szCs w:val="28"/>
        </w:rPr>
        <w:t xml:space="preserve"> </w:t>
      </w:r>
      <w:hyperlink w:anchor="_Toc123518638" w:history="1">
        <w:r w:rsidRPr="009E1644">
          <w:rPr>
            <w:b w:val="0"/>
            <w:noProof/>
            <w:webHidden/>
            <w:szCs w:val="28"/>
          </w:rPr>
          <w:t>2</w:t>
        </w:r>
      </w:hyperlink>
    </w:p>
    <w:p w:rsidR="00D52DA8" w:rsidRPr="00D52DA8" w:rsidRDefault="00D52DA8" w:rsidP="00D52DA8">
      <w:pPr>
        <w:pStyle w:val="Heading1"/>
      </w:pPr>
      <w:hyperlink w:anchor="_Toc123518639" w:history="1">
        <w:r w:rsidRPr="00D52DA8">
          <w:t xml:space="preserve"> </w:t>
        </w:r>
        <w:r>
          <w:t>Comparison    ………………………………………………………………</w:t>
        </w:r>
        <w:r>
          <w:rPr>
            <w:noProof/>
            <w:webHidden/>
          </w:rPr>
          <w:tab/>
        </w:r>
        <w:r>
          <w:rPr>
            <w:noProof/>
            <w:webHidden/>
          </w:rPr>
          <w:fldChar w:fldCharType="begin"/>
        </w:r>
        <w:r>
          <w:rPr>
            <w:noProof/>
            <w:webHidden/>
          </w:rPr>
          <w:instrText xml:space="preserve"> PAGEREF _Toc123518639 \h </w:instrText>
        </w:r>
        <w:r>
          <w:rPr>
            <w:noProof/>
            <w:webHidden/>
          </w:rPr>
        </w:r>
        <w:r>
          <w:rPr>
            <w:noProof/>
            <w:webHidden/>
          </w:rPr>
          <w:fldChar w:fldCharType="separate"/>
        </w:r>
        <w:r>
          <w:rPr>
            <w:noProof/>
            <w:webHidden/>
          </w:rPr>
          <w:t>3</w:t>
        </w:r>
        <w:r>
          <w:rPr>
            <w:noProof/>
            <w:webHidden/>
          </w:rPr>
          <w:fldChar w:fldCharType="end"/>
        </w:r>
      </w:hyperlink>
    </w:p>
    <w:p w:rsidR="00D52DA8" w:rsidRPr="00D52DA8" w:rsidRDefault="00D52DA8" w:rsidP="00D52DA8">
      <w:pPr>
        <w:pStyle w:val="Heading1"/>
      </w:pPr>
      <w:hyperlink w:anchor="_Toc123518640" w:history="1">
        <w:r w:rsidRPr="00D52DA8">
          <w:t xml:space="preserve"> </w:t>
        </w:r>
        <w:r>
          <w:t>Analysis……………………………………………………………………..</w:t>
        </w:r>
        <w:r>
          <w:rPr>
            <w:noProof/>
            <w:webHidden/>
          </w:rPr>
          <w:tab/>
          <w:t>3</w:t>
        </w:r>
      </w:hyperlink>
    </w:p>
    <w:p w:rsidR="00D52DA8" w:rsidRPr="009E1644" w:rsidRDefault="00D52DA8" w:rsidP="009E1644">
      <w:pPr>
        <w:pStyle w:val="Heading1"/>
      </w:pPr>
      <w:hyperlink w:anchor="_Toc123518641" w:history="1">
        <w:r w:rsidR="009E1644" w:rsidRPr="009E1644">
          <w:t xml:space="preserve"> </w:t>
        </w:r>
        <w:r w:rsidR="009E1644">
          <w:t>Evaluation…………………………………………………………………...</w:t>
        </w:r>
        <w:r>
          <w:rPr>
            <w:noProof/>
            <w:webHidden/>
          </w:rPr>
          <w:tab/>
        </w:r>
        <w:r>
          <w:rPr>
            <w:noProof/>
            <w:webHidden/>
          </w:rPr>
          <w:fldChar w:fldCharType="begin"/>
        </w:r>
        <w:r>
          <w:rPr>
            <w:noProof/>
            <w:webHidden/>
          </w:rPr>
          <w:instrText xml:space="preserve"> PAGEREF _Toc123518641 \h </w:instrText>
        </w:r>
        <w:r>
          <w:rPr>
            <w:noProof/>
            <w:webHidden/>
          </w:rPr>
        </w:r>
        <w:r>
          <w:rPr>
            <w:noProof/>
            <w:webHidden/>
          </w:rPr>
          <w:fldChar w:fldCharType="separate"/>
        </w:r>
        <w:r>
          <w:rPr>
            <w:noProof/>
            <w:webHidden/>
          </w:rPr>
          <w:t>5</w:t>
        </w:r>
        <w:r>
          <w:rPr>
            <w:noProof/>
            <w:webHidden/>
          </w:rPr>
          <w:fldChar w:fldCharType="end"/>
        </w:r>
      </w:hyperlink>
    </w:p>
    <w:p w:rsidR="00D52DA8" w:rsidRPr="009E1644" w:rsidRDefault="00D52DA8" w:rsidP="009E1644">
      <w:pPr>
        <w:pStyle w:val="Heading1"/>
      </w:pPr>
      <w:hyperlink w:anchor="_Toc123518642" w:history="1">
        <w:r w:rsidR="009E1644" w:rsidRPr="009E1644">
          <w:t xml:space="preserve"> </w:t>
        </w:r>
        <w:r w:rsidR="009E1644">
          <w:t>Best Practices………………………………………………………………..</w:t>
        </w:r>
        <w:r>
          <w:rPr>
            <w:noProof/>
            <w:webHidden/>
          </w:rPr>
          <w:tab/>
        </w:r>
        <w:r w:rsidR="00093DED">
          <w:rPr>
            <w:noProof/>
            <w:webHidden/>
          </w:rPr>
          <w:t>.</w:t>
        </w:r>
        <w:r w:rsidR="009E1644">
          <w:rPr>
            <w:noProof/>
            <w:webHidden/>
          </w:rPr>
          <w:t>6</w:t>
        </w:r>
      </w:hyperlink>
    </w:p>
    <w:p w:rsidR="00D52DA8" w:rsidRPr="009E1644" w:rsidRDefault="00D52DA8" w:rsidP="009E1644">
      <w:pPr>
        <w:pStyle w:val="Heading1"/>
      </w:pPr>
      <w:hyperlink w:anchor="_Toc123518643" w:history="1">
        <w:r w:rsidR="009E1644" w:rsidRPr="009E1644">
          <w:t xml:space="preserve"> </w:t>
        </w:r>
        <w:r w:rsidR="009E1644">
          <w:t>Reflection……………………………………………………………………</w:t>
        </w:r>
        <w:r>
          <w:rPr>
            <w:noProof/>
            <w:webHidden/>
          </w:rPr>
          <w:tab/>
        </w:r>
        <w:r w:rsidR="00093DED">
          <w:rPr>
            <w:noProof/>
            <w:webHidden/>
          </w:rPr>
          <w:t>.</w:t>
        </w:r>
        <w:r>
          <w:rPr>
            <w:noProof/>
            <w:webHidden/>
          </w:rPr>
          <w:fldChar w:fldCharType="begin"/>
        </w:r>
        <w:r>
          <w:rPr>
            <w:noProof/>
            <w:webHidden/>
          </w:rPr>
          <w:instrText xml:space="preserve"> PAGEREF _Toc123518643 \h </w:instrText>
        </w:r>
        <w:r>
          <w:rPr>
            <w:noProof/>
            <w:webHidden/>
          </w:rPr>
        </w:r>
        <w:r>
          <w:rPr>
            <w:noProof/>
            <w:webHidden/>
          </w:rPr>
          <w:fldChar w:fldCharType="separate"/>
        </w:r>
        <w:r>
          <w:rPr>
            <w:noProof/>
            <w:webHidden/>
          </w:rPr>
          <w:t>7</w:t>
        </w:r>
        <w:r>
          <w:rPr>
            <w:noProof/>
            <w:webHidden/>
          </w:rPr>
          <w:fldChar w:fldCharType="end"/>
        </w:r>
      </w:hyperlink>
    </w:p>
    <w:p w:rsidR="00D52DA8" w:rsidRPr="009E1644" w:rsidRDefault="00D52DA8" w:rsidP="009E1644">
      <w:pPr>
        <w:pStyle w:val="Heading1"/>
      </w:pPr>
      <w:hyperlink w:anchor="_Toc123518644" w:history="1">
        <w:r w:rsidR="009E1644" w:rsidRPr="009E1644">
          <w:t xml:space="preserve"> </w:t>
        </w:r>
        <w:r w:rsidR="009E1644">
          <w:t>Impact of Active Consultation……………………………………………..</w:t>
        </w:r>
        <w:r>
          <w:rPr>
            <w:noProof/>
            <w:webHidden/>
          </w:rPr>
          <w:tab/>
        </w:r>
        <w:r w:rsidR="00093DED">
          <w:rPr>
            <w:noProof/>
            <w:webHidden/>
          </w:rPr>
          <w:t>..</w:t>
        </w:r>
        <w:r>
          <w:rPr>
            <w:noProof/>
            <w:webHidden/>
          </w:rPr>
          <w:fldChar w:fldCharType="begin"/>
        </w:r>
        <w:r>
          <w:rPr>
            <w:noProof/>
            <w:webHidden/>
          </w:rPr>
          <w:instrText xml:space="preserve"> PAGEREF _Toc123518644 \h </w:instrText>
        </w:r>
        <w:r>
          <w:rPr>
            <w:noProof/>
            <w:webHidden/>
          </w:rPr>
        </w:r>
        <w:r>
          <w:rPr>
            <w:noProof/>
            <w:webHidden/>
          </w:rPr>
          <w:fldChar w:fldCharType="separate"/>
        </w:r>
        <w:r>
          <w:rPr>
            <w:noProof/>
            <w:webHidden/>
          </w:rPr>
          <w:t>8</w:t>
        </w:r>
        <w:r>
          <w:rPr>
            <w:noProof/>
            <w:webHidden/>
          </w:rPr>
          <w:fldChar w:fldCharType="end"/>
        </w:r>
      </w:hyperlink>
    </w:p>
    <w:p w:rsidR="00D52DA8" w:rsidRDefault="00D52DA8" w:rsidP="00D52DA8">
      <w:pPr>
        <w:pStyle w:val="TOC1"/>
        <w:tabs>
          <w:tab w:val="right" w:leader="dot" w:pos="9016"/>
        </w:tabs>
        <w:rPr>
          <w:rFonts w:asciiTheme="minorHAnsi" w:eastAsiaTheme="minorEastAsia" w:hAnsiTheme="minorHAnsi"/>
          <w:noProof/>
          <w:color w:val="auto"/>
          <w:sz w:val="22"/>
          <w:lang w:eastAsia="en-IN"/>
        </w:rPr>
      </w:pPr>
      <w:hyperlink w:anchor="_Toc123518645" w:history="1">
        <w:r w:rsidRPr="00093DED">
          <w:rPr>
            <w:rStyle w:val="Hyperlink"/>
            <w:b/>
            <w:noProof/>
            <w:sz w:val="28"/>
            <w:szCs w:val="28"/>
            <w:lang w:val="en-US"/>
          </w:rPr>
          <w:t>Conclusion</w:t>
        </w:r>
        <w:r w:rsidR="00093DED">
          <w:rPr>
            <w:rStyle w:val="Hyperlink"/>
            <w:b/>
            <w:noProof/>
            <w:sz w:val="28"/>
            <w:szCs w:val="28"/>
            <w:lang w:val="en-US"/>
          </w:rPr>
          <w:t>……………………………………………………………………</w:t>
        </w:r>
        <w:r w:rsidR="009E1644" w:rsidRPr="00093DED">
          <w:rPr>
            <w:b/>
            <w:noProof/>
            <w:webHidden/>
            <w:sz w:val="28"/>
            <w:szCs w:val="28"/>
          </w:rPr>
          <w:t>8</w:t>
        </w:r>
      </w:hyperlink>
    </w:p>
    <w:p w:rsidR="00D52DA8" w:rsidRDefault="00D52DA8" w:rsidP="00D52DA8">
      <w:pPr>
        <w:pStyle w:val="TOC1"/>
        <w:tabs>
          <w:tab w:val="right" w:leader="dot" w:pos="9016"/>
        </w:tabs>
        <w:rPr>
          <w:rFonts w:asciiTheme="minorHAnsi" w:eastAsiaTheme="minorEastAsia" w:hAnsiTheme="minorHAnsi"/>
          <w:noProof/>
          <w:color w:val="auto"/>
          <w:sz w:val="22"/>
          <w:lang w:eastAsia="en-IN"/>
        </w:rPr>
      </w:pPr>
      <w:hyperlink w:anchor="_Toc123518646" w:history="1">
        <w:r w:rsidRPr="00093DED">
          <w:rPr>
            <w:rStyle w:val="Hyperlink"/>
            <w:b/>
            <w:noProof/>
            <w:sz w:val="28"/>
            <w:szCs w:val="28"/>
            <w:lang w:val="en-US"/>
          </w:rPr>
          <w:t>References</w:t>
        </w:r>
        <w:r w:rsidR="00093DED">
          <w:rPr>
            <w:rStyle w:val="Hyperlink"/>
            <w:b/>
            <w:noProof/>
            <w:sz w:val="28"/>
            <w:szCs w:val="28"/>
            <w:lang w:val="en-US"/>
          </w:rPr>
          <w:t>……………………………………………………………………..</w:t>
        </w:r>
        <w:r>
          <w:rPr>
            <w:noProof/>
            <w:webHidden/>
          </w:rPr>
          <w:tab/>
        </w:r>
        <w:r w:rsidRPr="00093DED">
          <w:rPr>
            <w:b/>
            <w:noProof/>
            <w:webHidden/>
            <w:sz w:val="28"/>
            <w:szCs w:val="28"/>
          </w:rPr>
          <w:fldChar w:fldCharType="begin"/>
        </w:r>
        <w:r w:rsidRPr="00093DED">
          <w:rPr>
            <w:b/>
            <w:noProof/>
            <w:webHidden/>
            <w:sz w:val="28"/>
            <w:szCs w:val="28"/>
          </w:rPr>
          <w:instrText xml:space="preserve"> PAGEREF _Toc123518646 \h </w:instrText>
        </w:r>
        <w:r w:rsidRPr="00093DED">
          <w:rPr>
            <w:b/>
            <w:noProof/>
            <w:webHidden/>
            <w:sz w:val="28"/>
            <w:szCs w:val="28"/>
          </w:rPr>
        </w:r>
        <w:r w:rsidRPr="00093DED">
          <w:rPr>
            <w:b/>
            <w:noProof/>
            <w:webHidden/>
            <w:sz w:val="28"/>
            <w:szCs w:val="28"/>
          </w:rPr>
          <w:fldChar w:fldCharType="separate"/>
        </w:r>
        <w:r w:rsidRPr="00093DED">
          <w:rPr>
            <w:b/>
            <w:noProof/>
            <w:webHidden/>
            <w:sz w:val="28"/>
            <w:szCs w:val="28"/>
          </w:rPr>
          <w:t>1</w:t>
        </w:r>
        <w:r w:rsidR="009E1644" w:rsidRPr="00093DED">
          <w:rPr>
            <w:b/>
            <w:noProof/>
            <w:webHidden/>
            <w:sz w:val="28"/>
            <w:szCs w:val="28"/>
          </w:rPr>
          <w:t>0</w:t>
        </w:r>
        <w:r w:rsidRPr="00093DED">
          <w:rPr>
            <w:b/>
            <w:noProof/>
            <w:webHidden/>
            <w:sz w:val="28"/>
            <w:szCs w:val="28"/>
          </w:rPr>
          <w:fldChar w:fldCharType="end"/>
        </w:r>
      </w:hyperlink>
    </w:p>
    <w:p w:rsidR="00D52DA8" w:rsidRDefault="00D52DA8" w:rsidP="00D52DA8">
      <w:pPr>
        <w:pStyle w:val="BodyText"/>
        <w:jc w:val="center"/>
        <w:rPr>
          <w:rFonts w:ascii="Times New Roman" w:hAnsi="Times New Roman" w:cs="Times New Roman"/>
          <w:b/>
          <w:sz w:val="28"/>
          <w:szCs w:val="28"/>
          <w:lang w:val="en-GB"/>
        </w:rPr>
      </w:pPr>
      <w:r>
        <w:rPr>
          <w:b/>
          <w:bCs/>
          <w:noProof/>
        </w:rPr>
        <w:fldChar w:fldCharType="end"/>
      </w:r>
    </w:p>
    <w:p w:rsidR="002868E9" w:rsidRDefault="002868E9" w:rsidP="002868E9">
      <w:pPr>
        <w:jc w:val="center"/>
      </w:pPr>
    </w:p>
    <w:p w:rsidR="002868E9" w:rsidRDefault="002868E9" w:rsidP="002868E9">
      <w:pPr>
        <w:jc w:val="center"/>
      </w:pPr>
    </w:p>
    <w:p w:rsidR="002868E9" w:rsidRDefault="002868E9" w:rsidP="002868E9">
      <w:pPr>
        <w:jc w:val="center"/>
      </w:pPr>
    </w:p>
    <w:p w:rsidR="00215808" w:rsidRDefault="00215808">
      <w:pPr>
        <w:spacing w:line="259" w:lineRule="auto"/>
        <w:jc w:val="left"/>
      </w:pPr>
      <w:r>
        <w:br w:type="page"/>
      </w:r>
    </w:p>
    <w:p w:rsidR="00015CDC" w:rsidRDefault="0004627F" w:rsidP="00B10279">
      <w:pPr>
        <w:pStyle w:val="Heading1"/>
      </w:pPr>
      <w:r>
        <w:lastRenderedPageBreak/>
        <w:t>Introduction</w:t>
      </w:r>
    </w:p>
    <w:p w:rsidR="0060277C" w:rsidRDefault="000B2D57" w:rsidP="00656337">
      <w:pPr>
        <w:ind w:firstLine="720"/>
      </w:pPr>
      <w:r>
        <w:t xml:space="preserve">The concept of community engagement is developed to bring people together or to implement and adapt principles. </w:t>
      </w:r>
      <w:r w:rsidR="00BA2CAE">
        <w:t>Community engagement helps in creating and affecting the logical thinking within the real-world situations which would have the impact on developing engagement among various organisations</w:t>
      </w:r>
      <w:r w:rsidR="00E17755">
        <w:t xml:space="preserve"> (</w:t>
      </w:r>
      <w:r w:rsidR="00E17755" w:rsidRPr="00E17755">
        <w:t>Kooli, Jamrah and Al-Abri 2019</w:t>
      </w:r>
      <w:r w:rsidR="00E17755">
        <w:t>)</w:t>
      </w:r>
      <w:r w:rsidR="00BA2CAE">
        <w:t xml:space="preserve">. The community projects are developed under the concept of community engagement which will help in bringing business, local authorities, residents and </w:t>
      </w:r>
      <w:r w:rsidR="0001288D">
        <w:t>addressing any community challenge.</w:t>
      </w:r>
    </w:p>
    <w:p w:rsidR="0001288D" w:rsidRPr="0060277C" w:rsidRDefault="0001288D" w:rsidP="00656337">
      <w:pPr>
        <w:ind w:firstLine="720"/>
      </w:pPr>
      <w:r>
        <w:t>The paper will discuss about the commonwealth games held on Birmingham and this project has been identified as community engagement initiative. The purpose of the commonwealth games project was to make the world of difference at the games for every individual</w:t>
      </w:r>
      <w:r w:rsidR="00E17755">
        <w:t xml:space="preserve"> (</w:t>
      </w:r>
      <w:r w:rsidR="00E17755" w:rsidRPr="00E17755">
        <w:t>Valencia-Forrester</w:t>
      </w:r>
      <w:r w:rsidR="00E17755">
        <w:t xml:space="preserve"> 2020)</w:t>
      </w:r>
      <w:r>
        <w:t xml:space="preserve">. The purpose of the project was to discover the needs of people of West Midlands and creating the adequate approach of uniting the whole region. </w:t>
      </w:r>
      <w:r w:rsidR="009E5DC5">
        <w:t xml:space="preserve">The paper intends to develop reflective report on the success of the common-wealth games </w:t>
      </w:r>
      <w:r w:rsidR="00632444">
        <w:t>held in Birmingham 2022.</w:t>
      </w:r>
    </w:p>
    <w:p w:rsidR="002B1F68" w:rsidRDefault="00632444" w:rsidP="00632444">
      <w:pPr>
        <w:pStyle w:val="Heading1"/>
      </w:pPr>
      <w:r>
        <w:t>The projects -Differences</w:t>
      </w:r>
    </w:p>
    <w:p w:rsidR="00632444" w:rsidRPr="00632444" w:rsidRDefault="00632444" w:rsidP="00B177EE">
      <w:pPr>
        <w:ind w:firstLine="720"/>
      </w:pPr>
      <w:r>
        <w:t xml:space="preserve">The common wealth games were developed for maximising the benefits of hosting the games which are available in the multiple </w:t>
      </w:r>
      <w:r w:rsidR="00BC59C3">
        <w:t xml:space="preserve">areas. The legacy programs are developed along with various legacy partners for improving the health and wellbeing of the community. The commonwealth game is identified as the catalyst for change which would help in efficient success and growth within the global status. </w:t>
      </w:r>
      <w:r w:rsidR="00DC596A">
        <w:t>The project is successful as it has focused on confidence, skills, and optimism of local people, which would bring the positive impact by the Games in their daily lives</w:t>
      </w:r>
      <w:r w:rsidR="00E17755">
        <w:t xml:space="preserve"> (</w:t>
      </w:r>
      <w:r w:rsidR="00E17755" w:rsidRPr="00E17755">
        <w:t>Lyons</w:t>
      </w:r>
      <w:r w:rsidR="00E17755">
        <w:t xml:space="preserve"> 2022)</w:t>
      </w:r>
      <w:r w:rsidR="00DC596A">
        <w:t xml:space="preserve">. </w:t>
      </w:r>
      <w:r w:rsidR="0040664A">
        <w:t xml:space="preserve">The two projects were sustainability project and legacy-based projects which were accomplished successfully in the commonwealth game in the community. </w:t>
      </w:r>
      <w:r w:rsidR="00217E7E">
        <w:t xml:space="preserve">The sustainability project is focused on demonstrating and maintaining the </w:t>
      </w:r>
      <w:r w:rsidR="00217E7E">
        <w:lastRenderedPageBreak/>
        <w:t>environmental sustainability actions, operations, along with potential environmental challenges</w:t>
      </w:r>
      <w:r w:rsidR="00E17755">
        <w:t xml:space="preserve"> (Birmingham Common Wealth 2022)</w:t>
      </w:r>
      <w:r w:rsidR="00217E7E">
        <w:t xml:space="preserve">. On the other hand, the project has focused in maintaining the legacy within the organisation. The games are developed for everyone which has focused in improving the health and wellbeing along with helping the regional areas to transform and succeed. </w:t>
      </w:r>
    </w:p>
    <w:p w:rsidR="002B1F68" w:rsidRDefault="002B1F68" w:rsidP="00217E7E">
      <w:pPr>
        <w:pStyle w:val="Heading1"/>
      </w:pPr>
      <w:r>
        <w:t>Comparison</w:t>
      </w:r>
    </w:p>
    <w:p w:rsidR="00217E7E" w:rsidRPr="00217E7E" w:rsidRDefault="00217E7E" w:rsidP="00CD74E1">
      <w:pPr>
        <w:ind w:firstLine="720"/>
      </w:pPr>
      <w:r>
        <w:t xml:space="preserve">The sustainability project was focused in promoting the sustainability environment and have aim towards developing positive outcome for the city, local communities, and its people. </w:t>
      </w:r>
      <w:r w:rsidR="00D03168">
        <w:t>The project has promoted the equality and diversity inclusion, along with the human rights, along with carbon and air quality.</w:t>
      </w:r>
      <w:r w:rsidR="00C379EB">
        <w:t xml:space="preserve"> The sustainability project was identified as the catalyst for the change and also help in developing the growth and succeed in the region. The legacy project is developed for improving and spreading the benefits which would help in providing the opportunity and accessibilities of games for all the people within the community. Both the project was designed and developed being the catalyst for a change</w:t>
      </w:r>
      <w:r w:rsidR="00E17755">
        <w:t xml:space="preserve"> (Birmingham Common Wealth 2022)</w:t>
      </w:r>
      <w:r w:rsidR="00C379EB">
        <w:t>. The overall drive towards the sustainable growth, along with creating the opportunities through the jobs or skillsets. Both the project has focused on inspiring and imposing the significant engagement which would</w:t>
      </w:r>
      <w:r w:rsidR="00A106B9">
        <w:t xml:space="preserve"> connect the communities and focus on utilising the complete potential for healthier lives</w:t>
      </w:r>
      <w:r w:rsidR="00E17755">
        <w:t xml:space="preserve"> (</w:t>
      </w:r>
      <w:r w:rsidR="00E17755" w:rsidRPr="00E17755">
        <w:t>Fine 2022</w:t>
      </w:r>
      <w:r w:rsidR="00E17755">
        <w:t>)</w:t>
      </w:r>
      <w:r w:rsidR="00A106B9">
        <w:t>.</w:t>
      </w:r>
      <w:r w:rsidR="00C379EB">
        <w:t xml:space="preserve"> The common comparison element found in both the project of commonwealth sports in Binghamton was towards imposing the community development.</w:t>
      </w:r>
    </w:p>
    <w:p w:rsidR="002B1F68" w:rsidRDefault="002B1F68" w:rsidP="00CD74E1">
      <w:pPr>
        <w:pStyle w:val="Heading1"/>
      </w:pPr>
      <w:r>
        <w:t>Analysis</w:t>
      </w:r>
    </w:p>
    <w:p w:rsidR="00CD74E1" w:rsidRDefault="00CD74E1" w:rsidP="00374F26">
      <w:pPr>
        <w:ind w:firstLine="720"/>
      </w:pPr>
      <w:r>
        <w:t xml:space="preserve">The commonwealth games have successfully addressed the identified challenges and have </w:t>
      </w:r>
      <w:r w:rsidR="00E17755">
        <w:t>striven</w:t>
      </w:r>
      <w:r>
        <w:t xml:space="preserve"> new benchmarks. The project was successful in reducing the carbon footprint wherever </w:t>
      </w:r>
      <w:r w:rsidR="00374F26">
        <w:t xml:space="preserve">possible. The project has successfully created the neutral legacy for the games. It </w:t>
      </w:r>
      <w:r w:rsidR="00374F26">
        <w:lastRenderedPageBreak/>
        <w:t>has been found that the project has focused on developing the offset the carbon emissions that cannot be minimised through the approach of new commonwealth legacy forest</w:t>
      </w:r>
      <w:r w:rsidR="00E17755">
        <w:t xml:space="preserve"> (Birmingham Common Wealth 2022)</w:t>
      </w:r>
      <w:r w:rsidR="00374F26">
        <w:t>. The promotional of educational approach which would help in driving the behavioural change along with developing the adequate sustainable sports events.</w:t>
      </w:r>
      <w:r w:rsidR="00525915">
        <w:t xml:space="preserve"> The project work with the suppliers by following the sustainable sourcing code, which helped in clearing the guidance along with minimising the overall challenges, The environmental and social standards would be addressed and developed the energy provision</w:t>
      </w:r>
      <w:r w:rsidR="0098571E">
        <w:t xml:space="preserve"> (</w:t>
      </w:r>
      <w:r w:rsidR="0098571E" w:rsidRPr="00E17755">
        <w:t>Naidoo and Grevemberg 2022</w:t>
      </w:r>
      <w:r w:rsidR="0098571E">
        <w:t>)</w:t>
      </w:r>
      <w:r w:rsidR="00525915">
        <w:t xml:space="preserve">. The games were identified as the significant opportunity to build stronger connection within the community, which would help in advancing the overall environmental objectives. The key components of the carbon neutral legacy were robust approach towards </w:t>
      </w:r>
      <w:r w:rsidR="007C3B0E">
        <w:t xml:space="preserve">the measurement. </w:t>
      </w:r>
      <w:r w:rsidR="00106878">
        <w:t>The project has design by taking the adequate responsibility based on the unavoidable emission which would focus on addressing the creation of 2022 commonwealth legacy forest</w:t>
      </w:r>
      <w:r w:rsidR="00E17755">
        <w:t xml:space="preserve"> (Birmingham Common Wealth 2022)</w:t>
      </w:r>
      <w:r w:rsidR="00106878">
        <w:t xml:space="preserve">. One of the most effective approaches of the project which has focused and accomplished the project outcome would help in boosting the overall awareness through the carbon literacy toolkits. </w:t>
      </w:r>
    </w:p>
    <w:p w:rsidR="00C02509" w:rsidRDefault="00C02509" w:rsidP="00374F26">
      <w:pPr>
        <w:ind w:firstLine="720"/>
      </w:pPr>
      <w:r>
        <w:t>The adequate carbon footprint methodology was initiated within the project, which has developed the execution of carbon management plan. The project has developed and aligned the best practices which has included the greenhouse gas protocol accountability standard. The carbo</w:t>
      </w:r>
      <w:r w:rsidR="000D4B3B">
        <w:t xml:space="preserve">n priority focused were on certain elements and those were spectator travel, catering, overlay and temporary structures, followed by the travel of athletes, support teams and other technical officials, along with using the efficiently the energy. These were the five key priority areas which has focused on maintaining the emission and improving the overall outcome. Apart from five priority emission hotspots, some of the additional carbon footprints are waste management, uniforms, games office headquarters, sports equipment, </w:t>
      </w:r>
      <w:r w:rsidR="000D4B3B">
        <w:lastRenderedPageBreak/>
        <w:t>public transport ventures, along with security and cultural programme</w:t>
      </w:r>
      <w:r w:rsidR="00E17755">
        <w:t xml:space="preserve"> (Birmingham Common Wealth 2022)</w:t>
      </w:r>
      <w:r w:rsidR="000D4B3B">
        <w:t xml:space="preserve">. </w:t>
      </w:r>
    </w:p>
    <w:p w:rsidR="000D4B3B" w:rsidRDefault="000D4B3B" w:rsidP="00374F26">
      <w:pPr>
        <w:ind w:firstLine="720"/>
      </w:pPr>
      <w:r>
        <w:t xml:space="preserve">The adequate strategy of the project towards </w:t>
      </w:r>
      <w:r w:rsidR="00A251BD">
        <w:t xml:space="preserve">accomplishing the success of establishing and building the commonwealth sports. Some of the policies and strategies were implemented, which has focused on documenting the multiple areas which has helped in incorporating the policies and strategies. Some of the policy involve the OC sustainability pledge, along with the social value charter along with designing the games transport plan. These polices were identified as the supporting tools which has helped in developing the effective communication along with considering the importance of measuring along with managing the impact on various suppliers. The overall approach of engagement processes </w:t>
      </w:r>
      <w:r w:rsidR="00B367CA">
        <w:t>is developed the identified with relevant information along with identified important stakeholders</w:t>
      </w:r>
      <w:r w:rsidR="0098571E">
        <w:t xml:space="preserve"> (</w:t>
      </w:r>
      <w:r w:rsidR="0098571E" w:rsidRPr="00E17755">
        <w:t>Cole and Barras</w:t>
      </w:r>
      <w:r w:rsidR="0098571E">
        <w:t xml:space="preserve"> 2022)</w:t>
      </w:r>
      <w:r w:rsidR="00B367CA">
        <w:t xml:space="preserve">. The transparent </w:t>
      </w:r>
      <w:r w:rsidR="00594741">
        <w:t xml:space="preserve">and effective clear messaging was considered in improving the clear messaging approach. </w:t>
      </w:r>
    </w:p>
    <w:p w:rsidR="00594741" w:rsidRPr="00CD74E1" w:rsidRDefault="00594741" w:rsidP="00374F26">
      <w:pPr>
        <w:ind w:firstLine="720"/>
      </w:pPr>
      <w:r>
        <w:t xml:space="preserve">The pre-games carbon footprint modelling process was identified and considered from the approach of spectator travel. The digitalisation approach was also considered which has developed the significant key element in improving the transportation. It has been found that around 45% of the spectators have used the journey planner app along with 54% of the overall spectators to be used for developing and using the adequate tickets for public transport. </w:t>
      </w:r>
    </w:p>
    <w:p w:rsidR="002B1F68" w:rsidRDefault="002B1F68" w:rsidP="00594741">
      <w:pPr>
        <w:pStyle w:val="Heading1"/>
      </w:pPr>
      <w:r>
        <w:t>Evaluation</w:t>
      </w:r>
    </w:p>
    <w:p w:rsidR="00FC014A" w:rsidRPr="00FC014A" w:rsidRDefault="00856E98" w:rsidP="00856E98">
      <w:pPr>
        <w:ind w:firstLine="720"/>
      </w:pPr>
      <w:r>
        <w:t xml:space="preserve">The evaluation approach was identified towards the overall understanding of process outcome. The program has developed the community involvement which has focused on encouraging people to involve with the activities. The policy document used in the project have been identified as an efficient and effective approach which has describe the pathway </w:t>
      </w:r>
      <w:r>
        <w:lastRenderedPageBreak/>
        <w:t>for collaboration and other potential inclusive planning. The overall trust, respect, along with the transparency and commitment have been identified. There was innovative and strategic approach of fairness which would develop the overall encouraging factors of effective communication along with the feedback. The evaluation was focused on addressing and availing the available resources</w:t>
      </w:r>
      <w:r w:rsidR="00E17755">
        <w:t xml:space="preserve"> (Birmingham Common Wealth 2022)</w:t>
      </w:r>
      <w:r>
        <w:t xml:space="preserve">. The adequate resources, supports and other relevant decisions were available which has </w:t>
      </w:r>
      <w:r w:rsidR="00E17755">
        <w:t>enhanced</w:t>
      </w:r>
      <w:r>
        <w:t xml:space="preserve"> the consideration of ethics and developed effective approach which is sensitive towards unequal power. </w:t>
      </w:r>
    </w:p>
    <w:p w:rsidR="002B1F68" w:rsidRDefault="002B1F68" w:rsidP="00594741">
      <w:pPr>
        <w:pStyle w:val="Heading1"/>
      </w:pPr>
      <w:r>
        <w:t>Best Practices</w:t>
      </w:r>
    </w:p>
    <w:p w:rsidR="00594741" w:rsidRDefault="00594741" w:rsidP="00594741">
      <w:pPr>
        <w:ind w:firstLine="720"/>
      </w:pPr>
      <w:r>
        <w:t>The most effective and best practice identified within the project of commonwealth games were developing and designing the walking routes which would upgrade to support the overall commonwealth games along with maintaining the long-term legacy in the city. It has been found that hosting the event of commonwealth program have been identified as boosting the local, national GDP, and regional which would help in improving the economy.</w:t>
      </w:r>
      <w:r w:rsidR="00853F28">
        <w:t xml:space="preserve"> The project has developed the best practices which has focused on emerging legacy impacts which has helped in tackling any potential inequalities as well as inequity. The best practices of sustainability and maintaining the legacy have improved the overall commitment along with raising the future games organisers. The effective best practice of festival showcasing the regions cultural strength which have developed the overall free accessibilities events. </w:t>
      </w:r>
    </w:p>
    <w:p w:rsidR="00853F28" w:rsidRDefault="00853F28" w:rsidP="00594741">
      <w:pPr>
        <w:ind w:firstLine="720"/>
      </w:pPr>
      <w:r>
        <w:t xml:space="preserve">The overall Sandwell aquatic centre was identified as creating the brand new along with world-class facility for community swimming and elite along with diving. </w:t>
      </w:r>
      <w:r>
        <w:rPr>
          <w:rFonts w:cs="Times New Roman"/>
        </w:rPr>
        <w:t>£</w:t>
      </w:r>
      <w:r>
        <w:t xml:space="preserve"> 73 million was invested in the centre which has also provided the early consultation which has developed the local people to meet the post-games community requirement. The best practice of CCTV would develop the city centre enhancements which would focus on creating the </w:t>
      </w:r>
      <w:r>
        <w:lastRenderedPageBreak/>
        <w:t>safer public spaces along with safer roads across the region</w:t>
      </w:r>
      <w:r w:rsidR="0098571E">
        <w:t xml:space="preserve"> (</w:t>
      </w:r>
      <w:r w:rsidR="0098571E" w:rsidRPr="00E17755">
        <w:t>Dostilio 2017</w:t>
      </w:r>
      <w:r w:rsidR="0098571E">
        <w:t>)</w:t>
      </w:r>
      <w:r>
        <w:t xml:space="preserve">. The road improvement scheme along with cycling improvement was identified as the city centre at key venues. The collaborative practices were identified which was done with community youth organisations, schools, </w:t>
      </w:r>
      <w:r w:rsidR="00FC014A">
        <w:t>and other partner organisation which would help in providing adequate themes and activities. Some of the potential activities include the school engagement and learning activities, followed by the community youth participation activities, along with youth voice advocacy activities. These activities are identified as accomplishing the themes. The identified themes are journey to the games, followed by finding common ground and changing the world. The legacy objectives have accomplished to reach the 1 million west Midland children and engaging the school across the England to excite and develop the engagement towards the games</w:t>
      </w:r>
      <w:r w:rsidR="00E17755">
        <w:t xml:space="preserve"> (</w:t>
      </w:r>
      <w:r w:rsidR="00E17755" w:rsidRPr="00E17755">
        <w:t>de Ruyter</w:t>
      </w:r>
      <w:r w:rsidR="00E17755">
        <w:rPr>
          <w:i/>
          <w:iCs/>
        </w:rPr>
        <w:t>et al.</w:t>
      </w:r>
      <w:r w:rsidR="00E17755">
        <w:t xml:space="preserve"> 2021)</w:t>
      </w:r>
      <w:r w:rsidR="00FC014A">
        <w:t xml:space="preserve">. </w:t>
      </w:r>
    </w:p>
    <w:p w:rsidR="00FC014A" w:rsidRPr="00594741" w:rsidRDefault="00FC014A" w:rsidP="00594741">
      <w:pPr>
        <w:ind w:firstLine="720"/>
      </w:pPr>
      <w:r>
        <w:t>The key successful approach of the supporting the arrived refugees which would develop the arrived refugees. It has been found that around 300 completed social action assignments have been accomplished along with gaining over 1000 participants along with accomplishing the 30-hours assignments</w:t>
      </w:r>
      <w:r w:rsidR="00E17755">
        <w:t xml:space="preserve"> (</w:t>
      </w:r>
      <w:r w:rsidR="00E17755" w:rsidRPr="00E17755">
        <w:t>Surplice</w:t>
      </w:r>
      <w:r w:rsidR="00E17755">
        <w:t xml:space="preserve"> 2021)</w:t>
      </w:r>
      <w:r>
        <w:t xml:space="preserve">. </w:t>
      </w:r>
    </w:p>
    <w:p w:rsidR="002B1F68" w:rsidRDefault="002B1F68" w:rsidP="00FC014A">
      <w:pPr>
        <w:pStyle w:val="Heading1"/>
      </w:pPr>
      <w:r>
        <w:t>Reflection</w:t>
      </w:r>
    </w:p>
    <w:p w:rsidR="00FC014A" w:rsidRDefault="00FC014A" w:rsidP="00856E98">
      <w:pPr>
        <w:ind w:firstLine="720"/>
      </w:pPr>
      <w:r>
        <w:t>One of the key learning approaches was the overall strategies of volunteering, which would help in delivering the biggest event of sports. The united volunteering programme have been identified which has focused on improving the overall landscape along with delivering and designing the Host delivery partners</w:t>
      </w:r>
      <w:r w:rsidR="0098571E">
        <w:t xml:space="preserve"> (</w:t>
      </w:r>
      <w:r w:rsidR="0098571E" w:rsidRPr="00E17755">
        <w:t>Cheeseman and Tomlin2018</w:t>
      </w:r>
      <w:r w:rsidR="0098571E">
        <w:t>)</w:t>
      </w:r>
      <w:r>
        <w:t xml:space="preserve">. The voluntary recruitment and overall process for encouraging people were identified to apply and impose the faith within the organisation. The promotional and adequate engagement towards the physical activity and wellbeing have been developed. The prioritisation of the health along with being active would help in committed and powerful games to increase the </w:t>
      </w:r>
      <w:r>
        <w:lastRenderedPageBreak/>
        <w:t>opportunities for being more active along with developing as well as encouraging healthy behaviour change. The efficient support system along with developing the community and support change are considered</w:t>
      </w:r>
      <w:r w:rsidR="0098571E">
        <w:t xml:space="preserve"> (</w:t>
      </w:r>
      <w:r w:rsidR="0098571E" w:rsidRPr="00E17755">
        <w:t>Farndon and Burton</w:t>
      </w:r>
      <w:r w:rsidR="0098571E">
        <w:t xml:space="preserve"> 2019)</w:t>
      </w:r>
      <w:r>
        <w:t xml:space="preserve">. The legacy objectives of improving the accessibilities and opportunities for the people to get active along with targeting the support system to meet the need have been considered. The overall approach of encouragement towards walking and cycling have been considered as developing the adequate facilities for the community use.  </w:t>
      </w:r>
    </w:p>
    <w:p w:rsidR="002B1F68" w:rsidRDefault="002B1F68" w:rsidP="00856E98">
      <w:pPr>
        <w:pStyle w:val="Heading1"/>
      </w:pPr>
      <w:r>
        <w:t>Impact of Active Consultation</w:t>
      </w:r>
    </w:p>
    <w:p w:rsidR="00856E98" w:rsidRPr="00856E98" w:rsidRDefault="00856E98" w:rsidP="00856E98">
      <w:pPr>
        <w:ind w:firstLine="720"/>
      </w:pPr>
      <w:r>
        <w:t>The active consultation and effective promotional activities in multiple platforms including the social media platforms have been considered within the Birmingham. It has been found that the core public investment of games has accelerated and improved the overall economic condition of the people or community in the West Midlands and beyond. The commonwealth games have also been identified and named as the ‘Friendly games’ which has showcase the international sports affecting the community</w:t>
      </w:r>
      <w:r w:rsidR="0098571E">
        <w:t xml:space="preserve"> (</w:t>
      </w:r>
      <w:r w:rsidR="0098571E" w:rsidRPr="00E17755">
        <w:t>Wise2020</w:t>
      </w:r>
      <w:r w:rsidR="0098571E">
        <w:t>)</w:t>
      </w:r>
      <w:r>
        <w:t>. The significant impact has been identified that the commonwealth games have brought significant increase and higher rates of tourism activities. The host cities avail the significant benefits form the services of host cities which would improve the environmental condition within the city</w:t>
      </w:r>
      <w:r w:rsidR="00E17755">
        <w:t xml:space="preserve"> (</w:t>
      </w:r>
      <w:r w:rsidR="00E17755" w:rsidRPr="00E17755">
        <w:t>James</w:t>
      </w:r>
      <w:r w:rsidR="00E17755">
        <w:t xml:space="preserve"> 2022)</w:t>
      </w:r>
      <w:r>
        <w:t xml:space="preserve">. The emergency services during the sports or activities are considered to be in higher demands. Therefore, they develop multiple consistency and consideration in the volunteers to help in improving the service outcomes. </w:t>
      </w:r>
    </w:p>
    <w:p w:rsidR="002B1F68" w:rsidRDefault="002B1F68" w:rsidP="00656337">
      <w:pPr>
        <w:pStyle w:val="Heading1"/>
      </w:pPr>
      <w:r>
        <w:t xml:space="preserve">Conclusion </w:t>
      </w:r>
    </w:p>
    <w:p w:rsidR="004C67CC" w:rsidRDefault="00656337" w:rsidP="00656337">
      <w:pPr>
        <w:ind w:firstLine="720"/>
      </w:pPr>
      <w:r>
        <w:t xml:space="preserve">From the above discussion, the paper can conclude that the commonwealth games in the Birmingham have developed the significant benefits and economy benefits to the city. It has been found that the project has successfully accomplish the legacy and sustainability of </w:t>
      </w:r>
      <w:r>
        <w:lastRenderedPageBreak/>
        <w:t xml:space="preserve">the projects. The overall project has helped in gaining the significant benefits and enhanced the higher level of community engagement. The development of community engagement would help in improving the participation, collaborations, and effective decision-making practices.  The community projects are developed under the concept of community engagement which will help in bringing business, local authorities, residents and addressing any community challenge. The collaborative practices were identified which was done with community youth organisations, schools, and other partner organisation </w:t>
      </w:r>
      <w:r w:rsidR="006B0B52">
        <w:t>which</w:t>
      </w:r>
      <w:r>
        <w:t xml:space="preserve"> would help in providing adequate themes and activities.</w:t>
      </w:r>
    </w:p>
    <w:p w:rsidR="004C67CC" w:rsidRDefault="004C67CC">
      <w:pPr>
        <w:spacing w:line="259" w:lineRule="auto"/>
        <w:jc w:val="left"/>
      </w:pPr>
      <w:r>
        <w:br w:type="page"/>
      </w:r>
    </w:p>
    <w:p w:rsidR="00656337" w:rsidRDefault="004C67CC" w:rsidP="004C67CC">
      <w:pPr>
        <w:pStyle w:val="Heading1"/>
      </w:pPr>
      <w:r>
        <w:lastRenderedPageBreak/>
        <w:t>References</w:t>
      </w:r>
    </w:p>
    <w:p w:rsidR="00A63609" w:rsidRPr="00DC11AA" w:rsidRDefault="00A63609" w:rsidP="00DC11AA">
      <w:r>
        <w:t xml:space="preserve">Birmingham Common Wealth 2022. BIRMINGHAM 2022 COMMONWEALTH GAMES OUR LEGACY SUMMER 2022 (Online) Retrieved from </w:t>
      </w:r>
      <w:hyperlink r:id="rId9" w:history="1">
        <w:r w:rsidRPr="00891F3D">
          <w:rPr>
            <w:rStyle w:val="Hyperlink"/>
          </w:rPr>
          <w:t>https://www.birmingham2022.com/about-us</w:t>
        </w:r>
      </w:hyperlink>
      <w:r>
        <w:t>[Accessed on 12th December 2022]</w:t>
      </w:r>
    </w:p>
    <w:p w:rsidR="00A63609" w:rsidRPr="00DC11AA" w:rsidRDefault="00A63609" w:rsidP="00DC11AA">
      <w:r>
        <w:t xml:space="preserve">Birmingham Common Wealth 2022. BIRMINGHAM 2022 COMMONWEALTH GAMES OUR LEGACY SUMMER 2022 (Online) Retrieved from </w:t>
      </w:r>
      <w:hyperlink r:id="rId10" w:history="1">
        <w:r w:rsidRPr="00891F3D">
          <w:rPr>
            <w:rStyle w:val="Hyperlink"/>
          </w:rPr>
          <w:t>https://resources.cwg-qbr.pulselive.com/qbr-commonwealth-games/document/2022/07/12/a37f0633-361d-49b1-9cca-d25043dccff8/Birmingham-2022_Our_Legacy.pdf</w:t>
        </w:r>
      </w:hyperlink>
      <w:r>
        <w:t>[Accessed on 12th December 2022]</w:t>
      </w:r>
    </w:p>
    <w:p w:rsidR="00A63609" w:rsidRPr="004C67CC" w:rsidRDefault="00A63609" w:rsidP="004C67CC">
      <w:r>
        <w:t xml:space="preserve">Birmingham Common Wealth 2022. BIRMINGHAM 2022 COMMONWEALTH GAMES OUR LEGACY SUMMER 2022 (Online) Retrieved from </w:t>
      </w:r>
      <w:hyperlink r:id="rId11" w:history="1">
        <w:r w:rsidRPr="00891F3D">
          <w:rPr>
            <w:rStyle w:val="Hyperlink"/>
          </w:rPr>
          <w:t>https://resources.cwg-qbr.pulselive.com/qbr-commonwealth-games/document/2022/11/08/05c0b10c-00c3-4ab7-88f4-e8396acc5834/Birmingham-2022-Sustainability-Report.pdf</w:t>
        </w:r>
      </w:hyperlink>
      <w:r>
        <w:t xml:space="preserve"> [Accessed on 12th December 2022]</w:t>
      </w:r>
    </w:p>
    <w:p w:rsidR="00A63609" w:rsidRDefault="00A63609" w:rsidP="00E17755">
      <w:r w:rsidRPr="00E17755">
        <w:t>Cheeseman, N. and Tomlin, A., 2018. Reimagining the Role of the Commonwealth in the UK’s Future. </w:t>
      </w:r>
      <w:r w:rsidRPr="00E17755">
        <w:rPr>
          <w:i/>
          <w:iCs/>
        </w:rPr>
        <w:t>The Round Table</w:t>
      </w:r>
      <w:r w:rsidRPr="00E17755">
        <w:t>, </w:t>
      </w:r>
      <w:r w:rsidRPr="00E17755">
        <w:rPr>
          <w:i/>
          <w:iCs/>
        </w:rPr>
        <w:t>107</w:t>
      </w:r>
      <w:r w:rsidRPr="00E17755">
        <w:t>(3), pp.353-356.</w:t>
      </w:r>
    </w:p>
    <w:p w:rsidR="00A63609" w:rsidRDefault="00A63609" w:rsidP="00E17755">
      <w:r w:rsidRPr="00E17755">
        <w:t>Cole, A. and Barras, M., 2022. The commonwealth games: A history of human movement. </w:t>
      </w:r>
      <w:r w:rsidRPr="00E17755">
        <w:rPr>
          <w:i/>
          <w:iCs/>
        </w:rPr>
        <w:t>Interaction</w:t>
      </w:r>
      <w:r w:rsidRPr="00E17755">
        <w:t>, </w:t>
      </w:r>
      <w:r w:rsidRPr="00E17755">
        <w:rPr>
          <w:i/>
          <w:iCs/>
        </w:rPr>
        <w:t>50</w:t>
      </w:r>
      <w:r w:rsidRPr="00E17755">
        <w:t>(2), pp.20-21.</w:t>
      </w:r>
    </w:p>
    <w:p w:rsidR="00A63609" w:rsidRDefault="00A63609" w:rsidP="00E17755">
      <w:r w:rsidRPr="00E17755">
        <w:t>de Ruyter, A., Hearne, D., Beer, J. and Zaman, Y., 2021. Brexit, Birmingham and the 2022 Commonwealth Games: an opportunity for regeneration and rejuvenation?. </w:t>
      </w:r>
      <w:r w:rsidRPr="00E17755">
        <w:rPr>
          <w:i/>
          <w:iCs/>
        </w:rPr>
        <w:t>Managing Sport and Leisure</w:t>
      </w:r>
      <w:r w:rsidRPr="00E17755">
        <w:t>, </w:t>
      </w:r>
      <w:r w:rsidRPr="00E17755">
        <w:rPr>
          <w:i/>
          <w:iCs/>
        </w:rPr>
        <w:t>26</w:t>
      </w:r>
      <w:r w:rsidRPr="00E17755">
        <w:t>(5), pp.413-428.</w:t>
      </w:r>
    </w:p>
    <w:p w:rsidR="00A63609" w:rsidRPr="00E17755" w:rsidRDefault="00A63609" w:rsidP="00E17755">
      <w:r w:rsidRPr="00E17755">
        <w:t>Dostilio, L.D. ed., 2017. </w:t>
      </w:r>
      <w:r w:rsidRPr="00E17755">
        <w:rPr>
          <w:i/>
          <w:iCs/>
        </w:rPr>
        <w:t>The community engagement professional in higher education: A competency model for an emerging field</w:t>
      </w:r>
      <w:r w:rsidRPr="00E17755">
        <w:t>. Campus Compact.</w:t>
      </w:r>
    </w:p>
    <w:p w:rsidR="00A63609" w:rsidRDefault="00A63609" w:rsidP="00E17755">
      <w:r w:rsidRPr="00E17755">
        <w:lastRenderedPageBreak/>
        <w:t>Farndon, D. and Burton, P., 2019. Avoiding the white elephants: A new approach to infrastructure planning at the 2018 Gold Coast Commonwealth Games?. </w:t>
      </w:r>
      <w:r w:rsidRPr="00E17755">
        <w:rPr>
          <w:i/>
          <w:iCs/>
        </w:rPr>
        <w:t>Queensland Review</w:t>
      </w:r>
      <w:r w:rsidRPr="00E17755">
        <w:t>, </w:t>
      </w:r>
      <w:r w:rsidRPr="00E17755">
        <w:rPr>
          <w:i/>
          <w:iCs/>
        </w:rPr>
        <w:t>26</w:t>
      </w:r>
      <w:r w:rsidRPr="00E17755">
        <w:t>(1), pp.128-146.</w:t>
      </w:r>
    </w:p>
    <w:p w:rsidR="00A63609" w:rsidRDefault="00A63609" w:rsidP="00E17755">
      <w:r w:rsidRPr="00E17755">
        <w:t>Fine, P.D., 2022. The role of the sports dentists at the Commonwealth Games, Birmingham 2022. </w:t>
      </w:r>
      <w:r w:rsidRPr="00E17755">
        <w:rPr>
          <w:i/>
          <w:iCs/>
        </w:rPr>
        <w:t>British Dental Journal</w:t>
      </w:r>
      <w:r w:rsidRPr="00E17755">
        <w:t>, </w:t>
      </w:r>
      <w:r w:rsidRPr="00E17755">
        <w:rPr>
          <w:i/>
          <w:iCs/>
        </w:rPr>
        <w:t>233</w:t>
      </w:r>
      <w:r w:rsidRPr="00E17755">
        <w:t>(8), pp.601-602.</w:t>
      </w:r>
    </w:p>
    <w:p w:rsidR="00A63609" w:rsidRDefault="00A63609" w:rsidP="00E17755">
      <w:r w:rsidRPr="00E17755">
        <w:t>James, L., 2022. Sustainability commonwealth games: The commonwealth games': Green asprations: Fact or fiction?. </w:t>
      </w:r>
      <w:r w:rsidRPr="00E17755">
        <w:rPr>
          <w:i/>
          <w:iCs/>
        </w:rPr>
        <w:t>Engineering &amp; Technology</w:t>
      </w:r>
      <w:r w:rsidRPr="00E17755">
        <w:t>, </w:t>
      </w:r>
      <w:r w:rsidRPr="00E17755">
        <w:rPr>
          <w:i/>
          <w:iCs/>
        </w:rPr>
        <w:t>17</w:t>
      </w:r>
      <w:r w:rsidRPr="00E17755">
        <w:t>(7), pp.20-24.</w:t>
      </w:r>
    </w:p>
    <w:p w:rsidR="00A63609" w:rsidRDefault="00A63609" w:rsidP="00E17755">
      <w:r w:rsidRPr="00E17755">
        <w:t>Kooli, C., Jamrah, A. and Al-Abri, N., 2019. Learning from quality audit in higher education institutions: A tool for community engagement enhancement. </w:t>
      </w:r>
      <w:r w:rsidRPr="00E17755">
        <w:rPr>
          <w:i/>
          <w:iCs/>
        </w:rPr>
        <w:t>FIIB Business Review</w:t>
      </w:r>
      <w:r w:rsidRPr="00E17755">
        <w:t>, </w:t>
      </w:r>
      <w:r w:rsidRPr="00E17755">
        <w:rPr>
          <w:i/>
          <w:iCs/>
        </w:rPr>
        <w:t>8</w:t>
      </w:r>
      <w:r w:rsidRPr="00E17755">
        <w:t>(3), pp.218-228.</w:t>
      </w:r>
    </w:p>
    <w:p w:rsidR="00A63609" w:rsidRDefault="00A63609" w:rsidP="00E17755">
      <w:r w:rsidRPr="00E17755">
        <w:t>Lyons, M., 2022. An early assessment of the economic impact of the Birmingham Commonwealth Games.</w:t>
      </w:r>
    </w:p>
    <w:p w:rsidR="00A63609" w:rsidRPr="00E17755" w:rsidRDefault="00A63609" w:rsidP="00E17755">
      <w:r w:rsidRPr="00E17755">
        <w:t>Naidoo, U. and Grevemberg, D., 2022. The role of athlete commissions in addressing sport-related human rights abuses: a case study of the Commonwealth Games Federation Athletes Advisory Commission. </w:t>
      </w:r>
      <w:r w:rsidRPr="00E17755">
        <w:rPr>
          <w:i/>
          <w:iCs/>
        </w:rPr>
        <w:t>The International Sports Law Journal</w:t>
      </w:r>
      <w:r w:rsidRPr="00E17755">
        <w:t>, pp.1-6.</w:t>
      </w:r>
    </w:p>
    <w:p w:rsidR="00A63609" w:rsidRDefault="00A63609" w:rsidP="00E17755">
      <w:r w:rsidRPr="00E17755">
        <w:t>Surplice, P., 2021. Will the Commonwealth Games enhance Birmingham’s reputation?.</w:t>
      </w:r>
    </w:p>
    <w:p w:rsidR="00A63609" w:rsidRDefault="00A63609" w:rsidP="00E17755">
      <w:r w:rsidRPr="00E17755">
        <w:t>Valencia-Forrester, F., 2020. The commonwealth games 2018 and event WIL: Inclusive action for journalism education. </w:t>
      </w:r>
      <w:r w:rsidRPr="00E17755">
        <w:rPr>
          <w:i/>
          <w:iCs/>
        </w:rPr>
        <w:t>Asia Pacific Media Educator</w:t>
      </w:r>
      <w:r w:rsidRPr="00E17755">
        <w:t>, </w:t>
      </w:r>
      <w:r w:rsidRPr="00E17755">
        <w:rPr>
          <w:i/>
          <w:iCs/>
        </w:rPr>
        <w:t>30</w:t>
      </w:r>
      <w:r w:rsidRPr="00E17755">
        <w:t>(1), pp.92-107.</w:t>
      </w:r>
    </w:p>
    <w:p w:rsidR="00A63609" w:rsidRDefault="00A63609" w:rsidP="00E17755">
      <w:r w:rsidRPr="00E17755">
        <w:t>Wise, N., 2020. Commonwealth Games: How could sport tourism benefit Birmingham?.</w:t>
      </w:r>
    </w:p>
    <w:sectPr w:rsidR="00A63609" w:rsidSect="002868E9">
      <w:headerReference w:type="default" r:id="rId12"/>
      <w:headerReference w:type="first" r:id="rId13"/>
      <w:pgSz w:w="11907" w:h="16839" w:code="9"/>
      <w:pgMar w:top="1440" w:right="1440" w:bottom="1440" w:left="1440" w:header="720" w:footer="720" w:gutter="0"/>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86A41" w:rsidRDefault="00486A41" w:rsidP="002868E9">
      <w:pPr>
        <w:spacing w:after="0" w:line="240" w:lineRule="auto"/>
      </w:pPr>
      <w:r>
        <w:separator/>
      </w:r>
    </w:p>
  </w:endnote>
  <w:endnote w:type="continuationSeparator" w:id="1">
    <w:p w:rsidR="00486A41" w:rsidRDefault="00486A41" w:rsidP="002868E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86A41" w:rsidRDefault="00486A41" w:rsidP="002868E9">
      <w:pPr>
        <w:spacing w:after="0" w:line="240" w:lineRule="auto"/>
      </w:pPr>
      <w:r>
        <w:separator/>
      </w:r>
    </w:p>
  </w:footnote>
  <w:footnote w:type="continuationSeparator" w:id="1">
    <w:p w:rsidR="00486A41" w:rsidRDefault="00486A41" w:rsidP="002868E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8E9" w:rsidRDefault="00360081">
    <w:pPr>
      <w:pStyle w:val="Header"/>
    </w:pPr>
    <w:r>
      <w:rPr>
        <w:noProof/>
        <w:lang w:val="en-US"/>
      </w:rPr>
      <w:pict>
        <v:shapetype id="_x0000_t202" coordsize="21600,21600" o:spt="202" path="m,l,21600r21600,l21600,xe">
          <v:stroke joinstyle="miter"/>
          <v:path gradientshapeok="t" o:connecttype="rect"/>
        </v:shapetype>
        <v:shape id="Text Box 220" o:spid="_x0000_s1026" type="#_x0000_t202" style="position:absolute;left:0;text-align:left;margin-left:0;margin-top:0;width:468pt;height:13.7pt;z-index:251660288;visibility:visible;mso-width-percent:1000;mso-position-horizontal:left;mso-position-horizontal-relative:margin;mso-position-vertical:center;mso-position-vertical-relative:top-margin-area;mso-width-percent:100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" o:allowincell="f" filled="f" stroked="f">
          <v:textbox style="mso-fit-shape-to-text:t" inset=",0,,0">
            <w:txbxContent>
              <w:p w:rsidR="002868E9" w:rsidRPr="00C24168" w:rsidRDefault="004C67CC" w:rsidP="002868E9">
                <w:pPr>
                  <w:spacing w:after="0" w:line="240" w:lineRule="auto"/>
                  <w:rPr>
                    <w:noProof/>
                  </w:rPr>
                </w:pPr>
                <w:r>
                  <w:rPr>
                    <w:noProof/>
                  </w:rPr>
                  <w:t>Assessment</w:t>
                </w:r>
              </w:p>
            </w:txbxContent>
          </v:textbox>
          <w10:wrap anchorx="margin" anchory="margin"/>
        </v:shape>
      </w:pict>
    </w:r>
    <w:r>
      <w:rPr>
        <w:noProof/>
        <w:lang w:val="en-US"/>
      </w:rPr>
      <w:pict>
        <v:shape id="Text Box 221" o:spid="_x0000_s1027" type="#_x0000_t202" style="position:absolute;left:0;text-align:left;margin-left:52.4pt;margin-top:0;width:71.8pt;height:13.45pt;z-index:251659264;visibility:visible;mso-width-percent:1000;mso-position-horizontal:right;mso-position-horizontal-relative:page;mso-position-vertical:center;mso-position-vertical-relative:top-margin-area;mso-width-percent:1000;mso-width-relative:right-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" o:allowincell="f" fillcolor="#a8d08d [1945]" stroked="f">
          <v:textbox style="mso-fit-shape-to-text:t" inset=",0,,0">
            <w:txbxContent>
              <w:p w:rsidR="002868E9" w:rsidRDefault="00360081">
                <w:pPr>
                  <w:spacing w:after="0" w:line="240" w:lineRule="auto"/>
                  <w:rPr>
                    <w:color w:val="FFFFFF" w:themeColor="background1"/>
                  </w:rPr>
                </w:pPr>
                <w:r w:rsidRPr="00360081">
                  <w:rPr>
                    <w:color w:val="auto"/>
                  </w:rPr>
                  <w:fldChar w:fldCharType="begin"/>
                </w:r>
                <w:r w:rsidR="002868E9">
                  <w:instrText xml:space="preserve"> PAGE   \* MERGEFORMAT </w:instrText>
                </w:r>
                <w:r w:rsidRPr="00360081">
                  <w:rPr>
                    <w:color w:val="auto"/>
                  </w:rPr>
                  <w:fldChar w:fldCharType="separate"/>
                </w:r>
                <w:r w:rsidR="00093DED" w:rsidRPr="00093DED">
                  <w:rPr>
                    <w:noProof/>
                    <w:color w:val="FFFFFF" w:themeColor="background1"/>
                  </w:rPr>
                  <w:t>1</w:t>
                </w:r>
                <w:r>
                  <w:rPr>
                    <w:noProof/>
                    <w:color w:val="FFFFFF" w:themeColor="background1"/>
                  </w:rPr>
                  <w:fldChar w:fldCharType="end"/>
                </w:r>
              </w:p>
            </w:txbxContent>
          </v:textbox>
          <w10:wrap anchorx="page"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8E9" w:rsidRDefault="002868E9" w:rsidP="002868E9">
    <w:pPr>
      <w:pStyle w:val="Header"/>
    </w:pPr>
    <w:r>
      <w:t xml:space="preserve">Running head: </w:t>
    </w:r>
    <w:r w:rsidR="004C67CC">
      <w:t>Management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247E65"/>
    <w:multiLevelType w:val="hybridMultilevel"/>
    <w:tmpl w:val="9F4EFD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23C6B75"/>
    <w:multiLevelType w:val="hybridMultilevel"/>
    <w:tmpl w:val="91946D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nsid w:val="74C33E3D"/>
    <w:multiLevelType w:val="hybridMultilevel"/>
    <w:tmpl w:val="B69628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IN" w:vendorID="64" w:dllVersion="6" w:nlCheck="1" w:checkStyle="0"/>
  <w:activeWritingStyle w:appName="MSWord" w:lang="en-US" w:vendorID="64" w:dllVersion="6" w:nlCheck="1" w:checkStyle="1"/>
  <w:activeWritingStyle w:appName="MSWord" w:lang="en-GB" w:vendorID="64" w:dllVersion="6" w:nlCheck="1" w:checkStyle="1"/>
  <w:activeWritingStyle w:appName="MSWord" w:lang="en-GB" w:vendorID="64" w:dllVersion="4096" w:nlCheck="1" w:checkStyle="0"/>
  <w:activeWritingStyle w:appName="MSWord" w:lang="en-AU" w:vendorID="64" w:dllVersion="4096" w:nlCheck="1" w:checkStyle="0"/>
  <w:activeWritingStyle w:appName="MSWord" w:lang="en-US" w:vendorID="64" w:dllVersion="4096" w:nlCheck="1" w:checkStyle="0"/>
  <w:activeWritingStyle w:appName="MSWord" w:lang="en-GB" w:vendorID="64" w:dllVersion="131078" w:nlCheck="1" w:checkStyle="1"/>
  <w:activeWritingStyle w:appName="MSWord" w:lang="en-US" w:vendorID="64" w:dllVersion="131078" w:nlCheck="1" w:checkStyle="1"/>
  <w:defaultTabStop w:val="720"/>
  <w:characterSpacingControl w:val="doNotCompress"/>
  <w:hdrShapeDefaults>
    <o:shapedefaults v:ext="edit" spidmax="4098"/>
    <o:shapelayout v:ext="edit">
      <o:idmap v:ext="edit" data="1"/>
    </o:shapelayout>
  </w:hdrShapeDefaults>
  <w:footnotePr>
    <w:footnote w:id="0"/>
    <w:footnote w:id="1"/>
  </w:footnotePr>
  <w:endnotePr>
    <w:endnote w:id="0"/>
    <w:endnote w:id="1"/>
  </w:endnotePr>
  <w:compat/>
  <w:docVars>
    <w:docVar w:name="__Grammarly_42____i" w:val="H4sIAAAAAAAEAKtWckksSQxILCpxzi/NK1GyMqwFAAEhoTITAAAA"/>
    <w:docVar w:name="__Grammarly_42___1" w:val="H4sIAAAAAAAEAKtWcslP9kxRslIyNDYyNrAwtzQyNbM0NTMwMDZR0lEKTi0uzszPAykwrQUAoFxt/iwAAAA="/>
  </w:docVars>
  <w:rsids>
    <w:rsidRoot w:val="002868E9"/>
    <w:rsid w:val="0001288D"/>
    <w:rsid w:val="00015CDC"/>
    <w:rsid w:val="0003285C"/>
    <w:rsid w:val="00035CF5"/>
    <w:rsid w:val="00036812"/>
    <w:rsid w:val="0004627F"/>
    <w:rsid w:val="00051F5E"/>
    <w:rsid w:val="00055F3E"/>
    <w:rsid w:val="0007180B"/>
    <w:rsid w:val="000808CD"/>
    <w:rsid w:val="00093DED"/>
    <w:rsid w:val="00095AED"/>
    <w:rsid w:val="000B2D57"/>
    <w:rsid w:val="000B55D2"/>
    <w:rsid w:val="000D4B3B"/>
    <w:rsid w:val="000E5911"/>
    <w:rsid w:val="000F59B4"/>
    <w:rsid w:val="00102876"/>
    <w:rsid w:val="00106878"/>
    <w:rsid w:val="00114765"/>
    <w:rsid w:val="001153B8"/>
    <w:rsid w:val="00143685"/>
    <w:rsid w:val="00165809"/>
    <w:rsid w:val="001779BB"/>
    <w:rsid w:val="00182869"/>
    <w:rsid w:val="001905E8"/>
    <w:rsid w:val="00194111"/>
    <w:rsid w:val="001C52D0"/>
    <w:rsid w:val="001D543B"/>
    <w:rsid w:val="001D612F"/>
    <w:rsid w:val="001F390E"/>
    <w:rsid w:val="0020380D"/>
    <w:rsid w:val="002069F6"/>
    <w:rsid w:val="00215808"/>
    <w:rsid w:val="00217E7E"/>
    <w:rsid w:val="00221350"/>
    <w:rsid w:val="00245CE2"/>
    <w:rsid w:val="00254532"/>
    <w:rsid w:val="002632A1"/>
    <w:rsid w:val="00271876"/>
    <w:rsid w:val="002824A7"/>
    <w:rsid w:val="0028462D"/>
    <w:rsid w:val="002868E9"/>
    <w:rsid w:val="002B1F68"/>
    <w:rsid w:val="002C0707"/>
    <w:rsid w:val="002E0D90"/>
    <w:rsid w:val="002E520D"/>
    <w:rsid w:val="00307FC7"/>
    <w:rsid w:val="00315D62"/>
    <w:rsid w:val="00330DC5"/>
    <w:rsid w:val="00351F8B"/>
    <w:rsid w:val="00355F22"/>
    <w:rsid w:val="00360081"/>
    <w:rsid w:val="003610EC"/>
    <w:rsid w:val="00374F26"/>
    <w:rsid w:val="003A5588"/>
    <w:rsid w:val="003C2F72"/>
    <w:rsid w:val="003C4B8A"/>
    <w:rsid w:val="003D49BE"/>
    <w:rsid w:val="00402589"/>
    <w:rsid w:val="0040664A"/>
    <w:rsid w:val="004229F2"/>
    <w:rsid w:val="00476607"/>
    <w:rsid w:val="00486A41"/>
    <w:rsid w:val="004941C1"/>
    <w:rsid w:val="004A7A14"/>
    <w:rsid w:val="004C67CC"/>
    <w:rsid w:val="004E2B7F"/>
    <w:rsid w:val="005165E9"/>
    <w:rsid w:val="00525915"/>
    <w:rsid w:val="005369D1"/>
    <w:rsid w:val="00541B14"/>
    <w:rsid w:val="00543334"/>
    <w:rsid w:val="00554BF6"/>
    <w:rsid w:val="005575E5"/>
    <w:rsid w:val="00594741"/>
    <w:rsid w:val="005A2DD6"/>
    <w:rsid w:val="005A7301"/>
    <w:rsid w:val="005B0614"/>
    <w:rsid w:val="005B1D49"/>
    <w:rsid w:val="005D3724"/>
    <w:rsid w:val="005D6092"/>
    <w:rsid w:val="0060277C"/>
    <w:rsid w:val="00624FF8"/>
    <w:rsid w:val="00632444"/>
    <w:rsid w:val="00634955"/>
    <w:rsid w:val="00642D0A"/>
    <w:rsid w:val="00656337"/>
    <w:rsid w:val="006B0B52"/>
    <w:rsid w:val="006C0737"/>
    <w:rsid w:val="006C4391"/>
    <w:rsid w:val="006D30F5"/>
    <w:rsid w:val="006D3EC1"/>
    <w:rsid w:val="006F5C39"/>
    <w:rsid w:val="00700896"/>
    <w:rsid w:val="00700D82"/>
    <w:rsid w:val="0075124E"/>
    <w:rsid w:val="00781C3C"/>
    <w:rsid w:val="007875F5"/>
    <w:rsid w:val="007A1832"/>
    <w:rsid w:val="007B486B"/>
    <w:rsid w:val="007C3B0E"/>
    <w:rsid w:val="007E11EA"/>
    <w:rsid w:val="007E613C"/>
    <w:rsid w:val="00853F28"/>
    <w:rsid w:val="00856E98"/>
    <w:rsid w:val="00866022"/>
    <w:rsid w:val="00872BD4"/>
    <w:rsid w:val="00875A36"/>
    <w:rsid w:val="00877E0B"/>
    <w:rsid w:val="00894868"/>
    <w:rsid w:val="008B7F47"/>
    <w:rsid w:val="008C669B"/>
    <w:rsid w:val="008C7DC6"/>
    <w:rsid w:val="008D12C3"/>
    <w:rsid w:val="008F253E"/>
    <w:rsid w:val="00906B52"/>
    <w:rsid w:val="00911446"/>
    <w:rsid w:val="009242DA"/>
    <w:rsid w:val="0092496F"/>
    <w:rsid w:val="00927F55"/>
    <w:rsid w:val="00943095"/>
    <w:rsid w:val="00953316"/>
    <w:rsid w:val="0096219D"/>
    <w:rsid w:val="009677AA"/>
    <w:rsid w:val="0097423B"/>
    <w:rsid w:val="0097603E"/>
    <w:rsid w:val="00980FD8"/>
    <w:rsid w:val="0098571E"/>
    <w:rsid w:val="009A06CC"/>
    <w:rsid w:val="009A7DE9"/>
    <w:rsid w:val="009E1644"/>
    <w:rsid w:val="009E5DC5"/>
    <w:rsid w:val="00A005DB"/>
    <w:rsid w:val="00A106B9"/>
    <w:rsid w:val="00A251BD"/>
    <w:rsid w:val="00A63609"/>
    <w:rsid w:val="00A76C3A"/>
    <w:rsid w:val="00AA1B78"/>
    <w:rsid w:val="00AC0E76"/>
    <w:rsid w:val="00AC410F"/>
    <w:rsid w:val="00AC5ED5"/>
    <w:rsid w:val="00AD132C"/>
    <w:rsid w:val="00AD5353"/>
    <w:rsid w:val="00AE4A19"/>
    <w:rsid w:val="00B10279"/>
    <w:rsid w:val="00B177EE"/>
    <w:rsid w:val="00B367CA"/>
    <w:rsid w:val="00B4378F"/>
    <w:rsid w:val="00B666F7"/>
    <w:rsid w:val="00B875D5"/>
    <w:rsid w:val="00BA2CA1"/>
    <w:rsid w:val="00BA2CAE"/>
    <w:rsid w:val="00BA3C15"/>
    <w:rsid w:val="00BC59C3"/>
    <w:rsid w:val="00BF462C"/>
    <w:rsid w:val="00BF4F11"/>
    <w:rsid w:val="00C02509"/>
    <w:rsid w:val="00C02B1C"/>
    <w:rsid w:val="00C2181B"/>
    <w:rsid w:val="00C24168"/>
    <w:rsid w:val="00C379EB"/>
    <w:rsid w:val="00C43038"/>
    <w:rsid w:val="00C72329"/>
    <w:rsid w:val="00C750BA"/>
    <w:rsid w:val="00CA0A3D"/>
    <w:rsid w:val="00CC3394"/>
    <w:rsid w:val="00CD74E1"/>
    <w:rsid w:val="00CE6E88"/>
    <w:rsid w:val="00CE77D8"/>
    <w:rsid w:val="00CE7DEB"/>
    <w:rsid w:val="00CF4994"/>
    <w:rsid w:val="00CF5B48"/>
    <w:rsid w:val="00CF79CB"/>
    <w:rsid w:val="00D03076"/>
    <w:rsid w:val="00D03168"/>
    <w:rsid w:val="00D24701"/>
    <w:rsid w:val="00D26D33"/>
    <w:rsid w:val="00D446FC"/>
    <w:rsid w:val="00D52DA8"/>
    <w:rsid w:val="00D606DE"/>
    <w:rsid w:val="00D62575"/>
    <w:rsid w:val="00D753FA"/>
    <w:rsid w:val="00D868A0"/>
    <w:rsid w:val="00D95E2E"/>
    <w:rsid w:val="00DB43FB"/>
    <w:rsid w:val="00DC0030"/>
    <w:rsid w:val="00DC11AA"/>
    <w:rsid w:val="00DC596A"/>
    <w:rsid w:val="00DE0058"/>
    <w:rsid w:val="00DE74EE"/>
    <w:rsid w:val="00DF5DEF"/>
    <w:rsid w:val="00E03802"/>
    <w:rsid w:val="00E15F0B"/>
    <w:rsid w:val="00E17755"/>
    <w:rsid w:val="00E328AA"/>
    <w:rsid w:val="00E70BE7"/>
    <w:rsid w:val="00E978BF"/>
    <w:rsid w:val="00ED14DA"/>
    <w:rsid w:val="00EE4717"/>
    <w:rsid w:val="00F20DE7"/>
    <w:rsid w:val="00F249B6"/>
    <w:rsid w:val="00F33AFE"/>
    <w:rsid w:val="00F40D41"/>
    <w:rsid w:val="00F83E8F"/>
    <w:rsid w:val="00F91DE5"/>
    <w:rsid w:val="00FC014A"/>
    <w:rsid w:val="00FF244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2F72"/>
    <w:pPr>
      <w:spacing w:line="48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2868E9"/>
    <w:pPr>
      <w:keepNext/>
      <w:keepLines/>
      <w:spacing w:before="240" w:after="0"/>
      <w:jc w:val="left"/>
      <w:outlineLvl w:val="0"/>
    </w:pPr>
    <w:rPr>
      <w:rFonts w:eastAsiaTheme="majorEastAsia" w:cstheme="majorBidi"/>
      <w:b/>
      <w:color w:val="auto"/>
      <w:sz w:val="28"/>
      <w:szCs w:val="32"/>
    </w:rPr>
  </w:style>
  <w:style w:type="paragraph" w:styleId="Heading2">
    <w:name w:val="heading 2"/>
    <w:basedOn w:val="Normal"/>
    <w:next w:val="Normal"/>
    <w:link w:val="Heading2Char"/>
    <w:uiPriority w:val="9"/>
    <w:unhideWhenUsed/>
    <w:qFormat/>
    <w:rsid w:val="002868E9"/>
    <w:pPr>
      <w:keepNext/>
      <w:keepLines/>
      <w:spacing w:before="40" w:after="0"/>
      <w:jc w:val="left"/>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2868E9"/>
    <w:pPr>
      <w:keepNext/>
      <w:keepLines/>
      <w:spacing w:before="40" w:after="0"/>
      <w:jc w:val="left"/>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868E9"/>
    <w:rPr>
      <w:rFonts w:ascii="Times New Roman" w:eastAsiaTheme="majorEastAsia" w:hAnsi="Times New Roman" w:cstheme="majorBidi"/>
      <w:b/>
      <w:color w:val="000000" w:themeColor="text1"/>
      <w:sz w:val="26"/>
      <w:szCs w:val="26"/>
      <w:lang w:val="en-IN"/>
    </w:rPr>
  </w:style>
  <w:style w:type="character" w:customStyle="1" w:styleId="Heading1Char">
    <w:name w:val="Heading 1 Char"/>
    <w:basedOn w:val="DefaultParagraphFont"/>
    <w:link w:val="Heading1"/>
    <w:uiPriority w:val="9"/>
    <w:rsid w:val="002868E9"/>
    <w:rPr>
      <w:rFonts w:ascii="Times New Roman" w:eastAsiaTheme="majorEastAsia" w:hAnsi="Times New Roman" w:cstheme="majorBidi"/>
      <w:b/>
      <w:sz w:val="28"/>
      <w:szCs w:val="32"/>
      <w:lang w:val="en-IN"/>
    </w:rPr>
  </w:style>
  <w:style w:type="character" w:customStyle="1" w:styleId="Heading3Char">
    <w:name w:val="Heading 3 Char"/>
    <w:basedOn w:val="DefaultParagraphFont"/>
    <w:link w:val="Heading3"/>
    <w:uiPriority w:val="9"/>
    <w:rsid w:val="002868E9"/>
    <w:rPr>
      <w:rFonts w:ascii="Times New Roman" w:eastAsiaTheme="majorEastAsia" w:hAnsi="Times New Roman" w:cstheme="majorBidi"/>
      <w:b/>
      <w:color w:val="000000" w:themeColor="text1"/>
      <w:sz w:val="24"/>
      <w:szCs w:val="24"/>
      <w:lang w:val="en-IN"/>
    </w:rPr>
  </w:style>
  <w:style w:type="paragraph" w:styleId="Header">
    <w:name w:val="header"/>
    <w:basedOn w:val="Normal"/>
    <w:link w:val="HeaderChar"/>
    <w:uiPriority w:val="99"/>
    <w:unhideWhenUsed/>
    <w:rsid w:val="002868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68E9"/>
    <w:rPr>
      <w:rFonts w:ascii="Times New Roman" w:hAnsi="Times New Roman"/>
      <w:color w:val="000000" w:themeColor="text1"/>
      <w:sz w:val="24"/>
      <w:lang w:val="en-IN"/>
    </w:rPr>
  </w:style>
  <w:style w:type="paragraph" w:styleId="Footer">
    <w:name w:val="footer"/>
    <w:basedOn w:val="Normal"/>
    <w:link w:val="FooterChar"/>
    <w:uiPriority w:val="99"/>
    <w:unhideWhenUsed/>
    <w:rsid w:val="002868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68E9"/>
    <w:rPr>
      <w:rFonts w:ascii="Times New Roman" w:hAnsi="Times New Roman"/>
      <w:color w:val="000000" w:themeColor="text1"/>
      <w:sz w:val="24"/>
      <w:lang w:val="en-IN"/>
    </w:rPr>
  </w:style>
  <w:style w:type="paragraph" w:styleId="TOCHeading">
    <w:name w:val="TOC Heading"/>
    <w:basedOn w:val="Heading1"/>
    <w:next w:val="Normal"/>
    <w:uiPriority w:val="39"/>
    <w:unhideWhenUsed/>
    <w:qFormat/>
    <w:rsid w:val="00C02B1C"/>
    <w:pPr>
      <w:spacing w:line="259" w:lineRule="auto"/>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C02B1C"/>
    <w:pPr>
      <w:spacing w:after="100"/>
    </w:pPr>
  </w:style>
  <w:style w:type="paragraph" w:styleId="TOC2">
    <w:name w:val="toc 2"/>
    <w:basedOn w:val="Normal"/>
    <w:next w:val="Normal"/>
    <w:autoRedefine/>
    <w:uiPriority w:val="39"/>
    <w:unhideWhenUsed/>
    <w:rsid w:val="00C02B1C"/>
    <w:pPr>
      <w:spacing w:after="100"/>
      <w:ind w:left="240"/>
    </w:pPr>
  </w:style>
  <w:style w:type="paragraph" w:styleId="TOC3">
    <w:name w:val="toc 3"/>
    <w:basedOn w:val="Normal"/>
    <w:next w:val="Normal"/>
    <w:autoRedefine/>
    <w:uiPriority w:val="39"/>
    <w:unhideWhenUsed/>
    <w:rsid w:val="00C02B1C"/>
    <w:pPr>
      <w:spacing w:after="100"/>
      <w:ind w:left="480"/>
    </w:pPr>
  </w:style>
  <w:style w:type="character" w:styleId="Hyperlink">
    <w:name w:val="Hyperlink"/>
    <w:basedOn w:val="DefaultParagraphFont"/>
    <w:uiPriority w:val="99"/>
    <w:unhideWhenUsed/>
    <w:rsid w:val="00C02B1C"/>
    <w:rPr>
      <w:color w:val="0563C1" w:themeColor="hyperlink"/>
      <w:u w:val="single"/>
    </w:rPr>
  </w:style>
  <w:style w:type="paragraph" w:styleId="ListParagraph">
    <w:name w:val="List Paragraph"/>
    <w:basedOn w:val="Normal"/>
    <w:uiPriority w:val="34"/>
    <w:qFormat/>
    <w:rsid w:val="00700D82"/>
    <w:pPr>
      <w:ind w:left="720"/>
      <w:contextualSpacing/>
    </w:pPr>
  </w:style>
  <w:style w:type="character" w:customStyle="1" w:styleId="UnresolvedMention">
    <w:name w:val="Unresolved Mention"/>
    <w:basedOn w:val="DefaultParagraphFont"/>
    <w:uiPriority w:val="99"/>
    <w:semiHidden/>
    <w:unhideWhenUsed/>
    <w:rsid w:val="00C24168"/>
    <w:rPr>
      <w:color w:val="605E5C"/>
      <w:shd w:val="clear" w:color="auto" w:fill="E1DFDD"/>
    </w:rPr>
  </w:style>
  <w:style w:type="character" w:styleId="PlaceholderText">
    <w:name w:val="Placeholder Text"/>
    <w:basedOn w:val="DefaultParagraphFont"/>
    <w:uiPriority w:val="99"/>
    <w:semiHidden/>
    <w:rsid w:val="00853F28"/>
    <w:rPr>
      <w:color w:val="808080"/>
    </w:rPr>
  </w:style>
  <w:style w:type="paragraph" w:styleId="BalloonText">
    <w:name w:val="Balloon Text"/>
    <w:basedOn w:val="Normal"/>
    <w:link w:val="BalloonTextChar"/>
    <w:uiPriority w:val="99"/>
    <w:semiHidden/>
    <w:unhideWhenUsed/>
    <w:rsid w:val="00CC33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3394"/>
    <w:rPr>
      <w:rFonts w:ascii="Tahoma" w:hAnsi="Tahoma" w:cs="Tahoma"/>
      <w:color w:val="000000" w:themeColor="text1"/>
      <w:sz w:val="16"/>
      <w:szCs w:val="16"/>
      <w:lang w:val="en-GB"/>
    </w:rPr>
  </w:style>
  <w:style w:type="paragraph" w:styleId="BodyText">
    <w:name w:val="Body Text"/>
    <w:basedOn w:val="Normal"/>
    <w:link w:val="BodyTextChar"/>
    <w:uiPriority w:val="99"/>
    <w:unhideWhenUsed/>
    <w:rsid w:val="00CC3394"/>
    <w:pPr>
      <w:spacing w:after="120" w:line="276" w:lineRule="auto"/>
      <w:jc w:val="left"/>
    </w:pPr>
    <w:rPr>
      <w:rFonts w:asciiTheme="minorHAnsi" w:hAnsiTheme="minorHAnsi"/>
      <w:color w:val="auto"/>
      <w:sz w:val="22"/>
      <w:lang w:val="en-US"/>
    </w:rPr>
  </w:style>
  <w:style w:type="character" w:customStyle="1" w:styleId="BodyTextChar">
    <w:name w:val="Body Text Char"/>
    <w:basedOn w:val="DefaultParagraphFont"/>
    <w:link w:val="BodyText"/>
    <w:uiPriority w:val="99"/>
    <w:rsid w:val="00CC3394"/>
  </w:style>
</w:styles>
</file>

<file path=word/webSettings.xml><?xml version="1.0" encoding="utf-8"?>
<w:webSettings xmlns:r="http://schemas.openxmlformats.org/officeDocument/2006/relationships" xmlns:w="http://schemas.openxmlformats.org/wordprocessingml/2006/main">
  <w:divs>
    <w:div w:id="1209142072">
      <w:bodyDiv w:val="1"/>
      <w:marLeft w:val="0"/>
      <w:marRight w:val="0"/>
      <w:marTop w:val="0"/>
      <w:marBottom w:val="0"/>
      <w:divBdr>
        <w:top w:val="none" w:sz="0" w:space="0" w:color="auto"/>
        <w:left w:val="none" w:sz="0" w:space="0" w:color="auto"/>
        <w:bottom w:val="none" w:sz="0" w:space="0" w:color="auto"/>
        <w:right w:val="none" w:sz="0" w:space="0" w:color="auto"/>
      </w:divBdr>
      <w:divsChild>
        <w:div w:id="763037348">
          <w:marLeft w:val="0"/>
          <w:marRight w:val="0"/>
          <w:marTop w:val="0"/>
          <w:marBottom w:val="0"/>
          <w:divBdr>
            <w:top w:val="none" w:sz="0" w:space="0" w:color="auto"/>
            <w:left w:val="none" w:sz="0" w:space="0" w:color="auto"/>
            <w:bottom w:val="none" w:sz="0" w:space="0" w:color="auto"/>
            <w:right w:val="none" w:sz="0" w:space="0" w:color="auto"/>
          </w:divBdr>
        </w:div>
      </w:divsChild>
    </w:div>
    <w:div w:id="1943799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sources.cwg-qbr.pulselive.com/qbr-commonwealth-games/document/2022/11/08/05c0b10c-00c3-4ab7-88f4-e8396acc5834/Birmingham-2022-Sustainability-Report.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resources.cwg-qbr.pulselive.com/qbr-commonwealth-games/document/2022/07/12/a37f0633-361d-49b1-9cca-d25043dccff8/Birmingham-2022_Our_Legacy.pdf" TargetMode="External"/><Relationship Id="rId4" Type="http://schemas.openxmlformats.org/officeDocument/2006/relationships/settings" Target="settings.xml"/><Relationship Id="rId9" Type="http://schemas.openxmlformats.org/officeDocument/2006/relationships/hyperlink" Target="https://www.birmingham2022.com/about-u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63E94A-21E7-40C8-8A80-2F3B054B7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2218</TotalTime>
  <Pages>12</Pages>
  <Words>2790</Words>
  <Characters>15903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hp</cp:lastModifiedBy>
  <cp:revision>56</cp:revision>
  <dcterms:created xsi:type="dcterms:W3CDTF">2020-01-07T09:20:00Z</dcterms:created>
  <dcterms:modified xsi:type="dcterms:W3CDTF">2023-01-11T22:05:00Z</dcterms:modified>
</cp:coreProperties>
</file>