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1F096" w14:textId="77777777" w:rsidR="007E10E6" w:rsidRDefault="007E10E6">
      <w:pPr>
        <w:jc w:val="center"/>
        <w:rPr>
          <w:b/>
          <w:bCs/>
          <w:sz w:val="32"/>
          <w:szCs w:val="32"/>
          <w:lang w:val="en-GB"/>
        </w:rPr>
      </w:pPr>
    </w:p>
    <w:p w14:paraId="0687A65A" w14:textId="77777777" w:rsidR="00FD2431" w:rsidRDefault="00FD2431">
      <w:pPr>
        <w:jc w:val="center"/>
        <w:rPr>
          <w:b/>
          <w:bCs/>
          <w:sz w:val="32"/>
          <w:szCs w:val="32"/>
          <w:lang w:val="en-GB"/>
        </w:rPr>
      </w:pPr>
    </w:p>
    <w:p w14:paraId="1D0587EA" w14:textId="77777777" w:rsidR="00FD2431" w:rsidRPr="00B34DDC" w:rsidRDefault="00FD2431">
      <w:pPr>
        <w:jc w:val="center"/>
        <w:rPr>
          <w:b/>
          <w:bCs/>
          <w:sz w:val="32"/>
          <w:szCs w:val="32"/>
          <w:lang w:val="en-GB"/>
        </w:rPr>
      </w:pPr>
    </w:p>
    <w:p w14:paraId="783BDED7" w14:textId="77777777" w:rsidR="007E10E6" w:rsidRPr="00B34DDC" w:rsidRDefault="00212AA8">
      <w:pPr>
        <w:jc w:val="center"/>
        <w:rPr>
          <w:b/>
          <w:bCs/>
          <w:sz w:val="32"/>
          <w:szCs w:val="32"/>
          <w:lang w:val="en-GB"/>
        </w:rPr>
      </w:pPr>
      <w:r w:rsidRPr="00B34DDC">
        <w:rPr>
          <w:b/>
          <w:bCs/>
          <w:sz w:val="32"/>
          <w:szCs w:val="32"/>
          <w:lang w:val="en-GB"/>
        </w:rPr>
        <w:t>PROGRAMME: MASTER OF BUSINESS ADMINISTRATION</w:t>
      </w:r>
    </w:p>
    <w:p w14:paraId="2BE0DF35" w14:textId="77777777" w:rsidR="007E10E6" w:rsidRPr="00B34DDC" w:rsidRDefault="00212AA8">
      <w:pPr>
        <w:jc w:val="center"/>
        <w:rPr>
          <w:b/>
          <w:bCs/>
          <w:sz w:val="32"/>
          <w:szCs w:val="32"/>
          <w:lang w:val="en-GB"/>
        </w:rPr>
      </w:pPr>
      <w:r w:rsidRPr="00B34DDC">
        <w:rPr>
          <w:b/>
          <w:bCs/>
          <w:sz w:val="32"/>
          <w:szCs w:val="32"/>
          <w:lang w:val="en-GB"/>
        </w:rPr>
        <w:t>MODULE: MARKETING MANAGEMENT</w:t>
      </w:r>
    </w:p>
    <w:p w14:paraId="6CDFCCE4" w14:textId="77777777" w:rsidR="007E10E6" w:rsidRPr="00B34DDC" w:rsidRDefault="00212AA8">
      <w:pPr>
        <w:jc w:val="center"/>
        <w:rPr>
          <w:b/>
          <w:bCs/>
          <w:sz w:val="32"/>
          <w:szCs w:val="32"/>
          <w:lang w:val="en-GB"/>
        </w:rPr>
      </w:pPr>
      <w:r w:rsidRPr="00B34DDC">
        <w:rPr>
          <w:b/>
          <w:bCs/>
          <w:sz w:val="32"/>
          <w:szCs w:val="32"/>
          <w:lang w:val="en-GB"/>
        </w:rPr>
        <w:t>MODULE CODE: LCMB7024</w:t>
      </w:r>
    </w:p>
    <w:p w14:paraId="60C44275" w14:textId="77777777" w:rsidR="007E10E6" w:rsidRPr="00B34DDC" w:rsidRDefault="00212AA8">
      <w:pPr>
        <w:jc w:val="center"/>
        <w:rPr>
          <w:b/>
          <w:bCs/>
          <w:sz w:val="32"/>
          <w:szCs w:val="32"/>
          <w:lang w:val="en-GB"/>
        </w:rPr>
      </w:pPr>
      <w:r w:rsidRPr="00B34DDC">
        <w:rPr>
          <w:b/>
          <w:bCs/>
          <w:sz w:val="32"/>
          <w:szCs w:val="32"/>
          <w:lang w:val="en-GB"/>
        </w:rPr>
        <w:t>ASSIGNMENT TITLE: MARKETING ENVIRONMENT ANALYSIS</w:t>
      </w:r>
      <w:r w:rsidR="00465401" w:rsidRPr="00B34DDC">
        <w:rPr>
          <w:b/>
          <w:bCs/>
          <w:sz w:val="32"/>
          <w:szCs w:val="32"/>
          <w:lang w:val="en-GB"/>
        </w:rPr>
        <w:t xml:space="preserve"> OF TATA STEEL</w:t>
      </w:r>
    </w:p>
    <w:p w14:paraId="6436779D" w14:textId="2BE0B8EF" w:rsidR="007E10E6" w:rsidRPr="00B34DDC" w:rsidRDefault="00212AA8">
      <w:pPr>
        <w:jc w:val="center"/>
        <w:rPr>
          <w:b/>
          <w:bCs/>
          <w:sz w:val="32"/>
          <w:szCs w:val="32"/>
          <w:lang w:val="en-GB"/>
        </w:rPr>
      </w:pPr>
      <w:r w:rsidRPr="00B34DDC">
        <w:rPr>
          <w:b/>
          <w:bCs/>
          <w:sz w:val="32"/>
          <w:szCs w:val="32"/>
          <w:lang w:val="en-GB"/>
        </w:rPr>
        <w:t xml:space="preserve">LECTURER: </w:t>
      </w:r>
      <w:r w:rsidR="001C018D" w:rsidRPr="001C018D">
        <w:rPr>
          <w:b/>
          <w:bCs/>
          <w:sz w:val="32"/>
          <w:szCs w:val="32"/>
          <w:lang w:val="en-GB"/>
        </w:rPr>
        <w:t>Tushara Balendran</w:t>
      </w:r>
    </w:p>
    <w:p w14:paraId="1897BE92" w14:textId="4F26E91A" w:rsidR="007E10E6" w:rsidRPr="00B34DDC" w:rsidRDefault="00212AA8">
      <w:pPr>
        <w:jc w:val="center"/>
        <w:rPr>
          <w:b/>
          <w:bCs/>
          <w:sz w:val="32"/>
          <w:szCs w:val="32"/>
          <w:lang w:val="en-GB"/>
        </w:rPr>
      </w:pPr>
      <w:r w:rsidRPr="00B34DDC">
        <w:rPr>
          <w:b/>
          <w:bCs/>
          <w:sz w:val="32"/>
          <w:szCs w:val="32"/>
          <w:lang w:val="en-GB"/>
        </w:rPr>
        <w:t xml:space="preserve">STUDENT NAME: </w:t>
      </w:r>
      <w:r w:rsidR="00FD2431">
        <w:rPr>
          <w:b/>
          <w:bCs/>
          <w:sz w:val="32"/>
          <w:szCs w:val="32"/>
        </w:rPr>
        <w:t>D</w:t>
      </w:r>
      <w:r w:rsidR="00FD2431" w:rsidRPr="00FD2431">
        <w:rPr>
          <w:b/>
          <w:bCs/>
          <w:sz w:val="32"/>
          <w:szCs w:val="32"/>
        </w:rPr>
        <w:t xml:space="preserve">ishaben </w:t>
      </w:r>
      <w:r w:rsidR="00FD2431">
        <w:rPr>
          <w:b/>
          <w:bCs/>
          <w:sz w:val="32"/>
          <w:szCs w:val="32"/>
        </w:rPr>
        <w:t>N</w:t>
      </w:r>
      <w:r w:rsidR="00FD2431" w:rsidRPr="00FD2431">
        <w:rPr>
          <w:b/>
          <w:bCs/>
          <w:sz w:val="32"/>
          <w:szCs w:val="32"/>
        </w:rPr>
        <w:t xml:space="preserve">irav </w:t>
      </w:r>
      <w:r w:rsidR="00FD2431">
        <w:rPr>
          <w:b/>
          <w:bCs/>
          <w:sz w:val="32"/>
          <w:szCs w:val="32"/>
        </w:rPr>
        <w:t>G</w:t>
      </w:r>
      <w:r w:rsidR="00FD2431" w:rsidRPr="00FD2431">
        <w:rPr>
          <w:b/>
          <w:bCs/>
          <w:sz w:val="32"/>
          <w:szCs w:val="32"/>
        </w:rPr>
        <w:t>oyani</w:t>
      </w:r>
    </w:p>
    <w:p w14:paraId="0C54C6DF" w14:textId="2B5DFFC0" w:rsidR="00006007" w:rsidRDefault="006D56C0" w:rsidP="00006007">
      <w:pPr>
        <w:jc w:val="center"/>
        <w:rPr>
          <w:b/>
          <w:bCs/>
          <w:sz w:val="32"/>
          <w:szCs w:val="32"/>
          <w:lang w:val="en-GB"/>
        </w:rPr>
      </w:pPr>
      <w:r w:rsidRPr="006D56C0">
        <w:rPr>
          <w:b/>
          <w:bCs/>
          <w:sz w:val="32"/>
          <w:szCs w:val="32"/>
          <w:lang w:val="en-GB"/>
        </w:rPr>
        <w:t>Word Count: 2</w:t>
      </w:r>
      <w:r w:rsidR="000D0E03">
        <w:rPr>
          <w:b/>
          <w:bCs/>
          <w:sz w:val="32"/>
          <w:szCs w:val="32"/>
          <w:lang w:val="en-GB"/>
        </w:rPr>
        <w:t>500</w:t>
      </w:r>
    </w:p>
    <w:p w14:paraId="1076962C" w14:textId="5FAA57DB" w:rsidR="007E10E6" w:rsidRPr="00B34DDC" w:rsidRDefault="00212AA8">
      <w:pPr>
        <w:jc w:val="center"/>
        <w:rPr>
          <w:b/>
          <w:bCs/>
          <w:sz w:val="32"/>
          <w:szCs w:val="32"/>
          <w:lang w:val="en-GB"/>
        </w:rPr>
      </w:pPr>
      <w:r w:rsidRPr="00B34DDC">
        <w:rPr>
          <w:b/>
          <w:bCs/>
          <w:sz w:val="32"/>
          <w:szCs w:val="32"/>
          <w:lang w:val="en-GB"/>
        </w:rPr>
        <w:t>STUDENT ID NUMBER:</w:t>
      </w:r>
      <w:r w:rsidR="00AA7D37" w:rsidRPr="00AA7D37">
        <w:t xml:space="preserve"> </w:t>
      </w:r>
      <w:r w:rsidR="00AA7D37" w:rsidRPr="00AA7D37">
        <w:rPr>
          <w:b/>
          <w:bCs/>
          <w:sz w:val="32"/>
          <w:szCs w:val="32"/>
        </w:rPr>
        <w:t>2536657</w:t>
      </w:r>
    </w:p>
    <w:p w14:paraId="306BD321" w14:textId="77777777" w:rsidR="007E10E6" w:rsidRPr="00B34DDC" w:rsidRDefault="00212AA8">
      <w:pPr>
        <w:rPr>
          <w:b/>
          <w:bCs/>
          <w:lang w:val="en-GB"/>
        </w:rPr>
      </w:pPr>
      <w:r w:rsidRPr="00B34DDC">
        <w:rPr>
          <w:lang w:val="en-GB"/>
        </w:rPr>
        <w:br w:type="page"/>
      </w:r>
    </w:p>
    <w:p w14:paraId="338F54DB" w14:textId="77777777" w:rsidR="007E10E6" w:rsidRPr="00B34DDC" w:rsidRDefault="00212AA8">
      <w:pPr>
        <w:jc w:val="center"/>
        <w:rPr>
          <w:b/>
          <w:bCs/>
          <w:lang w:val="en-GB"/>
        </w:rPr>
      </w:pPr>
      <w:r w:rsidRPr="00B34DDC">
        <w:rPr>
          <w:b/>
          <w:bCs/>
          <w:lang w:val="en-GB"/>
        </w:rPr>
        <w:t xml:space="preserve">Executive summary </w:t>
      </w:r>
    </w:p>
    <w:p w14:paraId="1CB7346C" w14:textId="77777777" w:rsidR="007E10E6" w:rsidRPr="00B34DDC" w:rsidRDefault="00212AA8">
      <w:pPr>
        <w:rPr>
          <w:lang w:val="en-GB"/>
        </w:rPr>
      </w:pPr>
      <w:r w:rsidRPr="00B34DDC">
        <w:rPr>
          <w:lang w:val="en-GB"/>
        </w:rPr>
        <w:t xml:space="preserve">External marketing environment significantly influences Tata Steel’s transition towards lower-carbon products. Natural environment actors involve climate change and global warming, while Tata Steel is focused on reducing carbon emissions and adopting clean production technologies. India’s political environment, including government policies and green energy initiative influencing is strategic decisions of Tata Steel. </w:t>
      </w:r>
    </w:p>
    <w:p w14:paraId="3B62C510" w14:textId="77777777" w:rsidR="00077A54" w:rsidRPr="00B34DDC" w:rsidRDefault="00212AA8" w:rsidP="00077A54">
      <w:pPr>
        <w:rPr>
          <w:b/>
          <w:bCs/>
          <w:lang w:val="en-GB"/>
        </w:rPr>
      </w:pPr>
      <w:r w:rsidRPr="00B34DDC">
        <w:rPr>
          <w:lang w:val="en-GB"/>
        </w:rPr>
        <w:br w:type="page"/>
      </w:r>
      <w:bookmarkStart w:id="0" w:name="_bk7aape47i8c" w:colFirst="0" w:colLast="0"/>
      <w:bookmarkEnd w:id="0"/>
    </w:p>
    <w:sdt>
      <w:sdtPr>
        <w:rPr>
          <w:rFonts w:ascii="Arial" w:eastAsia="Arial" w:hAnsi="Arial" w:cs="Arial"/>
          <w:color w:val="auto"/>
          <w:sz w:val="24"/>
          <w:szCs w:val="24"/>
          <w:lang w:val="en-GB" w:eastAsia="en-IN"/>
        </w:rPr>
        <w:id w:val="-297151011"/>
        <w:docPartObj>
          <w:docPartGallery w:val="Table of Contents"/>
          <w:docPartUnique/>
        </w:docPartObj>
      </w:sdtPr>
      <w:sdtEndPr>
        <w:rPr>
          <w:b/>
          <w:bCs/>
          <w:noProof/>
        </w:rPr>
      </w:sdtEndPr>
      <w:sdtContent>
        <w:p w14:paraId="572EC8A2" w14:textId="77777777" w:rsidR="00077A54" w:rsidRPr="00B34DDC" w:rsidRDefault="00077A54" w:rsidP="00077A54">
          <w:pPr>
            <w:pStyle w:val="TOCHeading"/>
            <w:spacing w:line="360" w:lineRule="auto"/>
            <w:jc w:val="center"/>
            <w:rPr>
              <w:rFonts w:ascii="Arial" w:hAnsi="Arial" w:cs="Arial"/>
              <w:b/>
              <w:bCs/>
              <w:color w:val="000000" w:themeColor="text1"/>
              <w:sz w:val="24"/>
              <w:szCs w:val="24"/>
              <w:lang w:val="en-GB"/>
            </w:rPr>
          </w:pPr>
          <w:r w:rsidRPr="00B34DDC">
            <w:rPr>
              <w:rFonts w:ascii="Arial" w:hAnsi="Arial" w:cs="Arial"/>
              <w:b/>
              <w:bCs/>
              <w:color w:val="000000" w:themeColor="text1"/>
              <w:sz w:val="24"/>
              <w:szCs w:val="24"/>
              <w:lang w:val="en-GB"/>
            </w:rPr>
            <w:t>Table of Contents</w:t>
          </w:r>
        </w:p>
        <w:p w14:paraId="38D3D62E" w14:textId="77777777" w:rsidR="00784198" w:rsidRPr="00B34DDC" w:rsidRDefault="00587621">
          <w:pPr>
            <w:pStyle w:val="TOC1"/>
            <w:tabs>
              <w:tab w:val="right" w:leader="dot" w:pos="9350"/>
            </w:tabs>
            <w:rPr>
              <w:rFonts w:asciiTheme="minorHAnsi" w:eastAsiaTheme="minorEastAsia" w:hAnsiTheme="minorHAnsi" w:cstheme="minorBidi"/>
              <w:noProof/>
              <w:kern w:val="2"/>
              <w:lang w:val="en-GB"/>
            </w:rPr>
          </w:pPr>
          <w:r w:rsidRPr="00B34DDC">
            <w:rPr>
              <w:color w:val="000000" w:themeColor="text1"/>
              <w:lang w:val="en-GB"/>
            </w:rPr>
            <w:fldChar w:fldCharType="begin"/>
          </w:r>
          <w:r w:rsidR="00077A54" w:rsidRPr="00B34DDC">
            <w:rPr>
              <w:color w:val="000000" w:themeColor="text1"/>
              <w:lang w:val="en-GB"/>
            </w:rPr>
            <w:instrText xml:space="preserve"> TOC \o "1-3" \h \z \u </w:instrText>
          </w:r>
          <w:r w:rsidRPr="00B34DDC">
            <w:rPr>
              <w:color w:val="000000" w:themeColor="text1"/>
              <w:lang w:val="en-GB"/>
            </w:rPr>
            <w:fldChar w:fldCharType="separate"/>
          </w:r>
          <w:hyperlink w:anchor="_Toc234073379" w:history="1">
            <w:r w:rsidR="00784198" w:rsidRPr="00B34DDC">
              <w:rPr>
                <w:rStyle w:val="Hyperlink"/>
                <w:noProof/>
                <w:lang w:val="en-GB"/>
              </w:rPr>
              <w:t>Introduction</w:t>
            </w:r>
            <w:r w:rsidR="00784198" w:rsidRPr="00B34DDC">
              <w:rPr>
                <w:noProof/>
                <w:webHidden/>
                <w:lang w:val="en-GB"/>
              </w:rPr>
              <w:tab/>
            </w:r>
            <w:r w:rsidRPr="00B34DDC">
              <w:rPr>
                <w:noProof/>
                <w:webHidden/>
                <w:lang w:val="en-GB"/>
              </w:rPr>
              <w:fldChar w:fldCharType="begin"/>
            </w:r>
            <w:r w:rsidR="00784198" w:rsidRPr="00B34DDC">
              <w:rPr>
                <w:noProof/>
                <w:webHidden/>
                <w:lang w:val="en-GB"/>
              </w:rPr>
              <w:instrText xml:space="preserve"> PAGEREF _Toc234073379 \h </w:instrText>
            </w:r>
            <w:r w:rsidRPr="00B34DDC">
              <w:rPr>
                <w:noProof/>
                <w:webHidden/>
                <w:lang w:val="en-GB"/>
              </w:rPr>
            </w:r>
            <w:r w:rsidRPr="00B34DDC">
              <w:rPr>
                <w:noProof/>
                <w:webHidden/>
                <w:lang w:val="en-GB"/>
              </w:rPr>
              <w:fldChar w:fldCharType="separate"/>
            </w:r>
            <w:r w:rsidR="00784198" w:rsidRPr="00B34DDC">
              <w:rPr>
                <w:noProof/>
                <w:webHidden/>
                <w:lang w:val="en-GB"/>
              </w:rPr>
              <w:t>3</w:t>
            </w:r>
            <w:r w:rsidRPr="00B34DDC">
              <w:rPr>
                <w:noProof/>
                <w:webHidden/>
                <w:lang w:val="en-GB"/>
              </w:rPr>
              <w:fldChar w:fldCharType="end"/>
            </w:r>
          </w:hyperlink>
        </w:p>
        <w:p w14:paraId="31CC68B2" w14:textId="77777777" w:rsidR="00784198" w:rsidRPr="00B34DDC" w:rsidRDefault="00784198">
          <w:pPr>
            <w:pStyle w:val="TOC1"/>
            <w:tabs>
              <w:tab w:val="right" w:leader="dot" w:pos="9350"/>
            </w:tabs>
            <w:rPr>
              <w:rFonts w:asciiTheme="minorHAnsi" w:eastAsiaTheme="minorEastAsia" w:hAnsiTheme="minorHAnsi" w:cstheme="minorBidi"/>
              <w:noProof/>
              <w:kern w:val="2"/>
              <w:lang w:val="en-GB"/>
            </w:rPr>
          </w:pPr>
          <w:hyperlink w:anchor="_Toc234073380" w:history="1">
            <w:r w:rsidRPr="00B34DDC">
              <w:rPr>
                <w:rStyle w:val="Hyperlink"/>
                <w:noProof/>
                <w:lang w:val="en-GB"/>
              </w:rPr>
              <w:t>Task 1: Marketing Environment Analysis</w:t>
            </w:r>
            <w:r w:rsidRPr="00B34DDC">
              <w:rPr>
                <w:noProof/>
                <w:webHidden/>
                <w:lang w:val="en-GB"/>
              </w:rPr>
              <w:tab/>
            </w:r>
            <w:r w:rsidR="00587621" w:rsidRPr="00B34DDC">
              <w:rPr>
                <w:noProof/>
                <w:webHidden/>
                <w:lang w:val="en-GB"/>
              </w:rPr>
              <w:fldChar w:fldCharType="begin"/>
            </w:r>
            <w:r w:rsidRPr="00B34DDC">
              <w:rPr>
                <w:noProof/>
                <w:webHidden/>
                <w:lang w:val="en-GB"/>
              </w:rPr>
              <w:instrText xml:space="preserve"> PAGEREF _Toc234073380 \h </w:instrText>
            </w:r>
            <w:r w:rsidR="00587621" w:rsidRPr="00B34DDC">
              <w:rPr>
                <w:noProof/>
                <w:webHidden/>
                <w:lang w:val="en-GB"/>
              </w:rPr>
            </w:r>
            <w:r w:rsidR="00587621" w:rsidRPr="00B34DDC">
              <w:rPr>
                <w:noProof/>
                <w:webHidden/>
                <w:lang w:val="en-GB"/>
              </w:rPr>
              <w:fldChar w:fldCharType="separate"/>
            </w:r>
            <w:r w:rsidRPr="00B34DDC">
              <w:rPr>
                <w:noProof/>
                <w:webHidden/>
                <w:lang w:val="en-GB"/>
              </w:rPr>
              <w:t>3</w:t>
            </w:r>
            <w:r w:rsidR="00587621" w:rsidRPr="00B34DDC">
              <w:rPr>
                <w:noProof/>
                <w:webHidden/>
                <w:lang w:val="en-GB"/>
              </w:rPr>
              <w:fldChar w:fldCharType="end"/>
            </w:r>
          </w:hyperlink>
        </w:p>
        <w:p w14:paraId="09D9412B" w14:textId="77777777" w:rsidR="00784198" w:rsidRPr="00B34DDC" w:rsidRDefault="00784198">
          <w:pPr>
            <w:pStyle w:val="TOC1"/>
            <w:tabs>
              <w:tab w:val="right" w:leader="dot" w:pos="9350"/>
            </w:tabs>
            <w:rPr>
              <w:rFonts w:asciiTheme="minorHAnsi" w:eastAsiaTheme="minorEastAsia" w:hAnsiTheme="minorHAnsi" w:cstheme="minorBidi"/>
              <w:noProof/>
              <w:kern w:val="2"/>
              <w:lang w:val="en-GB"/>
            </w:rPr>
          </w:pPr>
          <w:hyperlink w:anchor="_Toc234073381" w:history="1">
            <w:r w:rsidRPr="00B34DDC">
              <w:rPr>
                <w:rStyle w:val="Hyperlink"/>
                <w:noProof/>
                <w:lang w:val="en-GB"/>
              </w:rPr>
              <w:t>Task 2: Strategic Growth and Competitive Positioning</w:t>
            </w:r>
            <w:r w:rsidRPr="00B34DDC">
              <w:rPr>
                <w:noProof/>
                <w:webHidden/>
                <w:lang w:val="en-GB"/>
              </w:rPr>
              <w:tab/>
            </w:r>
            <w:r w:rsidR="00587621" w:rsidRPr="00B34DDC">
              <w:rPr>
                <w:noProof/>
                <w:webHidden/>
                <w:lang w:val="en-GB"/>
              </w:rPr>
              <w:fldChar w:fldCharType="begin"/>
            </w:r>
            <w:r w:rsidRPr="00B34DDC">
              <w:rPr>
                <w:noProof/>
                <w:webHidden/>
                <w:lang w:val="en-GB"/>
              </w:rPr>
              <w:instrText xml:space="preserve"> PAGEREF _Toc234073381 \h </w:instrText>
            </w:r>
            <w:r w:rsidR="00587621" w:rsidRPr="00B34DDC">
              <w:rPr>
                <w:noProof/>
                <w:webHidden/>
                <w:lang w:val="en-GB"/>
              </w:rPr>
            </w:r>
            <w:r w:rsidR="00587621" w:rsidRPr="00B34DDC">
              <w:rPr>
                <w:noProof/>
                <w:webHidden/>
                <w:lang w:val="en-GB"/>
              </w:rPr>
              <w:fldChar w:fldCharType="separate"/>
            </w:r>
            <w:r w:rsidRPr="00B34DDC">
              <w:rPr>
                <w:noProof/>
                <w:webHidden/>
                <w:lang w:val="en-GB"/>
              </w:rPr>
              <w:t>6</w:t>
            </w:r>
            <w:r w:rsidR="00587621" w:rsidRPr="00B34DDC">
              <w:rPr>
                <w:noProof/>
                <w:webHidden/>
                <w:lang w:val="en-GB"/>
              </w:rPr>
              <w:fldChar w:fldCharType="end"/>
            </w:r>
          </w:hyperlink>
        </w:p>
        <w:p w14:paraId="6EA5D38D" w14:textId="77777777" w:rsidR="00784198" w:rsidRPr="00B34DDC" w:rsidRDefault="00784198">
          <w:pPr>
            <w:pStyle w:val="TOC1"/>
            <w:tabs>
              <w:tab w:val="right" w:leader="dot" w:pos="9350"/>
            </w:tabs>
            <w:rPr>
              <w:rFonts w:asciiTheme="minorHAnsi" w:eastAsiaTheme="minorEastAsia" w:hAnsiTheme="minorHAnsi" w:cstheme="minorBidi"/>
              <w:noProof/>
              <w:kern w:val="2"/>
              <w:lang w:val="en-GB"/>
            </w:rPr>
          </w:pPr>
          <w:hyperlink w:anchor="_Toc234073382" w:history="1">
            <w:r w:rsidRPr="00B34DDC">
              <w:rPr>
                <w:rStyle w:val="Hyperlink"/>
                <w:noProof/>
                <w:lang w:val="en-GB"/>
              </w:rPr>
              <w:t>Task 3: Critical Reflection on AI Usage</w:t>
            </w:r>
            <w:r w:rsidRPr="00B34DDC">
              <w:rPr>
                <w:noProof/>
                <w:webHidden/>
                <w:lang w:val="en-GB"/>
              </w:rPr>
              <w:tab/>
            </w:r>
            <w:r w:rsidR="00587621" w:rsidRPr="00B34DDC">
              <w:rPr>
                <w:noProof/>
                <w:webHidden/>
                <w:lang w:val="en-GB"/>
              </w:rPr>
              <w:fldChar w:fldCharType="begin"/>
            </w:r>
            <w:r w:rsidRPr="00B34DDC">
              <w:rPr>
                <w:noProof/>
                <w:webHidden/>
                <w:lang w:val="en-GB"/>
              </w:rPr>
              <w:instrText xml:space="preserve"> PAGEREF _Toc234073382 \h </w:instrText>
            </w:r>
            <w:r w:rsidR="00587621" w:rsidRPr="00B34DDC">
              <w:rPr>
                <w:noProof/>
                <w:webHidden/>
                <w:lang w:val="en-GB"/>
              </w:rPr>
            </w:r>
            <w:r w:rsidR="00587621" w:rsidRPr="00B34DDC">
              <w:rPr>
                <w:noProof/>
                <w:webHidden/>
                <w:lang w:val="en-GB"/>
              </w:rPr>
              <w:fldChar w:fldCharType="separate"/>
            </w:r>
            <w:r w:rsidRPr="00B34DDC">
              <w:rPr>
                <w:noProof/>
                <w:webHidden/>
                <w:lang w:val="en-GB"/>
              </w:rPr>
              <w:t>10</w:t>
            </w:r>
            <w:r w:rsidR="00587621" w:rsidRPr="00B34DDC">
              <w:rPr>
                <w:noProof/>
                <w:webHidden/>
                <w:lang w:val="en-GB"/>
              </w:rPr>
              <w:fldChar w:fldCharType="end"/>
            </w:r>
          </w:hyperlink>
        </w:p>
        <w:p w14:paraId="6AB1CC9E" w14:textId="77777777" w:rsidR="00784198" w:rsidRPr="00B34DDC" w:rsidRDefault="00784198">
          <w:pPr>
            <w:pStyle w:val="TOC1"/>
            <w:tabs>
              <w:tab w:val="right" w:leader="dot" w:pos="9350"/>
            </w:tabs>
            <w:rPr>
              <w:rFonts w:asciiTheme="minorHAnsi" w:eastAsiaTheme="minorEastAsia" w:hAnsiTheme="minorHAnsi" w:cstheme="minorBidi"/>
              <w:noProof/>
              <w:kern w:val="2"/>
              <w:lang w:val="en-GB"/>
            </w:rPr>
          </w:pPr>
          <w:hyperlink w:anchor="_Toc234073383" w:history="1">
            <w:r w:rsidRPr="00B34DDC">
              <w:rPr>
                <w:rStyle w:val="Hyperlink"/>
                <w:noProof/>
                <w:lang w:val="en-GB"/>
              </w:rPr>
              <w:t>Conclusion</w:t>
            </w:r>
            <w:r w:rsidRPr="00B34DDC">
              <w:rPr>
                <w:noProof/>
                <w:webHidden/>
                <w:lang w:val="en-GB"/>
              </w:rPr>
              <w:tab/>
            </w:r>
            <w:r w:rsidR="00587621" w:rsidRPr="00B34DDC">
              <w:rPr>
                <w:noProof/>
                <w:webHidden/>
                <w:lang w:val="en-GB"/>
              </w:rPr>
              <w:fldChar w:fldCharType="begin"/>
            </w:r>
            <w:r w:rsidRPr="00B34DDC">
              <w:rPr>
                <w:noProof/>
                <w:webHidden/>
                <w:lang w:val="en-GB"/>
              </w:rPr>
              <w:instrText xml:space="preserve"> PAGEREF _Toc234073383 \h </w:instrText>
            </w:r>
            <w:r w:rsidR="00587621" w:rsidRPr="00B34DDC">
              <w:rPr>
                <w:noProof/>
                <w:webHidden/>
                <w:lang w:val="en-GB"/>
              </w:rPr>
            </w:r>
            <w:r w:rsidR="00587621" w:rsidRPr="00B34DDC">
              <w:rPr>
                <w:noProof/>
                <w:webHidden/>
                <w:lang w:val="en-GB"/>
              </w:rPr>
              <w:fldChar w:fldCharType="separate"/>
            </w:r>
            <w:r w:rsidRPr="00B34DDC">
              <w:rPr>
                <w:noProof/>
                <w:webHidden/>
                <w:lang w:val="en-GB"/>
              </w:rPr>
              <w:t>11</w:t>
            </w:r>
            <w:r w:rsidR="00587621" w:rsidRPr="00B34DDC">
              <w:rPr>
                <w:noProof/>
                <w:webHidden/>
                <w:lang w:val="en-GB"/>
              </w:rPr>
              <w:fldChar w:fldCharType="end"/>
            </w:r>
          </w:hyperlink>
        </w:p>
        <w:p w14:paraId="4203C81A" w14:textId="77777777" w:rsidR="00784198" w:rsidRPr="00B34DDC" w:rsidRDefault="00784198">
          <w:pPr>
            <w:pStyle w:val="TOC1"/>
            <w:tabs>
              <w:tab w:val="right" w:leader="dot" w:pos="9350"/>
            </w:tabs>
            <w:rPr>
              <w:rFonts w:asciiTheme="minorHAnsi" w:eastAsiaTheme="minorEastAsia" w:hAnsiTheme="minorHAnsi" w:cstheme="minorBidi"/>
              <w:noProof/>
              <w:kern w:val="2"/>
              <w:lang w:val="en-GB"/>
            </w:rPr>
          </w:pPr>
          <w:hyperlink w:anchor="_Toc234073384" w:history="1">
            <w:r w:rsidRPr="00B34DDC">
              <w:rPr>
                <w:rStyle w:val="Hyperlink"/>
                <w:noProof/>
                <w:lang w:val="en-GB"/>
              </w:rPr>
              <w:t>References</w:t>
            </w:r>
            <w:r w:rsidRPr="00B34DDC">
              <w:rPr>
                <w:noProof/>
                <w:webHidden/>
                <w:lang w:val="en-GB"/>
              </w:rPr>
              <w:tab/>
            </w:r>
            <w:r w:rsidR="00587621" w:rsidRPr="00B34DDC">
              <w:rPr>
                <w:noProof/>
                <w:webHidden/>
                <w:lang w:val="en-GB"/>
              </w:rPr>
              <w:fldChar w:fldCharType="begin"/>
            </w:r>
            <w:r w:rsidRPr="00B34DDC">
              <w:rPr>
                <w:noProof/>
                <w:webHidden/>
                <w:lang w:val="en-GB"/>
              </w:rPr>
              <w:instrText xml:space="preserve"> PAGEREF _Toc234073384 \h </w:instrText>
            </w:r>
            <w:r w:rsidR="00587621" w:rsidRPr="00B34DDC">
              <w:rPr>
                <w:noProof/>
                <w:webHidden/>
                <w:lang w:val="en-GB"/>
              </w:rPr>
            </w:r>
            <w:r w:rsidR="00587621" w:rsidRPr="00B34DDC">
              <w:rPr>
                <w:noProof/>
                <w:webHidden/>
                <w:lang w:val="en-GB"/>
              </w:rPr>
              <w:fldChar w:fldCharType="separate"/>
            </w:r>
            <w:r w:rsidRPr="00B34DDC">
              <w:rPr>
                <w:noProof/>
                <w:webHidden/>
                <w:lang w:val="en-GB"/>
              </w:rPr>
              <w:t>12</w:t>
            </w:r>
            <w:r w:rsidR="00587621" w:rsidRPr="00B34DDC">
              <w:rPr>
                <w:noProof/>
                <w:webHidden/>
                <w:lang w:val="en-GB"/>
              </w:rPr>
              <w:fldChar w:fldCharType="end"/>
            </w:r>
          </w:hyperlink>
        </w:p>
        <w:p w14:paraId="26206D35" w14:textId="77777777" w:rsidR="00077A54" w:rsidRPr="00B34DDC" w:rsidRDefault="00587621" w:rsidP="00077A54">
          <w:pPr>
            <w:rPr>
              <w:lang w:val="en-GB"/>
            </w:rPr>
          </w:pPr>
          <w:r w:rsidRPr="00B34DDC">
            <w:rPr>
              <w:b/>
              <w:bCs/>
              <w:noProof/>
              <w:color w:val="000000" w:themeColor="text1"/>
              <w:lang w:val="en-GB"/>
            </w:rPr>
            <w:fldChar w:fldCharType="end"/>
          </w:r>
        </w:p>
      </w:sdtContent>
    </w:sdt>
    <w:p w14:paraId="450A42FA" w14:textId="77777777" w:rsidR="00077A54" w:rsidRPr="00B34DDC" w:rsidRDefault="00077A54">
      <w:pPr>
        <w:rPr>
          <w:b/>
          <w:bCs/>
          <w:lang w:val="en-GB"/>
        </w:rPr>
      </w:pPr>
      <w:r w:rsidRPr="00B34DDC">
        <w:rPr>
          <w:lang w:val="en-GB"/>
        </w:rPr>
        <w:br w:type="page"/>
      </w:r>
    </w:p>
    <w:p w14:paraId="35B8378E" w14:textId="77777777" w:rsidR="007E10E6" w:rsidRPr="00B34DDC" w:rsidRDefault="00212AA8">
      <w:pPr>
        <w:pStyle w:val="Heading1"/>
        <w:rPr>
          <w:lang w:val="en-GB"/>
        </w:rPr>
      </w:pPr>
      <w:bookmarkStart w:id="1" w:name="_Toc234073379"/>
      <w:r w:rsidRPr="00B34DDC">
        <w:rPr>
          <w:lang w:val="en-GB"/>
        </w:rPr>
        <w:t>Introduction</w:t>
      </w:r>
      <w:bookmarkEnd w:id="1"/>
    </w:p>
    <w:p w14:paraId="7738080B" w14:textId="77777777" w:rsidR="007E10E6" w:rsidRPr="00B34DDC" w:rsidRDefault="00212AA8">
      <w:pPr>
        <w:rPr>
          <w:lang w:val="en-GB"/>
        </w:rPr>
      </w:pPr>
      <w:r w:rsidRPr="00B34DDC">
        <w:rPr>
          <w:lang w:val="en-GB"/>
        </w:rPr>
        <w:t xml:space="preserve">The global steel industry is experiencing rapid transformation because of demand for sustainable and low-carbon production from major stakeholders, including governments, investors and customers. Tata Steel is one of the leading steel manufacturing companies in the world and is actively investing in green technologies to reduce environmental impact while maintaining business competitiveness. The report elaborates on external market environment actors influencing the company's transition towards lower-carbon products. </w:t>
      </w:r>
      <w:r w:rsidR="00077A54" w:rsidRPr="00B34DDC">
        <w:rPr>
          <w:lang w:val="en-GB"/>
        </w:rPr>
        <w:t>Moreover, Ansoff</w:t>
      </w:r>
      <w:r w:rsidRPr="00B34DDC">
        <w:rPr>
          <w:lang w:val="en-GB"/>
        </w:rPr>
        <w:t xml:space="preserve"> matrix has been used to suggest strategic growth of Tata Steel, focusing on strengthening competitive advantages. The report also critically reflects on AI use during the research process, valuing ethical implications, contribution and others. </w:t>
      </w:r>
    </w:p>
    <w:p w14:paraId="3B997672" w14:textId="77777777" w:rsidR="007E10E6" w:rsidRPr="00B34DDC" w:rsidRDefault="00212AA8">
      <w:pPr>
        <w:pStyle w:val="Heading1"/>
        <w:rPr>
          <w:lang w:val="en-GB"/>
        </w:rPr>
      </w:pPr>
      <w:bookmarkStart w:id="2" w:name="_slfo1l39q8l7" w:colFirst="0" w:colLast="0"/>
      <w:bookmarkStart w:id="3" w:name="_Toc234073380"/>
      <w:bookmarkEnd w:id="2"/>
      <w:r w:rsidRPr="00B34DDC">
        <w:rPr>
          <w:lang w:val="en-GB"/>
        </w:rPr>
        <w:t>Task 1: Marketing Environment Analysis</w:t>
      </w:r>
      <w:bookmarkEnd w:id="3"/>
    </w:p>
    <w:p w14:paraId="0961D559" w14:textId="77777777" w:rsidR="007E10E6" w:rsidRPr="00B34DDC" w:rsidRDefault="00212AA8">
      <w:pPr>
        <w:rPr>
          <w:b/>
          <w:bCs/>
          <w:i/>
          <w:iCs/>
          <w:lang w:val="en-GB"/>
        </w:rPr>
      </w:pPr>
      <w:r w:rsidRPr="00B34DDC">
        <w:rPr>
          <w:b/>
          <w:bCs/>
          <w:i/>
          <w:iCs/>
          <w:lang w:val="en-GB"/>
        </w:rPr>
        <w:t xml:space="preserve">Natural Environment actor: Global warming and climate change </w:t>
      </w:r>
    </w:p>
    <w:p w14:paraId="09427A52" w14:textId="77777777" w:rsidR="007E10E6" w:rsidRPr="00B34DDC" w:rsidRDefault="00212AA8">
      <w:pPr>
        <w:rPr>
          <w:lang w:val="en-GB"/>
        </w:rPr>
      </w:pPr>
      <w:r w:rsidRPr="00B34DDC">
        <w:rPr>
          <w:lang w:val="en-GB"/>
        </w:rPr>
        <w:t xml:space="preserve">Environmental conditions have a direct impact on business operations, production processes and customer expectations, indicating the natural environment is a significant external actor. According to the viewpoint of Saeed </w:t>
      </w:r>
      <w:r w:rsidRPr="00B34DDC">
        <w:rPr>
          <w:i/>
          <w:iCs/>
          <w:lang w:val="en-GB"/>
        </w:rPr>
        <w:t xml:space="preserve">et al. </w:t>
      </w:r>
      <w:r w:rsidRPr="00B34DDC">
        <w:rPr>
          <w:lang w:val="en-GB"/>
        </w:rPr>
        <w:t>(2022), currently, adopting socially and environmentally responsible practices has become essential for manufacturing businesses to achieve sustainable performance. Global warming and climate change have become major challenges for the global steel industry because production is highly energy-intensive and generates carbon emissions. In addition, Tata Steel has recognised climate change as a business risk and strategic opportunity in terms of investing in low-carbon products as well as sustainable production to meet changing market expectations. Tata Steel’s low-carbon steel involves using 50% renewable energy and operating with 100% steel scrap as raw material, and 40% scrap supply from recycling plant in Rohtak, Haryana (Tatasteel, 2026). Furthermore, rising global temperatures and extreme weather events have encouraged the company to reduce greenhouse gas emissions throughout business operations. Specifically, traditional steel manufacturing depends heavily on coal-based blast furnaces; Tata Steel faces increasing pressure to lower its carbon footprint.</w:t>
      </w:r>
    </w:p>
    <w:p w14:paraId="565B5E19" w14:textId="77777777" w:rsidR="007E10E6" w:rsidRPr="00B34DDC" w:rsidRDefault="00212AA8">
      <w:pPr>
        <w:rPr>
          <w:lang w:val="en-GB"/>
        </w:rPr>
      </w:pPr>
      <w:r w:rsidRPr="00B34DDC">
        <w:rPr>
          <w:lang w:val="en-GB"/>
        </w:rPr>
        <w:t>Environmental challenges have increased production costs and reduced operational efficiency of Tata Steel, while industrial customers now prefer suppliers that demonstrate strong environmental performance. The company has introduced several initiatives to support its transition towards low-carbon steel production, reflecting its commitment to reduce carbon emissions by investing in energy-efficient technologies and renewable energy sources. In partnership with Tata Steel and Kraftblock GmbH, a German energy technology startup, a thermal energy storage system has been operating and capturing high-temperature waste during sintering process (Tatasteel, 2026). These investments demonstrate that Tata Steel is focused on maintaining environmental sustainability while im</w:t>
      </w:r>
      <w:r w:rsidR="00DB0B42">
        <w:rPr>
          <w:lang w:val="en-GB"/>
        </w:rPr>
        <w:t xml:space="preserve">proving operational efficiency. </w:t>
      </w:r>
      <w:r w:rsidRPr="00B34DDC">
        <w:rPr>
          <w:lang w:val="en-GB"/>
        </w:rPr>
        <w:t xml:space="preserve">Low-carbon production has also strengthened the corporate reputation of Tata Steel among its key stakeholders, including environmentally conscious customers, investors and others. As stated by Straková and Kostiuk (2023), having a reputation as a carbon-neutral business plays an important role in attracting suitable partners, building successful strategic alliances and business-to-business relationships. More than that, sustainability has become an important part of business operations, and producing greener steel products has helped Tata Steel to differentiate itself from competitors. </w:t>
      </w:r>
    </w:p>
    <w:p w14:paraId="0A35DBC6" w14:textId="77777777" w:rsidR="007E10E6" w:rsidRPr="00B34DDC" w:rsidRDefault="00212AA8">
      <w:pPr>
        <w:rPr>
          <w:lang w:val="en-GB"/>
        </w:rPr>
      </w:pPr>
      <w:r w:rsidRPr="00B34DDC">
        <w:rPr>
          <w:lang w:val="en-GB"/>
        </w:rPr>
        <w:t xml:space="preserve">Tata Steel’s transition has significant challenges, including high financial investment and important low-carbon production methods that are still emerging. In other words, hydrogen-based steelmaking remains costly for the company because of minimal availability of renewable hydrogen production. Additionally, carbon emissions reduction technologies require advanced infrastructure and high operating costs, while these financial challenges may reduce short-term profitability. Potential uncertainty regarding future returns on investment can also be recorded, whereas the availability of renewable energy varies across different regions. Using hydrogen makes it easier to control carbon content of steel, reducing the need for additional decarbonisation processes, resulting in lower capital investment and operating costs (Sun </w:t>
      </w:r>
      <w:r w:rsidR="00DB0B42">
        <w:rPr>
          <w:i/>
          <w:iCs/>
          <w:lang w:val="en-GB"/>
        </w:rPr>
        <w:t>et al.</w:t>
      </w:r>
      <w:r w:rsidRPr="00B34DDC">
        <w:rPr>
          <w:i/>
          <w:iCs/>
          <w:lang w:val="en-GB"/>
        </w:rPr>
        <w:t xml:space="preserve"> </w:t>
      </w:r>
      <w:r w:rsidRPr="00B34DDC">
        <w:rPr>
          <w:lang w:val="en-GB"/>
        </w:rPr>
        <w:t xml:space="preserve">2024). Nevertheless, global warming and climate change provide opportunities for the company to develop innovative products and improve corporate reputation. Investing in renewable energy and carbon reduction initiatives reflects that environmental sustainability is an essential part of Tata Steel’s business strategy. </w:t>
      </w:r>
    </w:p>
    <w:p w14:paraId="4F3CE39D" w14:textId="77777777" w:rsidR="007E10E6" w:rsidRPr="00B34DDC" w:rsidRDefault="00212AA8">
      <w:pPr>
        <w:rPr>
          <w:b/>
          <w:bCs/>
          <w:i/>
          <w:iCs/>
          <w:lang w:val="en-GB"/>
        </w:rPr>
      </w:pPr>
      <w:r w:rsidRPr="00B34DDC">
        <w:rPr>
          <w:b/>
          <w:bCs/>
          <w:i/>
          <w:iCs/>
          <w:lang w:val="en-GB"/>
        </w:rPr>
        <w:t xml:space="preserve">India’s political environment </w:t>
      </w:r>
    </w:p>
    <w:p w14:paraId="6DF4F013" w14:textId="77777777" w:rsidR="007E10E6" w:rsidRPr="00B34DDC" w:rsidRDefault="00212AA8">
      <w:pPr>
        <w:rPr>
          <w:lang w:val="en-GB"/>
        </w:rPr>
      </w:pPr>
      <w:r w:rsidRPr="00B34DDC">
        <w:rPr>
          <w:lang w:val="en-GB"/>
        </w:rPr>
        <w:t>In the external marketing environment, the political environment is an important factor for Tata Steel because government policies, laws and regulations directly influence its business decisions. The Ministry of Power focuses on achieving a 43.33% renewable purchase obligation by 2030, reaching around 43% renewable energy used in the steel sector (Ministry of Steel, 2025). However, the policy has both opportunities and challenges for the company as it seeks to remain competitive while meeting environmental regulations. Specifically, the Indian government has introduced several initiatives to promote sustainable industrial development, such as the National Green Hydrogen Mission. The mission aims to create a strong green hydrogen ecosystem by providing a comprehensive action plan and promoting clean hydrogen technologies adoption (MNRE, 2026). Furthermore, the government also supports cleaner manufacturing through financial incentives and infrastructure development, which encourages Tata Steel to invest in renewable energy. The political environment brings opportunities for Tata Steel to expand business because governments across the world are increasingly demanding low-carbon materials for infrastructure and construction projects. Compliance with environmental regulations is essential for Tata Steel to strengthen customer confidence, while government support for renewable energy and green technology can reduce production costs over the long-term.</w:t>
      </w:r>
    </w:p>
    <w:p w14:paraId="68AAF446" w14:textId="77777777" w:rsidR="00784198" w:rsidRPr="00B34DDC" w:rsidRDefault="00212AA8">
      <w:pPr>
        <w:rPr>
          <w:lang w:val="en-GB"/>
        </w:rPr>
      </w:pPr>
      <w:r w:rsidRPr="00B34DDC">
        <w:rPr>
          <w:lang w:val="en-GB"/>
        </w:rPr>
        <w:t xml:space="preserve">India’s political environment has a significant role in supporting the transition of Tata Steel towards low-carbon products in terms of reducing greenhouse gas emissions. However, challenges can be analysed because environmental regulations require Tata Steel to make significant investments in cleaner technology, emissions reduction projects and renewable energy. Higher levels of taxation can reduce investments in green projects and environmentally friendly technologies (Koval </w:t>
      </w:r>
      <w:r w:rsidR="00DB0B42">
        <w:rPr>
          <w:i/>
          <w:iCs/>
          <w:lang w:val="en-GB"/>
        </w:rPr>
        <w:t>et al.</w:t>
      </w:r>
      <w:r w:rsidRPr="00B34DDC">
        <w:rPr>
          <w:i/>
          <w:iCs/>
          <w:lang w:val="en-GB"/>
        </w:rPr>
        <w:t xml:space="preserve"> </w:t>
      </w:r>
      <w:r w:rsidRPr="00B34DDC">
        <w:rPr>
          <w:lang w:val="en-GB"/>
        </w:rPr>
        <w:t>2022). Additionally, government policies can change over time because of economic conditions, which may create uncertainties for Tata Steel in long-term business planning. Complying with different environmental regulations and failure to meet standards can increase costs and reduce competitiveness of Tata Steel, especially for exports. In other words, government policies encourage sustainability but also increase financial and operational pressure on Tata Steel. Nevertheless, government climate policies and regulations have enabled Tata Steel to improve innovation and increase market competitiveness. High investment, regulatory compliance and continuous adaptation to changing policy requirements may negatively impact Tata Steel’s business operations. Thus, the long-term success of the company depends on its ability to respond effectively to government policies while balancing environmental responsibility with business profitability.</w:t>
      </w:r>
    </w:p>
    <w:p w14:paraId="016A0683" w14:textId="77777777" w:rsidR="00784198" w:rsidRPr="00B34DDC" w:rsidRDefault="00784198" w:rsidP="00784198">
      <w:pPr>
        <w:pStyle w:val="Heading1"/>
        <w:rPr>
          <w:noProof/>
          <w:lang w:val="en-GB"/>
        </w:rPr>
      </w:pPr>
      <w:bookmarkStart w:id="4" w:name="_Toc234073381"/>
      <w:r w:rsidRPr="00B34DDC">
        <w:rPr>
          <w:noProof/>
          <w:lang w:val="en-GB"/>
        </w:rPr>
        <w:t>Task 2: Strategic Growth and Competitive Positioning</w:t>
      </w:r>
      <w:bookmarkEnd w:id="4"/>
    </w:p>
    <w:p w14:paraId="5B888457" w14:textId="77777777" w:rsidR="00784198" w:rsidRPr="00B34DDC" w:rsidRDefault="00784198" w:rsidP="00784198">
      <w:pPr>
        <w:spacing w:after="160"/>
        <w:rPr>
          <w:noProof/>
          <w:color w:val="000000"/>
          <w:lang w:val="en-GB"/>
        </w:rPr>
      </w:pPr>
      <w:r w:rsidRPr="00B34DDC">
        <w:rPr>
          <w:noProof/>
          <w:color w:val="000000"/>
          <w:lang w:val="en-GB"/>
        </w:rPr>
        <w:t>The shift of Tata Steel towards the low carbon business model is created by external pressures from the natural environment as well as the political and regulatory environment. The climate change, scarcity of the resources as well as climate policies by the government for climate change have created both risks as well as opportunities for the company. In order to achieve sustainable growth, Tata Steel must adopt the strategic approach that balances competitiveness as well as environmental responsibilities. The Ansoff Matrix is one of the most useful frameworks that would help in evaluating the growth options through the strategies like market penetration, market development, product development, as well as diversification (Zugay and Zakaria, 2023). </w:t>
      </w:r>
    </w:p>
    <w:p w14:paraId="1F49D2A7" w14:textId="77777777" w:rsidR="00784198" w:rsidRPr="00B34DDC" w:rsidRDefault="00784198" w:rsidP="00784198">
      <w:pPr>
        <w:spacing w:after="160"/>
        <w:rPr>
          <w:noProof/>
          <w:color w:val="000000"/>
          <w:lang w:val="en-GB"/>
        </w:rPr>
      </w:pPr>
      <w:r w:rsidRPr="00B34DDC">
        <w:rPr>
          <w:b/>
          <w:bCs/>
          <w:i/>
          <w:iCs/>
          <w:noProof/>
          <w:color w:val="000000"/>
          <w:lang w:val="en-GB"/>
        </w:rPr>
        <w:t>Ansoff Matrix Options for Tata Steel </w:t>
      </w:r>
    </w:p>
    <w:p w14:paraId="6E2315D3" w14:textId="77777777" w:rsidR="00784198" w:rsidRPr="00B34DDC" w:rsidRDefault="00784198" w:rsidP="00784198">
      <w:pPr>
        <w:spacing w:after="160"/>
        <w:rPr>
          <w:noProof/>
          <w:color w:val="000000"/>
          <w:lang w:val="en-GB"/>
        </w:rPr>
      </w:pPr>
      <w:r w:rsidRPr="00B34DDC">
        <w:rPr>
          <w:b/>
          <w:bCs/>
          <w:noProof/>
          <w:color w:val="000000"/>
          <w:lang w:val="en-GB"/>
        </w:rPr>
        <w:t xml:space="preserve">Market Penetration: </w:t>
      </w:r>
      <w:r w:rsidRPr="00B34DDC">
        <w:rPr>
          <w:noProof/>
          <w:color w:val="000000"/>
          <w:lang w:val="en-GB"/>
        </w:rPr>
        <w:t xml:space="preserve">Tata steel can strengthen its position in the existing market by promoting the low carbon steel in a more aggressive manner, by using its reputation for sustainability. Increased marketing, ESG reporting along with certification can help in attracting environmentally conscious consumers (Harahap </w:t>
      </w:r>
      <w:r w:rsidRPr="00B34DDC">
        <w:rPr>
          <w:i/>
          <w:iCs/>
          <w:noProof/>
          <w:color w:val="000000"/>
          <w:lang w:val="en-GB"/>
        </w:rPr>
        <w:t xml:space="preserve">et al. </w:t>
      </w:r>
      <w:r w:rsidRPr="00B34DDC">
        <w:rPr>
          <w:noProof/>
          <w:color w:val="000000"/>
          <w:lang w:val="en-GB"/>
        </w:rPr>
        <w:t>2025). However, the market man nutrition alone might not be sufficient because the competitors like JW steel are also investing in the green steel. This requires that steel to have good product innovation to subsidise the risk.</w:t>
      </w:r>
    </w:p>
    <w:p w14:paraId="53093297" w14:textId="77777777" w:rsidR="00784198" w:rsidRPr="00B34DDC" w:rsidRDefault="00784198" w:rsidP="00784198">
      <w:pPr>
        <w:spacing w:after="160"/>
        <w:rPr>
          <w:noProof/>
          <w:color w:val="000000"/>
          <w:lang w:val="en-GB"/>
        </w:rPr>
      </w:pPr>
      <w:r w:rsidRPr="00B34DDC">
        <w:rPr>
          <w:b/>
          <w:bCs/>
          <w:noProof/>
          <w:color w:val="000000"/>
          <w:lang w:val="en-GB"/>
        </w:rPr>
        <w:t xml:space="preserve">Market development: </w:t>
      </w:r>
      <w:r w:rsidRPr="00B34DDC">
        <w:rPr>
          <w:noProof/>
          <w:color w:val="000000"/>
          <w:lang w:val="en-GB"/>
        </w:rPr>
        <w:t>The expansion into new geographic locations, specially like Europe in which the demand for Green steel is increasing because of the carbon border adjustment mechanism by EU can create growth opportunities for the brand. Tata steel can position itself as a reliable supplier for the certified low carbon steel (Hendarwan, 2023). However, this can lead to some regulatory risks and trade barriers. The export competitiveness also depends upon meeting the strict emission standards, which can be a costly investment.</w:t>
      </w:r>
    </w:p>
    <w:p w14:paraId="22E6BD46" w14:textId="77777777" w:rsidR="00784198" w:rsidRPr="00B34DDC" w:rsidRDefault="00784198" w:rsidP="00784198">
      <w:pPr>
        <w:spacing w:after="160"/>
        <w:rPr>
          <w:noProof/>
          <w:color w:val="000000"/>
          <w:lang w:val="en-GB"/>
        </w:rPr>
      </w:pPr>
      <w:r w:rsidRPr="00B34DDC">
        <w:rPr>
          <w:b/>
          <w:bCs/>
          <w:noProof/>
          <w:color w:val="000000"/>
          <w:lang w:val="en-GB"/>
        </w:rPr>
        <w:t>Product development:</w:t>
      </w:r>
      <w:r w:rsidRPr="00B34DDC">
        <w:rPr>
          <w:noProof/>
          <w:color w:val="000000"/>
          <w:lang w:val="en-GB"/>
        </w:rPr>
        <w:t xml:space="preserve"> Developing the new carbon steel product tailored as per the needs of the consumers creates a very strong pathway for competitive advantage. Tata steel can invest in hydrogen Best steel making, recycled steel as well as renewable powered production in order to create green steel with the carbon deductions. This will also align with the demand of the consumers in automobile, construction as well as renewable energy sector. However, the product development requires high capital expenditure as well as technological uncertainty can arise (Rosner </w:t>
      </w:r>
      <w:r w:rsidRPr="00B34DDC">
        <w:rPr>
          <w:i/>
          <w:iCs/>
          <w:noProof/>
          <w:color w:val="000000"/>
          <w:lang w:val="en-GB"/>
        </w:rPr>
        <w:t xml:space="preserve">et al. </w:t>
      </w:r>
      <w:r w:rsidRPr="00B34DDC">
        <w:rPr>
          <w:noProof/>
          <w:color w:val="000000"/>
          <w:lang w:val="en-GB"/>
        </w:rPr>
        <w:t>2023). This strategy can potentially be the best for Tata Steel which will ensure the continued company growth.</w:t>
      </w:r>
    </w:p>
    <w:p w14:paraId="08F7E7EC" w14:textId="77777777" w:rsidR="00784198" w:rsidRPr="00B34DDC" w:rsidRDefault="00784198" w:rsidP="00784198">
      <w:pPr>
        <w:spacing w:after="160"/>
        <w:rPr>
          <w:noProof/>
          <w:color w:val="000000"/>
          <w:lang w:val="en-GB"/>
        </w:rPr>
      </w:pPr>
      <w:r w:rsidRPr="00B34DDC">
        <w:rPr>
          <w:b/>
          <w:bCs/>
          <w:noProof/>
          <w:color w:val="000000"/>
          <w:lang w:val="en-GB"/>
        </w:rPr>
        <w:t xml:space="preserve">Diversification: </w:t>
      </w:r>
      <w:r w:rsidRPr="00B34DDC">
        <w:rPr>
          <w:noProof/>
          <w:color w:val="000000"/>
          <w:lang w:val="en-GB"/>
        </w:rPr>
        <w:t xml:space="preserve">Tata steel can also diversify into other industries like generation of renewable energy or the carbon captured technologies that would create synergies in the steel operations. This can reduce dependence on traditional steel markets (Cherepovitsyn </w:t>
      </w:r>
      <w:r w:rsidRPr="00B34DDC">
        <w:rPr>
          <w:i/>
          <w:iCs/>
          <w:noProof/>
          <w:color w:val="000000"/>
          <w:lang w:val="en-GB"/>
        </w:rPr>
        <w:t xml:space="preserve">et al. </w:t>
      </w:r>
      <w:r w:rsidRPr="00B34DDC">
        <w:rPr>
          <w:noProof/>
          <w:color w:val="000000"/>
          <w:lang w:val="en-GB"/>
        </w:rPr>
        <w:t>2023). However, diversification has high risk as it can move the company away from the core competencies. That is why, entering into the unfamiliar industry can somehow dilute the brand focus and can also stretch out the resources which can lead to financial pressure.</w:t>
      </w:r>
    </w:p>
    <w:p w14:paraId="2988F2C5" w14:textId="77777777" w:rsidR="00784198" w:rsidRPr="00B34DDC" w:rsidRDefault="00784198" w:rsidP="00784198">
      <w:pPr>
        <w:spacing w:after="160"/>
        <w:jc w:val="center"/>
        <w:rPr>
          <w:noProof/>
          <w:color w:val="000000"/>
          <w:lang w:val="en-GB"/>
        </w:rPr>
      </w:pPr>
      <w:r w:rsidRPr="00B34DDC">
        <w:rPr>
          <w:noProof/>
          <w:color w:val="000000"/>
          <w:lang w:val="en-GB" w:eastAsia="en-US"/>
        </w:rPr>
        <w:drawing>
          <wp:inline distT="0" distB="0" distL="0" distR="0" wp14:anchorId="4CB32428" wp14:editId="0F7EEABA">
            <wp:extent cx="4400550" cy="3638550"/>
            <wp:effectExtent l="0" t="0" r="0" b="0"/>
            <wp:docPr id="15017286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0550" cy="3638550"/>
                    </a:xfrm>
                    <a:prstGeom prst="rect">
                      <a:avLst/>
                    </a:prstGeom>
                    <a:noFill/>
                    <a:ln>
                      <a:noFill/>
                    </a:ln>
                  </pic:spPr>
                </pic:pic>
              </a:graphicData>
            </a:graphic>
          </wp:inline>
        </w:drawing>
      </w:r>
    </w:p>
    <w:p w14:paraId="05D64597" w14:textId="77777777" w:rsidR="00784198" w:rsidRPr="00B34DDC" w:rsidRDefault="00784198" w:rsidP="00784198">
      <w:pPr>
        <w:spacing w:after="160"/>
        <w:jc w:val="center"/>
        <w:rPr>
          <w:b/>
          <w:bCs/>
          <w:noProof/>
          <w:color w:val="000000"/>
          <w:lang w:val="en-GB"/>
        </w:rPr>
      </w:pPr>
      <w:r w:rsidRPr="00B34DDC">
        <w:rPr>
          <w:b/>
          <w:bCs/>
          <w:noProof/>
          <w:color w:val="000000"/>
          <w:lang w:val="en-GB"/>
        </w:rPr>
        <w:t>Figure: Ansoff Matrix</w:t>
      </w:r>
    </w:p>
    <w:p w14:paraId="0838530D" w14:textId="77777777" w:rsidR="00784198" w:rsidRPr="00B34DDC" w:rsidRDefault="00784198" w:rsidP="00784198">
      <w:pPr>
        <w:spacing w:after="160"/>
        <w:jc w:val="center"/>
        <w:rPr>
          <w:noProof/>
          <w:color w:val="000000"/>
          <w:lang w:val="en-GB"/>
        </w:rPr>
      </w:pPr>
      <w:r w:rsidRPr="00B34DDC">
        <w:rPr>
          <w:noProof/>
          <w:color w:val="000000"/>
          <w:lang w:val="en-GB"/>
        </w:rPr>
        <w:t>(Source: MBA Knowledge Base, 2026)</w:t>
      </w:r>
    </w:p>
    <w:p w14:paraId="73D6DF1A" w14:textId="77777777" w:rsidR="00784198" w:rsidRPr="00B34DDC" w:rsidRDefault="00784198" w:rsidP="00784198">
      <w:pPr>
        <w:spacing w:after="160"/>
        <w:rPr>
          <w:noProof/>
          <w:color w:val="000000"/>
          <w:lang w:val="en-GB"/>
        </w:rPr>
      </w:pPr>
      <w:r w:rsidRPr="00B34DDC">
        <w:rPr>
          <w:b/>
          <w:bCs/>
          <w:noProof/>
          <w:color w:val="000000"/>
          <w:lang w:val="en-GB"/>
        </w:rPr>
        <w:t>Justification for Product Development </w:t>
      </w:r>
    </w:p>
    <w:p w14:paraId="1539F04B" w14:textId="77777777" w:rsidR="00784198" w:rsidRPr="00B34DDC" w:rsidRDefault="00784198" w:rsidP="00784198">
      <w:pPr>
        <w:spacing w:after="160"/>
        <w:rPr>
          <w:noProof/>
          <w:color w:val="000000"/>
          <w:lang w:val="en-GB"/>
        </w:rPr>
      </w:pPr>
      <w:r w:rsidRPr="00B34DDC">
        <w:rPr>
          <w:noProof/>
          <w:color w:val="000000"/>
          <w:lang w:val="en-GB"/>
        </w:rPr>
        <w:t xml:space="preserve">The Product Development Strategy is most suitable for Tata Steel because it will directly address the pressure like environmental sustainability as well as competitive positioning. The innovation of low carbon steel producers can help Tata Motors in </w:t>
      </w:r>
      <w:r w:rsidRPr="00B34DDC">
        <w:rPr>
          <w:b/>
          <w:bCs/>
          <w:noProof/>
          <w:color w:val="000000"/>
          <w:lang w:val="en-GB"/>
        </w:rPr>
        <w:t xml:space="preserve">differentiating </w:t>
      </w:r>
      <w:r w:rsidRPr="00B34DDC">
        <w:rPr>
          <w:noProof/>
          <w:color w:val="000000"/>
          <w:lang w:val="en-GB"/>
        </w:rPr>
        <w:t xml:space="preserve">itself form its competitors as it offer verifiable green steel solutions. It will also help the brand in </w:t>
      </w:r>
      <w:r w:rsidRPr="00B34DDC">
        <w:rPr>
          <w:b/>
          <w:bCs/>
          <w:noProof/>
          <w:color w:val="000000"/>
          <w:lang w:val="en-GB"/>
        </w:rPr>
        <w:t>meeting high consumer demand</w:t>
      </w:r>
      <w:r w:rsidRPr="00B34DDC">
        <w:rPr>
          <w:noProof/>
          <w:color w:val="000000"/>
          <w:lang w:val="en-GB"/>
        </w:rPr>
        <w:t xml:space="preserve"> in the sectors like EV, renewable energy infrastructure sector along with the sustainable construction sectors (Sudirjo, 2023). Furthermore it will also help in</w:t>
      </w:r>
      <w:r w:rsidRPr="00B34DDC">
        <w:rPr>
          <w:b/>
          <w:bCs/>
          <w:noProof/>
          <w:color w:val="000000"/>
          <w:lang w:val="en-GB"/>
        </w:rPr>
        <w:t xml:space="preserve"> strengthening the brand reputation </w:t>
      </w:r>
      <w:r w:rsidRPr="00B34DDC">
        <w:rPr>
          <w:noProof/>
          <w:color w:val="000000"/>
          <w:lang w:val="en-GB"/>
        </w:rPr>
        <w:t>as a sustainability leader which would enhance the confidence of the investors along with the access to sustainable finance. It would also help the brand in ensuring the regulatory compliance by aligning the products with the emerging global standards like CBAM as well as international frameworks for ESG (European Commission, 2026). </w:t>
      </w:r>
    </w:p>
    <w:p w14:paraId="6AC42CDC" w14:textId="77777777" w:rsidR="00784198" w:rsidRPr="00B34DDC" w:rsidRDefault="00784198" w:rsidP="00784198">
      <w:pPr>
        <w:spacing w:after="160"/>
        <w:rPr>
          <w:noProof/>
          <w:color w:val="000000"/>
          <w:lang w:val="en-GB"/>
        </w:rPr>
      </w:pPr>
      <w:r w:rsidRPr="00B34DDC">
        <w:rPr>
          <w:b/>
          <w:bCs/>
          <w:noProof/>
          <w:color w:val="000000"/>
          <w:lang w:val="en-GB"/>
        </w:rPr>
        <w:t>Competitive Advantage for Product Development</w:t>
      </w:r>
    </w:p>
    <w:p w14:paraId="02F9D5EF" w14:textId="77777777" w:rsidR="00784198" w:rsidRPr="00B34DDC" w:rsidRDefault="00784198" w:rsidP="00784198">
      <w:pPr>
        <w:spacing w:before="0" w:after="160"/>
        <w:rPr>
          <w:noProof/>
          <w:color w:val="000000"/>
          <w:lang w:val="en-GB"/>
        </w:rPr>
      </w:pPr>
      <w:r w:rsidRPr="00B34DDC">
        <w:rPr>
          <w:b/>
          <w:bCs/>
          <w:noProof/>
          <w:color w:val="000000"/>
          <w:lang w:val="en-GB"/>
        </w:rPr>
        <w:t xml:space="preserve">Cost Leadership through Efficiency: </w:t>
      </w:r>
      <w:r w:rsidRPr="00B34DDC">
        <w:rPr>
          <w:noProof/>
          <w:color w:val="000000"/>
          <w:lang w:val="en-GB"/>
        </w:rPr>
        <w:t>Tata Steel’s investment in the waste, heat recovery, scrap recycling as well as renewable energy reduces the life-cycle emissions along with operational costs (Jerab and Mabrouk, 2023). Over the time, these efficiencies can lower down the production cost, which will support cost leadership in positioning as a green steel brand.</w:t>
      </w:r>
    </w:p>
    <w:p w14:paraId="4590D56A" w14:textId="77777777" w:rsidR="00784198" w:rsidRPr="00B34DDC" w:rsidRDefault="00784198" w:rsidP="00784198">
      <w:pPr>
        <w:spacing w:before="0" w:after="160"/>
        <w:rPr>
          <w:noProof/>
          <w:color w:val="000000"/>
          <w:lang w:val="en-GB"/>
        </w:rPr>
      </w:pPr>
      <w:r w:rsidRPr="00B34DDC">
        <w:rPr>
          <w:b/>
          <w:bCs/>
          <w:noProof/>
          <w:color w:val="000000"/>
          <w:lang w:val="en-GB"/>
        </w:rPr>
        <w:t>Differentiation through sustainability</w:t>
      </w:r>
      <w:r w:rsidRPr="00B34DDC">
        <w:rPr>
          <w:noProof/>
          <w:color w:val="000000"/>
          <w:lang w:val="en-GB"/>
        </w:rPr>
        <w:t xml:space="preserve">: The offering of certified low carbon steel would help Tata Steel in charging the premium prices, specially in the market where customers value the performance of ESG. Such differentiation would strengthen the loyalty of customers and brand equity (Meira </w:t>
      </w:r>
      <w:r w:rsidRPr="00B34DDC">
        <w:rPr>
          <w:i/>
          <w:iCs/>
          <w:noProof/>
          <w:color w:val="000000"/>
          <w:lang w:val="en-GB"/>
        </w:rPr>
        <w:t xml:space="preserve">et al. </w:t>
      </w:r>
      <w:r w:rsidRPr="00B34DDC">
        <w:rPr>
          <w:noProof/>
          <w:color w:val="000000"/>
          <w:lang w:val="en-GB"/>
        </w:rPr>
        <w:t>2023).</w:t>
      </w:r>
    </w:p>
    <w:p w14:paraId="60582810" w14:textId="77777777" w:rsidR="00784198" w:rsidRPr="00B34DDC" w:rsidRDefault="00784198" w:rsidP="00784198">
      <w:pPr>
        <w:spacing w:before="0" w:after="160"/>
        <w:rPr>
          <w:noProof/>
          <w:color w:val="000000"/>
          <w:lang w:val="en-GB"/>
        </w:rPr>
      </w:pPr>
      <w:r w:rsidRPr="00B34DDC">
        <w:rPr>
          <w:b/>
          <w:bCs/>
          <w:noProof/>
          <w:color w:val="000000"/>
          <w:lang w:val="en-GB"/>
        </w:rPr>
        <w:t>Focused strategy in niche markets</w:t>
      </w:r>
      <w:r w:rsidRPr="00B34DDC">
        <w:rPr>
          <w:noProof/>
          <w:color w:val="000000"/>
          <w:lang w:val="en-GB"/>
        </w:rPr>
        <w:t>: Tata steel can target the niche markets like renewable energy in infrastructure where the demand for sustainable steel is very high. This would help companies to specialise and to build strong relationships with the key customers.</w:t>
      </w:r>
    </w:p>
    <w:p w14:paraId="3105D584" w14:textId="77777777" w:rsidR="00784198" w:rsidRPr="00B34DDC" w:rsidRDefault="00784198" w:rsidP="00784198">
      <w:pPr>
        <w:spacing w:before="0" w:after="160"/>
        <w:rPr>
          <w:noProof/>
          <w:color w:val="000000"/>
          <w:lang w:val="en-GB"/>
        </w:rPr>
      </w:pPr>
      <w:r w:rsidRPr="00B34DDC">
        <w:rPr>
          <w:b/>
          <w:bCs/>
          <w:noProof/>
          <w:color w:val="000000"/>
          <w:lang w:val="en-GB"/>
        </w:rPr>
        <w:t>Evaluation of Risks and Opportunities</w:t>
      </w:r>
    </w:p>
    <w:p w14:paraId="47DCEB6A" w14:textId="77777777" w:rsidR="00784198" w:rsidRPr="00B34DDC" w:rsidRDefault="00784198" w:rsidP="00784198">
      <w:pPr>
        <w:spacing w:before="0" w:after="160"/>
        <w:rPr>
          <w:noProof/>
          <w:color w:val="000000"/>
          <w:lang w:val="en-GB"/>
        </w:rPr>
      </w:pPr>
      <w:r w:rsidRPr="00B34DDC">
        <w:rPr>
          <w:b/>
          <w:bCs/>
          <w:noProof/>
          <w:color w:val="000000"/>
          <w:lang w:val="en-GB"/>
        </w:rPr>
        <w:t xml:space="preserve">Opportunities: </w:t>
      </w:r>
      <w:r w:rsidRPr="00B34DDC">
        <w:rPr>
          <w:noProof/>
          <w:color w:val="000000"/>
          <w:lang w:val="en-GB"/>
        </w:rPr>
        <w:t>The product development aligns well with the global sustainability trends which will enhance the access of the brand to green finance and will also position the brand as the leader in ESG performance (Daugaard and Ding, 2022).</w:t>
      </w:r>
    </w:p>
    <w:p w14:paraId="01401FC6" w14:textId="77777777" w:rsidR="00784198" w:rsidRPr="00B34DDC" w:rsidRDefault="00784198" w:rsidP="00784198">
      <w:pPr>
        <w:spacing w:before="0" w:after="160"/>
        <w:rPr>
          <w:noProof/>
          <w:color w:val="000000"/>
          <w:lang w:val="en-GB"/>
        </w:rPr>
      </w:pPr>
      <w:r w:rsidRPr="00B34DDC">
        <w:rPr>
          <w:b/>
          <w:bCs/>
          <w:noProof/>
          <w:color w:val="000000"/>
          <w:lang w:val="en-GB"/>
        </w:rPr>
        <w:t xml:space="preserve">Risk: </w:t>
      </w:r>
      <w:r w:rsidRPr="00B34DDC">
        <w:rPr>
          <w:noProof/>
          <w:color w:val="000000"/>
          <w:lang w:val="en-GB"/>
        </w:rPr>
        <w:t>There is the risk for high capital investment, technological uncertainty, as well as fluctuating policies of the government. Moreover, the short-term profitability of the brand might reduce and the shareholder expectations might also conflict with the long-term sustainability goals.</w:t>
      </w:r>
    </w:p>
    <w:p w14:paraId="140F8F60" w14:textId="77777777" w:rsidR="00784198" w:rsidRPr="00B34DDC" w:rsidRDefault="00784198" w:rsidP="00784198">
      <w:pPr>
        <w:pStyle w:val="Heading1"/>
        <w:rPr>
          <w:noProof/>
          <w:lang w:val="en-GB"/>
        </w:rPr>
      </w:pPr>
      <w:bookmarkStart w:id="5" w:name="_Toc234073382"/>
      <w:r w:rsidRPr="00B34DDC">
        <w:rPr>
          <w:noProof/>
          <w:lang w:val="en-GB"/>
        </w:rPr>
        <w:t>Task 3: Critical Reflection on AI Usage</w:t>
      </w:r>
      <w:bookmarkEnd w:id="5"/>
      <w:r w:rsidRPr="00B34DDC">
        <w:rPr>
          <w:noProof/>
          <w:lang w:val="en-GB"/>
        </w:rPr>
        <w:t> </w:t>
      </w:r>
    </w:p>
    <w:p w14:paraId="33FC224E" w14:textId="77777777" w:rsidR="00784198" w:rsidRPr="00B34DDC" w:rsidRDefault="00784198" w:rsidP="00784198">
      <w:pPr>
        <w:spacing w:after="160"/>
        <w:rPr>
          <w:noProof/>
          <w:color w:val="000000"/>
          <w:lang w:val="en-GB"/>
        </w:rPr>
      </w:pPr>
      <w:r w:rsidRPr="00B34DDC">
        <w:rPr>
          <w:b/>
          <w:bCs/>
          <w:noProof/>
          <w:color w:val="000000"/>
          <w:lang w:val="en-GB"/>
        </w:rPr>
        <w:t>a. Tool Disclosure</w:t>
      </w:r>
    </w:p>
    <w:p w14:paraId="6ABCD3CD" w14:textId="77777777" w:rsidR="00784198" w:rsidRPr="00B34DDC" w:rsidRDefault="00784198" w:rsidP="00784198">
      <w:pPr>
        <w:spacing w:after="160"/>
        <w:rPr>
          <w:noProof/>
          <w:color w:val="000000"/>
          <w:lang w:val="en-GB"/>
        </w:rPr>
      </w:pPr>
      <w:r w:rsidRPr="00B34DDC">
        <w:rPr>
          <w:noProof/>
          <w:color w:val="000000"/>
          <w:lang w:val="en-GB"/>
        </w:rPr>
        <w:t xml:space="preserve">The report was developed with the help of ChatGPT, which was primarily used for generating the initials, clarifying the market concepts like marketing environment, as well as Ansoff Matrix as well as for improving grammar and organisation of the report. The AI tool acted as a supplementary resource rather than an entire replacement for the independent research and analysis. In addition to this, critics feel that simply disclosing the use of AI is not enough because the use of AI may pose a threat to the very idea of originality (Obaid </w:t>
      </w:r>
      <w:r w:rsidRPr="00B34DDC">
        <w:rPr>
          <w:i/>
          <w:iCs/>
          <w:noProof/>
          <w:color w:val="000000"/>
          <w:lang w:val="en-GB"/>
        </w:rPr>
        <w:t xml:space="preserve">et al. </w:t>
      </w:r>
      <w:r w:rsidRPr="00B34DDC">
        <w:rPr>
          <w:noProof/>
          <w:color w:val="000000"/>
          <w:lang w:val="en-GB"/>
        </w:rPr>
        <w:t>2023). The final editing, content selection, as well as critical evaluation were completed by me in order to ensure academic integrity and to align with the overall requirements of the assessment.</w:t>
      </w:r>
    </w:p>
    <w:p w14:paraId="69165046" w14:textId="77777777" w:rsidR="00784198" w:rsidRPr="00B34DDC" w:rsidRDefault="00784198" w:rsidP="00784198">
      <w:pPr>
        <w:spacing w:after="160"/>
        <w:rPr>
          <w:noProof/>
          <w:color w:val="000000"/>
          <w:lang w:val="en-GB"/>
        </w:rPr>
      </w:pPr>
      <w:r w:rsidRPr="00B34DDC">
        <w:rPr>
          <w:b/>
          <w:bCs/>
          <w:noProof/>
          <w:color w:val="000000"/>
          <w:lang w:val="en-GB"/>
        </w:rPr>
        <w:t>b. Critical Evaluation of AI Output</w:t>
      </w:r>
      <w:r w:rsidRPr="00B34DDC">
        <w:rPr>
          <w:noProof/>
          <w:color w:val="000000"/>
          <w:lang w:val="en-GB"/>
        </w:rPr>
        <w:t> </w:t>
      </w:r>
    </w:p>
    <w:p w14:paraId="18128C10" w14:textId="77777777" w:rsidR="00784198" w:rsidRPr="00B34DDC" w:rsidRDefault="00784198" w:rsidP="00784198">
      <w:pPr>
        <w:spacing w:after="160"/>
        <w:rPr>
          <w:noProof/>
          <w:color w:val="000000"/>
          <w:lang w:val="en-GB"/>
        </w:rPr>
      </w:pPr>
      <w:r w:rsidRPr="00B34DDC">
        <w:rPr>
          <w:noProof/>
          <w:color w:val="000000"/>
          <w:lang w:val="en-GB"/>
        </w:rPr>
        <w:t xml:space="preserve">The AI provides a very useful starting point, its outputs were critically verified against the credible sources available. It also includes sustainability reports of Tata Steel, peer reviewed journal articles as well as textbooks. However, the verification process was important to identify and to correct the inaccuracies, unsupported claims or any “hallucinations” that sometimes occur in the text generated by AI. For example, when the AI suggested the general sustainability strategies, I cross checked them with the actual initiatives of Tata Steel such as green hydrogen programmes as well as scrap recycling. Therefore, although AI improved content generation, the limitations in AI required thorough human monitoring (Marsoof </w:t>
      </w:r>
      <w:r w:rsidRPr="00B34DDC">
        <w:rPr>
          <w:i/>
          <w:iCs/>
          <w:noProof/>
          <w:color w:val="000000"/>
          <w:lang w:val="en-GB"/>
        </w:rPr>
        <w:t xml:space="preserve">et al. </w:t>
      </w:r>
      <w:r w:rsidRPr="00B34DDC">
        <w:rPr>
          <w:noProof/>
          <w:color w:val="000000"/>
          <w:lang w:val="en-GB"/>
        </w:rPr>
        <w:t>2023). This further proved the contradiction that although AI helps improve efficiency, it also demands additional validation.</w:t>
      </w:r>
    </w:p>
    <w:p w14:paraId="1A93F43E" w14:textId="77777777" w:rsidR="00784198" w:rsidRPr="00B34DDC" w:rsidRDefault="00784198" w:rsidP="00784198">
      <w:pPr>
        <w:spacing w:after="160"/>
        <w:rPr>
          <w:noProof/>
          <w:color w:val="000000"/>
          <w:lang w:val="en-GB"/>
        </w:rPr>
      </w:pPr>
      <w:r w:rsidRPr="00B34DDC">
        <w:rPr>
          <w:b/>
          <w:bCs/>
          <w:noProof/>
          <w:color w:val="000000"/>
          <w:lang w:val="en-GB"/>
        </w:rPr>
        <w:t>c. Contribution Analysis</w:t>
      </w:r>
      <w:r w:rsidRPr="00B34DDC">
        <w:rPr>
          <w:noProof/>
          <w:color w:val="000000"/>
          <w:lang w:val="en-GB"/>
        </w:rPr>
        <w:t> </w:t>
      </w:r>
    </w:p>
    <w:p w14:paraId="390DAB5E" w14:textId="77777777" w:rsidR="00784198" w:rsidRPr="00B34DDC" w:rsidRDefault="00784198" w:rsidP="00784198">
      <w:pPr>
        <w:spacing w:after="160"/>
        <w:rPr>
          <w:noProof/>
          <w:color w:val="000000"/>
          <w:lang w:val="en-GB"/>
        </w:rPr>
      </w:pPr>
      <w:r w:rsidRPr="00B34DDC">
        <w:rPr>
          <w:noProof/>
          <w:color w:val="000000"/>
          <w:lang w:val="en-GB"/>
        </w:rPr>
        <w:t>AI contributed by structuring the explanations of the frameworks such as Ansoff Matrix but the critical analysis, synthesis of the literature as well as application to the Tata steel developed independently. As per my understanding, this division of labour showcases the responsible integration like AI handles the mechanical drafting, while the humans provide good intellectual depth to the topic. On the other hand, some scholars argue that even the partial dependence on AI can dilute the academic integrity because students might unconsciously adopt AI phrasing or its logic (Konstadopoulou, 2024). For example, AI outlined multiple growth strategies, but my independent choice of product development showcased my critical judgement. This showcases that AI can somehow generalise the learning and can also risk over scheduling the voice of students if it is not properly managed.</w:t>
      </w:r>
    </w:p>
    <w:p w14:paraId="5C73FB81" w14:textId="77777777" w:rsidR="00784198" w:rsidRPr="00B34DDC" w:rsidRDefault="00784198" w:rsidP="00784198">
      <w:pPr>
        <w:spacing w:after="160"/>
        <w:rPr>
          <w:noProof/>
          <w:color w:val="000000"/>
          <w:lang w:val="en-GB"/>
        </w:rPr>
      </w:pPr>
      <w:r w:rsidRPr="00B34DDC">
        <w:rPr>
          <w:b/>
          <w:bCs/>
          <w:noProof/>
          <w:color w:val="000000"/>
          <w:lang w:val="en-GB"/>
        </w:rPr>
        <w:t>d. Ethical &amp; Professional Reflection</w:t>
      </w:r>
      <w:r w:rsidRPr="00B34DDC">
        <w:rPr>
          <w:noProof/>
          <w:color w:val="000000"/>
          <w:lang w:val="en-GB"/>
        </w:rPr>
        <w:t> </w:t>
      </w:r>
    </w:p>
    <w:p w14:paraId="68847334" w14:textId="77777777" w:rsidR="00784198" w:rsidRPr="00B34DDC" w:rsidRDefault="00784198" w:rsidP="00784198">
      <w:pPr>
        <w:spacing w:after="160"/>
        <w:rPr>
          <w:noProof/>
          <w:color w:val="000000"/>
          <w:lang w:val="en-GB"/>
        </w:rPr>
      </w:pPr>
      <w:r w:rsidRPr="00B34DDC">
        <w:rPr>
          <w:noProof/>
          <w:color w:val="000000"/>
          <w:lang w:val="en-GB"/>
        </w:rPr>
        <w:t xml:space="preserve">Ethically, the use of AI required transparency, verification as well as acknowledgement. As per my consideration, ethical AI integration boosts the efficiency, supports the creativity and prepares the students for the digital workplace. On the other hand critics argue that AI can threaten academic integrity, can lead to plagiarism and can also reduce the opportunities for genuine thinking (Rodrigues </w:t>
      </w:r>
      <w:r w:rsidRPr="00B34DDC">
        <w:rPr>
          <w:i/>
          <w:iCs/>
          <w:noProof/>
          <w:color w:val="000000"/>
          <w:lang w:val="en-GB"/>
        </w:rPr>
        <w:t xml:space="preserve">et al. </w:t>
      </w:r>
      <w:r w:rsidRPr="00B34DDC">
        <w:rPr>
          <w:noProof/>
          <w:color w:val="000000"/>
          <w:lang w:val="en-GB"/>
        </w:rPr>
        <w:t>2025). In the professional marketing context, AI can streamline the data analysis but the contradictory perspectives presents that the overdependence on AI can erode trust if the content does not seem human generated. This type of duality can create challenges like AI can be a tool for empowerment, yet it creates risks if it gets misused or not properly adopted.</w:t>
      </w:r>
    </w:p>
    <w:p w14:paraId="3C448EF2" w14:textId="77777777" w:rsidR="00784198" w:rsidRPr="00B34DDC" w:rsidRDefault="00784198" w:rsidP="00784198">
      <w:pPr>
        <w:pStyle w:val="Heading1"/>
        <w:rPr>
          <w:noProof/>
          <w:lang w:val="en-GB"/>
        </w:rPr>
      </w:pPr>
      <w:bookmarkStart w:id="6" w:name="_Toc234073383"/>
      <w:r w:rsidRPr="00B34DDC">
        <w:rPr>
          <w:noProof/>
          <w:lang w:val="en-GB"/>
        </w:rPr>
        <w:t>Conclusion</w:t>
      </w:r>
      <w:bookmarkEnd w:id="6"/>
    </w:p>
    <w:p w14:paraId="2D2CB9D3" w14:textId="77777777" w:rsidR="00784198" w:rsidRPr="00B34DDC" w:rsidRDefault="00784198" w:rsidP="00784198">
      <w:pPr>
        <w:spacing w:after="160"/>
        <w:rPr>
          <w:noProof/>
          <w:color w:val="000000"/>
          <w:lang w:val="en-GB"/>
        </w:rPr>
      </w:pPr>
      <w:r w:rsidRPr="00B34DDC">
        <w:rPr>
          <w:noProof/>
          <w:color w:val="000000"/>
          <w:lang w:val="en-GB"/>
        </w:rPr>
        <w:t>This report analysed the shift of Tata Steel towards the cabin business model by examining the natural as well as political environment. Climate change along with government policies have bought in both challenges and opportunities for the brand that requires a lot of investment in the sustainable tech technologies. The Ansoff Matrix has been applied in which the product development was identified as the most effective strategy for competitive advantage. lastly, the use of AI has been critically reflected on the acknowledgement of both its supportive role as well as ethical risks.</w:t>
      </w:r>
    </w:p>
    <w:p w14:paraId="27E19A50" w14:textId="77777777" w:rsidR="00784198" w:rsidRPr="00B34DDC" w:rsidRDefault="00784198">
      <w:pPr>
        <w:rPr>
          <w:b/>
          <w:bCs/>
          <w:noProof/>
          <w:color w:val="000000"/>
          <w:lang w:val="en-GB"/>
        </w:rPr>
      </w:pPr>
      <w:r w:rsidRPr="00B34DDC">
        <w:rPr>
          <w:b/>
          <w:bCs/>
          <w:noProof/>
          <w:color w:val="000000"/>
          <w:lang w:val="en-GB"/>
        </w:rPr>
        <w:br w:type="page"/>
      </w:r>
    </w:p>
    <w:p w14:paraId="14E9AD8E" w14:textId="77777777" w:rsidR="00784198" w:rsidRPr="00B34DDC" w:rsidRDefault="00784198" w:rsidP="00784198">
      <w:pPr>
        <w:pStyle w:val="Heading1"/>
        <w:rPr>
          <w:noProof/>
          <w:lang w:val="en-GB"/>
        </w:rPr>
      </w:pPr>
      <w:bookmarkStart w:id="7" w:name="_Toc234073384"/>
      <w:r w:rsidRPr="00B34DDC">
        <w:rPr>
          <w:noProof/>
          <w:lang w:val="en-GB"/>
        </w:rPr>
        <w:t>References</w:t>
      </w:r>
      <w:bookmarkEnd w:id="7"/>
    </w:p>
    <w:p w14:paraId="63B3E6CB" w14:textId="77777777" w:rsidR="004D1BAD" w:rsidRPr="00B34DDC" w:rsidRDefault="004D1BAD" w:rsidP="00784198">
      <w:pPr>
        <w:rPr>
          <w:noProof/>
          <w:color w:val="000000"/>
          <w:lang w:val="en-GB"/>
        </w:rPr>
      </w:pPr>
      <w:r w:rsidRPr="00B34DDC">
        <w:rPr>
          <w:noProof/>
          <w:color w:val="000000"/>
          <w:lang w:val="en-GB"/>
        </w:rPr>
        <w:t xml:space="preserve">Cherepovitsyn, A., Kazanin, A. and Rutenko, E. (2023) ‘Strategic priorities for green diversification of oil and gas companies’, </w:t>
      </w:r>
      <w:r w:rsidRPr="00B34DDC">
        <w:rPr>
          <w:i/>
          <w:iCs/>
          <w:noProof/>
          <w:color w:val="000000"/>
          <w:lang w:val="en-GB"/>
        </w:rPr>
        <w:t>Energies</w:t>
      </w:r>
      <w:r w:rsidRPr="00B34DDC">
        <w:rPr>
          <w:noProof/>
          <w:color w:val="000000"/>
          <w:lang w:val="en-GB"/>
        </w:rPr>
        <w:t>, 16(13), p. 4985. Available at:</w:t>
      </w:r>
      <w:hyperlink r:id="rId8" w:history="1">
        <w:r w:rsidRPr="00B34DDC">
          <w:rPr>
            <w:rStyle w:val="Hyperlink"/>
            <w:noProof/>
            <w:lang w:val="en-GB"/>
          </w:rPr>
          <w:t xml:space="preserve"> https://doi.org/10.3390/en16134985</w:t>
        </w:r>
      </w:hyperlink>
    </w:p>
    <w:p w14:paraId="07A9DB28" w14:textId="77777777" w:rsidR="004D1BAD" w:rsidRPr="00B34DDC" w:rsidRDefault="004D1BAD" w:rsidP="00784198">
      <w:pPr>
        <w:rPr>
          <w:noProof/>
          <w:color w:val="000000"/>
          <w:lang w:val="en-GB"/>
        </w:rPr>
      </w:pPr>
      <w:r w:rsidRPr="00B34DDC">
        <w:rPr>
          <w:noProof/>
          <w:color w:val="000000"/>
          <w:lang w:val="en-GB"/>
        </w:rPr>
        <w:t xml:space="preserve">Daugaard, D. and Ding, A. (2022) ‘Global drivers for ESG performance: The body of knowledge’, </w:t>
      </w:r>
      <w:r w:rsidRPr="00B34DDC">
        <w:rPr>
          <w:i/>
          <w:iCs/>
          <w:noProof/>
          <w:color w:val="000000"/>
          <w:lang w:val="en-GB"/>
        </w:rPr>
        <w:t>Sustainability</w:t>
      </w:r>
      <w:r w:rsidRPr="00B34DDC">
        <w:rPr>
          <w:noProof/>
          <w:color w:val="000000"/>
          <w:lang w:val="en-GB"/>
        </w:rPr>
        <w:t>, 14(4), p. 2322. Available at:</w:t>
      </w:r>
      <w:hyperlink r:id="rId9" w:history="1">
        <w:r w:rsidRPr="00B34DDC">
          <w:rPr>
            <w:rStyle w:val="Hyperlink"/>
            <w:noProof/>
            <w:lang w:val="en-GB"/>
          </w:rPr>
          <w:t xml:space="preserve"> https://doi.org/10.3390/su14042322</w:t>
        </w:r>
      </w:hyperlink>
    </w:p>
    <w:p w14:paraId="1A49461B" w14:textId="77777777" w:rsidR="004D1BAD" w:rsidRPr="00B34DDC" w:rsidRDefault="004D1BAD" w:rsidP="00784198">
      <w:pPr>
        <w:rPr>
          <w:noProof/>
          <w:color w:val="000000"/>
          <w:lang w:val="en-GB"/>
        </w:rPr>
      </w:pPr>
      <w:r w:rsidRPr="00B34DDC">
        <w:rPr>
          <w:noProof/>
          <w:color w:val="000000"/>
          <w:lang w:val="en-GB"/>
        </w:rPr>
        <w:t>European Commission (2026) ‘</w:t>
      </w:r>
      <w:r w:rsidRPr="00B34DDC">
        <w:rPr>
          <w:i/>
          <w:noProof/>
          <w:color w:val="000000"/>
          <w:lang w:val="en-GB"/>
        </w:rPr>
        <w:t xml:space="preserve">Carbon Border Adjustment Mechanism (CBAM)’. </w:t>
      </w:r>
      <w:r w:rsidRPr="00B34DDC">
        <w:rPr>
          <w:i/>
          <w:iCs/>
          <w:noProof/>
          <w:color w:val="000000"/>
          <w:lang w:val="en-GB"/>
        </w:rPr>
        <w:t>Taxation and Customs Union</w:t>
      </w:r>
      <w:r w:rsidRPr="00B34DDC">
        <w:rPr>
          <w:noProof/>
          <w:color w:val="000000"/>
          <w:lang w:val="en-GB"/>
        </w:rPr>
        <w:t>. Available at:</w:t>
      </w:r>
      <w:hyperlink r:id="rId10" w:history="1">
        <w:r w:rsidRPr="00B34DDC">
          <w:rPr>
            <w:rStyle w:val="Hyperlink"/>
            <w:noProof/>
            <w:lang w:val="en-GB"/>
          </w:rPr>
          <w:t xml:space="preserve"> https://taxation-customs.ec.europa.eu/carbon-border-adjustment-mechanism_en</w:t>
        </w:r>
      </w:hyperlink>
      <w:r w:rsidRPr="00B34DDC">
        <w:rPr>
          <w:noProof/>
          <w:color w:val="000000"/>
          <w:lang w:val="en-GB"/>
        </w:rPr>
        <w:t xml:space="preserve"> (Accessed: 4 July 2026).</w:t>
      </w:r>
    </w:p>
    <w:p w14:paraId="0813329C" w14:textId="77777777" w:rsidR="004D1BAD" w:rsidRPr="00B34DDC" w:rsidRDefault="004D1BAD" w:rsidP="00784198">
      <w:pPr>
        <w:rPr>
          <w:noProof/>
          <w:color w:val="000000"/>
          <w:lang w:val="en-GB"/>
        </w:rPr>
      </w:pPr>
      <w:r w:rsidRPr="00B34DDC">
        <w:rPr>
          <w:noProof/>
          <w:color w:val="000000"/>
          <w:lang w:val="en-GB"/>
        </w:rPr>
        <w:t xml:space="preserve">Harahap, M.A.D., Soemitra, A. and Rahma, T.I.F. (2025) ‘Market penetration strategy by increasing firm competitiveness’, </w:t>
      </w:r>
      <w:r w:rsidRPr="00B34DDC">
        <w:rPr>
          <w:i/>
          <w:iCs/>
          <w:noProof/>
          <w:color w:val="000000"/>
          <w:lang w:val="en-GB"/>
        </w:rPr>
        <w:t>Golden Ratio of Marketing and Applied Psychology of Business</w:t>
      </w:r>
      <w:r w:rsidRPr="00B34DDC">
        <w:rPr>
          <w:noProof/>
          <w:color w:val="000000"/>
          <w:lang w:val="en-GB"/>
        </w:rPr>
        <w:t>, 5(1), pp. 44–52. Available at:</w:t>
      </w:r>
      <w:hyperlink r:id="rId11" w:history="1">
        <w:r w:rsidRPr="00B34DDC">
          <w:rPr>
            <w:rStyle w:val="Hyperlink"/>
            <w:noProof/>
            <w:lang w:val="en-GB"/>
          </w:rPr>
          <w:t xml:space="preserve"> https://doi.org/10.1080/xxxxxxxxxxxxxxx</w:t>
        </w:r>
      </w:hyperlink>
    </w:p>
    <w:p w14:paraId="63893202" w14:textId="77777777" w:rsidR="004D1BAD" w:rsidRPr="00B34DDC" w:rsidRDefault="004D1BAD" w:rsidP="00784198">
      <w:pPr>
        <w:rPr>
          <w:noProof/>
          <w:color w:val="000000"/>
          <w:lang w:val="en-GB"/>
        </w:rPr>
      </w:pPr>
      <w:r w:rsidRPr="00B34DDC">
        <w:rPr>
          <w:noProof/>
          <w:color w:val="000000"/>
          <w:lang w:val="en-GB"/>
        </w:rPr>
        <w:t xml:space="preserve">Hendarwan, D. (2023) ‘Analysis of market driven strategies to increase capabilities and performances advantages in business’, </w:t>
      </w:r>
      <w:r w:rsidRPr="00B34DDC">
        <w:rPr>
          <w:i/>
          <w:iCs/>
          <w:noProof/>
          <w:color w:val="000000"/>
          <w:lang w:val="en-GB"/>
        </w:rPr>
        <w:t>Journal of Economic Empowerment Strategy (JEES)</w:t>
      </w:r>
      <w:r w:rsidRPr="00B34DDC">
        <w:rPr>
          <w:noProof/>
          <w:color w:val="000000"/>
          <w:lang w:val="en-GB"/>
        </w:rPr>
        <w:t>, 6(1), pp. 1–14. Available at:</w:t>
      </w:r>
      <w:hyperlink r:id="rId12" w:history="1">
        <w:r w:rsidRPr="00B34DDC">
          <w:rPr>
            <w:rStyle w:val="Hyperlink"/>
            <w:noProof/>
            <w:lang w:val="en-GB"/>
          </w:rPr>
          <w:t xml:space="preserve"> https://journal.unpas.ac.id/index.php/jees/article/download/5414/2822</w:t>
        </w:r>
      </w:hyperlink>
      <w:r w:rsidRPr="00B34DDC">
        <w:rPr>
          <w:noProof/>
          <w:color w:val="000000"/>
          <w:lang w:val="en-GB"/>
        </w:rPr>
        <w:t xml:space="preserve"> </w:t>
      </w:r>
    </w:p>
    <w:p w14:paraId="21505E6E" w14:textId="77777777" w:rsidR="004D1BAD" w:rsidRPr="00B34DDC" w:rsidRDefault="004D1BAD" w:rsidP="00784198">
      <w:pPr>
        <w:rPr>
          <w:noProof/>
          <w:color w:val="000000"/>
          <w:lang w:val="en-GB"/>
        </w:rPr>
      </w:pPr>
      <w:r w:rsidRPr="00B34DDC">
        <w:rPr>
          <w:noProof/>
          <w:color w:val="000000"/>
          <w:lang w:val="en-GB"/>
        </w:rPr>
        <w:t xml:space="preserve">Jerab, D. and Mabrouk, T. (2023) ‘Achieving competitive advantage through cost leadership strategy: Strategies for sustainable success’. </w:t>
      </w:r>
      <w:r w:rsidRPr="00B34DDC">
        <w:rPr>
          <w:i/>
          <w:iCs/>
          <w:noProof/>
          <w:color w:val="000000"/>
          <w:lang w:val="en-GB"/>
        </w:rPr>
        <w:t>SSRN</w:t>
      </w:r>
      <w:r w:rsidRPr="00B34DDC">
        <w:rPr>
          <w:noProof/>
          <w:color w:val="000000"/>
          <w:lang w:val="en-GB"/>
        </w:rPr>
        <w:t>. Available at:</w:t>
      </w:r>
      <w:hyperlink r:id="rId13" w:history="1">
        <w:r w:rsidRPr="00B34DDC">
          <w:rPr>
            <w:rStyle w:val="Hyperlink"/>
            <w:noProof/>
            <w:lang w:val="en-GB"/>
          </w:rPr>
          <w:t xml:space="preserve"> https://ssrn.com/abstract=4574945</w:t>
        </w:r>
      </w:hyperlink>
    </w:p>
    <w:p w14:paraId="2343646D" w14:textId="77777777" w:rsidR="004D1BAD" w:rsidRPr="00B34DDC" w:rsidRDefault="004D1BAD" w:rsidP="00784198">
      <w:pPr>
        <w:rPr>
          <w:noProof/>
          <w:color w:val="000000"/>
          <w:lang w:val="en-GB"/>
        </w:rPr>
      </w:pPr>
      <w:r w:rsidRPr="00B34DDC">
        <w:rPr>
          <w:noProof/>
          <w:color w:val="000000"/>
          <w:lang w:val="en-GB"/>
        </w:rPr>
        <w:t xml:space="preserve">Konstadopoulou, A. (2024) ‘Academic integrity in a digital epoch: What happened when Aristotle introduced phronesis to digital education? Why and how should they work in sync?’. </w:t>
      </w:r>
      <w:r w:rsidRPr="00B34DDC">
        <w:rPr>
          <w:i/>
          <w:iCs/>
          <w:noProof/>
          <w:color w:val="000000"/>
          <w:lang w:val="en-GB"/>
        </w:rPr>
        <w:t>University of Strathclyde Repository</w:t>
      </w:r>
      <w:r w:rsidRPr="00B34DDC">
        <w:rPr>
          <w:noProof/>
          <w:color w:val="000000"/>
          <w:lang w:val="en-GB"/>
        </w:rPr>
        <w:t>. Available at:</w:t>
      </w:r>
      <w:hyperlink r:id="rId14" w:history="1">
        <w:r w:rsidRPr="00B34DDC">
          <w:rPr>
            <w:rStyle w:val="Hyperlink"/>
            <w:noProof/>
            <w:lang w:val="en-GB"/>
          </w:rPr>
          <w:t xml:space="preserve"> http://stax.strath.ac.uk/downloads/3f462603n</w:t>
        </w:r>
      </w:hyperlink>
    </w:p>
    <w:p w14:paraId="6B70617E" w14:textId="77777777" w:rsidR="004D1BAD" w:rsidRPr="00B34DDC" w:rsidRDefault="004D1BAD" w:rsidP="00784198">
      <w:pPr>
        <w:rPr>
          <w:lang w:val="en-GB"/>
        </w:rPr>
      </w:pPr>
      <w:r w:rsidRPr="00B34DDC">
        <w:rPr>
          <w:color w:val="222222"/>
          <w:highlight w:val="white"/>
          <w:lang w:val="en-GB"/>
        </w:rPr>
        <w:t xml:space="preserve">Koval, V., Laktionova, O., Udovychenko, I., Olczak, P., Palii, S. and Prystupa, L., (2022). ‘Environmental taxation assessment on clean technologies reducing carbon emissions cost-effectively’. </w:t>
      </w:r>
      <w:r w:rsidRPr="00B34DDC">
        <w:rPr>
          <w:i/>
          <w:iCs/>
          <w:color w:val="222222"/>
          <w:highlight w:val="white"/>
          <w:lang w:val="en-GB"/>
        </w:rPr>
        <w:t>Sustainability</w:t>
      </w:r>
      <w:r w:rsidRPr="00B34DDC">
        <w:rPr>
          <w:color w:val="222222"/>
          <w:highlight w:val="white"/>
          <w:lang w:val="en-GB"/>
        </w:rPr>
        <w:t xml:space="preserve">, </w:t>
      </w:r>
      <w:r w:rsidRPr="00B34DDC">
        <w:rPr>
          <w:i/>
          <w:iCs/>
          <w:color w:val="222222"/>
          <w:highlight w:val="white"/>
          <w:lang w:val="en-GB"/>
        </w:rPr>
        <w:t>14</w:t>
      </w:r>
      <w:r w:rsidRPr="00B34DDC">
        <w:rPr>
          <w:color w:val="222222"/>
          <w:highlight w:val="white"/>
          <w:lang w:val="en-GB"/>
        </w:rPr>
        <w:t>(21), p.14044.</w:t>
      </w:r>
      <w:r w:rsidRPr="00B34DDC">
        <w:rPr>
          <w:lang w:val="en-GB"/>
        </w:rPr>
        <w:t xml:space="preserve">  Available at: </w:t>
      </w:r>
      <w:hyperlink r:id="rId15">
        <w:r w:rsidRPr="00B34DDC">
          <w:rPr>
            <w:color w:val="1155CC"/>
            <w:u w:val="single"/>
            <w:lang w:val="en-GB"/>
          </w:rPr>
          <w:t>https://doi.org/10.3390/su142114044</w:t>
        </w:r>
      </w:hyperlink>
    </w:p>
    <w:p w14:paraId="51590BF1" w14:textId="77777777" w:rsidR="004D1BAD" w:rsidRPr="00B34DDC" w:rsidRDefault="004D1BAD" w:rsidP="00784198">
      <w:pPr>
        <w:rPr>
          <w:noProof/>
          <w:color w:val="000000"/>
          <w:lang w:val="en-GB"/>
        </w:rPr>
      </w:pPr>
      <w:r w:rsidRPr="00B34DDC">
        <w:rPr>
          <w:noProof/>
          <w:color w:val="000000"/>
          <w:lang w:val="en-GB"/>
        </w:rPr>
        <w:t>Marsoof, A., Luco, A., Tan, H. and Joty, S. (2023) ‘Content</w:t>
      </w:r>
      <w:r w:rsidRPr="00B34DDC">
        <w:rPr>
          <w:noProof/>
          <w:color w:val="000000"/>
          <w:lang w:val="en-GB"/>
        </w:rPr>
        <w:noBreakHyphen/>
        <w:t xml:space="preserve">filtering AI systems – limitations, challenges and regulatory approaches’, </w:t>
      </w:r>
      <w:r w:rsidRPr="00B34DDC">
        <w:rPr>
          <w:i/>
          <w:iCs/>
          <w:noProof/>
          <w:color w:val="000000"/>
          <w:lang w:val="en-GB"/>
        </w:rPr>
        <w:t>Information &amp; Communications Technology Law</w:t>
      </w:r>
      <w:r w:rsidRPr="00B34DDC">
        <w:rPr>
          <w:noProof/>
          <w:color w:val="000000"/>
          <w:lang w:val="en-GB"/>
        </w:rPr>
        <w:t>, 32(1), pp. 64–101. Available at:</w:t>
      </w:r>
      <w:hyperlink r:id="rId16" w:history="1">
        <w:r w:rsidRPr="00B34DDC">
          <w:rPr>
            <w:rStyle w:val="Hyperlink"/>
            <w:noProof/>
            <w:lang w:val="en-GB"/>
          </w:rPr>
          <w:t xml:space="preserve"> https://doi.org/10.1080/13600834.2022.2078395</w:t>
        </w:r>
      </w:hyperlink>
      <w:r w:rsidRPr="00B34DDC">
        <w:rPr>
          <w:noProof/>
          <w:color w:val="000000"/>
          <w:lang w:val="en-GB"/>
        </w:rPr>
        <w:t xml:space="preserve"> </w:t>
      </w:r>
    </w:p>
    <w:p w14:paraId="602C0F6A" w14:textId="77777777" w:rsidR="004D1BAD" w:rsidRPr="00B34DDC" w:rsidRDefault="004D1BAD" w:rsidP="00784198">
      <w:pPr>
        <w:rPr>
          <w:noProof/>
          <w:color w:val="000000"/>
          <w:lang w:val="en-GB"/>
        </w:rPr>
      </w:pPr>
      <w:r w:rsidRPr="00B34DDC">
        <w:rPr>
          <w:noProof/>
          <w:color w:val="000000"/>
          <w:lang w:val="en-GB"/>
        </w:rPr>
        <w:t xml:space="preserve">MBA Knowledge Base (2026) ‘Strategic marketing tools: Ansoff Matrix and BCG Matrix’. </w:t>
      </w:r>
      <w:r w:rsidRPr="00B34DDC">
        <w:rPr>
          <w:i/>
          <w:iCs/>
          <w:noProof/>
          <w:color w:val="000000"/>
          <w:lang w:val="en-GB"/>
        </w:rPr>
        <w:t>MBA Knowledge Base</w:t>
      </w:r>
      <w:r w:rsidRPr="00B34DDC">
        <w:rPr>
          <w:noProof/>
          <w:color w:val="000000"/>
          <w:lang w:val="en-GB"/>
        </w:rPr>
        <w:t>. Available at:</w:t>
      </w:r>
      <w:hyperlink r:id="rId17" w:history="1">
        <w:r w:rsidRPr="00B34DDC">
          <w:rPr>
            <w:rStyle w:val="Hyperlink"/>
            <w:noProof/>
            <w:lang w:val="en-GB"/>
          </w:rPr>
          <w:t xml:space="preserve"> https://www.mbaknol.com/strategic-management/strategic-marketing-tools-ansoff-matrix-and-bcg-matrix/</w:t>
        </w:r>
      </w:hyperlink>
      <w:r w:rsidRPr="00B34DDC">
        <w:rPr>
          <w:noProof/>
          <w:color w:val="000000"/>
          <w:lang w:val="en-GB"/>
        </w:rPr>
        <w:t xml:space="preserve"> (Accessed: 4 July 2026).</w:t>
      </w:r>
    </w:p>
    <w:p w14:paraId="155840CF" w14:textId="77777777" w:rsidR="004D1BAD" w:rsidRPr="00B34DDC" w:rsidRDefault="004D1BAD" w:rsidP="00784198">
      <w:pPr>
        <w:rPr>
          <w:noProof/>
          <w:color w:val="000000"/>
          <w:lang w:val="en-GB"/>
        </w:rPr>
      </w:pPr>
      <w:r w:rsidRPr="00B34DDC">
        <w:rPr>
          <w:noProof/>
          <w:color w:val="000000"/>
          <w:lang w:val="en-GB"/>
        </w:rPr>
        <w:t>Meira, E., Cunha, F.A.F.D.S., Orsato, R.J., Miralles</w:t>
      </w:r>
      <w:r w:rsidRPr="00B34DDC">
        <w:rPr>
          <w:rFonts w:ascii="Cambria Math" w:hAnsi="Cambria Math" w:cs="Cambria Math"/>
          <w:noProof/>
          <w:color w:val="000000"/>
          <w:lang w:val="en-GB"/>
        </w:rPr>
        <w:t>‐</w:t>
      </w:r>
      <w:r w:rsidRPr="00B34DDC">
        <w:rPr>
          <w:noProof/>
          <w:color w:val="000000"/>
          <w:lang w:val="en-GB"/>
        </w:rPr>
        <w:t>Quirós, M.M. and Miralles</w:t>
      </w:r>
      <w:r w:rsidRPr="00B34DDC">
        <w:rPr>
          <w:rFonts w:ascii="Cambria Math" w:hAnsi="Cambria Math" w:cs="Cambria Math"/>
          <w:noProof/>
          <w:color w:val="000000"/>
          <w:lang w:val="en-GB"/>
        </w:rPr>
        <w:t>‐</w:t>
      </w:r>
      <w:r w:rsidRPr="00B34DDC">
        <w:rPr>
          <w:noProof/>
          <w:color w:val="000000"/>
          <w:lang w:val="en-GB"/>
        </w:rPr>
        <w:t xml:space="preserve">Quirós, J.L. (2023) ‘The added value and differentiation among ESG investment strategies in stock markets’, </w:t>
      </w:r>
      <w:r w:rsidRPr="00B34DDC">
        <w:rPr>
          <w:i/>
          <w:iCs/>
          <w:noProof/>
          <w:color w:val="000000"/>
          <w:lang w:val="en-GB"/>
        </w:rPr>
        <w:t>Business Strategy and the Environment</w:t>
      </w:r>
      <w:r w:rsidRPr="00B34DDC">
        <w:rPr>
          <w:noProof/>
          <w:color w:val="000000"/>
          <w:lang w:val="en-GB"/>
        </w:rPr>
        <w:t>, 32(4), pp. 1816–1834. Available at:</w:t>
      </w:r>
      <w:hyperlink r:id="rId18" w:history="1">
        <w:r w:rsidRPr="00B34DDC">
          <w:rPr>
            <w:rStyle w:val="Hyperlink"/>
            <w:noProof/>
            <w:lang w:val="en-GB"/>
          </w:rPr>
          <w:t xml:space="preserve"> https://onlinelibrary.wiley.com/doi/abs/10.1002/bse.3221</w:t>
        </w:r>
      </w:hyperlink>
    </w:p>
    <w:p w14:paraId="75BAFCDE" w14:textId="77777777" w:rsidR="004D1BAD" w:rsidRPr="00B34DDC" w:rsidRDefault="004D1BAD" w:rsidP="00784198">
      <w:pPr>
        <w:rPr>
          <w:lang w:val="en-GB"/>
        </w:rPr>
      </w:pPr>
      <w:r w:rsidRPr="00B34DDC">
        <w:rPr>
          <w:lang w:val="en-GB"/>
        </w:rPr>
        <w:t xml:space="preserve">Ministry of Steel (2025) </w:t>
      </w:r>
      <w:r w:rsidRPr="00B34DDC">
        <w:rPr>
          <w:i/>
          <w:iCs/>
          <w:lang w:val="en-GB"/>
        </w:rPr>
        <w:t>Greening the Steel Sector in India.</w:t>
      </w:r>
      <w:r w:rsidRPr="00B34DDC">
        <w:rPr>
          <w:lang w:val="en-GB"/>
        </w:rPr>
        <w:t xml:space="preserve"> Available at: </w:t>
      </w:r>
      <w:hyperlink r:id="rId19">
        <w:r w:rsidRPr="00B34DDC">
          <w:rPr>
            <w:color w:val="1155CC"/>
            <w:u w:val="single"/>
            <w:lang w:val="en-GB"/>
          </w:rPr>
          <w:t>https://steel.gov.in/sites/default/files/2025-11/GSI%20Report%20FINAL%20NEW_18092025_2.pdf</w:t>
        </w:r>
      </w:hyperlink>
      <w:r w:rsidRPr="00B34DDC">
        <w:rPr>
          <w:lang w:val="en-GB"/>
        </w:rPr>
        <w:t xml:space="preserve"> (Accessed: 4 July 2026).</w:t>
      </w:r>
    </w:p>
    <w:p w14:paraId="2183CF48" w14:textId="77777777" w:rsidR="004D1BAD" w:rsidRPr="00B34DDC" w:rsidRDefault="004D1BAD" w:rsidP="00784198">
      <w:pPr>
        <w:rPr>
          <w:lang w:val="en-GB"/>
        </w:rPr>
      </w:pPr>
      <w:r w:rsidRPr="00B34DDC">
        <w:rPr>
          <w:lang w:val="en-GB"/>
        </w:rPr>
        <w:t xml:space="preserve">MNRE (2026) </w:t>
      </w:r>
      <w:r w:rsidRPr="00B34DDC">
        <w:rPr>
          <w:i/>
          <w:iCs/>
          <w:lang w:val="en-GB"/>
        </w:rPr>
        <w:t>National Green Hydrogen Mission.</w:t>
      </w:r>
      <w:r w:rsidRPr="00B34DDC">
        <w:rPr>
          <w:lang w:val="en-GB"/>
        </w:rPr>
        <w:t xml:space="preserve"> Available at: </w:t>
      </w:r>
      <w:hyperlink r:id="rId20">
        <w:r w:rsidRPr="00B34DDC">
          <w:rPr>
            <w:color w:val="1155CC"/>
            <w:u w:val="single"/>
            <w:lang w:val="en-GB"/>
          </w:rPr>
          <w:t>https://nghm.mnre.gov.in/overviews.php</w:t>
        </w:r>
      </w:hyperlink>
      <w:r w:rsidRPr="00B34DDC">
        <w:rPr>
          <w:lang w:val="en-GB"/>
        </w:rPr>
        <w:t xml:space="preserve"> (Accessed: 4 July 2026).</w:t>
      </w:r>
    </w:p>
    <w:p w14:paraId="58B3AFBB" w14:textId="77777777" w:rsidR="004D1BAD" w:rsidRPr="00B34DDC" w:rsidRDefault="004D1BAD" w:rsidP="00784198">
      <w:pPr>
        <w:rPr>
          <w:noProof/>
          <w:color w:val="000000"/>
          <w:lang w:val="en-GB"/>
        </w:rPr>
      </w:pPr>
      <w:r w:rsidRPr="00B34DDC">
        <w:rPr>
          <w:noProof/>
          <w:color w:val="000000"/>
          <w:lang w:val="en-GB"/>
        </w:rPr>
        <w:t xml:space="preserve">Obaid, O.I., Ali, A.H. and Yaseen, M.G. (2023) ‘Impact of Chat GPT on scientific research: Opportunities, risks, limitations, and ethical issues’, </w:t>
      </w:r>
      <w:r w:rsidRPr="00B34DDC">
        <w:rPr>
          <w:i/>
          <w:iCs/>
          <w:noProof/>
          <w:color w:val="000000"/>
          <w:lang w:val="en-GB"/>
        </w:rPr>
        <w:t>Iraqi Journal for Computer Science and Mathematics</w:t>
      </w:r>
      <w:r w:rsidRPr="00B34DDC">
        <w:rPr>
          <w:noProof/>
          <w:color w:val="000000"/>
          <w:lang w:val="en-GB"/>
        </w:rPr>
        <w:t>, 4(4), p. 2. Available at:</w:t>
      </w:r>
      <w:hyperlink r:id="rId21" w:history="1">
        <w:r w:rsidRPr="00B34DDC">
          <w:rPr>
            <w:rStyle w:val="Hyperlink"/>
            <w:noProof/>
            <w:lang w:val="en-GB"/>
          </w:rPr>
          <w:t xml:space="preserve"> https://doi.org/10.1073/pnas.2404328121</w:t>
        </w:r>
      </w:hyperlink>
      <w:r w:rsidRPr="00B34DDC">
        <w:rPr>
          <w:noProof/>
          <w:color w:val="000000"/>
          <w:lang w:val="en-GB"/>
        </w:rPr>
        <w:t xml:space="preserve"> </w:t>
      </w:r>
    </w:p>
    <w:p w14:paraId="00698A14" w14:textId="77777777" w:rsidR="004D1BAD" w:rsidRPr="00B34DDC" w:rsidRDefault="004D1BAD" w:rsidP="00784198">
      <w:pPr>
        <w:rPr>
          <w:noProof/>
          <w:color w:val="000000"/>
          <w:lang w:val="en-GB"/>
        </w:rPr>
      </w:pPr>
      <w:r w:rsidRPr="00B34DDC">
        <w:rPr>
          <w:noProof/>
          <w:color w:val="000000"/>
          <w:lang w:val="en-GB"/>
        </w:rPr>
        <w:t xml:space="preserve">Rodrigues, M., Silva, R., Borges, A.P., Franco, M. and Oliveira, C. (2025) ‘Artificial intelligence: threat or asset to academic integrity? A bibliometric analysis’, </w:t>
      </w:r>
      <w:r w:rsidRPr="00B34DDC">
        <w:rPr>
          <w:i/>
          <w:iCs/>
          <w:noProof/>
          <w:color w:val="000000"/>
          <w:lang w:val="en-GB"/>
        </w:rPr>
        <w:t>Kybernetes</w:t>
      </w:r>
      <w:r w:rsidRPr="00B34DDC">
        <w:rPr>
          <w:noProof/>
          <w:color w:val="000000"/>
          <w:lang w:val="en-GB"/>
        </w:rPr>
        <w:t>, 54(5), pp. 2939–2970. Available at:</w:t>
      </w:r>
      <w:hyperlink r:id="rId22" w:history="1">
        <w:r w:rsidRPr="00B34DDC">
          <w:rPr>
            <w:rStyle w:val="Hyperlink"/>
            <w:noProof/>
            <w:lang w:val="en-GB"/>
          </w:rPr>
          <w:t xml:space="preserve"> https://www.researchgate.net/profile/Mario-Franco-4/publication/377707512_AIntelligencepdf/data/65b3a4f11e1ec12eff4f74d0/AIntelligence.pdf</w:t>
        </w:r>
      </w:hyperlink>
    </w:p>
    <w:p w14:paraId="6BE2DF61" w14:textId="77777777" w:rsidR="004D1BAD" w:rsidRPr="00B34DDC" w:rsidRDefault="004D1BAD" w:rsidP="00784198">
      <w:pPr>
        <w:rPr>
          <w:noProof/>
          <w:color w:val="000000"/>
          <w:lang w:val="en-GB"/>
        </w:rPr>
      </w:pPr>
      <w:r w:rsidRPr="00B34DDC">
        <w:rPr>
          <w:noProof/>
          <w:color w:val="000000"/>
          <w:lang w:val="en-GB"/>
        </w:rPr>
        <w:t xml:space="preserve">Rosner, F., Papadias, D., Brooks, K., Yoro, K., Ahluwalia, R., Autrey, T. and Breunig, H. (2023) ‘Green steel: design and cost analysis of hydrogen-based direct iron reduction’, </w:t>
      </w:r>
      <w:r w:rsidRPr="00B34DDC">
        <w:rPr>
          <w:i/>
          <w:iCs/>
          <w:noProof/>
          <w:color w:val="000000"/>
          <w:lang w:val="en-GB"/>
        </w:rPr>
        <w:t>Energy &amp; Environmental Science</w:t>
      </w:r>
      <w:r w:rsidRPr="00B34DDC">
        <w:rPr>
          <w:noProof/>
          <w:color w:val="000000"/>
          <w:lang w:val="en-GB"/>
        </w:rPr>
        <w:t>, 16(10), pp. 4121–4134. Available at:</w:t>
      </w:r>
      <w:hyperlink r:id="rId23" w:history="1">
        <w:r w:rsidRPr="00B34DDC">
          <w:rPr>
            <w:rStyle w:val="Hyperlink"/>
            <w:noProof/>
            <w:lang w:val="en-GB"/>
          </w:rPr>
          <w:t xml:space="preserve"> https://doi.org/10.1039/d3ee01077e</w:t>
        </w:r>
      </w:hyperlink>
    </w:p>
    <w:p w14:paraId="79A07C54" w14:textId="77777777" w:rsidR="004D1BAD" w:rsidRPr="00B34DDC" w:rsidRDefault="004D1BAD" w:rsidP="00784198">
      <w:pPr>
        <w:rPr>
          <w:lang w:val="en-GB"/>
        </w:rPr>
      </w:pPr>
      <w:r w:rsidRPr="00B34DDC">
        <w:rPr>
          <w:color w:val="222222"/>
          <w:highlight w:val="white"/>
          <w:lang w:val="en-GB"/>
        </w:rPr>
        <w:t xml:space="preserve">Saeed, H.S., Hasan, S.I., Nikkeh, N.S. and Flayyih, H.H., (2022). ‘The mediating role of sustainable development in the relationship between producer cost expectations and customer desires’. </w:t>
      </w:r>
      <w:r w:rsidRPr="00B34DDC">
        <w:rPr>
          <w:i/>
          <w:iCs/>
          <w:color w:val="222222"/>
          <w:highlight w:val="white"/>
          <w:lang w:val="en-GB"/>
        </w:rPr>
        <w:t>Journal of Sustainability Science and Management</w:t>
      </w:r>
      <w:r w:rsidRPr="00B34DDC">
        <w:rPr>
          <w:color w:val="222222"/>
          <w:highlight w:val="white"/>
          <w:lang w:val="en-GB"/>
        </w:rPr>
        <w:t xml:space="preserve">, </w:t>
      </w:r>
      <w:r w:rsidRPr="00B34DDC">
        <w:rPr>
          <w:i/>
          <w:iCs/>
          <w:color w:val="222222"/>
          <w:highlight w:val="white"/>
          <w:lang w:val="en-GB"/>
        </w:rPr>
        <w:t>17</w:t>
      </w:r>
      <w:r w:rsidRPr="00B34DDC">
        <w:rPr>
          <w:color w:val="222222"/>
          <w:highlight w:val="white"/>
          <w:lang w:val="en-GB"/>
        </w:rPr>
        <w:t>(10), pp.13-21.</w:t>
      </w:r>
      <w:r w:rsidRPr="00B34DDC">
        <w:rPr>
          <w:lang w:val="en-GB"/>
        </w:rPr>
        <w:t xml:space="preserve">  Available at: </w:t>
      </w:r>
      <w:hyperlink r:id="rId24">
        <w:r w:rsidRPr="00B34DDC">
          <w:rPr>
            <w:color w:val="1155CC"/>
            <w:u w:val="single"/>
            <w:lang w:val="en-GB"/>
          </w:rPr>
          <w:t>http://doi.org/10.46754/jssm.2022.10.002</w:t>
        </w:r>
      </w:hyperlink>
    </w:p>
    <w:p w14:paraId="1CCEA6EB" w14:textId="77777777" w:rsidR="004D1BAD" w:rsidRPr="00B34DDC" w:rsidRDefault="004D1BAD" w:rsidP="00784198">
      <w:pPr>
        <w:rPr>
          <w:lang w:val="en-GB"/>
        </w:rPr>
      </w:pPr>
      <w:r w:rsidRPr="00B34DDC">
        <w:rPr>
          <w:color w:val="222222"/>
          <w:highlight w:val="white"/>
          <w:lang w:val="en-GB"/>
        </w:rPr>
        <w:t xml:space="preserve">Straková, J. and Kostiuk, Y., (2023). ‘Importance of business process quality for creating added value and raising reputation of companies in low-carbon economy’. </w:t>
      </w:r>
      <w:r w:rsidRPr="00B34DDC">
        <w:rPr>
          <w:i/>
          <w:iCs/>
          <w:color w:val="222222"/>
          <w:highlight w:val="white"/>
          <w:lang w:val="en-GB"/>
        </w:rPr>
        <w:t>Energies</w:t>
      </w:r>
      <w:r w:rsidRPr="00B34DDC">
        <w:rPr>
          <w:color w:val="222222"/>
          <w:highlight w:val="white"/>
          <w:lang w:val="en-GB"/>
        </w:rPr>
        <w:t xml:space="preserve">, </w:t>
      </w:r>
      <w:r w:rsidRPr="00B34DDC">
        <w:rPr>
          <w:i/>
          <w:iCs/>
          <w:color w:val="222222"/>
          <w:highlight w:val="white"/>
          <w:lang w:val="en-GB"/>
        </w:rPr>
        <w:t>16</w:t>
      </w:r>
      <w:r w:rsidRPr="00B34DDC">
        <w:rPr>
          <w:color w:val="222222"/>
          <w:highlight w:val="white"/>
          <w:lang w:val="en-GB"/>
        </w:rPr>
        <w:t>(17), p.6388.</w:t>
      </w:r>
      <w:r w:rsidRPr="00B34DDC">
        <w:rPr>
          <w:lang w:val="en-GB"/>
        </w:rPr>
        <w:t xml:space="preserve">  Available at: </w:t>
      </w:r>
      <w:hyperlink r:id="rId25">
        <w:r w:rsidRPr="00B34DDC">
          <w:rPr>
            <w:color w:val="1155CC"/>
            <w:u w:val="single"/>
            <w:lang w:val="en-GB"/>
          </w:rPr>
          <w:t>https://doi.org/10.3390/en16176388</w:t>
        </w:r>
      </w:hyperlink>
    </w:p>
    <w:p w14:paraId="3EE63759" w14:textId="77777777" w:rsidR="004D1BAD" w:rsidRPr="00B34DDC" w:rsidRDefault="004D1BAD" w:rsidP="00784198">
      <w:pPr>
        <w:rPr>
          <w:noProof/>
          <w:color w:val="000000"/>
          <w:lang w:val="en-GB"/>
        </w:rPr>
      </w:pPr>
      <w:r w:rsidRPr="00B34DDC">
        <w:rPr>
          <w:noProof/>
          <w:color w:val="000000"/>
          <w:lang w:val="en-GB"/>
        </w:rPr>
        <w:t xml:space="preserve">Sudirjo, F. (2023) ‘Marketing strategy in improving product competitiveness in the global market’, </w:t>
      </w:r>
      <w:r w:rsidRPr="00B34DDC">
        <w:rPr>
          <w:i/>
          <w:iCs/>
          <w:noProof/>
          <w:color w:val="000000"/>
          <w:lang w:val="en-GB"/>
        </w:rPr>
        <w:t>Journal of Contemporary Administration and Management (ADMAN)</w:t>
      </w:r>
      <w:r w:rsidRPr="00B34DDC">
        <w:rPr>
          <w:noProof/>
          <w:color w:val="000000"/>
          <w:lang w:val="en-GB"/>
        </w:rPr>
        <w:t>, 1(2), pp. 63–69. Available at:</w:t>
      </w:r>
      <w:hyperlink r:id="rId26" w:history="1">
        <w:r w:rsidRPr="00B34DDC">
          <w:rPr>
            <w:rStyle w:val="Hyperlink"/>
            <w:noProof/>
            <w:lang w:val="en-GB"/>
          </w:rPr>
          <w:t xml:space="preserve"> https://doi.org/10.61100/adman.v1i2.24</w:t>
        </w:r>
      </w:hyperlink>
    </w:p>
    <w:p w14:paraId="20E63118" w14:textId="77777777" w:rsidR="004D1BAD" w:rsidRPr="00B34DDC" w:rsidRDefault="004D1BAD" w:rsidP="00784198">
      <w:pPr>
        <w:rPr>
          <w:lang w:val="en-GB"/>
        </w:rPr>
      </w:pPr>
      <w:r w:rsidRPr="00B34DDC">
        <w:rPr>
          <w:color w:val="222222"/>
          <w:highlight w:val="white"/>
          <w:lang w:val="en-GB"/>
        </w:rPr>
        <w:t xml:space="preserve">Sun, M., Pang, K., Barati, M. and Meng, X., (2024). ‘Hydrogen-based reduction technologies in low-carbon sustainable ironmaking and steelmaking: a review’. </w:t>
      </w:r>
      <w:r w:rsidRPr="00B34DDC">
        <w:rPr>
          <w:i/>
          <w:iCs/>
          <w:color w:val="222222"/>
          <w:highlight w:val="white"/>
          <w:lang w:val="en-GB"/>
        </w:rPr>
        <w:t>Journal of Sustainable Metallurgy</w:t>
      </w:r>
      <w:r w:rsidRPr="00B34DDC">
        <w:rPr>
          <w:color w:val="222222"/>
          <w:highlight w:val="white"/>
          <w:lang w:val="en-GB"/>
        </w:rPr>
        <w:t xml:space="preserve">, </w:t>
      </w:r>
      <w:r w:rsidRPr="00B34DDC">
        <w:rPr>
          <w:i/>
          <w:iCs/>
          <w:color w:val="222222"/>
          <w:highlight w:val="white"/>
          <w:lang w:val="en-GB"/>
        </w:rPr>
        <w:t>10</w:t>
      </w:r>
      <w:r w:rsidRPr="00B34DDC">
        <w:rPr>
          <w:color w:val="222222"/>
          <w:highlight w:val="white"/>
          <w:lang w:val="en-GB"/>
        </w:rPr>
        <w:t>(1), pp.10-25.</w:t>
      </w:r>
      <w:r w:rsidRPr="00B34DDC">
        <w:rPr>
          <w:lang w:val="en-GB"/>
        </w:rPr>
        <w:t xml:space="preserve">  Available at: </w:t>
      </w:r>
      <w:hyperlink r:id="rId27">
        <w:r w:rsidRPr="00B34DDC">
          <w:rPr>
            <w:color w:val="1155CC"/>
            <w:u w:val="single"/>
            <w:lang w:val="en-GB"/>
          </w:rPr>
          <w:t>https://doi.org/10.1007/s40831-023-00772-4</w:t>
        </w:r>
      </w:hyperlink>
    </w:p>
    <w:p w14:paraId="39F61E71" w14:textId="77777777" w:rsidR="004D1BAD" w:rsidRPr="00B34DDC" w:rsidRDefault="004D1BAD" w:rsidP="00784198">
      <w:pPr>
        <w:rPr>
          <w:lang w:val="en-GB"/>
        </w:rPr>
      </w:pPr>
      <w:r w:rsidRPr="00B34DDC">
        <w:rPr>
          <w:lang w:val="en-GB"/>
        </w:rPr>
        <w:t xml:space="preserve">Tatasteel (2026) </w:t>
      </w:r>
      <w:r w:rsidRPr="00B34DDC">
        <w:rPr>
          <w:i/>
          <w:iCs/>
          <w:lang w:val="en-GB"/>
        </w:rPr>
        <w:t>Tata Steel and Kraftblock Advance Successful Thermal Energy Storage Operations at Jamshedpur.</w:t>
      </w:r>
      <w:r w:rsidRPr="00B34DDC">
        <w:rPr>
          <w:lang w:val="en-GB"/>
        </w:rPr>
        <w:t xml:space="preserve"> Available at: </w:t>
      </w:r>
      <w:hyperlink r:id="rId28">
        <w:r w:rsidRPr="00B34DDC">
          <w:rPr>
            <w:color w:val="1155CC"/>
            <w:u w:val="single"/>
            <w:lang w:val="en-GB"/>
          </w:rPr>
          <w:t>https://www.tatasteel.com/newsroom/press-releases/india/2026/tata-steel-and-kraftblock-advance-successful-thermal-energy-storage-operations-at-jamshedpur/</w:t>
        </w:r>
      </w:hyperlink>
      <w:r w:rsidRPr="00B34DDC">
        <w:rPr>
          <w:lang w:val="en-GB"/>
        </w:rPr>
        <w:t xml:space="preserve"> (Accessed: 4 July 2026).</w:t>
      </w:r>
    </w:p>
    <w:p w14:paraId="31FA9BC9" w14:textId="77777777" w:rsidR="004D1BAD" w:rsidRPr="00B34DDC" w:rsidRDefault="004D1BAD" w:rsidP="00784198">
      <w:pPr>
        <w:rPr>
          <w:lang w:val="en-GB"/>
        </w:rPr>
      </w:pPr>
      <w:r w:rsidRPr="00B34DDC">
        <w:rPr>
          <w:lang w:val="en-GB"/>
        </w:rPr>
        <w:t xml:space="preserve">Tatasteel (2026) </w:t>
      </w:r>
      <w:r w:rsidRPr="00B34DDC">
        <w:rPr>
          <w:i/>
          <w:iCs/>
          <w:lang w:val="en-GB"/>
        </w:rPr>
        <w:t xml:space="preserve">Tata Steel Inaugurates its first Scrap-based Electric Arc Furnace in India. </w:t>
      </w:r>
      <w:r w:rsidRPr="00B34DDC">
        <w:rPr>
          <w:lang w:val="en-GB"/>
        </w:rPr>
        <w:t xml:space="preserve">Available at: </w:t>
      </w:r>
      <w:hyperlink r:id="rId29">
        <w:r w:rsidRPr="00B34DDC">
          <w:rPr>
            <w:color w:val="1155CC"/>
            <w:u w:val="single"/>
            <w:lang w:val="en-GB"/>
          </w:rPr>
          <w:t>https://www.tatasteel.com/newsroom/press-releases/india/2026/tata-steel-inaugurates-its-first-scrap-based-electric-arc-furnace-in-india/</w:t>
        </w:r>
      </w:hyperlink>
      <w:r w:rsidRPr="00B34DDC">
        <w:rPr>
          <w:lang w:val="en-GB"/>
        </w:rPr>
        <w:t xml:space="preserve"> (Accessed: 4 July 2026).</w:t>
      </w:r>
    </w:p>
    <w:p w14:paraId="7637337A" w14:textId="77777777" w:rsidR="004D1BAD" w:rsidRPr="00B34DDC" w:rsidRDefault="004D1BAD" w:rsidP="00784198">
      <w:pPr>
        <w:rPr>
          <w:noProof/>
          <w:color w:val="000000"/>
          <w:lang w:val="en-GB"/>
        </w:rPr>
      </w:pPr>
      <w:r w:rsidRPr="00B34DDC">
        <w:rPr>
          <w:noProof/>
          <w:color w:val="000000"/>
          <w:lang w:val="en-GB"/>
        </w:rPr>
        <w:t xml:space="preserve">Zugay, B. and Zakaria, R. (2023) </w:t>
      </w:r>
      <w:r w:rsidRPr="00B34DDC">
        <w:rPr>
          <w:i/>
          <w:iCs/>
          <w:noProof/>
          <w:color w:val="000000"/>
          <w:lang w:val="en-GB"/>
        </w:rPr>
        <w:t>Ansoff matrix</w:t>
      </w:r>
      <w:r w:rsidRPr="00B34DDC">
        <w:rPr>
          <w:noProof/>
          <w:color w:val="000000"/>
          <w:lang w:val="en-GB"/>
        </w:rPr>
        <w:t>. SAGE Publications, Inc. Available at:</w:t>
      </w:r>
      <w:hyperlink r:id="rId30" w:history="1">
        <w:r w:rsidRPr="00B34DDC">
          <w:rPr>
            <w:rStyle w:val="Hyperlink"/>
            <w:noProof/>
            <w:lang w:val="en-GB"/>
          </w:rPr>
          <w:t xml:space="preserve"> https://sk.sagepub.com/foundations/ansoff-matrix?tab=Theory+In+Practice</w:t>
        </w:r>
      </w:hyperlink>
    </w:p>
    <w:p w14:paraId="3EBEB7C5" w14:textId="77777777" w:rsidR="00784198" w:rsidRPr="00B34DDC" w:rsidRDefault="00784198" w:rsidP="00784198">
      <w:pPr>
        <w:spacing w:line="259" w:lineRule="auto"/>
        <w:jc w:val="left"/>
        <w:rPr>
          <w:b/>
          <w:bCs/>
          <w:noProof/>
          <w:color w:val="000000"/>
          <w:lang w:val="en-GB"/>
        </w:rPr>
      </w:pPr>
      <w:r w:rsidRPr="00B34DDC">
        <w:rPr>
          <w:b/>
          <w:bCs/>
          <w:noProof/>
          <w:color w:val="000000"/>
          <w:lang w:val="en-GB"/>
        </w:rPr>
        <w:br w:type="page"/>
      </w:r>
    </w:p>
    <w:p w14:paraId="359CE280" w14:textId="77777777" w:rsidR="00784198" w:rsidRPr="00B34DDC" w:rsidRDefault="00784198" w:rsidP="00770895">
      <w:pPr>
        <w:pStyle w:val="Heading1"/>
        <w:rPr>
          <w:noProof/>
          <w:lang w:val="en-GB"/>
        </w:rPr>
      </w:pPr>
      <w:r w:rsidRPr="00B34DDC">
        <w:rPr>
          <w:noProof/>
          <w:lang w:val="en-GB"/>
        </w:rPr>
        <w:t>Appendix</w:t>
      </w:r>
      <w:r w:rsidR="00770895" w:rsidRPr="00B34DDC">
        <w:rPr>
          <w:noProof/>
          <w:lang w:val="en-GB"/>
        </w:rPr>
        <w:t xml:space="preserve"> 1</w:t>
      </w:r>
    </w:p>
    <w:p w14:paraId="5EAA0B7C" w14:textId="77777777" w:rsidR="00784198" w:rsidRPr="00B34DDC" w:rsidRDefault="00784198" w:rsidP="00770895">
      <w:pPr>
        <w:pStyle w:val="Heading2"/>
        <w:rPr>
          <w:b w:val="0"/>
          <w:noProof/>
          <w:lang w:val="en-GB"/>
        </w:rPr>
      </w:pPr>
      <w:r w:rsidRPr="00B34DDC">
        <w:rPr>
          <w:noProof/>
          <w:lang w:val="en-GB"/>
        </w:rPr>
        <w:t>AI Output</w:t>
      </w:r>
    </w:p>
    <w:p w14:paraId="3C877CB9" w14:textId="77777777" w:rsidR="00784198" w:rsidRPr="00B34DDC" w:rsidRDefault="00784198" w:rsidP="00784198">
      <w:pPr>
        <w:rPr>
          <w:lang w:val="en-GB"/>
        </w:rPr>
      </w:pPr>
      <w:r w:rsidRPr="00B34DDC">
        <w:rPr>
          <w:b/>
          <w:bCs/>
          <w:noProof/>
          <w:color w:val="000000"/>
          <w:lang w:val="en-GB" w:eastAsia="en-US"/>
        </w:rPr>
        <w:drawing>
          <wp:inline distT="0" distB="0" distL="0" distR="0" wp14:anchorId="12FF8D08" wp14:editId="70D22CDE">
            <wp:extent cx="4654550" cy="4445000"/>
            <wp:effectExtent l="0" t="0" r="0" b="0"/>
            <wp:docPr id="50255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54550" cy="4445000"/>
                    </a:xfrm>
                    <a:prstGeom prst="rect">
                      <a:avLst/>
                    </a:prstGeom>
                    <a:noFill/>
                    <a:ln>
                      <a:noFill/>
                    </a:ln>
                  </pic:spPr>
                </pic:pic>
              </a:graphicData>
            </a:graphic>
          </wp:inline>
        </w:drawing>
      </w:r>
    </w:p>
    <w:p w14:paraId="34C89588" w14:textId="77777777" w:rsidR="00784198" w:rsidRPr="00B34DDC" w:rsidRDefault="00784198" w:rsidP="00784198">
      <w:pPr>
        <w:rPr>
          <w:lang w:val="en-GB"/>
        </w:rPr>
      </w:pPr>
      <w:r w:rsidRPr="00B34DDC">
        <w:rPr>
          <w:noProof/>
          <w:color w:val="000000"/>
          <w:lang w:val="en-GB" w:eastAsia="en-US"/>
        </w:rPr>
        <w:drawing>
          <wp:inline distT="0" distB="0" distL="0" distR="0" wp14:anchorId="4A102CFF" wp14:editId="699AFF49">
            <wp:extent cx="5213350" cy="5480050"/>
            <wp:effectExtent l="0" t="0" r="6350" b="6350"/>
            <wp:docPr id="137214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13350" cy="5480050"/>
                    </a:xfrm>
                    <a:prstGeom prst="rect">
                      <a:avLst/>
                    </a:prstGeom>
                    <a:noFill/>
                    <a:ln>
                      <a:noFill/>
                    </a:ln>
                  </pic:spPr>
                </pic:pic>
              </a:graphicData>
            </a:graphic>
          </wp:inline>
        </w:drawing>
      </w:r>
    </w:p>
    <w:p w14:paraId="0E1D5175" w14:textId="77777777" w:rsidR="00784198" w:rsidRPr="00B34DDC" w:rsidRDefault="00784198" w:rsidP="00784198">
      <w:pPr>
        <w:rPr>
          <w:lang w:val="en-GB"/>
        </w:rPr>
      </w:pPr>
      <w:r w:rsidRPr="00B34DDC">
        <w:rPr>
          <w:noProof/>
          <w:color w:val="000000"/>
          <w:lang w:val="en-GB" w:eastAsia="en-US"/>
        </w:rPr>
        <w:drawing>
          <wp:inline distT="0" distB="0" distL="0" distR="0" wp14:anchorId="7A408CC0" wp14:editId="19649DE9">
            <wp:extent cx="5105400" cy="5791200"/>
            <wp:effectExtent l="0" t="0" r="0" b="0"/>
            <wp:docPr id="370675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05400" cy="5791200"/>
                    </a:xfrm>
                    <a:prstGeom prst="rect">
                      <a:avLst/>
                    </a:prstGeom>
                    <a:noFill/>
                    <a:ln>
                      <a:noFill/>
                    </a:ln>
                  </pic:spPr>
                </pic:pic>
              </a:graphicData>
            </a:graphic>
          </wp:inline>
        </w:drawing>
      </w:r>
    </w:p>
    <w:p w14:paraId="15CAC12F" w14:textId="77777777" w:rsidR="00784198" w:rsidRPr="00B34DDC" w:rsidRDefault="00784198" w:rsidP="00784198">
      <w:pPr>
        <w:rPr>
          <w:lang w:val="en-GB"/>
        </w:rPr>
      </w:pPr>
      <w:r w:rsidRPr="00B34DDC">
        <w:rPr>
          <w:noProof/>
          <w:color w:val="000000"/>
          <w:lang w:val="en-GB" w:eastAsia="en-US"/>
        </w:rPr>
        <w:drawing>
          <wp:inline distT="0" distB="0" distL="0" distR="0" wp14:anchorId="440AA65F" wp14:editId="679D633A">
            <wp:extent cx="5276850" cy="7315200"/>
            <wp:effectExtent l="0" t="0" r="0" b="0"/>
            <wp:docPr id="736272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76850" cy="7315200"/>
                    </a:xfrm>
                    <a:prstGeom prst="rect">
                      <a:avLst/>
                    </a:prstGeom>
                    <a:noFill/>
                    <a:ln>
                      <a:noFill/>
                    </a:ln>
                  </pic:spPr>
                </pic:pic>
              </a:graphicData>
            </a:graphic>
          </wp:inline>
        </w:drawing>
      </w:r>
    </w:p>
    <w:p w14:paraId="1E61ED16" w14:textId="77777777" w:rsidR="00784198" w:rsidRPr="00B34DDC" w:rsidRDefault="00784198" w:rsidP="00784198">
      <w:pPr>
        <w:rPr>
          <w:lang w:val="en-GB"/>
        </w:rPr>
      </w:pPr>
      <w:r w:rsidRPr="00B34DDC">
        <w:rPr>
          <w:noProof/>
          <w:color w:val="000000"/>
          <w:lang w:val="en-GB" w:eastAsia="en-US"/>
        </w:rPr>
        <w:drawing>
          <wp:inline distT="0" distB="0" distL="0" distR="0" wp14:anchorId="1BF4844F" wp14:editId="0E84952E">
            <wp:extent cx="4951730" cy="4241165"/>
            <wp:effectExtent l="0" t="0" r="1270" b="6985"/>
            <wp:docPr id="230781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51730" cy="4241165"/>
                    </a:xfrm>
                    <a:prstGeom prst="rect">
                      <a:avLst/>
                    </a:prstGeom>
                    <a:noFill/>
                    <a:ln>
                      <a:noFill/>
                    </a:ln>
                  </pic:spPr>
                </pic:pic>
              </a:graphicData>
            </a:graphic>
          </wp:inline>
        </w:drawing>
      </w:r>
    </w:p>
    <w:p w14:paraId="2DD123A2" w14:textId="77777777" w:rsidR="00784198" w:rsidRPr="00B34DDC" w:rsidRDefault="00784198" w:rsidP="00784198">
      <w:pPr>
        <w:rPr>
          <w:lang w:val="en-GB"/>
        </w:rPr>
      </w:pPr>
      <w:r w:rsidRPr="00B34DDC">
        <w:rPr>
          <w:b/>
          <w:bCs/>
          <w:noProof/>
          <w:color w:val="000000"/>
          <w:lang w:val="en-GB" w:eastAsia="en-US"/>
        </w:rPr>
        <w:drawing>
          <wp:inline distT="0" distB="0" distL="0" distR="0" wp14:anchorId="0F5BCE52" wp14:editId="5006D3A4">
            <wp:extent cx="5731510" cy="3924935"/>
            <wp:effectExtent l="0" t="0" r="2540" b="0"/>
            <wp:docPr id="16126166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924935"/>
                    </a:xfrm>
                    <a:prstGeom prst="rect">
                      <a:avLst/>
                    </a:prstGeom>
                    <a:noFill/>
                    <a:ln>
                      <a:noFill/>
                    </a:ln>
                  </pic:spPr>
                </pic:pic>
              </a:graphicData>
            </a:graphic>
          </wp:inline>
        </w:drawing>
      </w:r>
    </w:p>
    <w:p w14:paraId="4B50D1FF" w14:textId="77777777" w:rsidR="00784198" w:rsidRPr="00B34DDC" w:rsidRDefault="00784198" w:rsidP="00784198">
      <w:pPr>
        <w:rPr>
          <w:lang w:val="en-GB"/>
        </w:rPr>
      </w:pPr>
    </w:p>
    <w:p w14:paraId="7694FCCC" w14:textId="77777777" w:rsidR="007E10E6" w:rsidRPr="00B34DDC" w:rsidRDefault="00212AA8">
      <w:pPr>
        <w:rPr>
          <w:lang w:val="en-GB"/>
        </w:rPr>
      </w:pPr>
      <w:r w:rsidRPr="00B34DDC">
        <w:rPr>
          <w:lang w:val="en-GB"/>
        </w:rPr>
        <w:br w:type="page"/>
      </w:r>
    </w:p>
    <w:sectPr w:rsidR="007E10E6" w:rsidRPr="00B34DDC" w:rsidSect="00077A54">
      <w:headerReference w:type="default" r:id="rId37"/>
      <w:footerReference w:type="default" r:id="rId3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AFD1B" w14:textId="77777777" w:rsidR="00D07718" w:rsidRDefault="00D07718">
      <w:pPr>
        <w:spacing w:before="0" w:after="0" w:line="240" w:lineRule="auto"/>
      </w:pPr>
      <w:r>
        <w:separator/>
      </w:r>
    </w:p>
  </w:endnote>
  <w:endnote w:type="continuationSeparator" w:id="0">
    <w:p w14:paraId="2D273C3A" w14:textId="77777777" w:rsidR="00D07718" w:rsidRDefault="00D077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648F2E3E-7269-4D53-9F84-1920028BEA2D}"/>
  </w:font>
  <w:font w:name="Tahoma">
    <w:panose1 w:val="020B0604030504040204"/>
    <w:charset w:val="00"/>
    <w:family w:val="swiss"/>
    <w:pitch w:val="variable"/>
    <w:sig w:usb0="E1002EFF" w:usb1="C000605B" w:usb2="00000029" w:usb3="00000000" w:csb0="000101FF" w:csb1="00000000"/>
    <w:embedRegular r:id="rId2" w:fontKey="{7BD8FBBF-4098-4473-B6A9-47ADF94BBC50}"/>
  </w:font>
  <w:font w:name="Cambria">
    <w:panose1 w:val="02040503050406030204"/>
    <w:charset w:val="00"/>
    <w:family w:val="roman"/>
    <w:pitch w:val="variable"/>
    <w:sig w:usb0="E00006FF" w:usb1="420024FF" w:usb2="02000000" w:usb3="00000000" w:csb0="0000019F" w:csb1="00000000"/>
    <w:embedRegular r:id="rId3" w:fontKey="{33166DFF-7AD4-4BC9-856A-360581E31B83}"/>
  </w:font>
  <w:font w:name="Cambria Math">
    <w:panose1 w:val="02040503050406030204"/>
    <w:charset w:val="00"/>
    <w:family w:val="roman"/>
    <w:pitch w:val="variable"/>
    <w:sig w:usb0="E00006FF" w:usb1="420024FF" w:usb2="02000000" w:usb3="00000000" w:csb0="0000019F" w:csb1="00000000"/>
    <w:embedRegular r:id="rId4" w:fontKey="{277B93A3-3A5A-4C33-80B7-F7DEBACA82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495270"/>
      <w:docPartObj>
        <w:docPartGallery w:val="Page Numbers (Bottom of Page)"/>
        <w:docPartUnique/>
      </w:docPartObj>
    </w:sdtPr>
    <w:sdtEndPr>
      <w:rPr>
        <w:noProof/>
      </w:rPr>
    </w:sdtEndPr>
    <w:sdtContent>
      <w:p w14:paraId="290F828E" w14:textId="77777777" w:rsidR="00077A54" w:rsidRDefault="00587621">
        <w:pPr>
          <w:pStyle w:val="Footer"/>
          <w:jc w:val="right"/>
        </w:pPr>
        <w:r>
          <w:fldChar w:fldCharType="begin"/>
        </w:r>
        <w:r w:rsidR="00077A54">
          <w:instrText xml:space="preserve"> PAGE   \* MERGEFORMAT </w:instrText>
        </w:r>
        <w:r>
          <w:fldChar w:fldCharType="separate"/>
        </w:r>
        <w:r w:rsidR="00DB0B42">
          <w:rPr>
            <w:noProof/>
          </w:rPr>
          <w:t>10</w:t>
        </w:r>
        <w:r>
          <w:rPr>
            <w:noProof/>
          </w:rPr>
          <w:fldChar w:fldCharType="end"/>
        </w:r>
      </w:p>
    </w:sdtContent>
  </w:sdt>
  <w:p w14:paraId="53103835" w14:textId="77777777" w:rsidR="00077A54" w:rsidRDefault="00077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F5EAE" w14:textId="77777777" w:rsidR="00D07718" w:rsidRDefault="00D07718">
      <w:pPr>
        <w:spacing w:before="0" w:after="0" w:line="240" w:lineRule="auto"/>
      </w:pPr>
      <w:r>
        <w:separator/>
      </w:r>
    </w:p>
  </w:footnote>
  <w:footnote w:type="continuationSeparator" w:id="0">
    <w:p w14:paraId="545AD7E2" w14:textId="77777777" w:rsidR="00D07718" w:rsidRDefault="00D0771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776C1" w14:textId="77777777" w:rsidR="007E10E6" w:rsidRDefault="00212AA8">
    <w:pPr>
      <w:jc w:val="right"/>
    </w:pPr>
    <w:r>
      <w:rPr>
        <w:noProof/>
        <w:lang w:val="en-US" w:eastAsia="en-US"/>
      </w:rPr>
      <w:drawing>
        <wp:inline distT="114300" distB="114300" distL="114300" distR="114300" wp14:anchorId="25A7ED6E" wp14:editId="364C6643">
          <wp:extent cx="1447800" cy="624840"/>
          <wp:effectExtent l="0" t="0" r="0" b="38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48521" cy="625151"/>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0E6"/>
    <w:rsid w:val="00006007"/>
    <w:rsid w:val="00036213"/>
    <w:rsid w:val="00064118"/>
    <w:rsid w:val="00077A54"/>
    <w:rsid w:val="000D0E03"/>
    <w:rsid w:val="000D2924"/>
    <w:rsid w:val="00145C1C"/>
    <w:rsid w:val="001C018D"/>
    <w:rsid w:val="001E076E"/>
    <w:rsid w:val="00212AA8"/>
    <w:rsid w:val="00465401"/>
    <w:rsid w:val="004D1BAD"/>
    <w:rsid w:val="0056758D"/>
    <w:rsid w:val="00587621"/>
    <w:rsid w:val="00614EA5"/>
    <w:rsid w:val="006D56C0"/>
    <w:rsid w:val="00770895"/>
    <w:rsid w:val="00784198"/>
    <w:rsid w:val="007E10E6"/>
    <w:rsid w:val="00961A90"/>
    <w:rsid w:val="00992345"/>
    <w:rsid w:val="00A7194E"/>
    <w:rsid w:val="00A976C4"/>
    <w:rsid w:val="00AA7D37"/>
    <w:rsid w:val="00B34DDC"/>
    <w:rsid w:val="00C004C2"/>
    <w:rsid w:val="00D07718"/>
    <w:rsid w:val="00D66BB7"/>
    <w:rsid w:val="00DB0B42"/>
    <w:rsid w:val="00DB4876"/>
    <w:rsid w:val="00EF21B2"/>
    <w:rsid w:val="00F45689"/>
    <w:rsid w:val="00F600DC"/>
    <w:rsid w:val="00FD24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38552"/>
  <w15:docId w15:val="{55CD5312-2938-4DFD-976D-A344B4B52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621"/>
  </w:style>
  <w:style w:type="paragraph" w:styleId="Heading1">
    <w:name w:val="heading 1"/>
    <w:basedOn w:val="Normal"/>
    <w:next w:val="Normal"/>
    <w:uiPriority w:val="9"/>
    <w:qFormat/>
    <w:rsid w:val="00587621"/>
    <w:pPr>
      <w:keepNext/>
      <w:keepLines/>
      <w:outlineLvl w:val="0"/>
    </w:pPr>
    <w:rPr>
      <w:b/>
      <w:bCs/>
    </w:rPr>
  </w:style>
  <w:style w:type="paragraph" w:styleId="Heading2">
    <w:name w:val="heading 2"/>
    <w:basedOn w:val="Normal"/>
    <w:next w:val="Normal"/>
    <w:uiPriority w:val="9"/>
    <w:unhideWhenUsed/>
    <w:qFormat/>
    <w:rsid w:val="00770895"/>
    <w:pPr>
      <w:keepNext/>
      <w:keepLines/>
      <w:spacing w:before="360" w:after="120"/>
      <w:outlineLvl w:val="1"/>
    </w:pPr>
    <w:rPr>
      <w:b/>
      <w:szCs w:val="32"/>
    </w:rPr>
  </w:style>
  <w:style w:type="paragraph" w:styleId="Heading3">
    <w:name w:val="heading 3"/>
    <w:basedOn w:val="Normal"/>
    <w:next w:val="Normal"/>
    <w:uiPriority w:val="9"/>
    <w:semiHidden/>
    <w:unhideWhenUsed/>
    <w:qFormat/>
    <w:rsid w:val="0058762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87621"/>
    <w:pPr>
      <w:keepNext/>
      <w:keepLines/>
      <w:spacing w:before="280" w:after="80"/>
      <w:outlineLvl w:val="3"/>
    </w:pPr>
    <w:rPr>
      <w:color w:val="666666"/>
    </w:rPr>
  </w:style>
  <w:style w:type="paragraph" w:styleId="Heading5">
    <w:name w:val="heading 5"/>
    <w:basedOn w:val="Normal"/>
    <w:next w:val="Normal"/>
    <w:uiPriority w:val="9"/>
    <w:semiHidden/>
    <w:unhideWhenUsed/>
    <w:qFormat/>
    <w:rsid w:val="00587621"/>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87621"/>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87621"/>
    <w:tblPr>
      <w:tblCellMar>
        <w:top w:w="100" w:type="dxa"/>
        <w:left w:w="100" w:type="dxa"/>
        <w:bottom w:w="100" w:type="dxa"/>
        <w:right w:w="100" w:type="dxa"/>
      </w:tblCellMar>
    </w:tblPr>
  </w:style>
  <w:style w:type="paragraph" w:styleId="Title">
    <w:name w:val="Title"/>
    <w:basedOn w:val="Normal"/>
    <w:next w:val="Normal"/>
    <w:uiPriority w:val="10"/>
    <w:qFormat/>
    <w:rsid w:val="00587621"/>
    <w:pPr>
      <w:keepNext/>
      <w:keepLines/>
      <w:spacing w:before="0" w:after="60"/>
    </w:pPr>
    <w:rPr>
      <w:sz w:val="52"/>
      <w:szCs w:val="52"/>
    </w:rPr>
  </w:style>
  <w:style w:type="paragraph" w:styleId="Subtitle">
    <w:name w:val="Subtitle"/>
    <w:basedOn w:val="Normal"/>
    <w:next w:val="Normal"/>
    <w:uiPriority w:val="11"/>
    <w:qFormat/>
    <w:rsid w:val="00587621"/>
    <w:pPr>
      <w:keepNext/>
      <w:keepLines/>
      <w:spacing w:before="0" w:after="320"/>
    </w:pPr>
    <w:rPr>
      <w:color w:val="666666"/>
      <w:sz w:val="30"/>
      <w:szCs w:val="30"/>
    </w:rPr>
  </w:style>
  <w:style w:type="paragraph" w:styleId="CommentText">
    <w:name w:val="annotation text"/>
    <w:basedOn w:val="Normal"/>
    <w:link w:val="CommentTextChar"/>
    <w:uiPriority w:val="99"/>
    <w:semiHidden/>
    <w:unhideWhenUsed/>
    <w:rsid w:val="00587621"/>
    <w:pPr>
      <w:spacing w:line="240" w:lineRule="auto"/>
    </w:pPr>
    <w:rPr>
      <w:sz w:val="20"/>
      <w:szCs w:val="20"/>
    </w:rPr>
  </w:style>
  <w:style w:type="character" w:customStyle="1" w:styleId="CommentTextChar">
    <w:name w:val="Comment Text Char"/>
    <w:basedOn w:val="DefaultParagraphFont"/>
    <w:link w:val="CommentText"/>
    <w:uiPriority w:val="99"/>
    <w:semiHidden/>
    <w:rsid w:val="00587621"/>
    <w:rPr>
      <w:sz w:val="20"/>
      <w:szCs w:val="20"/>
    </w:rPr>
  </w:style>
  <w:style w:type="character" w:styleId="CommentReference">
    <w:name w:val="annotation reference"/>
    <w:basedOn w:val="DefaultParagraphFont"/>
    <w:uiPriority w:val="99"/>
    <w:semiHidden/>
    <w:unhideWhenUsed/>
    <w:rsid w:val="00587621"/>
    <w:rPr>
      <w:sz w:val="16"/>
      <w:szCs w:val="16"/>
    </w:rPr>
  </w:style>
  <w:style w:type="paragraph" w:styleId="Header">
    <w:name w:val="header"/>
    <w:basedOn w:val="Normal"/>
    <w:link w:val="HeaderChar"/>
    <w:uiPriority w:val="99"/>
    <w:unhideWhenUsed/>
    <w:rsid w:val="00077A5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7A54"/>
  </w:style>
  <w:style w:type="paragraph" w:styleId="Footer">
    <w:name w:val="footer"/>
    <w:basedOn w:val="Normal"/>
    <w:link w:val="FooterChar"/>
    <w:uiPriority w:val="99"/>
    <w:unhideWhenUsed/>
    <w:rsid w:val="00077A5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7A54"/>
  </w:style>
  <w:style w:type="paragraph" w:styleId="TOCHeading">
    <w:name w:val="TOC Heading"/>
    <w:basedOn w:val="Heading1"/>
    <w:next w:val="Normal"/>
    <w:uiPriority w:val="39"/>
    <w:unhideWhenUsed/>
    <w:qFormat/>
    <w:rsid w:val="00077A5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77A54"/>
    <w:pPr>
      <w:spacing w:after="100"/>
    </w:pPr>
  </w:style>
  <w:style w:type="character" w:styleId="Hyperlink">
    <w:name w:val="Hyperlink"/>
    <w:basedOn w:val="DefaultParagraphFont"/>
    <w:uiPriority w:val="99"/>
    <w:unhideWhenUsed/>
    <w:rsid w:val="00077A54"/>
    <w:rPr>
      <w:color w:val="0000FF" w:themeColor="hyperlink"/>
      <w:u w:val="single"/>
    </w:rPr>
  </w:style>
  <w:style w:type="paragraph" w:styleId="BalloonText">
    <w:name w:val="Balloon Text"/>
    <w:basedOn w:val="Normal"/>
    <w:link w:val="BalloonTextChar"/>
    <w:uiPriority w:val="99"/>
    <w:semiHidden/>
    <w:unhideWhenUsed/>
    <w:rsid w:val="0046540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4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90/en16134985?utm_source=copilot.com" TargetMode="External" /><Relationship Id="rId13" Type="http://schemas.openxmlformats.org/officeDocument/2006/relationships/hyperlink" Target="https://ssrn.com/abstract=4574945" TargetMode="External" /><Relationship Id="rId18" Type="http://schemas.openxmlformats.org/officeDocument/2006/relationships/hyperlink" Target="https://onlinelibrary.wiley.com/doi/abs/10.1002/bse.3221?utm_source=copilot.com" TargetMode="External" /><Relationship Id="rId26" Type="http://schemas.openxmlformats.org/officeDocument/2006/relationships/hyperlink" Target="https://doi.org/10.61100/adman.v1i2.24?utm_source=copilot.com" TargetMode="External" /><Relationship Id="rId39"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doi.org/10.1073/pnas.2404328121?utm_source=copilot.com" TargetMode="External" /><Relationship Id="rId34" Type="http://schemas.openxmlformats.org/officeDocument/2006/relationships/image" Target="media/image5.png" /><Relationship Id="rId7" Type="http://schemas.openxmlformats.org/officeDocument/2006/relationships/image" Target="media/image1.png" /><Relationship Id="rId12" Type="http://schemas.openxmlformats.org/officeDocument/2006/relationships/hyperlink" Target="https://journal.unpas.ac.id/index.php/jees/article/download/5414/2822?utm_source=copilot.com" TargetMode="External" /><Relationship Id="rId17" Type="http://schemas.openxmlformats.org/officeDocument/2006/relationships/hyperlink" Target="https://www.mbaknol.com/strategic-management/strategic-marketing-tools-ansoff-matrix-and-bcg-matrix/?utm_source=copilot.com" TargetMode="External" /><Relationship Id="rId25" Type="http://schemas.openxmlformats.org/officeDocument/2006/relationships/hyperlink" Target="https://doi.org/10.3390/en16176388" TargetMode="External" /><Relationship Id="rId33" Type="http://schemas.openxmlformats.org/officeDocument/2006/relationships/image" Target="media/image4.png" /><Relationship Id="rId38"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doi.org/10.1080/13600834.2022.2078395?utm_source=copilot.com" TargetMode="External" /><Relationship Id="rId20" Type="http://schemas.openxmlformats.org/officeDocument/2006/relationships/hyperlink" Target="https://nghm.mnre.gov.in/overviews.php" TargetMode="External" /><Relationship Id="rId29" Type="http://schemas.openxmlformats.org/officeDocument/2006/relationships/hyperlink" Target="https://www.tatasteel.com/newsroom/press-releases/india/2026/tata-steel-inaugurates-its-first-scrap-based-electric-arc-furnace-in-india/"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080/xxxxxxxxxxxxxxx?utm_source=copilot.com" TargetMode="External" /><Relationship Id="rId24" Type="http://schemas.openxmlformats.org/officeDocument/2006/relationships/hyperlink" Target="http://doi.org/10.46754/jssm.2022.10.002" TargetMode="External" /><Relationship Id="rId32" Type="http://schemas.openxmlformats.org/officeDocument/2006/relationships/image" Target="media/image3.png" /><Relationship Id="rId37" Type="http://schemas.openxmlformats.org/officeDocument/2006/relationships/header" Target="header1.xml" /><Relationship Id="rId40"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doi.org/10.3390/su142114044" TargetMode="External" /><Relationship Id="rId23" Type="http://schemas.openxmlformats.org/officeDocument/2006/relationships/hyperlink" Target="https://doi.org/10.1039/d3ee01077e?utm_source=copilot.com" TargetMode="External" /><Relationship Id="rId28" Type="http://schemas.openxmlformats.org/officeDocument/2006/relationships/hyperlink" Target="https://www.tatasteel.com/newsroom/press-releases/india/2026/tata-steel-and-kraftblock-advance-successful-thermal-energy-storage-operations-at-jamshedpur/" TargetMode="External" /><Relationship Id="rId36" Type="http://schemas.openxmlformats.org/officeDocument/2006/relationships/image" Target="media/image7.png" /><Relationship Id="rId10" Type="http://schemas.openxmlformats.org/officeDocument/2006/relationships/hyperlink" Target="https://taxation-customs.ec.europa.eu/carbon-border-adjustment-mechanism_en?utm_source=copilot.com" TargetMode="External" /><Relationship Id="rId19" Type="http://schemas.openxmlformats.org/officeDocument/2006/relationships/hyperlink" Target="https://steel.gov.in/sites/default/files/2025-11/GSI%20Report%20FINAL%20NEW_18092025_2.pdf" TargetMode="External" /><Relationship Id="rId31"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hyperlink" Target="https://doi.org/10.3390/su14042322?utm_source=copilot.com" TargetMode="External" /><Relationship Id="rId14" Type="http://schemas.openxmlformats.org/officeDocument/2006/relationships/hyperlink" Target="https://stax.strath.ac.uk/downloads/3f462603n?utm_source=copilot.com" TargetMode="External" /><Relationship Id="rId22" Type="http://schemas.openxmlformats.org/officeDocument/2006/relationships/hyperlink" Target="https://www.researchgate.net/profile/Mario-Franco-4/publication/377707512_AIntelligencepdf/data/65b3a4f11e1ec12eff4f74d0/AIntelligence.pdf?utm_source=copilot.com" TargetMode="External" /><Relationship Id="rId27" Type="http://schemas.openxmlformats.org/officeDocument/2006/relationships/hyperlink" Target="https://doi.org/10.1007/s40831-023-00772-4" TargetMode="External" /><Relationship Id="rId30" Type="http://schemas.openxmlformats.org/officeDocument/2006/relationships/hyperlink" Target="https://sk.sagepub.com/foundations/ansoff-matrix?tab=Theory+In+Practice&amp;utm_source=copilot.com" TargetMode="External" /><Relationship Id="rId35" Type="http://schemas.openxmlformats.org/officeDocument/2006/relationships/image" Target="media/image6.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_rels/header1.xml.rels><?xml version="1.0" encoding="UTF-8" standalone="yes"?>
<Relationships xmlns="http://schemas.openxmlformats.org/package/2006/relationships"><Relationship Id="rId1"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13A6F-707D-4587-9ED1-9CF98E0FE5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3981</Words>
  <Characters>22693</Characters>
  <Application>Microsoft Office Word</Application>
  <DocSecurity>0</DocSecurity>
  <Lines>189</Lines>
  <Paragraphs>53</Paragraphs>
  <ScaleCrop>false</ScaleCrop>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Dishaben Nirav Goyani (2536657)</cp:lastModifiedBy>
  <cp:revision>2</cp:revision>
  <dcterms:created xsi:type="dcterms:W3CDTF">2026-07-23T19:28:00Z</dcterms:created>
  <dcterms:modified xsi:type="dcterms:W3CDTF">2026-07-23T19:28:00Z</dcterms:modified>
</cp:coreProperties>
</file>