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AE9E95" w14:textId="3D3BCAEF" w:rsidR="00715890" w:rsidRDefault="00715890">
      <w:pPr>
        <w:spacing w:after="160" w:line="278" w:lineRule="auto"/>
        <w:jc w:val="left"/>
      </w:pPr>
      <w:r w:rsidRPr="00715890">
        <w:rPr>
          <w:noProof/>
        </w:rPr>
        <w:drawing>
          <wp:anchor distT="0" distB="0" distL="114300" distR="114300" simplePos="0" relativeHeight="251658240" behindDoc="0" locked="0" layoutInCell="1" allowOverlap="1" wp14:anchorId="793D5D5F" wp14:editId="55F98CF1">
            <wp:simplePos x="0" y="0"/>
            <wp:positionH relativeFrom="column">
              <wp:posOffset>-692150</wp:posOffset>
            </wp:positionH>
            <wp:positionV relativeFrom="paragraph">
              <wp:posOffset>0</wp:posOffset>
            </wp:positionV>
            <wp:extent cx="1002030" cy="406400"/>
            <wp:effectExtent l="0" t="0" r="7620" b="0"/>
            <wp:wrapSquare wrapText="bothSides"/>
            <wp:docPr id="663792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792328"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002030" cy="406400"/>
                    </a:xfrm>
                    <a:prstGeom prst="rect">
                      <a:avLst/>
                    </a:prstGeom>
                  </pic:spPr>
                </pic:pic>
              </a:graphicData>
            </a:graphic>
            <wp14:sizeRelH relativeFrom="margin">
              <wp14:pctWidth>0</wp14:pctWidth>
            </wp14:sizeRelH>
            <wp14:sizeRelV relativeFrom="margin">
              <wp14:pctHeight>0</wp14:pctHeight>
            </wp14:sizeRelV>
          </wp:anchor>
        </w:drawing>
      </w:r>
    </w:p>
    <w:p w14:paraId="7D725FB7" w14:textId="0B3992DE" w:rsidR="00715890" w:rsidRDefault="00715890">
      <w:pPr>
        <w:spacing w:after="160" w:line="278" w:lineRule="auto"/>
        <w:jc w:val="left"/>
      </w:pPr>
    </w:p>
    <w:p w14:paraId="6F991A44" w14:textId="77777777" w:rsidR="00C467FC" w:rsidRDefault="00C467FC" w:rsidP="00C467FC">
      <w:pPr>
        <w:pStyle w:val="Titlu"/>
        <w:jc w:val="center"/>
      </w:pPr>
    </w:p>
    <w:p w14:paraId="6F1B2782" w14:textId="77777777" w:rsidR="00C467FC" w:rsidRDefault="00C467FC" w:rsidP="00C467FC">
      <w:pPr>
        <w:pStyle w:val="Titlu"/>
        <w:jc w:val="center"/>
      </w:pPr>
    </w:p>
    <w:p w14:paraId="281AC95D" w14:textId="77777777" w:rsidR="00C467FC" w:rsidRDefault="00C467FC" w:rsidP="00C467FC">
      <w:pPr>
        <w:pStyle w:val="Titlu"/>
        <w:jc w:val="center"/>
      </w:pPr>
    </w:p>
    <w:p w14:paraId="1FF79C01" w14:textId="7FC79E8F" w:rsidR="00715890" w:rsidRDefault="00907A8A" w:rsidP="00C467FC">
      <w:pPr>
        <w:pStyle w:val="Titlu"/>
        <w:jc w:val="center"/>
      </w:pPr>
      <w:r w:rsidRPr="00907A8A">
        <w:t>LCBB5010</w:t>
      </w:r>
    </w:p>
    <w:p w14:paraId="3BCE9CB8" w14:textId="77777777" w:rsidR="00C467FC" w:rsidRDefault="00C467FC" w:rsidP="00C467FC">
      <w:pPr>
        <w:pStyle w:val="Titlu"/>
        <w:jc w:val="center"/>
      </w:pPr>
    </w:p>
    <w:p w14:paraId="5B4882FC" w14:textId="77777777" w:rsidR="00C467FC" w:rsidRDefault="00C467FC" w:rsidP="00C467FC">
      <w:pPr>
        <w:pStyle w:val="Titlu"/>
        <w:jc w:val="center"/>
      </w:pPr>
    </w:p>
    <w:p w14:paraId="26063A1D" w14:textId="005F18D6" w:rsidR="00C467FC" w:rsidRDefault="00907A8A" w:rsidP="00C467FC">
      <w:pPr>
        <w:pStyle w:val="Titlu"/>
        <w:jc w:val="center"/>
      </w:pPr>
      <w:r w:rsidRPr="00907A8A">
        <w:t xml:space="preserve">Management Accounting for Managers </w:t>
      </w:r>
      <w:r>
        <w:br/>
      </w:r>
    </w:p>
    <w:p w14:paraId="32CA5E9B" w14:textId="77777777" w:rsidR="00C467FC" w:rsidRDefault="00C467FC" w:rsidP="00C467FC">
      <w:pPr>
        <w:pStyle w:val="Titlu"/>
        <w:jc w:val="center"/>
      </w:pPr>
    </w:p>
    <w:p w14:paraId="38E23BF9" w14:textId="22B09EAB" w:rsidR="00907A8A" w:rsidRDefault="00907A8A" w:rsidP="00C467FC">
      <w:pPr>
        <w:pStyle w:val="Titlu"/>
        <w:jc w:val="center"/>
      </w:pPr>
      <w:r>
        <w:t xml:space="preserve">The </w:t>
      </w:r>
      <w:r w:rsidR="00286A17">
        <w:t>chosen</w:t>
      </w:r>
      <w:r>
        <w:t xml:space="preserve"> </w:t>
      </w:r>
      <w:r w:rsidR="00C467FC">
        <w:t xml:space="preserve">company: </w:t>
      </w:r>
      <w:r w:rsidR="00C467FC" w:rsidRPr="00C467FC">
        <w:t>Amazon</w:t>
      </w:r>
    </w:p>
    <w:p w14:paraId="36271DD0" w14:textId="77777777" w:rsidR="00C467FC" w:rsidRDefault="00C467FC" w:rsidP="00C467FC">
      <w:pPr>
        <w:spacing w:after="160" w:line="278" w:lineRule="auto"/>
        <w:jc w:val="center"/>
        <w:rPr>
          <w:b/>
          <w:bCs/>
          <w:sz w:val="36"/>
          <w:szCs w:val="32"/>
        </w:rPr>
      </w:pPr>
    </w:p>
    <w:p w14:paraId="071443D7" w14:textId="77777777" w:rsidR="00C467FC" w:rsidRDefault="00C467FC" w:rsidP="00C467FC">
      <w:pPr>
        <w:spacing w:after="160" w:line="278" w:lineRule="auto"/>
        <w:jc w:val="center"/>
        <w:rPr>
          <w:b/>
          <w:bCs/>
          <w:sz w:val="36"/>
          <w:szCs w:val="32"/>
        </w:rPr>
      </w:pPr>
    </w:p>
    <w:p w14:paraId="279C1575" w14:textId="77777777" w:rsidR="00C467FC" w:rsidRDefault="00C467FC" w:rsidP="00C467FC">
      <w:pPr>
        <w:spacing w:after="160" w:line="278" w:lineRule="auto"/>
        <w:jc w:val="center"/>
        <w:rPr>
          <w:b/>
          <w:bCs/>
          <w:sz w:val="36"/>
          <w:szCs w:val="32"/>
        </w:rPr>
      </w:pPr>
    </w:p>
    <w:p w14:paraId="29285DEE" w14:textId="6BCE041F" w:rsidR="00C467FC" w:rsidRPr="00C467FC" w:rsidRDefault="00C467FC" w:rsidP="00C467FC">
      <w:pPr>
        <w:spacing w:after="160" w:line="278" w:lineRule="auto"/>
        <w:jc w:val="center"/>
        <w:rPr>
          <w:b/>
          <w:bCs/>
          <w:sz w:val="36"/>
          <w:szCs w:val="32"/>
        </w:rPr>
      </w:pPr>
      <w:r w:rsidRPr="00C467FC">
        <w:rPr>
          <w:b/>
          <w:bCs/>
          <w:sz w:val="36"/>
          <w:szCs w:val="32"/>
        </w:rPr>
        <w:t>Student Name:</w:t>
      </w:r>
      <w:r w:rsidR="006A1E93">
        <w:rPr>
          <w:b/>
          <w:bCs/>
          <w:sz w:val="36"/>
          <w:szCs w:val="32"/>
        </w:rPr>
        <w:t xml:space="preserve"> Roxana Elena Zegheru</w:t>
      </w:r>
    </w:p>
    <w:p w14:paraId="62247113" w14:textId="4EED78DC" w:rsidR="00C467FC" w:rsidRPr="00C467FC" w:rsidRDefault="00C467FC" w:rsidP="00C467FC">
      <w:pPr>
        <w:spacing w:after="160" w:line="278" w:lineRule="auto"/>
        <w:jc w:val="center"/>
        <w:rPr>
          <w:b/>
          <w:bCs/>
          <w:sz w:val="36"/>
          <w:szCs w:val="32"/>
        </w:rPr>
      </w:pPr>
      <w:r w:rsidRPr="00C467FC">
        <w:rPr>
          <w:b/>
          <w:bCs/>
          <w:sz w:val="36"/>
          <w:szCs w:val="32"/>
        </w:rPr>
        <w:t>Student ID:</w:t>
      </w:r>
      <w:r w:rsidR="006A1E93">
        <w:rPr>
          <w:b/>
          <w:bCs/>
          <w:sz w:val="36"/>
          <w:szCs w:val="32"/>
        </w:rPr>
        <w:t xml:space="preserve"> 2218047</w:t>
      </w:r>
    </w:p>
    <w:p w14:paraId="2DDCC8F0" w14:textId="1639AA02" w:rsidR="00EB69F7" w:rsidRDefault="00EB69F7">
      <w:pPr>
        <w:spacing w:after="160" w:line="278" w:lineRule="auto"/>
        <w:jc w:val="left"/>
        <w:rPr>
          <w:rFonts w:eastAsia="Calibri" w:cstheme="minorHAnsi"/>
          <w:b/>
          <w:kern w:val="2"/>
          <w:sz w:val="36"/>
          <w:szCs w:val="28"/>
          <w:lang w:val="en-US"/>
          <w14:ligatures w14:val="standardContextual"/>
        </w:rPr>
      </w:pPr>
      <w:r>
        <w:br w:type="page"/>
      </w:r>
    </w:p>
    <w:sdt>
      <w:sdtPr>
        <w:rPr>
          <w:rFonts w:ascii="Times New Roman" w:eastAsiaTheme="minorHAnsi" w:hAnsi="Times New Roman" w:cstheme="minorBidi"/>
          <w:color w:val="auto"/>
          <w:sz w:val="24"/>
          <w:szCs w:val="22"/>
          <w:lang w:val="en-GB"/>
        </w:rPr>
        <w:id w:val="296961224"/>
        <w:docPartObj>
          <w:docPartGallery w:val="Table of Contents"/>
          <w:docPartUnique/>
        </w:docPartObj>
      </w:sdtPr>
      <w:sdtEndPr>
        <w:rPr>
          <w:b/>
          <w:bCs/>
          <w:noProof/>
        </w:rPr>
      </w:sdtEndPr>
      <w:sdtContent>
        <w:p w14:paraId="1A3718D0" w14:textId="548EE450" w:rsidR="00A45C8A" w:rsidRPr="00A45C8A" w:rsidRDefault="00A45C8A">
          <w:pPr>
            <w:pStyle w:val="Titlucuprins"/>
            <w:rPr>
              <w:rFonts w:ascii="Times New Roman" w:hAnsi="Times New Roman" w:cs="Times New Roman"/>
              <w:b/>
              <w:bCs/>
              <w:color w:val="0D0D0D" w:themeColor="text1" w:themeTint="F2"/>
            </w:rPr>
          </w:pPr>
          <w:r w:rsidRPr="00A45C8A">
            <w:rPr>
              <w:rFonts w:ascii="Times New Roman" w:hAnsi="Times New Roman" w:cs="Times New Roman"/>
              <w:b/>
              <w:bCs/>
              <w:color w:val="0D0D0D" w:themeColor="text1" w:themeTint="F2"/>
            </w:rPr>
            <w:t>Table of Contents</w:t>
          </w:r>
        </w:p>
        <w:p w14:paraId="20752891" w14:textId="5225A742" w:rsidR="00594670" w:rsidRDefault="00A45C8A">
          <w:pPr>
            <w:pStyle w:val="Cuprins1"/>
            <w:tabs>
              <w:tab w:val="right" w:leader="dot" w:pos="9350"/>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13074379" w:history="1">
            <w:r w:rsidR="00594670" w:rsidRPr="0035035E">
              <w:rPr>
                <w:rStyle w:val="Hyperlink"/>
                <w:noProof/>
              </w:rPr>
              <w:t>1. Introduction</w:t>
            </w:r>
            <w:r w:rsidR="00594670">
              <w:rPr>
                <w:noProof/>
                <w:webHidden/>
              </w:rPr>
              <w:tab/>
            </w:r>
            <w:r w:rsidR="00594670">
              <w:rPr>
                <w:noProof/>
                <w:webHidden/>
              </w:rPr>
              <w:fldChar w:fldCharType="begin"/>
            </w:r>
            <w:r w:rsidR="00594670">
              <w:rPr>
                <w:noProof/>
                <w:webHidden/>
              </w:rPr>
              <w:instrText xml:space="preserve"> PAGEREF _Toc213074379 \h </w:instrText>
            </w:r>
            <w:r w:rsidR="00594670">
              <w:rPr>
                <w:noProof/>
                <w:webHidden/>
              </w:rPr>
            </w:r>
            <w:r w:rsidR="00594670">
              <w:rPr>
                <w:noProof/>
                <w:webHidden/>
              </w:rPr>
              <w:fldChar w:fldCharType="separate"/>
            </w:r>
            <w:r w:rsidR="00594670">
              <w:rPr>
                <w:noProof/>
                <w:webHidden/>
              </w:rPr>
              <w:t>3</w:t>
            </w:r>
            <w:r w:rsidR="00594670">
              <w:rPr>
                <w:noProof/>
                <w:webHidden/>
              </w:rPr>
              <w:fldChar w:fldCharType="end"/>
            </w:r>
          </w:hyperlink>
        </w:p>
        <w:p w14:paraId="49A21087" w14:textId="399111FE" w:rsidR="00594670" w:rsidRDefault="00594670">
          <w:pPr>
            <w:pStyle w:val="Cuprins1"/>
            <w:tabs>
              <w:tab w:val="right" w:leader="dot" w:pos="9350"/>
            </w:tabs>
            <w:rPr>
              <w:rFonts w:asciiTheme="minorHAnsi" w:eastAsiaTheme="minorEastAsia" w:hAnsiTheme="minorHAnsi"/>
              <w:noProof/>
              <w:kern w:val="2"/>
              <w:szCs w:val="24"/>
              <w:lang w:val="en-IN" w:eastAsia="en-IN"/>
              <w14:ligatures w14:val="standardContextual"/>
            </w:rPr>
          </w:pPr>
          <w:hyperlink w:anchor="_Toc213074380" w:history="1">
            <w:r w:rsidRPr="0035035E">
              <w:rPr>
                <w:rStyle w:val="Hyperlink"/>
                <w:noProof/>
              </w:rPr>
              <w:t>2. Cost Analysis and Business Model</w:t>
            </w:r>
            <w:r>
              <w:rPr>
                <w:noProof/>
                <w:webHidden/>
              </w:rPr>
              <w:tab/>
            </w:r>
            <w:r>
              <w:rPr>
                <w:noProof/>
                <w:webHidden/>
              </w:rPr>
              <w:fldChar w:fldCharType="begin"/>
            </w:r>
            <w:r>
              <w:rPr>
                <w:noProof/>
                <w:webHidden/>
              </w:rPr>
              <w:instrText xml:space="preserve"> PAGEREF _Toc213074380 \h </w:instrText>
            </w:r>
            <w:r>
              <w:rPr>
                <w:noProof/>
                <w:webHidden/>
              </w:rPr>
            </w:r>
            <w:r>
              <w:rPr>
                <w:noProof/>
                <w:webHidden/>
              </w:rPr>
              <w:fldChar w:fldCharType="separate"/>
            </w:r>
            <w:r>
              <w:rPr>
                <w:noProof/>
                <w:webHidden/>
              </w:rPr>
              <w:t>4</w:t>
            </w:r>
            <w:r>
              <w:rPr>
                <w:noProof/>
                <w:webHidden/>
              </w:rPr>
              <w:fldChar w:fldCharType="end"/>
            </w:r>
          </w:hyperlink>
        </w:p>
        <w:p w14:paraId="6960DA51" w14:textId="052197D5" w:rsidR="00594670" w:rsidRDefault="00594670">
          <w:pPr>
            <w:pStyle w:val="Cuprins2"/>
            <w:tabs>
              <w:tab w:val="right" w:leader="dot" w:pos="9350"/>
            </w:tabs>
            <w:rPr>
              <w:rFonts w:asciiTheme="minorHAnsi" w:eastAsiaTheme="minorEastAsia" w:hAnsiTheme="minorHAnsi"/>
              <w:noProof/>
              <w:kern w:val="2"/>
              <w:szCs w:val="24"/>
              <w:lang w:val="en-IN" w:eastAsia="en-IN"/>
              <w14:ligatures w14:val="standardContextual"/>
            </w:rPr>
          </w:pPr>
          <w:hyperlink w:anchor="_Toc213074381" w:history="1">
            <w:r w:rsidRPr="0035035E">
              <w:rPr>
                <w:rStyle w:val="Hyperlink"/>
                <w:noProof/>
              </w:rPr>
              <w:t>Revenue model</w:t>
            </w:r>
            <w:r>
              <w:rPr>
                <w:noProof/>
                <w:webHidden/>
              </w:rPr>
              <w:tab/>
            </w:r>
            <w:r>
              <w:rPr>
                <w:noProof/>
                <w:webHidden/>
              </w:rPr>
              <w:fldChar w:fldCharType="begin"/>
            </w:r>
            <w:r>
              <w:rPr>
                <w:noProof/>
                <w:webHidden/>
              </w:rPr>
              <w:instrText xml:space="preserve"> PAGEREF _Toc213074381 \h </w:instrText>
            </w:r>
            <w:r>
              <w:rPr>
                <w:noProof/>
                <w:webHidden/>
              </w:rPr>
            </w:r>
            <w:r>
              <w:rPr>
                <w:noProof/>
                <w:webHidden/>
              </w:rPr>
              <w:fldChar w:fldCharType="separate"/>
            </w:r>
            <w:r>
              <w:rPr>
                <w:noProof/>
                <w:webHidden/>
              </w:rPr>
              <w:t>4</w:t>
            </w:r>
            <w:r>
              <w:rPr>
                <w:noProof/>
                <w:webHidden/>
              </w:rPr>
              <w:fldChar w:fldCharType="end"/>
            </w:r>
          </w:hyperlink>
        </w:p>
        <w:p w14:paraId="43A43602" w14:textId="195239F9" w:rsidR="00594670" w:rsidRDefault="00594670">
          <w:pPr>
            <w:pStyle w:val="Cuprins1"/>
            <w:tabs>
              <w:tab w:val="right" w:leader="dot" w:pos="9350"/>
            </w:tabs>
            <w:rPr>
              <w:rFonts w:asciiTheme="minorHAnsi" w:eastAsiaTheme="minorEastAsia" w:hAnsiTheme="minorHAnsi"/>
              <w:noProof/>
              <w:kern w:val="2"/>
              <w:szCs w:val="24"/>
              <w:lang w:val="en-IN" w:eastAsia="en-IN"/>
              <w14:ligatures w14:val="standardContextual"/>
            </w:rPr>
          </w:pPr>
          <w:hyperlink w:anchor="_Toc213074382" w:history="1">
            <w:r w:rsidRPr="0035035E">
              <w:rPr>
                <w:rStyle w:val="Hyperlink"/>
                <w:noProof/>
              </w:rPr>
              <w:t>3. Budgeting and Financial Planning</w:t>
            </w:r>
            <w:r>
              <w:rPr>
                <w:noProof/>
                <w:webHidden/>
              </w:rPr>
              <w:tab/>
            </w:r>
            <w:r>
              <w:rPr>
                <w:noProof/>
                <w:webHidden/>
              </w:rPr>
              <w:fldChar w:fldCharType="begin"/>
            </w:r>
            <w:r>
              <w:rPr>
                <w:noProof/>
                <w:webHidden/>
              </w:rPr>
              <w:instrText xml:space="preserve"> PAGEREF _Toc213074382 \h </w:instrText>
            </w:r>
            <w:r>
              <w:rPr>
                <w:noProof/>
                <w:webHidden/>
              </w:rPr>
            </w:r>
            <w:r>
              <w:rPr>
                <w:noProof/>
                <w:webHidden/>
              </w:rPr>
              <w:fldChar w:fldCharType="separate"/>
            </w:r>
            <w:r>
              <w:rPr>
                <w:noProof/>
                <w:webHidden/>
              </w:rPr>
              <w:t>5</w:t>
            </w:r>
            <w:r>
              <w:rPr>
                <w:noProof/>
                <w:webHidden/>
              </w:rPr>
              <w:fldChar w:fldCharType="end"/>
            </w:r>
          </w:hyperlink>
        </w:p>
        <w:p w14:paraId="0DB8C9BD" w14:textId="04970454" w:rsidR="00594670" w:rsidRDefault="00594670">
          <w:pPr>
            <w:pStyle w:val="Cuprins2"/>
            <w:tabs>
              <w:tab w:val="right" w:leader="dot" w:pos="9350"/>
            </w:tabs>
            <w:rPr>
              <w:rFonts w:asciiTheme="minorHAnsi" w:eastAsiaTheme="minorEastAsia" w:hAnsiTheme="minorHAnsi"/>
              <w:noProof/>
              <w:kern w:val="2"/>
              <w:szCs w:val="24"/>
              <w:lang w:val="en-IN" w:eastAsia="en-IN"/>
              <w14:ligatures w14:val="standardContextual"/>
            </w:rPr>
          </w:pPr>
          <w:hyperlink w:anchor="_Toc213074383" w:history="1">
            <w:r w:rsidRPr="0035035E">
              <w:rPr>
                <w:rStyle w:val="Hyperlink"/>
                <w:noProof/>
              </w:rPr>
              <w:t>Internal Managerial Actions:</w:t>
            </w:r>
            <w:r>
              <w:rPr>
                <w:noProof/>
                <w:webHidden/>
              </w:rPr>
              <w:tab/>
            </w:r>
            <w:r>
              <w:rPr>
                <w:noProof/>
                <w:webHidden/>
              </w:rPr>
              <w:fldChar w:fldCharType="begin"/>
            </w:r>
            <w:r>
              <w:rPr>
                <w:noProof/>
                <w:webHidden/>
              </w:rPr>
              <w:instrText xml:space="preserve"> PAGEREF _Toc213074383 \h </w:instrText>
            </w:r>
            <w:r>
              <w:rPr>
                <w:noProof/>
                <w:webHidden/>
              </w:rPr>
            </w:r>
            <w:r>
              <w:rPr>
                <w:noProof/>
                <w:webHidden/>
              </w:rPr>
              <w:fldChar w:fldCharType="separate"/>
            </w:r>
            <w:r>
              <w:rPr>
                <w:noProof/>
                <w:webHidden/>
              </w:rPr>
              <w:t>5</w:t>
            </w:r>
            <w:r>
              <w:rPr>
                <w:noProof/>
                <w:webHidden/>
              </w:rPr>
              <w:fldChar w:fldCharType="end"/>
            </w:r>
          </w:hyperlink>
        </w:p>
        <w:p w14:paraId="0520176E" w14:textId="499ED7DA" w:rsidR="00594670" w:rsidRDefault="00594670">
          <w:pPr>
            <w:pStyle w:val="Cuprins2"/>
            <w:tabs>
              <w:tab w:val="right" w:leader="dot" w:pos="9350"/>
            </w:tabs>
            <w:rPr>
              <w:rFonts w:asciiTheme="minorHAnsi" w:eastAsiaTheme="minorEastAsia" w:hAnsiTheme="minorHAnsi"/>
              <w:noProof/>
              <w:kern w:val="2"/>
              <w:szCs w:val="24"/>
              <w:lang w:val="en-IN" w:eastAsia="en-IN"/>
              <w14:ligatures w14:val="standardContextual"/>
            </w:rPr>
          </w:pPr>
          <w:hyperlink w:anchor="_Toc213074384" w:history="1">
            <w:r w:rsidRPr="0035035E">
              <w:rPr>
                <w:rStyle w:val="Hyperlink"/>
                <w:noProof/>
              </w:rPr>
              <w:t>Macroeconomic Factors:</w:t>
            </w:r>
            <w:r>
              <w:rPr>
                <w:noProof/>
                <w:webHidden/>
              </w:rPr>
              <w:tab/>
            </w:r>
            <w:r>
              <w:rPr>
                <w:noProof/>
                <w:webHidden/>
              </w:rPr>
              <w:fldChar w:fldCharType="begin"/>
            </w:r>
            <w:r>
              <w:rPr>
                <w:noProof/>
                <w:webHidden/>
              </w:rPr>
              <w:instrText xml:space="preserve"> PAGEREF _Toc213074384 \h </w:instrText>
            </w:r>
            <w:r>
              <w:rPr>
                <w:noProof/>
                <w:webHidden/>
              </w:rPr>
            </w:r>
            <w:r>
              <w:rPr>
                <w:noProof/>
                <w:webHidden/>
              </w:rPr>
              <w:fldChar w:fldCharType="separate"/>
            </w:r>
            <w:r>
              <w:rPr>
                <w:noProof/>
                <w:webHidden/>
              </w:rPr>
              <w:t>6</w:t>
            </w:r>
            <w:r>
              <w:rPr>
                <w:noProof/>
                <w:webHidden/>
              </w:rPr>
              <w:fldChar w:fldCharType="end"/>
            </w:r>
          </w:hyperlink>
        </w:p>
        <w:p w14:paraId="3B2F7A2E" w14:textId="37A35C99" w:rsidR="00594670" w:rsidRDefault="00594670">
          <w:pPr>
            <w:pStyle w:val="Cuprins1"/>
            <w:tabs>
              <w:tab w:val="right" w:leader="dot" w:pos="9350"/>
            </w:tabs>
            <w:rPr>
              <w:rFonts w:asciiTheme="minorHAnsi" w:eastAsiaTheme="minorEastAsia" w:hAnsiTheme="minorHAnsi"/>
              <w:noProof/>
              <w:kern w:val="2"/>
              <w:szCs w:val="24"/>
              <w:lang w:val="en-IN" w:eastAsia="en-IN"/>
              <w14:ligatures w14:val="standardContextual"/>
            </w:rPr>
          </w:pPr>
          <w:hyperlink w:anchor="_Toc213074385" w:history="1">
            <w:r w:rsidRPr="0035035E">
              <w:rPr>
                <w:rStyle w:val="Hyperlink"/>
                <w:noProof/>
              </w:rPr>
              <w:t>4. Performance Measurement and Decision-Making</w:t>
            </w:r>
            <w:r>
              <w:rPr>
                <w:noProof/>
                <w:webHidden/>
              </w:rPr>
              <w:tab/>
            </w:r>
            <w:r>
              <w:rPr>
                <w:noProof/>
                <w:webHidden/>
              </w:rPr>
              <w:fldChar w:fldCharType="begin"/>
            </w:r>
            <w:r>
              <w:rPr>
                <w:noProof/>
                <w:webHidden/>
              </w:rPr>
              <w:instrText xml:space="preserve"> PAGEREF _Toc213074385 \h </w:instrText>
            </w:r>
            <w:r>
              <w:rPr>
                <w:noProof/>
                <w:webHidden/>
              </w:rPr>
            </w:r>
            <w:r>
              <w:rPr>
                <w:noProof/>
                <w:webHidden/>
              </w:rPr>
              <w:fldChar w:fldCharType="separate"/>
            </w:r>
            <w:r>
              <w:rPr>
                <w:noProof/>
                <w:webHidden/>
              </w:rPr>
              <w:t>7</w:t>
            </w:r>
            <w:r>
              <w:rPr>
                <w:noProof/>
                <w:webHidden/>
              </w:rPr>
              <w:fldChar w:fldCharType="end"/>
            </w:r>
          </w:hyperlink>
        </w:p>
        <w:p w14:paraId="276EF86D" w14:textId="3182AE30" w:rsidR="00594670" w:rsidRDefault="00594670">
          <w:pPr>
            <w:pStyle w:val="Cuprins1"/>
            <w:tabs>
              <w:tab w:val="right" w:leader="dot" w:pos="9350"/>
            </w:tabs>
            <w:rPr>
              <w:rFonts w:asciiTheme="minorHAnsi" w:eastAsiaTheme="minorEastAsia" w:hAnsiTheme="minorHAnsi"/>
              <w:noProof/>
              <w:kern w:val="2"/>
              <w:szCs w:val="24"/>
              <w:lang w:val="en-IN" w:eastAsia="en-IN"/>
              <w14:ligatures w14:val="standardContextual"/>
            </w:rPr>
          </w:pPr>
          <w:hyperlink w:anchor="_Toc213074386" w:history="1">
            <w:r w:rsidRPr="0035035E">
              <w:rPr>
                <w:rStyle w:val="Hyperlink"/>
                <w:noProof/>
              </w:rPr>
              <w:t>Selected KPIs</w:t>
            </w:r>
            <w:r>
              <w:rPr>
                <w:noProof/>
                <w:webHidden/>
              </w:rPr>
              <w:tab/>
            </w:r>
            <w:r>
              <w:rPr>
                <w:noProof/>
                <w:webHidden/>
              </w:rPr>
              <w:fldChar w:fldCharType="begin"/>
            </w:r>
            <w:r>
              <w:rPr>
                <w:noProof/>
                <w:webHidden/>
              </w:rPr>
              <w:instrText xml:space="preserve"> PAGEREF _Toc213074386 \h </w:instrText>
            </w:r>
            <w:r>
              <w:rPr>
                <w:noProof/>
                <w:webHidden/>
              </w:rPr>
            </w:r>
            <w:r>
              <w:rPr>
                <w:noProof/>
                <w:webHidden/>
              </w:rPr>
              <w:fldChar w:fldCharType="separate"/>
            </w:r>
            <w:r>
              <w:rPr>
                <w:noProof/>
                <w:webHidden/>
              </w:rPr>
              <w:t>7</w:t>
            </w:r>
            <w:r>
              <w:rPr>
                <w:noProof/>
                <w:webHidden/>
              </w:rPr>
              <w:fldChar w:fldCharType="end"/>
            </w:r>
          </w:hyperlink>
        </w:p>
        <w:p w14:paraId="673D2C89" w14:textId="15D5E0B2" w:rsidR="00594670" w:rsidRDefault="00594670">
          <w:pPr>
            <w:pStyle w:val="Cuprins2"/>
            <w:tabs>
              <w:tab w:val="right" w:leader="dot" w:pos="9350"/>
            </w:tabs>
            <w:rPr>
              <w:rFonts w:asciiTheme="minorHAnsi" w:eastAsiaTheme="minorEastAsia" w:hAnsiTheme="minorHAnsi"/>
              <w:noProof/>
              <w:kern w:val="2"/>
              <w:szCs w:val="24"/>
              <w:lang w:val="en-IN" w:eastAsia="en-IN"/>
              <w14:ligatures w14:val="standardContextual"/>
            </w:rPr>
          </w:pPr>
          <w:hyperlink w:anchor="_Toc213074387" w:history="1">
            <w:r w:rsidRPr="0035035E">
              <w:rPr>
                <w:rStyle w:val="Hyperlink"/>
                <w:noProof/>
              </w:rPr>
              <w:t>1. Revenue (Total Revenue, Year-on-Year)</w:t>
            </w:r>
            <w:r>
              <w:rPr>
                <w:noProof/>
                <w:webHidden/>
              </w:rPr>
              <w:tab/>
            </w:r>
            <w:r>
              <w:rPr>
                <w:noProof/>
                <w:webHidden/>
              </w:rPr>
              <w:fldChar w:fldCharType="begin"/>
            </w:r>
            <w:r>
              <w:rPr>
                <w:noProof/>
                <w:webHidden/>
              </w:rPr>
              <w:instrText xml:space="preserve"> PAGEREF _Toc213074387 \h </w:instrText>
            </w:r>
            <w:r>
              <w:rPr>
                <w:noProof/>
                <w:webHidden/>
              </w:rPr>
            </w:r>
            <w:r>
              <w:rPr>
                <w:noProof/>
                <w:webHidden/>
              </w:rPr>
              <w:fldChar w:fldCharType="separate"/>
            </w:r>
            <w:r>
              <w:rPr>
                <w:noProof/>
                <w:webHidden/>
              </w:rPr>
              <w:t>7</w:t>
            </w:r>
            <w:r>
              <w:rPr>
                <w:noProof/>
                <w:webHidden/>
              </w:rPr>
              <w:fldChar w:fldCharType="end"/>
            </w:r>
          </w:hyperlink>
        </w:p>
        <w:p w14:paraId="30E273CA" w14:textId="7ACD83AE" w:rsidR="00594670" w:rsidRDefault="00594670">
          <w:pPr>
            <w:pStyle w:val="Cuprins2"/>
            <w:tabs>
              <w:tab w:val="right" w:leader="dot" w:pos="9350"/>
            </w:tabs>
            <w:rPr>
              <w:rFonts w:asciiTheme="minorHAnsi" w:eastAsiaTheme="minorEastAsia" w:hAnsiTheme="minorHAnsi"/>
              <w:noProof/>
              <w:kern w:val="2"/>
              <w:szCs w:val="24"/>
              <w:lang w:val="en-IN" w:eastAsia="en-IN"/>
              <w14:ligatures w14:val="standardContextual"/>
            </w:rPr>
          </w:pPr>
          <w:hyperlink w:anchor="_Toc213074388" w:history="1">
            <w:r w:rsidRPr="0035035E">
              <w:rPr>
                <w:rStyle w:val="Hyperlink"/>
                <w:noProof/>
              </w:rPr>
              <w:t>2. Operating Margin and Operating Income.</w:t>
            </w:r>
            <w:r>
              <w:rPr>
                <w:noProof/>
                <w:webHidden/>
              </w:rPr>
              <w:tab/>
            </w:r>
            <w:r>
              <w:rPr>
                <w:noProof/>
                <w:webHidden/>
              </w:rPr>
              <w:fldChar w:fldCharType="begin"/>
            </w:r>
            <w:r>
              <w:rPr>
                <w:noProof/>
                <w:webHidden/>
              </w:rPr>
              <w:instrText xml:space="preserve"> PAGEREF _Toc213074388 \h </w:instrText>
            </w:r>
            <w:r>
              <w:rPr>
                <w:noProof/>
                <w:webHidden/>
              </w:rPr>
            </w:r>
            <w:r>
              <w:rPr>
                <w:noProof/>
                <w:webHidden/>
              </w:rPr>
              <w:fldChar w:fldCharType="separate"/>
            </w:r>
            <w:r>
              <w:rPr>
                <w:noProof/>
                <w:webHidden/>
              </w:rPr>
              <w:t>8</w:t>
            </w:r>
            <w:r>
              <w:rPr>
                <w:noProof/>
                <w:webHidden/>
              </w:rPr>
              <w:fldChar w:fldCharType="end"/>
            </w:r>
          </w:hyperlink>
        </w:p>
        <w:p w14:paraId="7A80D50F" w14:textId="25A6C81A" w:rsidR="00594670" w:rsidRDefault="00594670">
          <w:pPr>
            <w:pStyle w:val="Cuprins2"/>
            <w:tabs>
              <w:tab w:val="right" w:leader="dot" w:pos="9350"/>
            </w:tabs>
            <w:rPr>
              <w:rFonts w:asciiTheme="minorHAnsi" w:eastAsiaTheme="minorEastAsia" w:hAnsiTheme="minorHAnsi"/>
              <w:noProof/>
              <w:kern w:val="2"/>
              <w:szCs w:val="24"/>
              <w:lang w:val="en-IN" w:eastAsia="en-IN"/>
              <w14:ligatures w14:val="standardContextual"/>
            </w:rPr>
          </w:pPr>
          <w:hyperlink w:anchor="_Toc213074389" w:history="1">
            <w:r w:rsidRPr="0035035E">
              <w:rPr>
                <w:rStyle w:val="Hyperlink"/>
                <w:noProof/>
              </w:rPr>
              <w:t>3. Free Cash Flow and Operating Cash Flow.</w:t>
            </w:r>
            <w:r>
              <w:rPr>
                <w:noProof/>
                <w:webHidden/>
              </w:rPr>
              <w:tab/>
            </w:r>
            <w:r>
              <w:rPr>
                <w:noProof/>
                <w:webHidden/>
              </w:rPr>
              <w:fldChar w:fldCharType="begin"/>
            </w:r>
            <w:r>
              <w:rPr>
                <w:noProof/>
                <w:webHidden/>
              </w:rPr>
              <w:instrText xml:space="preserve"> PAGEREF _Toc213074389 \h </w:instrText>
            </w:r>
            <w:r>
              <w:rPr>
                <w:noProof/>
                <w:webHidden/>
              </w:rPr>
            </w:r>
            <w:r>
              <w:rPr>
                <w:noProof/>
                <w:webHidden/>
              </w:rPr>
              <w:fldChar w:fldCharType="separate"/>
            </w:r>
            <w:r>
              <w:rPr>
                <w:noProof/>
                <w:webHidden/>
              </w:rPr>
              <w:t>8</w:t>
            </w:r>
            <w:r>
              <w:rPr>
                <w:noProof/>
                <w:webHidden/>
              </w:rPr>
              <w:fldChar w:fldCharType="end"/>
            </w:r>
          </w:hyperlink>
        </w:p>
        <w:p w14:paraId="3B7AA7FF" w14:textId="56198D94" w:rsidR="00594670" w:rsidRDefault="00594670">
          <w:pPr>
            <w:pStyle w:val="Cuprins2"/>
            <w:tabs>
              <w:tab w:val="right" w:leader="dot" w:pos="9350"/>
            </w:tabs>
            <w:rPr>
              <w:rFonts w:asciiTheme="minorHAnsi" w:eastAsiaTheme="minorEastAsia" w:hAnsiTheme="minorHAnsi"/>
              <w:noProof/>
              <w:kern w:val="2"/>
              <w:szCs w:val="24"/>
              <w:lang w:val="en-IN" w:eastAsia="en-IN"/>
              <w14:ligatures w14:val="standardContextual"/>
            </w:rPr>
          </w:pPr>
          <w:hyperlink w:anchor="_Toc213074390" w:history="1">
            <w:r w:rsidRPr="0035035E">
              <w:rPr>
                <w:rStyle w:val="Hyperlink"/>
                <w:noProof/>
              </w:rPr>
              <w:t>4. AWS Operating Margin and Income.</w:t>
            </w:r>
            <w:r>
              <w:rPr>
                <w:noProof/>
                <w:webHidden/>
              </w:rPr>
              <w:tab/>
            </w:r>
            <w:r>
              <w:rPr>
                <w:noProof/>
                <w:webHidden/>
              </w:rPr>
              <w:fldChar w:fldCharType="begin"/>
            </w:r>
            <w:r>
              <w:rPr>
                <w:noProof/>
                <w:webHidden/>
              </w:rPr>
              <w:instrText xml:space="preserve"> PAGEREF _Toc213074390 \h </w:instrText>
            </w:r>
            <w:r>
              <w:rPr>
                <w:noProof/>
                <w:webHidden/>
              </w:rPr>
            </w:r>
            <w:r>
              <w:rPr>
                <w:noProof/>
                <w:webHidden/>
              </w:rPr>
              <w:fldChar w:fldCharType="separate"/>
            </w:r>
            <w:r>
              <w:rPr>
                <w:noProof/>
                <w:webHidden/>
              </w:rPr>
              <w:t>8</w:t>
            </w:r>
            <w:r>
              <w:rPr>
                <w:noProof/>
                <w:webHidden/>
              </w:rPr>
              <w:fldChar w:fldCharType="end"/>
            </w:r>
          </w:hyperlink>
        </w:p>
        <w:p w14:paraId="6B8BABBD" w14:textId="55D9576B" w:rsidR="00594670" w:rsidRDefault="00594670">
          <w:pPr>
            <w:pStyle w:val="Cuprins2"/>
            <w:tabs>
              <w:tab w:val="right" w:leader="dot" w:pos="9350"/>
            </w:tabs>
            <w:rPr>
              <w:rFonts w:asciiTheme="minorHAnsi" w:eastAsiaTheme="minorEastAsia" w:hAnsiTheme="minorHAnsi"/>
              <w:noProof/>
              <w:kern w:val="2"/>
              <w:szCs w:val="24"/>
              <w:lang w:val="en-IN" w:eastAsia="en-IN"/>
              <w14:ligatures w14:val="standardContextual"/>
            </w:rPr>
          </w:pPr>
          <w:hyperlink w:anchor="_Toc213074391" w:history="1">
            <w:r w:rsidRPr="0035035E">
              <w:rPr>
                <w:rStyle w:val="Hyperlink"/>
                <w:noProof/>
              </w:rPr>
              <w:t>5. Best Membership and Customer Retention Metrics.</w:t>
            </w:r>
            <w:r>
              <w:rPr>
                <w:noProof/>
                <w:webHidden/>
              </w:rPr>
              <w:tab/>
            </w:r>
            <w:r>
              <w:rPr>
                <w:noProof/>
                <w:webHidden/>
              </w:rPr>
              <w:fldChar w:fldCharType="begin"/>
            </w:r>
            <w:r>
              <w:rPr>
                <w:noProof/>
                <w:webHidden/>
              </w:rPr>
              <w:instrText xml:space="preserve"> PAGEREF _Toc213074391 \h </w:instrText>
            </w:r>
            <w:r>
              <w:rPr>
                <w:noProof/>
                <w:webHidden/>
              </w:rPr>
            </w:r>
            <w:r>
              <w:rPr>
                <w:noProof/>
                <w:webHidden/>
              </w:rPr>
              <w:fldChar w:fldCharType="separate"/>
            </w:r>
            <w:r>
              <w:rPr>
                <w:noProof/>
                <w:webHidden/>
              </w:rPr>
              <w:t>8</w:t>
            </w:r>
            <w:r>
              <w:rPr>
                <w:noProof/>
                <w:webHidden/>
              </w:rPr>
              <w:fldChar w:fldCharType="end"/>
            </w:r>
          </w:hyperlink>
        </w:p>
        <w:p w14:paraId="68486426" w14:textId="038B66DF" w:rsidR="00594670" w:rsidRDefault="00594670">
          <w:pPr>
            <w:pStyle w:val="Cuprins1"/>
            <w:tabs>
              <w:tab w:val="right" w:leader="dot" w:pos="9350"/>
            </w:tabs>
            <w:rPr>
              <w:rFonts w:asciiTheme="minorHAnsi" w:eastAsiaTheme="minorEastAsia" w:hAnsiTheme="minorHAnsi"/>
              <w:noProof/>
              <w:kern w:val="2"/>
              <w:szCs w:val="24"/>
              <w:lang w:val="en-IN" w:eastAsia="en-IN"/>
              <w14:ligatures w14:val="standardContextual"/>
            </w:rPr>
          </w:pPr>
          <w:hyperlink w:anchor="_Toc213074392" w:history="1">
            <w:r w:rsidRPr="0035035E">
              <w:rPr>
                <w:rStyle w:val="Hyperlink"/>
                <w:noProof/>
              </w:rPr>
              <w:t>5. Sustainability and Ethical Considerations (300 words)</w:t>
            </w:r>
            <w:r>
              <w:rPr>
                <w:noProof/>
                <w:webHidden/>
              </w:rPr>
              <w:tab/>
            </w:r>
            <w:r>
              <w:rPr>
                <w:noProof/>
                <w:webHidden/>
              </w:rPr>
              <w:fldChar w:fldCharType="begin"/>
            </w:r>
            <w:r>
              <w:rPr>
                <w:noProof/>
                <w:webHidden/>
              </w:rPr>
              <w:instrText xml:space="preserve"> PAGEREF _Toc213074392 \h </w:instrText>
            </w:r>
            <w:r>
              <w:rPr>
                <w:noProof/>
                <w:webHidden/>
              </w:rPr>
            </w:r>
            <w:r>
              <w:rPr>
                <w:noProof/>
                <w:webHidden/>
              </w:rPr>
              <w:fldChar w:fldCharType="separate"/>
            </w:r>
            <w:r>
              <w:rPr>
                <w:noProof/>
                <w:webHidden/>
              </w:rPr>
              <w:t>8</w:t>
            </w:r>
            <w:r>
              <w:rPr>
                <w:noProof/>
                <w:webHidden/>
              </w:rPr>
              <w:fldChar w:fldCharType="end"/>
            </w:r>
          </w:hyperlink>
        </w:p>
        <w:p w14:paraId="3C36F4A0" w14:textId="204C26A1" w:rsidR="00594670" w:rsidRDefault="00594670">
          <w:pPr>
            <w:pStyle w:val="Cuprins1"/>
            <w:tabs>
              <w:tab w:val="right" w:leader="dot" w:pos="9350"/>
            </w:tabs>
            <w:rPr>
              <w:rFonts w:asciiTheme="minorHAnsi" w:eastAsiaTheme="minorEastAsia" w:hAnsiTheme="minorHAnsi"/>
              <w:noProof/>
              <w:kern w:val="2"/>
              <w:szCs w:val="24"/>
              <w:lang w:val="en-IN" w:eastAsia="en-IN"/>
              <w14:ligatures w14:val="standardContextual"/>
            </w:rPr>
          </w:pPr>
          <w:hyperlink w:anchor="_Toc213074393" w:history="1">
            <w:r w:rsidRPr="0035035E">
              <w:rPr>
                <w:rStyle w:val="Hyperlink"/>
                <w:noProof/>
              </w:rPr>
              <w:t>Conclusion</w:t>
            </w:r>
            <w:r>
              <w:rPr>
                <w:noProof/>
                <w:webHidden/>
              </w:rPr>
              <w:tab/>
            </w:r>
            <w:r>
              <w:rPr>
                <w:noProof/>
                <w:webHidden/>
              </w:rPr>
              <w:fldChar w:fldCharType="begin"/>
            </w:r>
            <w:r>
              <w:rPr>
                <w:noProof/>
                <w:webHidden/>
              </w:rPr>
              <w:instrText xml:space="preserve"> PAGEREF _Toc213074393 \h </w:instrText>
            </w:r>
            <w:r>
              <w:rPr>
                <w:noProof/>
                <w:webHidden/>
              </w:rPr>
            </w:r>
            <w:r>
              <w:rPr>
                <w:noProof/>
                <w:webHidden/>
              </w:rPr>
              <w:fldChar w:fldCharType="separate"/>
            </w:r>
            <w:r>
              <w:rPr>
                <w:noProof/>
                <w:webHidden/>
              </w:rPr>
              <w:t>10</w:t>
            </w:r>
            <w:r>
              <w:rPr>
                <w:noProof/>
                <w:webHidden/>
              </w:rPr>
              <w:fldChar w:fldCharType="end"/>
            </w:r>
          </w:hyperlink>
        </w:p>
        <w:p w14:paraId="23536A67" w14:textId="5C6EB5E5" w:rsidR="00594670" w:rsidRDefault="00594670">
          <w:pPr>
            <w:pStyle w:val="Cuprins2"/>
            <w:tabs>
              <w:tab w:val="right" w:leader="dot" w:pos="9350"/>
            </w:tabs>
            <w:rPr>
              <w:rFonts w:asciiTheme="minorHAnsi" w:eastAsiaTheme="minorEastAsia" w:hAnsiTheme="minorHAnsi"/>
              <w:noProof/>
              <w:kern w:val="2"/>
              <w:szCs w:val="24"/>
              <w:lang w:val="en-IN" w:eastAsia="en-IN"/>
              <w14:ligatures w14:val="standardContextual"/>
            </w:rPr>
          </w:pPr>
          <w:hyperlink w:anchor="_Toc213074394" w:history="1">
            <w:r w:rsidRPr="0035035E">
              <w:rPr>
                <w:rStyle w:val="Hyperlink"/>
                <w:noProof/>
              </w:rPr>
              <w:t>Recommendations:</w:t>
            </w:r>
            <w:r>
              <w:rPr>
                <w:noProof/>
                <w:webHidden/>
              </w:rPr>
              <w:tab/>
            </w:r>
            <w:r>
              <w:rPr>
                <w:noProof/>
                <w:webHidden/>
              </w:rPr>
              <w:fldChar w:fldCharType="begin"/>
            </w:r>
            <w:r>
              <w:rPr>
                <w:noProof/>
                <w:webHidden/>
              </w:rPr>
              <w:instrText xml:space="preserve"> PAGEREF _Toc213074394 \h </w:instrText>
            </w:r>
            <w:r>
              <w:rPr>
                <w:noProof/>
                <w:webHidden/>
              </w:rPr>
            </w:r>
            <w:r>
              <w:rPr>
                <w:noProof/>
                <w:webHidden/>
              </w:rPr>
              <w:fldChar w:fldCharType="separate"/>
            </w:r>
            <w:r>
              <w:rPr>
                <w:noProof/>
                <w:webHidden/>
              </w:rPr>
              <w:t>10</w:t>
            </w:r>
            <w:r>
              <w:rPr>
                <w:noProof/>
                <w:webHidden/>
              </w:rPr>
              <w:fldChar w:fldCharType="end"/>
            </w:r>
          </w:hyperlink>
        </w:p>
        <w:p w14:paraId="5225C7CF" w14:textId="547BE7F3" w:rsidR="00594670" w:rsidRDefault="00594670">
          <w:pPr>
            <w:pStyle w:val="Cuprins1"/>
            <w:tabs>
              <w:tab w:val="right" w:leader="dot" w:pos="9350"/>
            </w:tabs>
            <w:rPr>
              <w:rFonts w:asciiTheme="minorHAnsi" w:eastAsiaTheme="minorEastAsia" w:hAnsiTheme="minorHAnsi"/>
              <w:noProof/>
              <w:kern w:val="2"/>
              <w:szCs w:val="24"/>
              <w:lang w:val="en-IN" w:eastAsia="en-IN"/>
              <w14:ligatures w14:val="standardContextual"/>
            </w:rPr>
          </w:pPr>
          <w:hyperlink w:anchor="_Toc213074395" w:history="1">
            <w:r w:rsidRPr="0035035E">
              <w:rPr>
                <w:rStyle w:val="Hyperlink"/>
                <w:noProof/>
              </w:rPr>
              <w:t>References</w:t>
            </w:r>
            <w:r>
              <w:rPr>
                <w:noProof/>
                <w:webHidden/>
              </w:rPr>
              <w:tab/>
            </w:r>
            <w:r>
              <w:rPr>
                <w:noProof/>
                <w:webHidden/>
              </w:rPr>
              <w:fldChar w:fldCharType="begin"/>
            </w:r>
            <w:r>
              <w:rPr>
                <w:noProof/>
                <w:webHidden/>
              </w:rPr>
              <w:instrText xml:space="preserve"> PAGEREF _Toc213074395 \h </w:instrText>
            </w:r>
            <w:r>
              <w:rPr>
                <w:noProof/>
                <w:webHidden/>
              </w:rPr>
            </w:r>
            <w:r>
              <w:rPr>
                <w:noProof/>
                <w:webHidden/>
              </w:rPr>
              <w:fldChar w:fldCharType="separate"/>
            </w:r>
            <w:r>
              <w:rPr>
                <w:noProof/>
                <w:webHidden/>
              </w:rPr>
              <w:t>12</w:t>
            </w:r>
            <w:r>
              <w:rPr>
                <w:noProof/>
                <w:webHidden/>
              </w:rPr>
              <w:fldChar w:fldCharType="end"/>
            </w:r>
          </w:hyperlink>
        </w:p>
        <w:p w14:paraId="7A28142C" w14:textId="0E6F3A9A" w:rsidR="00535289" w:rsidRDefault="00A45C8A">
          <w:pPr>
            <w:rPr>
              <w:b/>
              <w:bCs/>
              <w:noProof/>
            </w:rPr>
          </w:pPr>
          <w:r>
            <w:rPr>
              <w:b/>
              <w:bCs/>
              <w:noProof/>
            </w:rPr>
            <w:fldChar w:fldCharType="end"/>
          </w:r>
          <w:r>
            <w:rPr>
              <w:b/>
              <w:bCs/>
              <w:noProof/>
            </w:rPr>
            <w:t>List Of Figu</w:t>
          </w:r>
          <w:r w:rsidR="00535289">
            <w:rPr>
              <w:b/>
              <w:bCs/>
              <w:noProof/>
            </w:rPr>
            <w:t>res</w:t>
          </w:r>
        </w:p>
        <w:p w14:paraId="0EC978B3" w14:textId="20749758" w:rsidR="00535289" w:rsidRDefault="00535289">
          <w:pPr>
            <w:pStyle w:val="Tabeldefiguri"/>
            <w:tabs>
              <w:tab w:val="right" w:leader="dot" w:pos="9350"/>
            </w:tabs>
            <w:rPr>
              <w:rFonts w:asciiTheme="minorHAnsi" w:eastAsiaTheme="minorEastAsia" w:hAnsiTheme="minorHAnsi"/>
              <w:noProof/>
              <w:kern w:val="2"/>
              <w:szCs w:val="24"/>
              <w:lang w:val="en-US"/>
              <w14:ligatures w14:val="standardContextual"/>
            </w:rPr>
          </w:pPr>
          <w:r>
            <w:fldChar w:fldCharType="begin"/>
          </w:r>
          <w:r>
            <w:instrText xml:space="preserve"> TOC \c "Figure" </w:instrText>
          </w:r>
          <w:r>
            <w:fldChar w:fldCharType="separate"/>
          </w:r>
          <w:r w:rsidRPr="00D82204">
            <w:rPr>
              <w:noProof/>
            </w:rPr>
            <w:t>Figure 1: Amazon.</w:t>
          </w:r>
          <w:r>
            <w:rPr>
              <w:noProof/>
            </w:rPr>
            <w:tab/>
          </w:r>
          <w:r>
            <w:rPr>
              <w:noProof/>
            </w:rPr>
            <w:fldChar w:fldCharType="begin"/>
          </w:r>
          <w:r>
            <w:rPr>
              <w:noProof/>
            </w:rPr>
            <w:instrText xml:space="preserve"> PAGEREF _Toc213073749 \h </w:instrText>
          </w:r>
          <w:r>
            <w:rPr>
              <w:noProof/>
            </w:rPr>
          </w:r>
          <w:r>
            <w:rPr>
              <w:noProof/>
            </w:rPr>
            <w:fldChar w:fldCharType="separate"/>
          </w:r>
          <w:r>
            <w:rPr>
              <w:noProof/>
            </w:rPr>
            <w:t>3</w:t>
          </w:r>
          <w:r>
            <w:rPr>
              <w:noProof/>
            </w:rPr>
            <w:fldChar w:fldCharType="end"/>
          </w:r>
        </w:p>
        <w:p w14:paraId="62283415" w14:textId="06D1E3D6" w:rsidR="00535289" w:rsidRDefault="00535289">
          <w:pPr>
            <w:pStyle w:val="Tabeldefiguri"/>
            <w:tabs>
              <w:tab w:val="right" w:leader="dot" w:pos="9350"/>
            </w:tabs>
            <w:rPr>
              <w:rFonts w:asciiTheme="minorHAnsi" w:eastAsiaTheme="minorEastAsia" w:hAnsiTheme="minorHAnsi"/>
              <w:noProof/>
              <w:kern w:val="2"/>
              <w:szCs w:val="24"/>
              <w:lang w:val="en-US"/>
              <w14:ligatures w14:val="standardContextual"/>
            </w:rPr>
          </w:pPr>
          <w:r w:rsidRPr="00D82204">
            <w:rPr>
              <w:noProof/>
            </w:rPr>
            <w:t>Figure 2: Performance Measurement and Decision-Making</w:t>
          </w:r>
          <w:r>
            <w:rPr>
              <w:noProof/>
            </w:rPr>
            <w:tab/>
          </w:r>
          <w:r>
            <w:rPr>
              <w:noProof/>
            </w:rPr>
            <w:fldChar w:fldCharType="begin"/>
          </w:r>
          <w:r>
            <w:rPr>
              <w:noProof/>
            </w:rPr>
            <w:instrText xml:space="preserve"> PAGEREF _Toc213073750 \h </w:instrText>
          </w:r>
          <w:r>
            <w:rPr>
              <w:noProof/>
            </w:rPr>
          </w:r>
          <w:r>
            <w:rPr>
              <w:noProof/>
            </w:rPr>
            <w:fldChar w:fldCharType="separate"/>
          </w:r>
          <w:r>
            <w:rPr>
              <w:noProof/>
            </w:rPr>
            <w:t>7</w:t>
          </w:r>
          <w:r>
            <w:rPr>
              <w:noProof/>
            </w:rPr>
            <w:fldChar w:fldCharType="end"/>
          </w:r>
        </w:p>
        <w:p w14:paraId="3B62E74A" w14:textId="4A5DF482" w:rsidR="00535289" w:rsidRDefault="00535289">
          <w:pPr>
            <w:pStyle w:val="Tabeldefiguri"/>
            <w:tabs>
              <w:tab w:val="right" w:leader="dot" w:pos="9350"/>
            </w:tabs>
            <w:rPr>
              <w:rFonts w:asciiTheme="minorHAnsi" w:eastAsiaTheme="minorEastAsia" w:hAnsiTheme="minorHAnsi"/>
              <w:noProof/>
              <w:kern w:val="2"/>
              <w:szCs w:val="24"/>
              <w:lang w:val="en-US"/>
              <w14:ligatures w14:val="standardContextual"/>
            </w:rPr>
          </w:pPr>
          <w:r w:rsidRPr="00D82204">
            <w:rPr>
              <w:noProof/>
            </w:rPr>
            <w:t>Figure 3: Recommendations</w:t>
          </w:r>
          <w:r>
            <w:rPr>
              <w:noProof/>
            </w:rPr>
            <w:tab/>
          </w:r>
          <w:r>
            <w:rPr>
              <w:noProof/>
            </w:rPr>
            <w:fldChar w:fldCharType="begin"/>
          </w:r>
          <w:r>
            <w:rPr>
              <w:noProof/>
            </w:rPr>
            <w:instrText xml:space="preserve"> PAGEREF _Toc213073751 \h </w:instrText>
          </w:r>
          <w:r>
            <w:rPr>
              <w:noProof/>
            </w:rPr>
          </w:r>
          <w:r>
            <w:rPr>
              <w:noProof/>
            </w:rPr>
            <w:fldChar w:fldCharType="separate"/>
          </w:r>
          <w:r>
            <w:rPr>
              <w:noProof/>
            </w:rPr>
            <w:t>10</w:t>
          </w:r>
          <w:r>
            <w:rPr>
              <w:noProof/>
            </w:rPr>
            <w:fldChar w:fldCharType="end"/>
          </w:r>
        </w:p>
        <w:p w14:paraId="4EBFA294" w14:textId="5C4FDDAB" w:rsidR="00A45C8A" w:rsidRDefault="00535289">
          <w:r>
            <w:fldChar w:fldCharType="end"/>
          </w:r>
        </w:p>
      </w:sdtContent>
    </w:sdt>
    <w:p w14:paraId="30B1708B" w14:textId="77777777" w:rsidR="00A45C8A" w:rsidRDefault="00A45C8A">
      <w:pPr>
        <w:spacing w:after="160" w:line="278" w:lineRule="auto"/>
        <w:jc w:val="left"/>
        <w:rPr>
          <w:rFonts w:eastAsia="Calibri" w:cstheme="minorHAnsi"/>
          <w:b/>
          <w:kern w:val="2"/>
          <w:sz w:val="36"/>
          <w:szCs w:val="28"/>
          <w:lang w:val="en-US"/>
          <w14:ligatures w14:val="standardContextual"/>
        </w:rPr>
      </w:pPr>
      <w:r>
        <w:br w:type="page"/>
      </w:r>
    </w:p>
    <w:p w14:paraId="08FC585C" w14:textId="6354363B" w:rsidR="008E0802" w:rsidRDefault="003F4565" w:rsidP="00DC4F9D">
      <w:pPr>
        <w:pStyle w:val="Titlu1"/>
      </w:pPr>
      <w:bookmarkStart w:id="0" w:name="_Toc213074379"/>
      <w:r w:rsidRPr="003F4565">
        <w:lastRenderedPageBreak/>
        <w:t>1. Introduction</w:t>
      </w:r>
      <w:bookmarkEnd w:id="0"/>
      <w:r w:rsidRPr="003F4565">
        <w:t xml:space="preserve"> </w:t>
      </w:r>
    </w:p>
    <w:p w14:paraId="51385DF4" w14:textId="1FC65B93" w:rsidR="003F4565" w:rsidRDefault="003F4565">
      <w:r w:rsidRPr="003F4565">
        <w:t xml:space="preserve">Founded in 1994 by Jeff Bezos, </w:t>
      </w:r>
      <w:r w:rsidRPr="003F4565">
        <w:rPr>
          <w:b/>
          <w:bCs/>
        </w:rPr>
        <w:t>Amazon.com, Inc.</w:t>
      </w:r>
      <w:r w:rsidRPr="003F4565">
        <w:t xml:space="preserve"> is a global technology and e-commerce leader headquartered in Seattle</w:t>
      </w:r>
      <w:r w:rsidR="009D73FF">
        <w:t xml:space="preserve"> (</w:t>
      </w:r>
      <w:r w:rsidR="009D73FF" w:rsidRPr="009D73FF">
        <w:t>Desai, 2021</w:t>
      </w:r>
      <w:r w:rsidR="009D73FF">
        <w:t>)</w:t>
      </w:r>
      <w:r w:rsidR="009D73FF" w:rsidRPr="009D73FF">
        <w:t xml:space="preserve">. </w:t>
      </w:r>
      <w:r w:rsidRPr="003F4565">
        <w:t xml:space="preserve"> Amazon operates across a wide variety of segments</w:t>
      </w:r>
      <w:r w:rsidR="00594670">
        <w:t>,</w:t>
      </w:r>
      <w:r w:rsidRPr="003F4565">
        <w:t xml:space="preserve"> such as, but not limited to, online retail; services to third-party sellers; Amazon Web Services (AWS); advertising; and physical stores, such as Whole Foods. With revenues in excess of hundreds of billions every year, the scale and complexity of Amazon's business </w:t>
      </w:r>
      <w:r w:rsidR="00DC4F9D" w:rsidRPr="003F4565">
        <w:t>demand</w:t>
      </w:r>
      <w:r w:rsidRPr="003F4565">
        <w:t xml:space="preserve"> robust management accounting processes to assist in effective financial decisions. Management accounting is crucial for interpreting operational data from fulfilment, logistics and cloud infrastructure, to inform budgeting for the organisation, pricing, cost management, and investment decisions. There are various tools of management accounting, such as cost structure analysis, budgeting, variance analysis, key performance indicators (KPI's), and activity-based costing (ABC)</w:t>
      </w:r>
      <w:r w:rsidR="00594670">
        <w:t>,</w:t>
      </w:r>
      <w:r w:rsidRPr="003F4565">
        <w:t xml:space="preserve"> that assist managers in determining profitability across segments to support efficient resource allocation. This report will review how Amazon uses management accounting tools and techniques to assist in decision-making, assess performance, and integrate sustainability dimensions - whether in performance or in how resources are allocated - in a dynamic and highly competitive global environment.</w:t>
      </w:r>
    </w:p>
    <w:p w14:paraId="6E593E28" w14:textId="77777777" w:rsidR="003160B9" w:rsidRDefault="003160B9" w:rsidP="003160B9">
      <w:pPr>
        <w:keepNext/>
        <w:jc w:val="center"/>
      </w:pPr>
      <w:r w:rsidRPr="003160B9">
        <w:rPr>
          <w:noProof/>
        </w:rPr>
        <w:drawing>
          <wp:inline distT="0" distB="0" distL="0" distR="0" wp14:anchorId="04F2AC2E" wp14:editId="4B8A4C0C">
            <wp:extent cx="3049456" cy="1695450"/>
            <wp:effectExtent l="95250" t="95250" r="93980" b="95250"/>
            <wp:docPr id="518209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209213" name=""/>
                    <pic:cNvPicPr/>
                  </pic:nvPicPr>
                  <pic:blipFill>
                    <a:blip r:embed="rId9"/>
                    <a:stretch>
                      <a:fillRect/>
                    </a:stretch>
                  </pic:blipFill>
                  <pic:spPr>
                    <a:xfrm>
                      <a:off x="0" y="0"/>
                      <a:ext cx="3061130" cy="170194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8EC99F9" w14:textId="4150B3AC" w:rsidR="003160B9" w:rsidRPr="003160B9" w:rsidRDefault="003160B9" w:rsidP="003160B9">
      <w:pPr>
        <w:pStyle w:val="Legend"/>
        <w:jc w:val="center"/>
        <w:rPr>
          <w:i w:val="0"/>
          <w:iCs w:val="0"/>
        </w:rPr>
      </w:pPr>
      <w:bookmarkStart w:id="1" w:name="_Toc213073749"/>
      <w:r w:rsidRPr="003160B9">
        <w:rPr>
          <w:i w:val="0"/>
          <w:iCs w:val="0"/>
        </w:rPr>
        <w:t xml:space="preserve">Figure </w:t>
      </w:r>
      <w:r w:rsidRPr="003160B9">
        <w:rPr>
          <w:i w:val="0"/>
          <w:iCs w:val="0"/>
        </w:rPr>
        <w:fldChar w:fldCharType="begin"/>
      </w:r>
      <w:r w:rsidRPr="003160B9">
        <w:rPr>
          <w:i w:val="0"/>
          <w:iCs w:val="0"/>
        </w:rPr>
        <w:instrText xml:space="preserve"> SEQ Figure \* ARABIC </w:instrText>
      </w:r>
      <w:r w:rsidRPr="003160B9">
        <w:rPr>
          <w:i w:val="0"/>
          <w:iCs w:val="0"/>
        </w:rPr>
        <w:fldChar w:fldCharType="separate"/>
      </w:r>
      <w:r w:rsidR="00EB69F7">
        <w:rPr>
          <w:i w:val="0"/>
          <w:iCs w:val="0"/>
          <w:noProof/>
        </w:rPr>
        <w:t>1</w:t>
      </w:r>
      <w:r w:rsidRPr="003160B9">
        <w:rPr>
          <w:i w:val="0"/>
          <w:iCs w:val="0"/>
        </w:rPr>
        <w:fldChar w:fldCharType="end"/>
      </w:r>
      <w:r w:rsidRPr="003160B9">
        <w:rPr>
          <w:i w:val="0"/>
          <w:iCs w:val="0"/>
        </w:rPr>
        <w:t>: Amazon.</w:t>
      </w:r>
      <w:bookmarkEnd w:id="1"/>
    </w:p>
    <w:p w14:paraId="4E645B5C" w14:textId="7D03E171" w:rsidR="003160B9" w:rsidRPr="003160B9" w:rsidRDefault="003160B9" w:rsidP="003160B9">
      <w:pPr>
        <w:pStyle w:val="Legend"/>
        <w:jc w:val="center"/>
        <w:rPr>
          <w:i w:val="0"/>
          <w:iCs w:val="0"/>
        </w:rPr>
      </w:pPr>
      <w:r w:rsidRPr="003160B9">
        <w:rPr>
          <w:i w:val="0"/>
          <w:iCs w:val="0"/>
        </w:rPr>
        <w:t xml:space="preserve"> (Source: https://www.reuters.com)</w:t>
      </w:r>
    </w:p>
    <w:p w14:paraId="168AC96D" w14:textId="77777777" w:rsidR="003F4565" w:rsidRDefault="003F4565">
      <w:pPr>
        <w:spacing w:after="160" w:line="278" w:lineRule="auto"/>
        <w:jc w:val="left"/>
      </w:pPr>
      <w:r>
        <w:br w:type="page"/>
      </w:r>
    </w:p>
    <w:p w14:paraId="1435D70D" w14:textId="23078150" w:rsidR="003F4565" w:rsidRDefault="003F4565" w:rsidP="00150F6F">
      <w:pPr>
        <w:pStyle w:val="Titlu1"/>
      </w:pPr>
      <w:bookmarkStart w:id="2" w:name="_Toc213074380"/>
      <w:r w:rsidRPr="003F4565">
        <w:lastRenderedPageBreak/>
        <w:t>2. Cost Analysis and Business Model</w:t>
      </w:r>
      <w:bookmarkEnd w:id="2"/>
    </w:p>
    <w:p w14:paraId="0E606517" w14:textId="2647312A" w:rsidR="003F4565" w:rsidRDefault="003F4565" w:rsidP="00150F6F">
      <w:pPr>
        <w:pStyle w:val="Titlu2"/>
      </w:pPr>
      <w:bookmarkStart w:id="3" w:name="_Toc213074381"/>
      <w:r w:rsidRPr="003F4565">
        <w:t>Revenue model</w:t>
      </w:r>
      <w:bookmarkEnd w:id="3"/>
    </w:p>
    <w:p w14:paraId="29CE5246" w14:textId="6EF8F94F" w:rsidR="003F4565" w:rsidRDefault="003F4565" w:rsidP="003F4565">
      <w:r>
        <w:t>At Amazon, the business model is designed on a very diversified revenue base where it combines retail, technology and service-based business</w:t>
      </w:r>
      <w:r w:rsidR="00F943F3">
        <w:t xml:space="preserve"> (</w:t>
      </w:r>
      <w:r w:rsidR="00F943F3" w:rsidRPr="00F943F3">
        <w:t>Locatelli, 2020</w:t>
      </w:r>
      <w:r w:rsidR="00F943F3">
        <w:t>)</w:t>
      </w:r>
      <w:r w:rsidR="00F943F3" w:rsidRPr="00F943F3">
        <w:t xml:space="preserve">. </w:t>
      </w:r>
      <w:r>
        <w:t xml:space="preserve">Its sources of revenue are through online </w:t>
      </w:r>
      <w:r w:rsidR="00594670">
        <w:t>store</w:t>
      </w:r>
      <w:r>
        <w:t xml:space="preserve"> sales (first-party retail), third-party seller services (commissions, logistics and fulfilments), Amazon Web Services (AWS), subscription services including Amazon Prime</w:t>
      </w:r>
      <w:r w:rsidR="00594670">
        <w:t>,</w:t>
      </w:r>
      <w:r>
        <w:t xml:space="preserve"> as well as advertising revenue. This diversification will assist in not relying on one segment</w:t>
      </w:r>
      <w:r w:rsidR="00594670">
        <w:t>,</w:t>
      </w:r>
      <w:r>
        <w:t xml:space="preserve"> as the cash flow will be continuous. First-party retail</w:t>
      </w:r>
      <w:r w:rsidR="00594670">
        <w:t>,</w:t>
      </w:r>
      <w:r>
        <w:t xml:space="preserve"> </w:t>
      </w:r>
      <w:r w:rsidR="00594670">
        <w:t>AWS</w:t>
      </w:r>
      <w:r>
        <w:t xml:space="preserve"> and advertising are high-margin businesses, and they have scalable digital services, which drive profitability, whereas the first-party retail is on relatively slimmer margins but brings significant sales </w:t>
      </w:r>
      <w:r w:rsidR="00594670">
        <w:t>volume</w:t>
      </w:r>
      <w:r>
        <w:t xml:space="preserve"> and customer interaction. Recurring revenues and customer loyalty: Subscription-based services create a reinforcement of other business lines by providing recurring income and improved customer loyalty. Management accounting is critical in measuring these various income sources to help the firm assess the profitability of segments, cost drivers</w:t>
      </w:r>
      <w:r w:rsidR="00594670">
        <w:t>,</w:t>
      </w:r>
      <w:r>
        <w:t xml:space="preserve"> as well as to </w:t>
      </w:r>
      <w:r w:rsidR="00594670">
        <w:t>optimise</w:t>
      </w:r>
      <w:r>
        <w:t xml:space="preserve"> the allocation of capital between growing and stagnant segments.</w:t>
      </w:r>
    </w:p>
    <w:p w14:paraId="3BC7F3F7" w14:textId="401CDB82" w:rsidR="003F4565" w:rsidRDefault="003F4565" w:rsidP="003F4565">
      <w:r>
        <w:t xml:space="preserve">Amazon has a cost structure that is an indication of its size and level of operations. The principal categories of costs are the cost of sales (procurement, production and distribution), fulfilment costs (warehousing, labour, transportation and returns), technology and content costs (R&amp;D, software development and data centre maintenance), marketing costs (advertising and customer acquisition) and general and administrative costs (corporate overheads as well as management salaries). Many </w:t>
      </w:r>
      <w:r w:rsidR="00594670">
        <w:t xml:space="preserve">of </w:t>
      </w:r>
      <w:r>
        <w:t>these expenditures have both a fixed and a variable component, which must be thoroughly examined to make financial decisions</w:t>
      </w:r>
      <w:r w:rsidR="003E0DBD">
        <w:t xml:space="preserve"> (</w:t>
      </w:r>
      <w:r w:rsidR="003E0DBD" w:rsidRPr="003E0DBD">
        <w:t>Jensen</w:t>
      </w:r>
      <w:r w:rsidR="003E0DBD">
        <w:t xml:space="preserve"> </w:t>
      </w:r>
      <w:r w:rsidR="003E0DBD" w:rsidRPr="003E0DBD">
        <w:t>and Meckling, 2019</w:t>
      </w:r>
      <w:r w:rsidR="003E0DBD">
        <w:t>)</w:t>
      </w:r>
      <w:r w:rsidR="003E0DBD" w:rsidRPr="003E0DBD">
        <w:t xml:space="preserve">. </w:t>
      </w:r>
    </w:p>
    <w:p w14:paraId="3D5353A5" w14:textId="6877DDFB" w:rsidR="003F4565" w:rsidRDefault="003F4565" w:rsidP="003F4565">
      <w:r w:rsidRPr="003F4565">
        <w:rPr>
          <w:b/>
          <w:bCs/>
        </w:rPr>
        <w:t>The fixed costs</w:t>
      </w:r>
      <w:r>
        <w:t xml:space="preserve"> include data centre depreciation, long-term lease payment of logistics and office buildings, automation systems and corporate administration</w:t>
      </w:r>
      <w:r w:rsidR="00A11815">
        <w:t xml:space="preserve"> (</w:t>
      </w:r>
      <w:r w:rsidR="00A11815" w:rsidRPr="00A11815">
        <w:t>Kaakkunen, 2023</w:t>
      </w:r>
      <w:r w:rsidR="00A11815">
        <w:t>)</w:t>
      </w:r>
      <w:r w:rsidR="00A11815" w:rsidRPr="00A11815">
        <w:t xml:space="preserve">. </w:t>
      </w:r>
      <w:r>
        <w:t>The basis of these capital-intensive investments is the support of the global logistics and cloud infrastructure in Amazon, which generates economies of scale and enhances margins with increasing sales volumes. Specifically, the large utilisation of fixed assets is beneficial to AWS as it helps to distribute the costs of infrastructure to a greater number of customers.</w:t>
      </w:r>
    </w:p>
    <w:p w14:paraId="40BCB071" w14:textId="77777777" w:rsidR="003F4565" w:rsidRDefault="003F4565" w:rsidP="003F4565"/>
    <w:p w14:paraId="21C9B9A4" w14:textId="001D10CA" w:rsidR="003F4565" w:rsidRDefault="003F4565" w:rsidP="003F4565">
      <w:r w:rsidRPr="003F4565">
        <w:rPr>
          <w:b/>
          <w:bCs/>
        </w:rPr>
        <w:lastRenderedPageBreak/>
        <w:t>Variable costs</w:t>
      </w:r>
      <w:r>
        <w:t xml:space="preserve">, on the other hand, are the costs that change as the amount of sales and the level of operational activity </w:t>
      </w:r>
      <w:r w:rsidR="00594670">
        <w:t>increase</w:t>
      </w:r>
      <w:r w:rsidR="00D95E03">
        <w:t xml:space="preserve"> (</w:t>
      </w:r>
      <w:r w:rsidR="00D95E03" w:rsidRPr="00D95E03">
        <w:t>Hertati</w:t>
      </w:r>
      <w:r w:rsidR="00D95E03">
        <w:t xml:space="preserve"> et al., </w:t>
      </w:r>
      <w:r w:rsidR="00D95E03" w:rsidRPr="00D95E03">
        <w:t>2022</w:t>
      </w:r>
      <w:r w:rsidR="00D95E03">
        <w:t>)</w:t>
      </w:r>
      <w:r w:rsidR="00D95E03" w:rsidRPr="00D95E03">
        <w:t xml:space="preserve">. </w:t>
      </w:r>
      <w:r>
        <w:t xml:space="preserve">These are packaging material, delivery and shipping costs, labour in </w:t>
      </w:r>
      <w:r w:rsidR="00594670">
        <w:t xml:space="preserve">the </w:t>
      </w:r>
      <w:r>
        <w:t>seasonal warehouse, and processing payment costs. Third-party seller volumes are associated with extra variable costs that are presented by Fulfilment by Amazon (FBA).</w:t>
      </w:r>
    </w:p>
    <w:p w14:paraId="103066AE" w14:textId="2CE4D53F" w:rsidR="003F4565" w:rsidRDefault="003F4565" w:rsidP="003F4565">
      <w:r>
        <w:t xml:space="preserve">Management accounting methods like the </w:t>
      </w:r>
      <w:r w:rsidRPr="003F4565">
        <w:rPr>
          <w:b/>
          <w:bCs/>
        </w:rPr>
        <w:t>Activity-Based Costing (ABC)</w:t>
      </w:r>
      <w:r>
        <w:t xml:space="preserve"> are necessary to calculate such costs in the best way to assign them to various operations</w:t>
      </w:r>
      <w:r w:rsidR="001673B4">
        <w:t xml:space="preserve"> (</w:t>
      </w:r>
      <w:r w:rsidR="001673B4" w:rsidRPr="001673B4">
        <w:t>Rexhepi</w:t>
      </w:r>
      <w:r w:rsidR="001673B4">
        <w:t xml:space="preserve"> et al., </w:t>
      </w:r>
      <w:r w:rsidR="001673B4" w:rsidRPr="001673B4">
        <w:t>2024</w:t>
      </w:r>
      <w:r w:rsidR="001673B4">
        <w:t>)</w:t>
      </w:r>
      <w:r w:rsidR="001673B4" w:rsidRPr="001673B4">
        <w:t xml:space="preserve">. </w:t>
      </w:r>
      <w:r>
        <w:t xml:space="preserve">ABC helps Amazon to allocate costs according to the real activities like packaging, picking and use of data instead of a broad average, providing an accurate measure of the profitability of each line or service. Cost-behaviour models are used in AWS to determine the influence of server utilisation on marginal costs, which are used in prices and internal transfer rates. </w:t>
      </w:r>
    </w:p>
    <w:p w14:paraId="69C69020" w14:textId="46006AEB" w:rsidR="00150F6F" w:rsidRDefault="00150F6F" w:rsidP="00150F6F">
      <w:pPr>
        <w:pStyle w:val="Titlu1"/>
      </w:pPr>
      <w:bookmarkStart w:id="4" w:name="_Toc213074382"/>
      <w:r w:rsidRPr="00150F6F">
        <w:t>3. Budgeting and Financial Planning</w:t>
      </w:r>
      <w:bookmarkEnd w:id="4"/>
    </w:p>
    <w:p w14:paraId="771F64A2" w14:textId="0F9FCB02" w:rsidR="00150F6F" w:rsidRDefault="00150F6F" w:rsidP="00150F6F">
      <w:r>
        <w:t xml:space="preserve">The budgeting and financial planning process of Amazon is an important element in its management accounting system, which connects strategic objectives, like market expansion, Amazon Web Services development, retention of Prime members, and cost efficiency, to financial and operational ones. The combination of annual budgets and rolling forecasts </w:t>
      </w:r>
      <w:r w:rsidR="00594670">
        <w:t>is</w:t>
      </w:r>
      <w:r>
        <w:t xml:space="preserve"> embraced by the company to achieve agility and responsiveness in a fast-changing global context</w:t>
      </w:r>
      <w:r w:rsidR="00DC4648">
        <w:t xml:space="preserve"> (</w:t>
      </w:r>
      <w:r w:rsidR="00DC4648" w:rsidRPr="00DC4648">
        <w:t>De Silva, 2025</w:t>
      </w:r>
      <w:r w:rsidR="00DC4648">
        <w:t>)</w:t>
      </w:r>
      <w:r w:rsidR="00DC4648" w:rsidRPr="00DC4648">
        <w:t xml:space="preserve">. </w:t>
      </w:r>
      <w:r>
        <w:t xml:space="preserve">The major variables that are used in the budgets include the volume of orders, average value of transactions, logistics capacity, investment in infrastructure, and innovation in technology. Management accounting instruments like zero-based budgeting (ZBB) of new fulfilment centre projects and flexible budgeting of AWS capacity planning can be used to align spending with the fluctuating demand and revenue flows. Rolling forecasts are applied to predict the deviation of </w:t>
      </w:r>
      <w:r w:rsidR="00594670">
        <w:t xml:space="preserve">the </w:t>
      </w:r>
      <w:r>
        <w:t xml:space="preserve">annual budget and make changes in accordance with </w:t>
      </w:r>
      <w:r w:rsidR="00594670">
        <w:t>real-time</w:t>
      </w:r>
      <w:r>
        <w:t xml:space="preserve"> financial and operating data to </w:t>
      </w:r>
      <w:r w:rsidR="00594670">
        <w:t>ensure</w:t>
      </w:r>
      <w:r>
        <w:t xml:space="preserve"> that spending is in sync with cash flow and profitability goals.</w:t>
      </w:r>
    </w:p>
    <w:p w14:paraId="5A72DE5F" w14:textId="03C9BD07" w:rsidR="00150F6F" w:rsidRDefault="00150F6F" w:rsidP="00150F6F">
      <w:pPr>
        <w:pStyle w:val="Titlu2"/>
      </w:pPr>
      <w:bookmarkStart w:id="5" w:name="_Toc213074383"/>
      <w:r w:rsidRPr="00150F6F">
        <w:t>Internal Managerial Actions</w:t>
      </w:r>
      <w:r>
        <w:t>:</w:t>
      </w:r>
      <w:bookmarkEnd w:id="5"/>
    </w:p>
    <w:p w14:paraId="7B66D20C" w14:textId="7A44BDCA" w:rsidR="00150F6F" w:rsidRDefault="00150F6F" w:rsidP="00150F6F">
      <w:pPr>
        <w:pStyle w:val="Listparagraf"/>
        <w:numPr>
          <w:ilvl w:val="0"/>
          <w:numId w:val="4"/>
        </w:numPr>
      </w:pPr>
      <w:r w:rsidRPr="00150F6F">
        <w:rPr>
          <w:b/>
          <w:bCs/>
        </w:rPr>
        <w:t>Rebuilding and Efficiency Enhancements:</w:t>
      </w:r>
      <w:r>
        <w:t xml:space="preserve"> In 2022, Amazon began organisational restructuring that would make things leaner and minimise </w:t>
      </w:r>
      <w:r w:rsidR="00DC4F9D">
        <w:t>overheads</w:t>
      </w:r>
      <w:r w:rsidR="00DD1673">
        <w:t xml:space="preserve"> (</w:t>
      </w:r>
      <w:r w:rsidR="00DD1673" w:rsidRPr="00DD1673">
        <w:t>Moody, 2025</w:t>
      </w:r>
      <w:r w:rsidR="00DD1673">
        <w:t>)</w:t>
      </w:r>
      <w:r w:rsidR="00DD1673" w:rsidRPr="00DD1673">
        <w:t xml:space="preserve">. </w:t>
      </w:r>
    </w:p>
    <w:p w14:paraId="1E5B4F5F" w14:textId="501BDD06" w:rsidR="00150F6F" w:rsidRDefault="00150F6F" w:rsidP="00150F6F">
      <w:pPr>
        <w:pStyle w:val="Listparagraf"/>
        <w:numPr>
          <w:ilvl w:val="0"/>
          <w:numId w:val="4"/>
        </w:numPr>
      </w:pPr>
      <w:r w:rsidRPr="00150F6F">
        <w:rPr>
          <w:b/>
          <w:bCs/>
        </w:rPr>
        <w:lastRenderedPageBreak/>
        <w:t>Automation and Technology Investments:</w:t>
      </w:r>
      <w:r>
        <w:t xml:space="preserve"> Fulfilment centre automation (robotics, AI-based demand forecasting) lowered the unit cost of handling, labour reliance, and enabled it to compensate for wage pressures due to inflation</w:t>
      </w:r>
      <w:r w:rsidR="00A669CA">
        <w:t xml:space="preserve"> (</w:t>
      </w:r>
      <w:r w:rsidR="00A669CA" w:rsidRPr="00A669CA">
        <w:t>Patil,</w:t>
      </w:r>
      <w:r w:rsidR="00A669CA">
        <w:t xml:space="preserve"> </w:t>
      </w:r>
      <w:r w:rsidR="00A669CA" w:rsidRPr="00A669CA">
        <w:t>2024</w:t>
      </w:r>
      <w:r w:rsidR="00A669CA">
        <w:t>).</w:t>
      </w:r>
    </w:p>
    <w:p w14:paraId="235FB6BF" w14:textId="5EB892F5" w:rsidR="00150F6F" w:rsidRDefault="00150F6F" w:rsidP="00150F6F">
      <w:pPr>
        <w:pStyle w:val="Listparagraf"/>
        <w:numPr>
          <w:ilvl w:val="0"/>
          <w:numId w:val="4"/>
        </w:numPr>
      </w:pPr>
      <w:r w:rsidRPr="00150F6F">
        <w:rPr>
          <w:b/>
          <w:bCs/>
        </w:rPr>
        <w:t>Move to More High Margin Segments:</w:t>
      </w:r>
      <w:r>
        <w:t xml:space="preserve"> The budgeting process focused on more investments in AWS and advertising</w:t>
      </w:r>
      <w:r w:rsidR="00594670">
        <w:t>,</w:t>
      </w:r>
      <w:r>
        <w:t xml:space="preserve"> which </w:t>
      </w:r>
      <w:r w:rsidR="00594670">
        <w:t>have</w:t>
      </w:r>
      <w:r>
        <w:t xml:space="preserve"> a greater operating margin than first-party retail. </w:t>
      </w:r>
    </w:p>
    <w:p w14:paraId="5A5E40B7" w14:textId="40CEF458" w:rsidR="00150F6F" w:rsidRDefault="00150F6F" w:rsidP="00150F6F">
      <w:pPr>
        <w:pStyle w:val="Listparagraf"/>
        <w:numPr>
          <w:ilvl w:val="0"/>
          <w:numId w:val="4"/>
        </w:numPr>
      </w:pPr>
      <w:r w:rsidRPr="00150F6F">
        <w:rPr>
          <w:b/>
          <w:bCs/>
        </w:rPr>
        <w:t>Cost Discipline and Variance Control:</w:t>
      </w:r>
      <w:r>
        <w:t xml:space="preserve"> Amazon used the analysis of variability to track the variance against budgets. Root-cause analysis was used by the management when actual fulfilment costs were higher than planned ones to define inefficiencies and </w:t>
      </w:r>
      <w:r w:rsidR="00594670">
        <w:t>take</w:t>
      </w:r>
      <w:r>
        <w:t xml:space="preserve"> corrective actions either by improving the logistics or renegotiating supplier contracts.</w:t>
      </w:r>
    </w:p>
    <w:p w14:paraId="5606C1A3" w14:textId="2B904B48" w:rsidR="00150F6F" w:rsidRDefault="00150F6F" w:rsidP="00150F6F">
      <w:pPr>
        <w:pStyle w:val="Titlu2"/>
      </w:pPr>
      <w:bookmarkStart w:id="6" w:name="_Toc213074384"/>
      <w:r>
        <w:t>Macroeconomic Factors:</w:t>
      </w:r>
      <w:bookmarkEnd w:id="6"/>
    </w:p>
    <w:p w14:paraId="5C3F6AB9" w14:textId="6D2FDDC6" w:rsidR="00150F6F" w:rsidRDefault="00150F6F" w:rsidP="00150F6F">
      <w:pPr>
        <w:pStyle w:val="Listparagraf"/>
        <w:numPr>
          <w:ilvl w:val="0"/>
          <w:numId w:val="2"/>
        </w:numPr>
      </w:pPr>
      <w:r w:rsidRPr="00150F6F">
        <w:rPr>
          <w:b/>
          <w:bCs/>
        </w:rPr>
        <w:t>Inflationary Pressures:</w:t>
      </w:r>
      <w:r>
        <w:t xml:space="preserve"> The increase in costs of global labour and fuel in 20232024 had effects on variable costs of shipping, packaging and energy usage</w:t>
      </w:r>
      <w:r w:rsidR="002B701D">
        <w:t xml:space="preserve"> (</w:t>
      </w:r>
      <w:r w:rsidR="002B701D" w:rsidRPr="002B701D">
        <w:t>Majeed, 2025</w:t>
      </w:r>
      <w:r w:rsidR="002B701D">
        <w:t>)</w:t>
      </w:r>
      <w:r w:rsidR="002B701D" w:rsidRPr="002B701D">
        <w:t xml:space="preserve">. </w:t>
      </w:r>
      <w:r>
        <w:t xml:space="preserve">Amazon also realigned the budgets to reflect increased input </w:t>
      </w:r>
      <w:r w:rsidR="00594670">
        <w:t>costs</w:t>
      </w:r>
      <w:r>
        <w:t xml:space="preserve"> to take advantage of economies of scale in defending the margins.</w:t>
      </w:r>
    </w:p>
    <w:p w14:paraId="53654222" w14:textId="3F81E9CF" w:rsidR="00150F6F" w:rsidRDefault="00150F6F" w:rsidP="00150F6F">
      <w:pPr>
        <w:pStyle w:val="Listparagraf"/>
        <w:numPr>
          <w:ilvl w:val="0"/>
          <w:numId w:val="2"/>
        </w:numPr>
      </w:pPr>
      <w:r w:rsidRPr="00150F6F">
        <w:rPr>
          <w:b/>
          <w:bCs/>
        </w:rPr>
        <w:t>Supply Chain Volatility:</w:t>
      </w:r>
      <w:r>
        <w:t xml:space="preserve"> </w:t>
      </w:r>
      <w:r w:rsidR="00594670">
        <w:t>Worldwide</w:t>
      </w:r>
      <w:r>
        <w:t xml:space="preserve"> uncertainties and fluctuations in freight costs affected fulfilment and procurement budgets, which triggered scenario-based forecasting to reduce the risk exposures.</w:t>
      </w:r>
    </w:p>
    <w:p w14:paraId="18017FF9" w14:textId="439C32C8" w:rsidR="00150F6F" w:rsidRDefault="00150F6F" w:rsidP="00150F6F">
      <w:pPr>
        <w:pStyle w:val="Listparagraf"/>
        <w:numPr>
          <w:ilvl w:val="0"/>
          <w:numId w:val="2"/>
        </w:numPr>
      </w:pPr>
      <w:r w:rsidRPr="00150F6F">
        <w:rPr>
          <w:b/>
          <w:bCs/>
        </w:rPr>
        <w:t>Digital Transformation and Cloud Demand:</w:t>
      </w:r>
      <w:r>
        <w:t xml:space="preserve"> The increasing corporate need </w:t>
      </w:r>
      <w:r w:rsidR="00594670">
        <w:t>for</w:t>
      </w:r>
      <w:r>
        <w:t xml:space="preserve"> AWS services </w:t>
      </w:r>
      <w:r w:rsidR="00594670">
        <w:t xml:space="preserve">has </w:t>
      </w:r>
      <w:r>
        <w:t>enhanced the utilisation of fixed infrastructure</w:t>
      </w:r>
      <w:r w:rsidR="00594670">
        <w:t>,</w:t>
      </w:r>
      <w:r>
        <w:t xml:space="preserve"> </w:t>
      </w:r>
      <w:r w:rsidR="00594670">
        <w:t>which</w:t>
      </w:r>
      <w:r>
        <w:t xml:space="preserve"> enhances cost absorption and profitability</w:t>
      </w:r>
      <w:r w:rsidR="00412D7F">
        <w:t xml:space="preserve"> (</w:t>
      </w:r>
      <w:r w:rsidR="00A3784E" w:rsidRPr="00412D7F">
        <w:t>Naseer,</w:t>
      </w:r>
      <w:r w:rsidR="00A3784E">
        <w:t xml:space="preserve"> 2023</w:t>
      </w:r>
      <w:r w:rsidR="00412D7F">
        <w:t>)</w:t>
      </w:r>
      <w:r w:rsidR="00412D7F" w:rsidRPr="00412D7F">
        <w:t xml:space="preserve">. </w:t>
      </w:r>
    </w:p>
    <w:p w14:paraId="1CCBFB5D" w14:textId="4D01B43F" w:rsidR="00150F6F" w:rsidRDefault="00150F6F" w:rsidP="00150F6F">
      <w:pPr>
        <w:pStyle w:val="Listparagraf"/>
        <w:numPr>
          <w:ilvl w:val="0"/>
          <w:numId w:val="2"/>
        </w:numPr>
      </w:pPr>
      <w:r w:rsidRPr="00150F6F">
        <w:rPr>
          <w:b/>
          <w:bCs/>
        </w:rPr>
        <w:t>Currency Swings and Interest Rates:</w:t>
      </w:r>
      <w:r>
        <w:t xml:space="preserve"> The exchange </w:t>
      </w:r>
      <w:r w:rsidR="00594670">
        <w:t>rate</w:t>
      </w:r>
      <w:r>
        <w:t xml:space="preserve"> volatility and increased interest expenses affected international business, and Amazon had to include hedging and financial planning processes in its budgets.</w:t>
      </w:r>
    </w:p>
    <w:p w14:paraId="5D94B6BA" w14:textId="446082D2" w:rsidR="00150F6F" w:rsidRDefault="00150F6F" w:rsidP="00150F6F">
      <w:r>
        <w:t xml:space="preserve">Overall, it can be concluded that budgeting and financial planning at Amazon </w:t>
      </w:r>
      <w:r w:rsidR="00594670">
        <w:t>are</w:t>
      </w:r>
      <w:r>
        <w:t xml:space="preserve"> closely connected with management accounting systems that enable the </w:t>
      </w:r>
      <w:r w:rsidR="00594670">
        <w:t>organisation</w:t>
      </w:r>
      <w:r>
        <w:t xml:space="preserve"> to constantly monitor financial performance. </w:t>
      </w:r>
    </w:p>
    <w:p w14:paraId="5433DE93" w14:textId="77777777" w:rsidR="00A3784E" w:rsidRDefault="00A3784E">
      <w:pPr>
        <w:spacing w:after="160" w:line="278" w:lineRule="auto"/>
        <w:jc w:val="left"/>
        <w:rPr>
          <w:rFonts w:eastAsia="Calibri" w:cstheme="minorHAnsi"/>
          <w:b/>
          <w:kern w:val="2"/>
          <w:sz w:val="36"/>
          <w:szCs w:val="28"/>
          <w:lang w:val="en-US"/>
          <w14:ligatures w14:val="standardContextual"/>
        </w:rPr>
      </w:pPr>
      <w:r>
        <w:br w:type="page"/>
      </w:r>
    </w:p>
    <w:p w14:paraId="0C7CE444" w14:textId="6AC64AE3" w:rsidR="00150F6F" w:rsidRDefault="00150F6F" w:rsidP="003C4CE4">
      <w:pPr>
        <w:pStyle w:val="Titlu1"/>
      </w:pPr>
      <w:bookmarkStart w:id="7" w:name="_Toc213074385"/>
      <w:r w:rsidRPr="00150F6F">
        <w:t>4. Performance Measurement and Decision-Making</w:t>
      </w:r>
      <w:bookmarkEnd w:id="7"/>
    </w:p>
    <w:p w14:paraId="0AA04B20" w14:textId="77777777" w:rsidR="00EB69F7" w:rsidRDefault="00A3784E" w:rsidP="00EB69F7">
      <w:pPr>
        <w:keepNext/>
        <w:jc w:val="center"/>
      </w:pPr>
      <w:r>
        <w:rPr>
          <w:noProof/>
          <w:lang w:val="en-US"/>
          <w14:ligatures w14:val="standardContextual"/>
        </w:rPr>
        <w:drawing>
          <wp:inline distT="0" distB="0" distL="0" distR="0" wp14:anchorId="1D84B2CA" wp14:editId="41ABAA52">
            <wp:extent cx="3219450" cy="2038350"/>
            <wp:effectExtent l="0" t="0" r="0" b="38100"/>
            <wp:docPr id="22537031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DDD9D01" w14:textId="77FC5425" w:rsidR="00EB69F7" w:rsidRPr="00EB69F7" w:rsidRDefault="00EB69F7" w:rsidP="00EB69F7">
      <w:pPr>
        <w:pStyle w:val="Legend"/>
        <w:jc w:val="center"/>
        <w:rPr>
          <w:i w:val="0"/>
          <w:iCs w:val="0"/>
        </w:rPr>
      </w:pPr>
      <w:bookmarkStart w:id="8" w:name="_Toc213073750"/>
      <w:r w:rsidRPr="00EB69F7">
        <w:rPr>
          <w:i w:val="0"/>
          <w:iCs w:val="0"/>
        </w:rPr>
        <w:t xml:space="preserve">Figure </w:t>
      </w:r>
      <w:r w:rsidRPr="00EB69F7">
        <w:rPr>
          <w:i w:val="0"/>
          <w:iCs w:val="0"/>
        </w:rPr>
        <w:fldChar w:fldCharType="begin"/>
      </w:r>
      <w:r w:rsidRPr="00EB69F7">
        <w:rPr>
          <w:i w:val="0"/>
          <w:iCs w:val="0"/>
        </w:rPr>
        <w:instrText xml:space="preserve"> SEQ Figure \* ARABIC </w:instrText>
      </w:r>
      <w:r w:rsidRPr="00EB69F7">
        <w:rPr>
          <w:i w:val="0"/>
          <w:iCs w:val="0"/>
        </w:rPr>
        <w:fldChar w:fldCharType="separate"/>
      </w:r>
      <w:r>
        <w:rPr>
          <w:i w:val="0"/>
          <w:iCs w:val="0"/>
          <w:noProof/>
        </w:rPr>
        <w:t>2</w:t>
      </w:r>
      <w:r w:rsidRPr="00EB69F7">
        <w:rPr>
          <w:i w:val="0"/>
          <w:iCs w:val="0"/>
        </w:rPr>
        <w:fldChar w:fldCharType="end"/>
      </w:r>
      <w:r w:rsidRPr="00EB69F7">
        <w:rPr>
          <w:i w:val="0"/>
          <w:iCs w:val="0"/>
        </w:rPr>
        <w:t>: Performance Measurement and Decision-Making</w:t>
      </w:r>
      <w:bookmarkEnd w:id="8"/>
      <w:r w:rsidRPr="00EB69F7">
        <w:rPr>
          <w:i w:val="0"/>
          <w:iCs w:val="0"/>
        </w:rPr>
        <w:t xml:space="preserve"> </w:t>
      </w:r>
    </w:p>
    <w:p w14:paraId="2EC41BD1" w14:textId="4A88D198" w:rsidR="00A3784E" w:rsidRPr="00EB69F7" w:rsidRDefault="00EB69F7" w:rsidP="00EB69F7">
      <w:pPr>
        <w:pStyle w:val="Legend"/>
        <w:jc w:val="center"/>
        <w:rPr>
          <w:i w:val="0"/>
          <w:iCs w:val="0"/>
          <w:lang w:val="en-US"/>
        </w:rPr>
      </w:pPr>
      <w:r w:rsidRPr="00EB69F7">
        <w:rPr>
          <w:i w:val="0"/>
          <w:iCs w:val="0"/>
        </w:rPr>
        <w:t>(Source: Author, 2025)</w:t>
      </w:r>
    </w:p>
    <w:p w14:paraId="2E4DCA17" w14:textId="77777777" w:rsidR="00150F6F" w:rsidRDefault="00150F6F" w:rsidP="003C4CE4">
      <w:pPr>
        <w:pStyle w:val="Titlu1"/>
      </w:pPr>
      <w:bookmarkStart w:id="9" w:name="_Toc213074386"/>
      <w:r w:rsidRPr="00150F6F">
        <w:t>Selected KPIs</w:t>
      </w:r>
      <w:bookmarkEnd w:id="9"/>
    </w:p>
    <w:p w14:paraId="79B17FF9" w14:textId="2A569204" w:rsidR="003C4CE4" w:rsidRPr="003C4CE4" w:rsidRDefault="003C4CE4" w:rsidP="003C4CE4">
      <w:pPr>
        <w:rPr>
          <w:lang w:val="en-US"/>
        </w:rPr>
      </w:pPr>
      <w:r w:rsidRPr="003C4CE4">
        <w:rPr>
          <w:lang w:val="en-US"/>
        </w:rPr>
        <w:t>The performance measurement in Amazon is an important aspect of management accounting, through which the organisation can determine the efficiency of operations, profitability and strategic development in the different business segments. The combination of both financial and non-financial Key Performance Indicators (KPIs) is employed within the company to measure performance, review the results of decisions, as well as future strategies. Such metrics are assessed in a timely manner using sophisticated data analytics dashboards and financial reporting frameworks, and all decisions are made based on valid and updated information</w:t>
      </w:r>
      <w:r w:rsidR="00435F50">
        <w:rPr>
          <w:lang w:val="en-US"/>
        </w:rPr>
        <w:t xml:space="preserve"> (</w:t>
      </w:r>
      <w:r w:rsidR="00435F50" w:rsidRPr="00435F50">
        <w:t>Basiru</w:t>
      </w:r>
      <w:r w:rsidR="00435F50">
        <w:t xml:space="preserve"> et al.,</w:t>
      </w:r>
      <w:r w:rsidR="00435F50" w:rsidRPr="00435F50">
        <w:t xml:space="preserve"> 2023</w:t>
      </w:r>
      <w:r w:rsidR="00435F50">
        <w:t>)</w:t>
      </w:r>
      <w:r w:rsidR="00435F50" w:rsidRPr="00435F50">
        <w:t xml:space="preserve">. </w:t>
      </w:r>
    </w:p>
    <w:p w14:paraId="4CA6698E" w14:textId="77777777" w:rsidR="003C4CE4" w:rsidRPr="003C4CE4" w:rsidRDefault="003C4CE4" w:rsidP="003C4CE4">
      <w:pPr>
        <w:pStyle w:val="Titlu2"/>
      </w:pPr>
      <w:bookmarkStart w:id="10" w:name="_Toc213074387"/>
      <w:r w:rsidRPr="003C4CE4">
        <w:t>1. Revenue (Total Revenue, Year-on-Year)</w:t>
      </w:r>
      <w:bookmarkEnd w:id="10"/>
    </w:p>
    <w:p w14:paraId="272C4740" w14:textId="46FB2A43" w:rsidR="003C4CE4" w:rsidRPr="003C4CE4" w:rsidRDefault="003C4CE4" w:rsidP="003C4CE4">
      <w:pPr>
        <w:rPr>
          <w:lang w:val="en-US"/>
        </w:rPr>
      </w:pPr>
      <w:r w:rsidRPr="003C4CE4">
        <w:rPr>
          <w:lang w:val="en-US"/>
        </w:rPr>
        <w:t>The development of revenues is still the main indicator of the performance of Amazon on the market and its rivalry strength. Amazon is experiencing significant growth in revenues in all major divisions in 2024, especially AWS and advertising, as the world is increasingly needing to move to cloud-based services and digital marketing tools. Trend analysis and variance analysis are management accounting tools that are useful in the determination of the deviation between actual and predicted revenue</w:t>
      </w:r>
      <w:r w:rsidR="00245D65">
        <w:rPr>
          <w:lang w:val="en-US"/>
        </w:rPr>
        <w:t xml:space="preserve"> (</w:t>
      </w:r>
      <w:r w:rsidR="00245D65" w:rsidRPr="00245D65">
        <w:t>Spraakman</w:t>
      </w:r>
      <w:r w:rsidR="00245D65">
        <w:t xml:space="preserve"> et al., </w:t>
      </w:r>
      <w:r w:rsidR="00245D65" w:rsidRPr="00245D65">
        <w:t>2021</w:t>
      </w:r>
      <w:r w:rsidR="00245D65">
        <w:t>)</w:t>
      </w:r>
      <w:r w:rsidR="00245D65" w:rsidRPr="00245D65">
        <w:t xml:space="preserve">. </w:t>
      </w:r>
    </w:p>
    <w:p w14:paraId="30EFDE41" w14:textId="77777777" w:rsidR="003C4CE4" w:rsidRPr="003C4CE4" w:rsidRDefault="003C4CE4" w:rsidP="003C4CE4">
      <w:pPr>
        <w:pStyle w:val="Titlu2"/>
      </w:pPr>
      <w:bookmarkStart w:id="11" w:name="_Toc213074388"/>
      <w:r w:rsidRPr="003C4CE4">
        <w:t>2. Operating Margin and Operating Income.</w:t>
      </w:r>
      <w:bookmarkEnd w:id="11"/>
    </w:p>
    <w:p w14:paraId="7D2E35F5" w14:textId="3E818E34" w:rsidR="003C4CE4" w:rsidRPr="003C4CE4" w:rsidRDefault="003C4CE4" w:rsidP="003C4CE4">
      <w:pPr>
        <w:rPr>
          <w:lang w:val="en-US"/>
        </w:rPr>
      </w:pPr>
      <w:r w:rsidRPr="003C4CE4">
        <w:rPr>
          <w:lang w:val="en-US"/>
        </w:rPr>
        <w:t xml:space="preserve">Operating income shows the efficiency of Amazon in </w:t>
      </w:r>
      <w:r w:rsidR="00594670">
        <w:rPr>
          <w:lang w:val="en-US"/>
        </w:rPr>
        <w:t>realising</w:t>
      </w:r>
      <w:r w:rsidRPr="003C4CE4">
        <w:rPr>
          <w:lang w:val="en-US"/>
        </w:rPr>
        <w:t xml:space="preserve"> income into profit after deduction of operating expenses</w:t>
      </w:r>
      <w:r w:rsidR="00035A58">
        <w:rPr>
          <w:lang w:val="en-US"/>
        </w:rPr>
        <w:t xml:space="preserve"> (</w:t>
      </w:r>
      <w:r w:rsidR="00035A58" w:rsidRPr="00035A58">
        <w:t>Cho, 2019</w:t>
      </w:r>
      <w:r w:rsidR="00035A58">
        <w:t>)</w:t>
      </w:r>
      <w:r w:rsidR="00035A58" w:rsidRPr="00035A58">
        <w:t xml:space="preserve">. </w:t>
      </w:r>
      <w:r w:rsidRPr="003C4CE4">
        <w:rPr>
          <w:lang w:val="en-US"/>
        </w:rPr>
        <w:t xml:space="preserve"> In 2024, the operating income went up tremendously because of efficiency, automation and increased AWS profitability. </w:t>
      </w:r>
      <w:r w:rsidR="00DC4F9D" w:rsidRPr="003C4CE4">
        <w:rPr>
          <w:lang w:val="en-US"/>
        </w:rPr>
        <w:t>Monitoring</w:t>
      </w:r>
      <w:r w:rsidRPr="003C4CE4">
        <w:rPr>
          <w:lang w:val="en-US"/>
        </w:rPr>
        <w:t xml:space="preserve"> operations margins will enable Amazon to know which parts of the business are making the most contributions towards financial performance. </w:t>
      </w:r>
    </w:p>
    <w:p w14:paraId="4C8C1409" w14:textId="77777777" w:rsidR="003C4CE4" w:rsidRPr="003C4CE4" w:rsidRDefault="003C4CE4" w:rsidP="003C4CE4">
      <w:pPr>
        <w:pStyle w:val="Titlu2"/>
      </w:pPr>
      <w:bookmarkStart w:id="12" w:name="_Toc213074389"/>
      <w:r w:rsidRPr="003C4CE4">
        <w:t>3. Free Cash Flow and Operating Cash Flow.</w:t>
      </w:r>
      <w:bookmarkEnd w:id="12"/>
    </w:p>
    <w:p w14:paraId="34E97A68" w14:textId="01EB6E37" w:rsidR="003C4CE4" w:rsidRPr="003C4CE4" w:rsidRDefault="003C4CE4" w:rsidP="003C4CE4">
      <w:pPr>
        <w:rPr>
          <w:lang w:val="en-US"/>
        </w:rPr>
      </w:pPr>
      <w:r w:rsidRPr="003C4CE4">
        <w:rPr>
          <w:lang w:val="en-US"/>
        </w:rPr>
        <w:t xml:space="preserve">The high cash flow is essential in the funding of capital-intensive projects like fulfilment centres and data </w:t>
      </w:r>
      <w:r w:rsidR="00594670">
        <w:rPr>
          <w:lang w:val="en-US"/>
        </w:rPr>
        <w:t>centres</w:t>
      </w:r>
      <w:r w:rsidR="00CA0E4D">
        <w:rPr>
          <w:lang w:val="en-US"/>
        </w:rPr>
        <w:t xml:space="preserve"> (</w:t>
      </w:r>
      <w:r w:rsidR="00CA0E4D" w:rsidRPr="00CA0E4D">
        <w:t>Emanuelsson, 2024</w:t>
      </w:r>
      <w:r w:rsidR="00CA0E4D">
        <w:t>)</w:t>
      </w:r>
      <w:r w:rsidR="00CA0E4D" w:rsidRPr="00CA0E4D">
        <w:t>. </w:t>
      </w:r>
      <w:r w:rsidRPr="003C4CE4">
        <w:rPr>
          <w:lang w:val="en-US"/>
        </w:rPr>
        <w:t>Amazon recorded strong growth in operating cash flow in the year 2024, which is an indication of better management of working capital and increased profitability. Management accounting also assists in cash budgeting and liquidity planning</w:t>
      </w:r>
      <w:r w:rsidR="00594670">
        <w:rPr>
          <w:lang w:val="en-US"/>
        </w:rPr>
        <w:t>,</w:t>
      </w:r>
      <w:r w:rsidRPr="003C4CE4">
        <w:rPr>
          <w:lang w:val="en-US"/>
        </w:rPr>
        <w:t xml:space="preserve"> whereby the free cash flow is maximally used in reinvestment, debt reduction and shareholder returns. </w:t>
      </w:r>
    </w:p>
    <w:p w14:paraId="1C10F10D" w14:textId="77777777" w:rsidR="003C4CE4" w:rsidRPr="003C4CE4" w:rsidRDefault="003C4CE4" w:rsidP="003C4CE4">
      <w:pPr>
        <w:pStyle w:val="Titlu2"/>
      </w:pPr>
      <w:bookmarkStart w:id="13" w:name="_Toc213074390"/>
      <w:r w:rsidRPr="003C4CE4">
        <w:t>4. AWS Operating Margin and Income.</w:t>
      </w:r>
      <w:bookmarkEnd w:id="13"/>
    </w:p>
    <w:p w14:paraId="50FC3825" w14:textId="3C1AFEBA" w:rsidR="003C4CE4" w:rsidRPr="003C4CE4" w:rsidRDefault="003C4CE4" w:rsidP="003C4CE4">
      <w:pPr>
        <w:rPr>
          <w:lang w:val="en-US"/>
        </w:rPr>
      </w:pPr>
      <w:r w:rsidRPr="003C4CE4">
        <w:rPr>
          <w:lang w:val="en-US"/>
        </w:rPr>
        <w:t xml:space="preserve">AWS is the major </w:t>
      </w:r>
      <w:r w:rsidR="00594670">
        <w:rPr>
          <w:lang w:val="en-US"/>
        </w:rPr>
        <w:t>profit-generating</w:t>
      </w:r>
      <w:r w:rsidRPr="003C4CE4">
        <w:rPr>
          <w:lang w:val="en-US"/>
        </w:rPr>
        <w:t xml:space="preserve"> unit of Amazon</w:t>
      </w:r>
      <w:r w:rsidR="00594670">
        <w:rPr>
          <w:lang w:val="en-US"/>
        </w:rPr>
        <w:t>,</w:t>
      </w:r>
      <w:r w:rsidRPr="003C4CE4">
        <w:rPr>
          <w:lang w:val="en-US"/>
        </w:rPr>
        <w:t xml:space="preserve"> with </w:t>
      </w:r>
      <w:r w:rsidR="00594670">
        <w:rPr>
          <w:lang w:val="en-US"/>
        </w:rPr>
        <w:t xml:space="preserve">a </w:t>
      </w:r>
      <w:r w:rsidRPr="003C4CE4">
        <w:rPr>
          <w:lang w:val="en-US"/>
        </w:rPr>
        <w:t xml:space="preserve">margin always high in comparison to retail. Management accounting is used to </w:t>
      </w:r>
      <w:r w:rsidR="00594670">
        <w:rPr>
          <w:lang w:val="en-US"/>
        </w:rPr>
        <w:t>ensure</w:t>
      </w:r>
      <w:r w:rsidRPr="003C4CE4">
        <w:rPr>
          <w:lang w:val="en-US"/>
        </w:rPr>
        <w:t xml:space="preserve"> that the internal transfer pricing, cost allocation and utilisation measures are properly measured. </w:t>
      </w:r>
    </w:p>
    <w:p w14:paraId="3DD9B3B3" w14:textId="77777777" w:rsidR="003C4CE4" w:rsidRPr="003C4CE4" w:rsidRDefault="003C4CE4" w:rsidP="003C4CE4">
      <w:pPr>
        <w:pStyle w:val="Titlu2"/>
      </w:pPr>
      <w:bookmarkStart w:id="14" w:name="_Toc213074391"/>
      <w:r w:rsidRPr="003C4CE4">
        <w:t>5. Best Membership and Customer Retention Metrics.</w:t>
      </w:r>
      <w:bookmarkEnd w:id="14"/>
    </w:p>
    <w:p w14:paraId="63CFC10D" w14:textId="1803F8CA" w:rsidR="003C4CE4" w:rsidRPr="003C4CE4" w:rsidRDefault="003C4CE4" w:rsidP="003C4CE4">
      <w:pPr>
        <w:rPr>
          <w:lang w:val="en-US"/>
        </w:rPr>
      </w:pPr>
      <w:r w:rsidRPr="003C4CE4">
        <w:rPr>
          <w:lang w:val="en-US"/>
        </w:rPr>
        <w:t>Long-term revenues and brand loyalty are directly influenced by the number of Prime members, retention rates and the level of customer satisfaction as non-financial KPIs</w:t>
      </w:r>
      <w:r w:rsidR="007C154E">
        <w:rPr>
          <w:lang w:val="en-US"/>
        </w:rPr>
        <w:t xml:space="preserve"> </w:t>
      </w:r>
      <w:r w:rsidR="00B24D49">
        <w:rPr>
          <w:lang w:val="en-US"/>
        </w:rPr>
        <w:t>(</w:t>
      </w:r>
      <w:r w:rsidR="007C154E" w:rsidRPr="00B24D49">
        <w:t>Shah, 2024</w:t>
      </w:r>
      <w:r w:rsidR="00B24D49">
        <w:t>)</w:t>
      </w:r>
      <w:r w:rsidR="00B24D49" w:rsidRPr="00B24D49">
        <w:t>. </w:t>
      </w:r>
      <w:r w:rsidRPr="003C4CE4">
        <w:rPr>
          <w:lang w:val="en-US"/>
        </w:rPr>
        <w:t xml:space="preserve"> Management accounting combines these indicators and financial data to assess the success of pricing strategies and promotion campaigns.</w:t>
      </w:r>
    </w:p>
    <w:p w14:paraId="46F89833" w14:textId="148174F1" w:rsidR="00150F6F" w:rsidRDefault="003C4CE4" w:rsidP="003C4CE4">
      <w:pPr>
        <w:rPr>
          <w:lang w:val="en-US"/>
        </w:rPr>
      </w:pPr>
      <w:r w:rsidRPr="003C4CE4">
        <w:rPr>
          <w:lang w:val="en-US"/>
        </w:rPr>
        <w:t xml:space="preserve">In general, the performance measurement system adopted by Amazon combines both financial and operational key performance indicators, and it enables the managers to make evidence-based decisions. This will enhance accountability, ongoing enhancement, and </w:t>
      </w:r>
      <w:r w:rsidR="00594670">
        <w:rPr>
          <w:lang w:val="en-US"/>
        </w:rPr>
        <w:t>standardisation</w:t>
      </w:r>
      <w:r w:rsidRPr="003C4CE4">
        <w:rPr>
          <w:lang w:val="en-US"/>
        </w:rPr>
        <w:t xml:space="preserve"> of strategic initiatives and shareholder value creation in the long run.</w:t>
      </w:r>
    </w:p>
    <w:p w14:paraId="35305B48" w14:textId="067390BF" w:rsidR="003C4CE4" w:rsidRDefault="003C4CE4" w:rsidP="003C4CE4">
      <w:pPr>
        <w:pStyle w:val="Titlu1"/>
      </w:pPr>
      <w:bookmarkStart w:id="15" w:name="_Toc213074392"/>
      <w:r w:rsidRPr="003C4CE4">
        <w:t>5. Sustainability and Ethical Considerations (300 words)</w:t>
      </w:r>
      <w:bookmarkEnd w:id="15"/>
    </w:p>
    <w:p w14:paraId="3815E079" w14:textId="23FDC903" w:rsidR="003C4CE4" w:rsidRPr="003C4CE4" w:rsidRDefault="003C4CE4" w:rsidP="003C4CE4">
      <w:pPr>
        <w:rPr>
          <w:lang w:val="en-US"/>
        </w:rPr>
      </w:pPr>
      <w:r w:rsidRPr="003C4CE4">
        <w:rPr>
          <w:lang w:val="en-US"/>
        </w:rPr>
        <w:t xml:space="preserve">Amazon has also developed a trend of integrating sustainability in both financial and operational </w:t>
      </w:r>
      <w:r w:rsidR="00DC4F9D" w:rsidRPr="003C4CE4">
        <w:rPr>
          <w:lang w:val="en-US"/>
        </w:rPr>
        <w:t>decision-making</w:t>
      </w:r>
      <w:r w:rsidRPr="003C4CE4">
        <w:rPr>
          <w:lang w:val="en-US"/>
        </w:rPr>
        <w:t xml:space="preserve"> processes because the company has realised that sustainability in the </w:t>
      </w:r>
      <w:r w:rsidR="00594670">
        <w:rPr>
          <w:lang w:val="en-US"/>
        </w:rPr>
        <w:t>long term</w:t>
      </w:r>
      <w:r w:rsidRPr="003C4CE4">
        <w:rPr>
          <w:lang w:val="en-US"/>
        </w:rPr>
        <w:t xml:space="preserve"> hinges on environmental and social responsibility</w:t>
      </w:r>
      <w:r w:rsidR="001038E2">
        <w:rPr>
          <w:lang w:val="en-US"/>
        </w:rPr>
        <w:t xml:space="preserve"> (</w:t>
      </w:r>
      <w:r w:rsidR="001038E2" w:rsidRPr="001038E2">
        <w:t>Sakala, 2024</w:t>
      </w:r>
      <w:r w:rsidR="001038E2">
        <w:t>)</w:t>
      </w:r>
      <w:r w:rsidR="001038E2" w:rsidRPr="001038E2">
        <w:t xml:space="preserve">. </w:t>
      </w:r>
      <w:r w:rsidRPr="003C4CE4">
        <w:rPr>
          <w:lang w:val="en-US"/>
        </w:rPr>
        <w:t xml:space="preserve">Amazon is striving to make its </w:t>
      </w:r>
      <w:r w:rsidR="00DC4F9D" w:rsidRPr="003C4CE4">
        <w:rPr>
          <w:lang w:val="en-US"/>
        </w:rPr>
        <w:t>carbon-neutral operations</w:t>
      </w:r>
      <w:r w:rsidRPr="003C4CE4">
        <w:rPr>
          <w:lang w:val="en-US"/>
        </w:rPr>
        <w:t xml:space="preserve"> by 2040 with the help of its commitment to The Climate Pledge. The 2024 Sustainability Report of the company indicates that the company has made substantial investments in renewable energy, electric delivery vehicles, sustainable packaging, and is striving to make its data </w:t>
      </w:r>
      <w:r w:rsidR="00594670">
        <w:rPr>
          <w:lang w:val="en-US"/>
        </w:rPr>
        <w:t>centres</w:t>
      </w:r>
      <w:r w:rsidRPr="003C4CE4">
        <w:rPr>
          <w:lang w:val="en-US"/>
        </w:rPr>
        <w:t xml:space="preserve"> and fulfilment facilities more energy efficient. Such projects are not only assessed on the grounds of their effect </w:t>
      </w:r>
      <w:r w:rsidR="00DC4F9D" w:rsidRPr="003C4CE4">
        <w:rPr>
          <w:lang w:val="en-US"/>
        </w:rPr>
        <w:t>on</w:t>
      </w:r>
      <w:r w:rsidRPr="003C4CE4">
        <w:rPr>
          <w:lang w:val="en-US"/>
        </w:rPr>
        <w:t xml:space="preserve"> the environment but also on the basis of their </w:t>
      </w:r>
      <w:r w:rsidR="00594670">
        <w:rPr>
          <w:lang w:val="en-US"/>
        </w:rPr>
        <w:t>cost-effectiveness</w:t>
      </w:r>
      <w:r w:rsidRPr="003C4CE4">
        <w:rPr>
          <w:lang w:val="en-US"/>
        </w:rPr>
        <w:t>. Management accounting is important in the incorporation of sustainability in capital budgeting and total cost of ownership (TCO) studies. Amazon uses environmental investments as strategic assets, instead of costs, by perceiving sustainability efforts as long-term sources of value, including minimi</w:t>
      </w:r>
      <w:r w:rsidR="00DC4F9D">
        <w:rPr>
          <w:lang w:val="en-US"/>
        </w:rPr>
        <w:t>s</w:t>
      </w:r>
      <w:r w:rsidRPr="003C4CE4">
        <w:rPr>
          <w:lang w:val="en-US"/>
        </w:rPr>
        <w:t>ing regulatory risks, strengthening brand equity, and lowering costs.</w:t>
      </w:r>
    </w:p>
    <w:p w14:paraId="620C2D01" w14:textId="08C25CDA" w:rsidR="00DC4F9D" w:rsidRDefault="003C4CE4" w:rsidP="003C4CE4">
      <w:pPr>
        <w:rPr>
          <w:lang w:val="en-US"/>
        </w:rPr>
      </w:pPr>
      <w:r w:rsidRPr="003C4CE4">
        <w:rPr>
          <w:lang w:val="en-US"/>
        </w:rPr>
        <w:t xml:space="preserve">According to management accounting, </w:t>
      </w:r>
      <w:r w:rsidR="00DC4F9D" w:rsidRPr="003C4CE4">
        <w:rPr>
          <w:lang w:val="en-US"/>
        </w:rPr>
        <w:t>environmental</w:t>
      </w:r>
      <w:r w:rsidRPr="003C4CE4">
        <w:rPr>
          <w:lang w:val="en-US"/>
        </w:rPr>
        <w:t xml:space="preserve"> cost accounting assists Amazon </w:t>
      </w:r>
      <w:r w:rsidR="00594670">
        <w:rPr>
          <w:lang w:val="en-US"/>
        </w:rPr>
        <w:t>in estimating</w:t>
      </w:r>
      <w:r w:rsidRPr="003C4CE4">
        <w:rPr>
          <w:lang w:val="en-US"/>
        </w:rPr>
        <w:t xml:space="preserve">, </w:t>
      </w:r>
      <w:r w:rsidR="00594670">
        <w:rPr>
          <w:lang w:val="en-US"/>
        </w:rPr>
        <w:t>assigning</w:t>
      </w:r>
      <w:r w:rsidRPr="003C4CE4">
        <w:rPr>
          <w:lang w:val="en-US"/>
        </w:rPr>
        <w:t xml:space="preserve">, and </w:t>
      </w:r>
      <w:r w:rsidR="00594670">
        <w:rPr>
          <w:lang w:val="en-US"/>
        </w:rPr>
        <w:t>controlling</w:t>
      </w:r>
      <w:r w:rsidRPr="003C4CE4">
        <w:rPr>
          <w:lang w:val="en-US"/>
        </w:rPr>
        <w:t xml:space="preserve"> the cost of carbon </w:t>
      </w:r>
      <w:r w:rsidR="00594670">
        <w:rPr>
          <w:lang w:val="en-US"/>
        </w:rPr>
        <w:t>emissions</w:t>
      </w:r>
      <w:r w:rsidRPr="003C4CE4">
        <w:rPr>
          <w:lang w:val="en-US"/>
        </w:rPr>
        <w:t xml:space="preserve">, energy consumption, and waste reduction. There is, for example, the financial analysis of electric delivery trucks with an evaluation of initial investments in capital and differences in fuel and maintenance costs, and payback terms, with consideration of carbon credits or lower fuel prices. Likewise, renewable energy projects are evaluated </w:t>
      </w:r>
      <w:r w:rsidR="00DC4F9D" w:rsidRPr="003C4CE4">
        <w:rPr>
          <w:lang w:val="en-US"/>
        </w:rPr>
        <w:t>based on</w:t>
      </w:r>
      <w:r w:rsidRPr="003C4CE4">
        <w:rPr>
          <w:lang w:val="en-US"/>
        </w:rPr>
        <w:t xml:space="preserve"> the payback on investments (ROI) in addition to the savings in the long term. Including sustainability metrics with the financial reporting will make the environmental performance connected to the economic performance, which encourages more responsible decision-making that is substantiated by data.</w:t>
      </w:r>
    </w:p>
    <w:p w14:paraId="4CAA3A38" w14:textId="51C3245B" w:rsidR="003C4CE4" w:rsidRDefault="003C4CE4" w:rsidP="003C4CE4">
      <w:pPr>
        <w:rPr>
          <w:lang w:val="en-US"/>
        </w:rPr>
      </w:pPr>
      <w:r w:rsidRPr="003C4CE4">
        <w:rPr>
          <w:lang w:val="en-US"/>
        </w:rPr>
        <w:t xml:space="preserve">The management accounting structure of Amazon is also based on </w:t>
      </w:r>
      <w:r w:rsidRPr="003C4CE4">
        <w:rPr>
          <w:b/>
          <w:bCs/>
          <w:lang w:val="en-US"/>
        </w:rPr>
        <w:t>Ethical considerations</w:t>
      </w:r>
      <w:r w:rsidRPr="003C4CE4">
        <w:rPr>
          <w:lang w:val="en-US"/>
        </w:rPr>
        <w:t xml:space="preserve">. The company is constantly under scrutiny </w:t>
      </w:r>
      <w:r w:rsidR="00594670">
        <w:rPr>
          <w:lang w:val="en-US"/>
        </w:rPr>
        <w:t>for</w:t>
      </w:r>
      <w:r w:rsidRPr="003C4CE4">
        <w:rPr>
          <w:lang w:val="en-US"/>
        </w:rPr>
        <w:t xml:space="preserve"> its warehouse labour practices, business algorithms, and competitiveness towards third-party sellers. Some of the ways ethical management accounting </w:t>
      </w:r>
      <w:r w:rsidR="00594670">
        <w:rPr>
          <w:lang w:val="en-US"/>
        </w:rPr>
        <w:t>works</w:t>
      </w:r>
      <w:r w:rsidRPr="003C4CE4">
        <w:rPr>
          <w:lang w:val="en-US"/>
        </w:rPr>
        <w:t xml:space="preserve"> are acknowledging </w:t>
      </w:r>
      <w:r w:rsidR="00594670">
        <w:rPr>
          <w:lang w:val="en-US"/>
        </w:rPr>
        <w:t xml:space="preserve">the </w:t>
      </w:r>
      <w:r w:rsidRPr="003C4CE4">
        <w:rPr>
          <w:lang w:val="en-US"/>
        </w:rPr>
        <w:t xml:space="preserve">social cost of operation, fair labour standards and transparency in cost allocation. The sustainability and </w:t>
      </w:r>
      <w:r w:rsidR="00DC4F9D" w:rsidRPr="003C4CE4">
        <w:rPr>
          <w:lang w:val="en-US"/>
        </w:rPr>
        <w:t>ethics</w:t>
      </w:r>
      <w:r w:rsidRPr="003C4CE4">
        <w:rPr>
          <w:lang w:val="en-US"/>
        </w:rPr>
        <w:t xml:space="preserve"> reporting of Amazon illustrates increased efforts to deal with these issues. </w:t>
      </w:r>
    </w:p>
    <w:p w14:paraId="60024461" w14:textId="70AF3FA1" w:rsidR="00DC4F9D" w:rsidRDefault="00DC4F9D">
      <w:pPr>
        <w:spacing w:after="160" w:line="278" w:lineRule="auto"/>
        <w:jc w:val="left"/>
        <w:rPr>
          <w:lang w:val="en-US"/>
        </w:rPr>
      </w:pPr>
      <w:r>
        <w:rPr>
          <w:lang w:val="en-US"/>
        </w:rPr>
        <w:br w:type="page"/>
      </w:r>
    </w:p>
    <w:p w14:paraId="148F467D" w14:textId="77777777" w:rsidR="00DC4F9D" w:rsidRDefault="00DC4F9D" w:rsidP="00DC4F9D">
      <w:pPr>
        <w:pStyle w:val="Titlu1"/>
      </w:pPr>
      <w:bookmarkStart w:id="16" w:name="_Toc213074393"/>
      <w:r>
        <w:t>Conclusion</w:t>
      </w:r>
      <w:bookmarkEnd w:id="16"/>
    </w:p>
    <w:p w14:paraId="5BE8F410" w14:textId="7CFC53B7" w:rsidR="00DC4F9D" w:rsidRPr="00DC4F9D" w:rsidRDefault="00DC4F9D" w:rsidP="00DC4F9D">
      <w:pPr>
        <w:rPr>
          <w:lang w:val="en-US"/>
        </w:rPr>
      </w:pPr>
      <w:r w:rsidRPr="00DC4F9D">
        <w:rPr>
          <w:lang w:val="en-US"/>
        </w:rPr>
        <w:t xml:space="preserve">The multi-segment and diverse business model of Amazon needs the implementation of superior management accounting systems that help to make proper decisions, control expenses, and achieve sustainable growth. The firm has been able to strike a balance between its </w:t>
      </w:r>
      <w:r w:rsidR="00594670">
        <w:rPr>
          <w:lang w:val="en-US"/>
        </w:rPr>
        <w:t>low-margin</w:t>
      </w:r>
      <w:r w:rsidRPr="00DC4F9D">
        <w:rPr>
          <w:lang w:val="en-US"/>
        </w:rPr>
        <w:t xml:space="preserve"> retail business and high-margin businesses like AWS and advertising through the application of cost </w:t>
      </w:r>
      <w:r w:rsidR="00594670">
        <w:rPr>
          <w:lang w:val="en-US"/>
        </w:rPr>
        <w:t>behaviour</w:t>
      </w:r>
      <w:r w:rsidRPr="00DC4F9D">
        <w:rPr>
          <w:lang w:val="en-US"/>
        </w:rPr>
        <w:t xml:space="preserve"> analysis, segmented performance measurement and integrated budgeting. The high 2024 financial results of Amazon, including increased operating income, increased operating cash flow, and high AWS margins, show that the management accounting practice is working well to produce efficiency and profitability. Moreover, the fact that sustainability initiatives are now included in financial planning and investment appraisal can be taken as an indicator of the increasing interest of the company in long-term environmental and ethical responsibility.</w:t>
      </w:r>
    </w:p>
    <w:p w14:paraId="665740DA" w14:textId="77777777" w:rsidR="00DC4F9D" w:rsidRDefault="00DC4F9D" w:rsidP="00DC4F9D">
      <w:pPr>
        <w:pStyle w:val="Titlu2"/>
      </w:pPr>
      <w:bookmarkStart w:id="17" w:name="_Toc213074394"/>
      <w:r w:rsidRPr="00DC4F9D">
        <w:t>Recommendations:</w:t>
      </w:r>
      <w:bookmarkEnd w:id="17"/>
    </w:p>
    <w:p w14:paraId="25E2EBDF" w14:textId="77777777" w:rsidR="00EB69F7" w:rsidRDefault="00EB69F7" w:rsidP="00EB69F7">
      <w:pPr>
        <w:keepNext/>
        <w:jc w:val="center"/>
      </w:pPr>
      <w:r>
        <w:rPr>
          <w:noProof/>
          <w:lang w:val="en-US"/>
          <w14:ligatures w14:val="standardContextual"/>
        </w:rPr>
        <w:drawing>
          <wp:inline distT="0" distB="0" distL="0" distR="0" wp14:anchorId="3F840EB9" wp14:editId="00ECB545">
            <wp:extent cx="3778250" cy="2438400"/>
            <wp:effectExtent l="0" t="38100" r="0" b="0"/>
            <wp:docPr id="198181624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9FF3D23" w14:textId="77777777" w:rsidR="00EB69F7" w:rsidRPr="00EB69F7" w:rsidRDefault="00EB69F7" w:rsidP="00EB69F7">
      <w:pPr>
        <w:pStyle w:val="Legend"/>
        <w:jc w:val="center"/>
        <w:rPr>
          <w:i w:val="0"/>
          <w:iCs w:val="0"/>
        </w:rPr>
      </w:pPr>
      <w:bookmarkStart w:id="18" w:name="_Toc213073751"/>
      <w:r w:rsidRPr="00EB69F7">
        <w:rPr>
          <w:i w:val="0"/>
          <w:iCs w:val="0"/>
        </w:rPr>
        <w:t xml:space="preserve">Figure </w:t>
      </w:r>
      <w:r w:rsidRPr="00EB69F7">
        <w:rPr>
          <w:i w:val="0"/>
          <w:iCs w:val="0"/>
        </w:rPr>
        <w:fldChar w:fldCharType="begin"/>
      </w:r>
      <w:r w:rsidRPr="00EB69F7">
        <w:rPr>
          <w:i w:val="0"/>
          <w:iCs w:val="0"/>
        </w:rPr>
        <w:instrText xml:space="preserve"> SEQ Figure \* ARABIC </w:instrText>
      </w:r>
      <w:r w:rsidRPr="00EB69F7">
        <w:rPr>
          <w:i w:val="0"/>
          <w:iCs w:val="0"/>
        </w:rPr>
        <w:fldChar w:fldCharType="separate"/>
      </w:r>
      <w:r w:rsidRPr="00EB69F7">
        <w:rPr>
          <w:i w:val="0"/>
          <w:iCs w:val="0"/>
          <w:noProof/>
        </w:rPr>
        <w:t>3</w:t>
      </w:r>
      <w:r w:rsidRPr="00EB69F7">
        <w:rPr>
          <w:i w:val="0"/>
          <w:iCs w:val="0"/>
        </w:rPr>
        <w:fldChar w:fldCharType="end"/>
      </w:r>
      <w:r w:rsidRPr="00EB69F7">
        <w:rPr>
          <w:i w:val="0"/>
          <w:iCs w:val="0"/>
        </w:rPr>
        <w:t>: Recommendations</w:t>
      </w:r>
      <w:bookmarkEnd w:id="18"/>
    </w:p>
    <w:p w14:paraId="179B3B54" w14:textId="363929A4" w:rsidR="00EB69F7" w:rsidRPr="00EB69F7" w:rsidRDefault="00EB69F7" w:rsidP="00EB69F7">
      <w:pPr>
        <w:pStyle w:val="Legend"/>
        <w:jc w:val="center"/>
        <w:rPr>
          <w:i w:val="0"/>
          <w:iCs w:val="0"/>
          <w:lang w:val="en-US"/>
        </w:rPr>
      </w:pPr>
      <w:r w:rsidRPr="00EB69F7">
        <w:rPr>
          <w:i w:val="0"/>
          <w:iCs w:val="0"/>
        </w:rPr>
        <w:t xml:space="preserve"> (Source: Author. 2025)</w:t>
      </w:r>
    </w:p>
    <w:p w14:paraId="46973C92" w14:textId="2AA5BB17" w:rsidR="00DC4F9D" w:rsidRPr="00EB69F7" w:rsidRDefault="00DC4F9D" w:rsidP="00EB69F7">
      <w:pPr>
        <w:pStyle w:val="Listparagraf"/>
        <w:numPr>
          <w:ilvl w:val="0"/>
          <w:numId w:val="5"/>
        </w:numPr>
        <w:rPr>
          <w:lang w:val="en-US"/>
        </w:rPr>
      </w:pPr>
      <w:r w:rsidRPr="00EB69F7">
        <w:rPr>
          <w:b/>
          <w:bCs/>
          <w:lang w:val="en-US"/>
        </w:rPr>
        <w:t>Expand Activity-Based Costing (ABC) to Fulfilment: Extend</w:t>
      </w:r>
      <w:r w:rsidRPr="00EB69F7">
        <w:rPr>
          <w:lang w:val="en-US"/>
        </w:rPr>
        <w:t xml:space="preserve"> more intensive ABC to fulfilment </w:t>
      </w:r>
      <w:r w:rsidR="00594670">
        <w:rPr>
          <w:lang w:val="en-US"/>
        </w:rPr>
        <w:t>centres</w:t>
      </w:r>
      <w:r w:rsidRPr="00EB69F7">
        <w:rPr>
          <w:lang w:val="en-US"/>
        </w:rPr>
        <w:t xml:space="preserve"> and third-party seller services to apportion automation, </w:t>
      </w:r>
      <w:r w:rsidR="00594670">
        <w:rPr>
          <w:lang w:val="en-US"/>
        </w:rPr>
        <w:t>labour</w:t>
      </w:r>
      <w:r w:rsidRPr="00EB69F7">
        <w:rPr>
          <w:lang w:val="en-US"/>
        </w:rPr>
        <w:t>, and logistics expenses correctly to make improved pricing and product mix choices.</w:t>
      </w:r>
    </w:p>
    <w:p w14:paraId="7877A021" w14:textId="096A8D5B" w:rsidR="00DC4F9D" w:rsidRPr="00EB69F7" w:rsidRDefault="00DC4F9D" w:rsidP="00EB69F7">
      <w:pPr>
        <w:pStyle w:val="Listparagraf"/>
        <w:numPr>
          <w:ilvl w:val="0"/>
          <w:numId w:val="5"/>
        </w:numPr>
        <w:rPr>
          <w:lang w:val="en-US"/>
        </w:rPr>
      </w:pPr>
      <w:r w:rsidRPr="00EB69F7">
        <w:rPr>
          <w:b/>
          <w:bCs/>
        </w:rPr>
        <w:t>Integrate Sustainability KPIs into Incentives:</w:t>
      </w:r>
      <w:r>
        <w:t xml:space="preserve"> </w:t>
      </w:r>
      <w:r w:rsidRPr="00EB69F7">
        <w:rPr>
          <w:lang w:val="en-US"/>
        </w:rPr>
        <w:t>Associate managerial rewards with sustainability indicators like carbon intensity per order and renewable energy use to match ethical outcomes with performance outcomes.</w:t>
      </w:r>
    </w:p>
    <w:p w14:paraId="0E2906EA" w14:textId="6D6F3979" w:rsidR="003C4CE4" w:rsidRPr="00EB69F7" w:rsidRDefault="00DC4F9D" w:rsidP="00EB69F7">
      <w:pPr>
        <w:pStyle w:val="Listparagraf"/>
        <w:numPr>
          <w:ilvl w:val="0"/>
          <w:numId w:val="5"/>
        </w:numPr>
        <w:rPr>
          <w:lang w:val="en-US"/>
        </w:rPr>
      </w:pPr>
      <w:r w:rsidRPr="00EB69F7">
        <w:rPr>
          <w:b/>
          <w:bCs/>
          <w:lang w:val="en-US"/>
        </w:rPr>
        <w:t>Empower Macro Risk Scenario Budgeting: Introduce</w:t>
      </w:r>
      <w:r w:rsidRPr="00EB69F7">
        <w:rPr>
          <w:lang w:val="en-US"/>
        </w:rPr>
        <w:t xml:space="preserve"> scenario-based budgeting to deal with inflation, demand fluctuations, and changes in the cost of energy to protect liquidity and still have high-return investments.</w:t>
      </w:r>
    </w:p>
    <w:p w14:paraId="5EBF27A4" w14:textId="77777777" w:rsidR="00DC4F9D" w:rsidRDefault="00DC4F9D" w:rsidP="00DC4F9D">
      <w:pPr>
        <w:rPr>
          <w:lang w:val="en-US"/>
        </w:rPr>
      </w:pPr>
    </w:p>
    <w:p w14:paraId="31A5AA81" w14:textId="3B8ADC06" w:rsidR="003C4CE4" w:rsidRPr="003C4CE4" w:rsidRDefault="003C4CE4" w:rsidP="003C4CE4">
      <w:pPr>
        <w:spacing w:after="160" w:line="278" w:lineRule="auto"/>
        <w:jc w:val="left"/>
        <w:rPr>
          <w:lang w:val="en-US"/>
        </w:rPr>
      </w:pPr>
      <w:r>
        <w:rPr>
          <w:lang w:val="en-US"/>
        </w:rPr>
        <w:br w:type="page"/>
      </w:r>
    </w:p>
    <w:p w14:paraId="03BC3F42" w14:textId="596807BA" w:rsidR="003C4CE4" w:rsidRDefault="00DC4F9D" w:rsidP="00DC4F9D">
      <w:pPr>
        <w:pStyle w:val="Titlu1"/>
      </w:pPr>
      <w:bookmarkStart w:id="19" w:name="_Toc213074395"/>
      <w:r>
        <w:t>References</w:t>
      </w:r>
      <w:bookmarkEnd w:id="19"/>
    </w:p>
    <w:p w14:paraId="3743C695" w14:textId="77777777" w:rsidR="00286A17" w:rsidRDefault="00286A17" w:rsidP="009D73FF">
      <w:r w:rsidRPr="00435F50">
        <w:t xml:space="preserve">Basiru, J.O., Ejiofor, C.L., Onukwulu, E.C. and Attah, R., </w:t>
      </w:r>
      <w:r>
        <w:t>(</w:t>
      </w:r>
      <w:r w:rsidRPr="00435F50">
        <w:t>2023</w:t>
      </w:r>
      <w:r>
        <w:t>)</w:t>
      </w:r>
      <w:r w:rsidRPr="00435F50">
        <w:t>. Enhancing financial reporting systems: A conceptual framework for integrating data analytics in business decision-making. </w:t>
      </w:r>
      <w:r w:rsidRPr="00435F50">
        <w:rPr>
          <w:i/>
          <w:iCs/>
        </w:rPr>
        <w:t>IRE Journals,[online]</w:t>
      </w:r>
      <w:r w:rsidRPr="00435F50">
        <w:t>, </w:t>
      </w:r>
      <w:r w:rsidRPr="00435F50">
        <w:rPr>
          <w:i/>
          <w:iCs/>
        </w:rPr>
        <w:t>7</w:t>
      </w:r>
      <w:r w:rsidRPr="00435F50">
        <w:t>(4), pp.587-606.</w:t>
      </w:r>
    </w:p>
    <w:p w14:paraId="3E2622F0" w14:textId="77777777" w:rsidR="00286A17" w:rsidRPr="00286A17" w:rsidRDefault="00286A17" w:rsidP="009D73FF">
      <w:pPr>
        <w:rPr>
          <w:lang w:val="pt-BR"/>
        </w:rPr>
      </w:pPr>
      <w:r w:rsidRPr="00286A17">
        <w:rPr>
          <w:lang w:val="pt-BR"/>
        </w:rPr>
        <w:t>Cho, J., (2019). Amazon. com, Inc.</w:t>
      </w:r>
    </w:p>
    <w:p w14:paraId="58171EBD" w14:textId="77777777" w:rsidR="00286A17" w:rsidRDefault="00286A17" w:rsidP="009D73FF">
      <w:r w:rsidRPr="00DC4648">
        <w:t xml:space="preserve">De Silva, C., </w:t>
      </w:r>
      <w:r>
        <w:t>(</w:t>
      </w:r>
      <w:r w:rsidRPr="00DC4648">
        <w:t>2025</w:t>
      </w:r>
      <w:r>
        <w:t>)</w:t>
      </w:r>
      <w:r w:rsidRPr="00DC4648">
        <w:t>. Finance Leadership in Crisis Management: The Role of Financial Leadership in Ensuring Resilience During Turbulent Times with Reference to Apparel Industry in Sri Lanka.</w:t>
      </w:r>
    </w:p>
    <w:p w14:paraId="0A03126E" w14:textId="77777777" w:rsidR="00286A17" w:rsidRDefault="00286A17" w:rsidP="009D73FF">
      <w:r w:rsidRPr="009D73FF">
        <w:t xml:space="preserve">Desai, A., </w:t>
      </w:r>
      <w:r>
        <w:t>(</w:t>
      </w:r>
      <w:r w:rsidRPr="009D73FF">
        <w:t>2021</w:t>
      </w:r>
      <w:r>
        <w:t>)</w:t>
      </w:r>
      <w:r w:rsidRPr="009D73FF">
        <w:t>. Amazon’s Business Analysis, Amazon Go–Case Study, &amp; Jeff Bezos’s Leadership.</w:t>
      </w:r>
    </w:p>
    <w:p w14:paraId="32E6AA4D" w14:textId="77777777" w:rsidR="00286A17" w:rsidRDefault="00286A17" w:rsidP="009D73FF">
      <w:r w:rsidRPr="00CA0E4D">
        <w:t xml:space="preserve">Emanuelsson, A.H., </w:t>
      </w:r>
      <w:r>
        <w:t>(</w:t>
      </w:r>
      <w:r w:rsidRPr="00CA0E4D">
        <w:t>2024</w:t>
      </w:r>
      <w:r>
        <w:t>)</w:t>
      </w:r>
      <w:r w:rsidRPr="00CA0E4D">
        <w:t>. </w:t>
      </w:r>
      <w:r w:rsidRPr="00CA0E4D">
        <w:rPr>
          <w:i/>
          <w:iCs/>
        </w:rPr>
        <w:t>Blueprint for the deployment of capital-intensive technologies for the decarbonisation of energy-intensive industries</w:t>
      </w:r>
      <w:r w:rsidRPr="00CA0E4D">
        <w:t>. Chalmers Tekniska Hogskola (Sweden).</w:t>
      </w:r>
    </w:p>
    <w:p w14:paraId="5620297B" w14:textId="77777777" w:rsidR="00286A17" w:rsidRDefault="00286A17" w:rsidP="009D73FF">
      <w:r w:rsidRPr="00286A17">
        <w:rPr>
          <w:lang w:val="it-IT"/>
        </w:rPr>
        <w:t xml:space="preserve">Hertati, L., Puspitawati, L., Gantino, R. and Ilyas, M., (2022). </w:t>
      </w:r>
      <w:r w:rsidRPr="00D95E03">
        <w:t>The sales volume and operating costs as key influencing factors in Covid-19 pandemic era. </w:t>
      </w:r>
      <w:r w:rsidRPr="00D95E03">
        <w:rPr>
          <w:i/>
          <w:iCs/>
        </w:rPr>
        <w:t>Global Journal of Accounting and Economy Research</w:t>
      </w:r>
      <w:r w:rsidRPr="00D95E03">
        <w:t>, </w:t>
      </w:r>
      <w:r w:rsidRPr="00D95E03">
        <w:rPr>
          <w:i/>
          <w:iCs/>
        </w:rPr>
        <w:t>3</w:t>
      </w:r>
      <w:r w:rsidRPr="00D95E03">
        <w:t>(1), pp.83-105.</w:t>
      </w:r>
    </w:p>
    <w:p w14:paraId="2AE447E6" w14:textId="77777777" w:rsidR="00286A17" w:rsidRDefault="00286A17" w:rsidP="009D73FF">
      <w:r w:rsidRPr="003E0DBD">
        <w:t xml:space="preserve">Jensen, M.C. and Meckling, W.H., </w:t>
      </w:r>
      <w:r>
        <w:t>(</w:t>
      </w:r>
      <w:r w:rsidRPr="003E0DBD">
        <w:t>2019</w:t>
      </w:r>
      <w:r>
        <w:t>)</w:t>
      </w:r>
      <w:r w:rsidRPr="003E0DBD">
        <w:t>. Theory of the firm: Managerial behavior, agency costs and ownership structure. In </w:t>
      </w:r>
      <w:r w:rsidRPr="003E0DBD">
        <w:rPr>
          <w:i/>
          <w:iCs/>
        </w:rPr>
        <w:t>Corporate governance</w:t>
      </w:r>
      <w:r w:rsidRPr="003E0DBD">
        <w:t> (pp. 77-132). Gower.</w:t>
      </w:r>
    </w:p>
    <w:p w14:paraId="12A711D5" w14:textId="77777777" w:rsidR="00286A17" w:rsidRDefault="00286A17" w:rsidP="009D73FF">
      <w:r w:rsidRPr="00A11815">
        <w:t xml:space="preserve">Kaakkunen, N., </w:t>
      </w:r>
      <w:r>
        <w:t>(</w:t>
      </w:r>
      <w:r w:rsidRPr="00A11815">
        <w:t>2023</w:t>
      </w:r>
      <w:r>
        <w:t>)</w:t>
      </w:r>
      <w:r w:rsidRPr="00A11815">
        <w:t>. Developing customer profitability analysis from the perspective of fixed costs and depreciation allocation.</w:t>
      </w:r>
    </w:p>
    <w:p w14:paraId="2E63D299" w14:textId="77777777" w:rsidR="00286A17" w:rsidRDefault="00286A17" w:rsidP="009D73FF">
      <w:r w:rsidRPr="00F943F3">
        <w:t xml:space="preserve">Locatelli, M., </w:t>
      </w:r>
      <w:r>
        <w:t>(</w:t>
      </w:r>
      <w:r w:rsidRPr="00F943F3">
        <w:t>2020</w:t>
      </w:r>
      <w:r>
        <w:t>)</w:t>
      </w:r>
      <w:r w:rsidRPr="00F943F3">
        <w:t>. The Platform Thinking lifecycle and idle-assets exploitation: Amazon case study.</w:t>
      </w:r>
    </w:p>
    <w:p w14:paraId="46931697" w14:textId="77777777" w:rsidR="00286A17" w:rsidRDefault="00286A17" w:rsidP="009D73FF">
      <w:r w:rsidRPr="002B701D">
        <w:t xml:space="preserve">Majeed, I., </w:t>
      </w:r>
      <w:r>
        <w:t>(</w:t>
      </w:r>
      <w:r w:rsidRPr="002B701D">
        <w:t>2025</w:t>
      </w:r>
      <w:r>
        <w:t>)</w:t>
      </w:r>
      <w:r w:rsidRPr="002B701D">
        <w:t>. Optimizing Logistics: Transportation Strategies and Alternative Future Fuel.</w:t>
      </w:r>
    </w:p>
    <w:p w14:paraId="13D684FC" w14:textId="77777777" w:rsidR="00286A17" w:rsidRDefault="00286A17" w:rsidP="009D73FF">
      <w:r w:rsidRPr="00DD1673">
        <w:t xml:space="preserve">Moody, K., </w:t>
      </w:r>
      <w:r>
        <w:t>(</w:t>
      </w:r>
      <w:r w:rsidRPr="00DD1673">
        <w:t>2025</w:t>
      </w:r>
      <w:r>
        <w:t>)</w:t>
      </w:r>
      <w:r w:rsidRPr="00DD1673">
        <w:t>. The end of lean production and what lies ahead for labor: The US experience. </w:t>
      </w:r>
      <w:r w:rsidRPr="00DD1673">
        <w:rPr>
          <w:i/>
          <w:iCs/>
        </w:rPr>
        <w:t>Capital &amp; Class</w:t>
      </w:r>
      <w:r w:rsidRPr="00DD1673">
        <w:t xml:space="preserve">, </w:t>
      </w:r>
    </w:p>
    <w:p w14:paraId="27B88121" w14:textId="77777777" w:rsidR="00286A17" w:rsidRDefault="00286A17" w:rsidP="009D73FF">
      <w:r w:rsidRPr="00412D7F">
        <w:t xml:space="preserve">Naseer, I., </w:t>
      </w:r>
      <w:r>
        <w:t>(</w:t>
      </w:r>
      <w:r w:rsidRPr="00412D7F">
        <w:t>2023</w:t>
      </w:r>
      <w:r>
        <w:t>)</w:t>
      </w:r>
      <w:r w:rsidRPr="00412D7F">
        <w:t>. AWS cloud computing solutions: optimizing implementation for businesses. </w:t>
      </w:r>
      <w:r w:rsidRPr="00412D7F">
        <w:rPr>
          <w:i/>
          <w:iCs/>
        </w:rPr>
        <w:t>Statistics, computing and interdisciplinary research</w:t>
      </w:r>
      <w:r w:rsidRPr="00412D7F">
        <w:t>, </w:t>
      </w:r>
      <w:r w:rsidRPr="00412D7F">
        <w:rPr>
          <w:i/>
          <w:iCs/>
        </w:rPr>
        <w:t>5</w:t>
      </w:r>
      <w:r w:rsidRPr="00412D7F">
        <w:t>(2), pp.121-132.</w:t>
      </w:r>
    </w:p>
    <w:p w14:paraId="6C3E90B3" w14:textId="77777777" w:rsidR="00286A17" w:rsidRDefault="00286A17" w:rsidP="009D73FF">
      <w:r w:rsidRPr="00A669CA">
        <w:t xml:space="preserve">Patil, D., </w:t>
      </w:r>
      <w:r>
        <w:t>(</w:t>
      </w:r>
      <w:r w:rsidRPr="00A669CA">
        <w:t>2024</w:t>
      </w:r>
      <w:r>
        <w:t>)</w:t>
      </w:r>
      <w:r w:rsidRPr="00A669CA">
        <w:t>. Artificial Intelligence-Driven Supply Chain Optimization: Enhancing Demand Forecasting And Cost Reduction. </w:t>
      </w:r>
      <w:r w:rsidRPr="00A669CA">
        <w:rPr>
          <w:i/>
          <w:iCs/>
        </w:rPr>
        <w:t>Available at SSRN 5057408</w:t>
      </w:r>
      <w:r w:rsidRPr="00A669CA">
        <w:t>.</w:t>
      </w:r>
    </w:p>
    <w:p w14:paraId="37420855" w14:textId="77777777" w:rsidR="00286A17" w:rsidRDefault="00286A17" w:rsidP="009D73FF">
      <w:r w:rsidRPr="001673B4">
        <w:t xml:space="preserve">Rexhepi, B.R., Murtezaj, I.M., Xhaferi, B.S., Raimi, N., Xhafa, H. and Xhaferi, S., </w:t>
      </w:r>
      <w:r>
        <w:t>(</w:t>
      </w:r>
      <w:r w:rsidRPr="001673B4">
        <w:t>2024</w:t>
      </w:r>
      <w:r>
        <w:t>)</w:t>
      </w:r>
      <w:r w:rsidRPr="001673B4">
        <w:t>. The Cost Calculation Method Based on Activity Is Known as The Activity-Based Costing (ABC) Method. </w:t>
      </w:r>
      <w:r w:rsidRPr="001673B4">
        <w:rPr>
          <w:i/>
          <w:iCs/>
        </w:rPr>
        <w:t>International Journal of Religion. 2024. Vol</w:t>
      </w:r>
      <w:r w:rsidRPr="001673B4">
        <w:t>, </w:t>
      </w:r>
      <w:r w:rsidRPr="001673B4">
        <w:rPr>
          <w:i/>
          <w:iCs/>
        </w:rPr>
        <w:t>5</w:t>
      </w:r>
      <w:r w:rsidRPr="001673B4">
        <w:t>, pp.2054-2069.</w:t>
      </w:r>
    </w:p>
    <w:p w14:paraId="7B466E88" w14:textId="77777777" w:rsidR="00286A17" w:rsidRPr="00535289" w:rsidRDefault="00286A17" w:rsidP="009D73FF">
      <w:r w:rsidRPr="001038E2">
        <w:t xml:space="preserve">Sakala, K., </w:t>
      </w:r>
      <w:r>
        <w:t>(</w:t>
      </w:r>
      <w:r w:rsidRPr="001038E2">
        <w:t>2024</w:t>
      </w:r>
      <w:r>
        <w:t>)</w:t>
      </w:r>
      <w:r w:rsidRPr="001038E2">
        <w:t>. The Impact of Green Supply Chain Management Practices on Consumer Behaviour: An Amazon Ltd Case Study in France.</w:t>
      </w:r>
    </w:p>
    <w:p w14:paraId="580B4673" w14:textId="77777777" w:rsidR="00286A17" w:rsidRDefault="00286A17" w:rsidP="009D73FF">
      <w:r w:rsidRPr="00B24D49">
        <w:t xml:space="preserve">Shah, J.H., </w:t>
      </w:r>
      <w:r>
        <w:t>(</w:t>
      </w:r>
      <w:r w:rsidRPr="00B24D49">
        <w:t>2024</w:t>
      </w:r>
      <w:r>
        <w:t>)</w:t>
      </w:r>
      <w:r w:rsidRPr="00B24D49">
        <w:t>. </w:t>
      </w:r>
      <w:r w:rsidRPr="00B24D49">
        <w:rPr>
          <w:i/>
          <w:iCs/>
        </w:rPr>
        <w:t>THE INFLUENCE OF NON-FINANCIAL METRICS ON OVERALL COMPANY PERFORMANCE</w:t>
      </w:r>
      <w:r w:rsidRPr="00B24D49">
        <w:t> (Doctoral dissertation, Algebra Univerity).</w:t>
      </w:r>
    </w:p>
    <w:p w14:paraId="439A8B1C" w14:textId="77777777" w:rsidR="00286A17" w:rsidRDefault="00286A17" w:rsidP="009D73FF">
      <w:r w:rsidRPr="00245D65">
        <w:t xml:space="preserve">Spraakman, G., Sanchez-Rodriguez, C. and Tuck-Riggs, C.A., </w:t>
      </w:r>
      <w:r>
        <w:t>(</w:t>
      </w:r>
      <w:r w:rsidRPr="00245D65">
        <w:t>2021</w:t>
      </w:r>
      <w:r>
        <w:t>)</w:t>
      </w:r>
      <w:r w:rsidRPr="00245D65">
        <w:t>. Data analytics by management accountants. </w:t>
      </w:r>
      <w:r w:rsidRPr="00245D65">
        <w:rPr>
          <w:i/>
          <w:iCs/>
        </w:rPr>
        <w:t>Qualitative Research in Accounting &amp; Management</w:t>
      </w:r>
      <w:r w:rsidRPr="00245D65">
        <w:t>, </w:t>
      </w:r>
      <w:r w:rsidRPr="00245D65">
        <w:rPr>
          <w:i/>
          <w:iCs/>
        </w:rPr>
        <w:t>18</w:t>
      </w:r>
      <w:r w:rsidRPr="00245D65">
        <w:t>(1), pp.127-147.</w:t>
      </w:r>
    </w:p>
    <w:p w14:paraId="41667194" w14:textId="77777777" w:rsidR="00DC4F9D" w:rsidRPr="00150F6F" w:rsidRDefault="00DC4F9D" w:rsidP="003C4CE4">
      <w:pPr>
        <w:rPr>
          <w:lang w:val="en-US"/>
        </w:rPr>
      </w:pPr>
    </w:p>
    <w:p w14:paraId="2233F669" w14:textId="77777777" w:rsidR="00150F6F" w:rsidRPr="003C4CE4" w:rsidRDefault="00150F6F" w:rsidP="00150F6F"/>
    <w:p w14:paraId="01FEC81A" w14:textId="3DB80DE6" w:rsidR="003F4565" w:rsidRDefault="003F4565" w:rsidP="00535289">
      <w:pPr>
        <w:spacing w:after="160" w:line="278" w:lineRule="auto"/>
        <w:jc w:val="left"/>
      </w:pPr>
    </w:p>
    <w:sectPr w:rsidR="003F4565">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24990E" w14:textId="77777777" w:rsidR="008B2474" w:rsidRDefault="008B2474" w:rsidP="00286A17">
      <w:pPr>
        <w:spacing w:after="0" w:line="240" w:lineRule="auto"/>
      </w:pPr>
      <w:r>
        <w:separator/>
      </w:r>
    </w:p>
  </w:endnote>
  <w:endnote w:type="continuationSeparator" w:id="0">
    <w:p w14:paraId="2B71506C" w14:textId="77777777" w:rsidR="008B2474" w:rsidRDefault="008B2474" w:rsidP="00286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7659829"/>
      <w:docPartObj>
        <w:docPartGallery w:val="Page Numbers (Bottom of Page)"/>
        <w:docPartUnique/>
      </w:docPartObj>
    </w:sdtPr>
    <w:sdtEndPr>
      <w:rPr>
        <w:noProof/>
      </w:rPr>
    </w:sdtEndPr>
    <w:sdtContent>
      <w:p w14:paraId="2FA7374C" w14:textId="73B6FBBF" w:rsidR="00286A17" w:rsidRDefault="00286A17">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29F8258F" w14:textId="77777777" w:rsidR="00286A17" w:rsidRDefault="00286A1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91A739" w14:textId="77777777" w:rsidR="008B2474" w:rsidRDefault="008B2474" w:rsidP="00286A17">
      <w:pPr>
        <w:spacing w:after="0" w:line="240" w:lineRule="auto"/>
      </w:pPr>
      <w:r>
        <w:separator/>
      </w:r>
    </w:p>
  </w:footnote>
  <w:footnote w:type="continuationSeparator" w:id="0">
    <w:p w14:paraId="4ED70887" w14:textId="77777777" w:rsidR="008B2474" w:rsidRDefault="008B2474" w:rsidP="00286A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8451F"/>
    <w:multiLevelType w:val="hybridMultilevel"/>
    <w:tmpl w:val="ECA87B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2D19A6"/>
    <w:multiLevelType w:val="hybridMultilevel"/>
    <w:tmpl w:val="7ABE5990"/>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58111B3"/>
    <w:multiLevelType w:val="hybridMultilevel"/>
    <w:tmpl w:val="439AC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5E721C"/>
    <w:multiLevelType w:val="hybridMultilevel"/>
    <w:tmpl w:val="F6DCE438"/>
    <w:lvl w:ilvl="0" w:tplc="04090009">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 w15:restartNumberingAfterBreak="0">
    <w:nsid w:val="3B781C7F"/>
    <w:multiLevelType w:val="hybridMultilevel"/>
    <w:tmpl w:val="7A685EB2"/>
    <w:lvl w:ilvl="0" w:tplc="04090009">
      <w:start w:val="1"/>
      <w:numFmt w:val="bullet"/>
      <w:lvlText w:val=""/>
      <w:lvlJc w:val="left"/>
      <w:pPr>
        <w:ind w:left="360" w:hanging="360"/>
      </w:pPr>
      <w:rPr>
        <w:rFonts w:ascii="Wingdings" w:hAnsi="Wingding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num w:numId="1" w16cid:durableId="176697327">
    <w:abstractNumId w:val="2"/>
  </w:num>
  <w:num w:numId="2" w16cid:durableId="2092776885">
    <w:abstractNumId w:val="3"/>
  </w:num>
  <w:num w:numId="3" w16cid:durableId="2145659860">
    <w:abstractNumId w:val="0"/>
  </w:num>
  <w:num w:numId="4" w16cid:durableId="1611932118">
    <w:abstractNumId w:val="4"/>
  </w:num>
  <w:num w:numId="5" w16cid:durableId="13677544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565"/>
    <w:rsid w:val="00001218"/>
    <w:rsid w:val="000215A7"/>
    <w:rsid w:val="0003214C"/>
    <w:rsid w:val="00035A58"/>
    <w:rsid w:val="0009402B"/>
    <w:rsid w:val="000F2F3C"/>
    <w:rsid w:val="000F7FE2"/>
    <w:rsid w:val="001038E2"/>
    <w:rsid w:val="00132143"/>
    <w:rsid w:val="00132CA6"/>
    <w:rsid w:val="00150F6F"/>
    <w:rsid w:val="001673B4"/>
    <w:rsid w:val="00187C82"/>
    <w:rsid w:val="001F3C63"/>
    <w:rsid w:val="00210EFB"/>
    <w:rsid w:val="00240AB5"/>
    <w:rsid w:val="00245D65"/>
    <w:rsid w:val="002523DA"/>
    <w:rsid w:val="0025668D"/>
    <w:rsid w:val="002747E7"/>
    <w:rsid w:val="00286A17"/>
    <w:rsid w:val="00290D0E"/>
    <w:rsid w:val="002A53CB"/>
    <w:rsid w:val="002B0904"/>
    <w:rsid w:val="002B701D"/>
    <w:rsid w:val="002F5C62"/>
    <w:rsid w:val="002F5E96"/>
    <w:rsid w:val="002F77C9"/>
    <w:rsid w:val="00300A3F"/>
    <w:rsid w:val="00313833"/>
    <w:rsid w:val="003160B9"/>
    <w:rsid w:val="003212E7"/>
    <w:rsid w:val="0032627F"/>
    <w:rsid w:val="00370EBA"/>
    <w:rsid w:val="003C4CE4"/>
    <w:rsid w:val="003E0DBD"/>
    <w:rsid w:val="003E787A"/>
    <w:rsid w:val="003F4565"/>
    <w:rsid w:val="00412D7F"/>
    <w:rsid w:val="00435F50"/>
    <w:rsid w:val="004518DD"/>
    <w:rsid w:val="00453A69"/>
    <w:rsid w:val="00454DE6"/>
    <w:rsid w:val="00485C2C"/>
    <w:rsid w:val="00496742"/>
    <w:rsid w:val="004B4A20"/>
    <w:rsid w:val="004D1751"/>
    <w:rsid w:val="004E397F"/>
    <w:rsid w:val="00535289"/>
    <w:rsid w:val="00566A41"/>
    <w:rsid w:val="00594670"/>
    <w:rsid w:val="005C7D94"/>
    <w:rsid w:val="005E7FE3"/>
    <w:rsid w:val="005F72E3"/>
    <w:rsid w:val="00611AB0"/>
    <w:rsid w:val="00632471"/>
    <w:rsid w:val="00641CA8"/>
    <w:rsid w:val="00692F82"/>
    <w:rsid w:val="006A1E93"/>
    <w:rsid w:val="00715890"/>
    <w:rsid w:val="00717B4E"/>
    <w:rsid w:val="00790CB8"/>
    <w:rsid w:val="007B1705"/>
    <w:rsid w:val="007C00A9"/>
    <w:rsid w:val="007C154E"/>
    <w:rsid w:val="007D19AB"/>
    <w:rsid w:val="00850EAA"/>
    <w:rsid w:val="008531AD"/>
    <w:rsid w:val="00855B78"/>
    <w:rsid w:val="00861AD7"/>
    <w:rsid w:val="008B2474"/>
    <w:rsid w:val="008C36DD"/>
    <w:rsid w:val="008E0802"/>
    <w:rsid w:val="00907A8A"/>
    <w:rsid w:val="00972F8B"/>
    <w:rsid w:val="009914F0"/>
    <w:rsid w:val="009A528F"/>
    <w:rsid w:val="009D73FF"/>
    <w:rsid w:val="009F39E3"/>
    <w:rsid w:val="00A11815"/>
    <w:rsid w:val="00A3784E"/>
    <w:rsid w:val="00A45C8A"/>
    <w:rsid w:val="00A475B4"/>
    <w:rsid w:val="00A52FC2"/>
    <w:rsid w:val="00A625C9"/>
    <w:rsid w:val="00A669CA"/>
    <w:rsid w:val="00A748E1"/>
    <w:rsid w:val="00AB4E51"/>
    <w:rsid w:val="00AC7270"/>
    <w:rsid w:val="00B133B0"/>
    <w:rsid w:val="00B24D49"/>
    <w:rsid w:val="00B42B4C"/>
    <w:rsid w:val="00B45485"/>
    <w:rsid w:val="00BC1B20"/>
    <w:rsid w:val="00BE7473"/>
    <w:rsid w:val="00C457AE"/>
    <w:rsid w:val="00C467FC"/>
    <w:rsid w:val="00CA0E4D"/>
    <w:rsid w:val="00CA65EB"/>
    <w:rsid w:val="00D04F24"/>
    <w:rsid w:val="00D41A07"/>
    <w:rsid w:val="00D95E03"/>
    <w:rsid w:val="00DA1DE2"/>
    <w:rsid w:val="00DC4648"/>
    <w:rsid w:val="00DC4F9D"/>
    <w:rsid w:val="00DD1673"/>
    <w:rsid w:val="00DF1FBC"/>
    <w:rsid w:val="00E15659"/>
    <w:rsid w:val="00E54CD9"/>
    <w:rsid w:val="00E61E5E"/>
    <w:rsid w:val="00E74C47"/>
    <w:rsid w:val="00EB69F7"/>
    <w:rsid w:val="00F2522B"/>
    <w:rsid w:val="00F6733B"/>
    <w:rsid w:val="00F84439"/>
    <w:rsid w:val="00F86378"/>
    <w:rsid w:val="00F943F3"/>
    <w:rsid w:val="00FA4C22"/>
    <w:rsid w:val="00FD04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D596583"/>
  <w15:chartTrackingRefBased/>
  <w15:docId w15:val="{50C09829-2519-4B9C-A606-FE0ECA231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57AE"/>
    <w:pPr>
      <w:spacing w:after="200" w:line="360" w:lineRule="auto"/>
      <w:jc w:val="both"/>
    </w:pPr>
    <w:rPr>
      <w:rFonts w:ascii="Times New Roman" w:hAnsi="Times New Roman"/>
      <w:kern w:val="0"/>
      <w:szCs w:val="22"/>
      <w:lang w:val="en-GB"/>
      <w14:ligatures w14:val="none"/>
    </w:rPr>
  </w:style>
  <w:style w:type="paragraph" w:styleId="Titlu1">
    <w:name w:val="heading 1"/>
    <w:basedOn w:val="Titlu2"/>
    <w:next w:val="Normal"/>
    <w:link w:val="Titlu1Caracter"/>
    <w:qFormat/>
    <w:rsid w:val="002F5E96"/>
    <w:pPr>
      <w:keepNext w:val="0"/>
      <w:keepLines w:val="0"/>
      <w:spacing w:before="120" w:after="120"/>
      <w:outlineLvl w:val="0"/>
    </w:pPr>
    <w:rPr>
      <w:rFonts w:eastAsia="Calibri" w:cstheme="minorHAnsi"/>
      <w:color w:val="auto"/>
      <w:sz w:val="36"/>
      <w:szCs w:val="28"/>
    </w:rPr>
  </w:style>
  <w:style w:type="paragraph" w:styleId="Titlu2">
    <w:name w:val="heading 2"/>
    <w:basedOn w:val="Normal"/>
    <w:next w:val="Normal"/>
    <w:link w:val="Titlu2Caracter"/>
    <w:uiPriority w:val="9"/>
    <w:unhideWhenUsed/>
    <w:qFormat/>
    <w:rsid w:val="00DA1DE2"/>
    <w:pPr>
      <w:keepNext/>
      <w:keepLines/>
      <w:spacing w:before="40" w:after="0"/>
      <w:outlineLvl w:val="1"/>
    </w:pPr>
    <w:rPr>
      <w:rFonts w:eastAsiaTheme="majorEastAsia" w:cstheme="majorBidi"/>
      <w:b/>
      <w:color w:val="0D0D0D" w:themeColor="text1" w:themeTint="F2"/>
      <w:kern w:val="2"/>
      <w:sz w:val="32"/>
      <w:szCs w:val="26"/>
      <w:lang w:val="en-US"/>
      <w14:ligatures w14:val="standardContextual"/>
    </w:rPr>
  </w:style>
  <w:style w:type="paragraph" w:styleId="Titlu3">
    <w:name w:val="heading 3"/>
    <w:basedOn w:val="Normal"/>
    <w:next w:val="Normal"/>
    <w:link w:val="Titlu3Caracter"/>
    <w:uiPriority w:val="9"/>
    <w:semiHidden/>
    <w:unhideWhenUsed/>
    <w:qFormat/>
    <w:rsid w:val="003F456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3F456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Titlu5">
    <w:name w:val="heading 5"/>
    <w:basedOn w:val="Normal"/>
    <w:next w:val="Normal"/>
    <w:link w:val="Titlu5Caracter"/>
    <w:uiPriority w:val="9"/>
    <w:semiHidden/>
    <w:unhideWhenUsed/>
    <w:qFormat/>
    <w:rsid w:val="003F4565"/>
    <w:pPr>
      <w:keepNext/>
      <w:keepLines/>
      <w:spacing w:before="80" w:after="40"/>
      <w:outlineLvl w:val="4"/>
    </w:pPr>
    <w:rPr>
      <w:rFonts w:asciiTheme="minorHAnsi" w:eastAsiaTheme="majorEastAsia" w:hAnsiTheme="minorHAnsi" w:cstheme="majorBidi"/>
      <w:color w:val="0F4761" w:themeColor="accent1" w:themeShade="BF"/>
    </w:rPr>
  </w:style>
  <w:style w:type="paragraph" w:styleId="Titlu6">
    <w:name w:val="heading 6"/>
    <w:basedOn w:val="Normal"/>
    <w:next w:val="Normal"/>
    <w:link w:val="Titlu6Caracter"/>
    <w:uiPriority w:val="9"/>
    <w:semiHidden/>
    <w:unhideWhenUsed/>
    <w:qFormat/>
    <w:rsid w:val="003F4565"/>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3F4565"/>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3F4565"/>
    <w:pPr>
      <w:keepNext/>
      <w:keepLines/>
      <w:spacing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3F4565"/>
    <w:pPr>
      <w:keepNext/>
      <w:keepLines/>
      <w:spacing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rsid w:val="002F5E96"/>
    <w:rPr>
      <w:rFonts w:ascii="Times New Roman" w:eastAsia="Calibri" w:hAnsi="Times New Roman" w:cstheme="minorHAnsi"/>
      <w:b/>
      <w:sz w:val="36"/>
      <w:szCs w:val="28"/>
    </w:rPr>
  </w:style>
  <w:style w:type="character" w:customStyle="1" w:styleId="Titlu2Caracter">
    <w:name w:val="Titlu 2 Caracter"/>
    <w:basedOn w:val="Fontdeparagrafimplicit"/>
    <w:link w:val="Titlu2"/>
    <w:uiPriority w:val="9"/>
    <w:rsid w:val="00DA1DE2"/>
    <w:rPr>
      <w:rFonts w:ascii="Times New Roman" w:eastAsiaTheme="majorEastAsia" w:hAnsi="Times New Roman" w:cstheme="majorBidi"/>
      <w:b/>
      <w:color w:val="0D0D0D" w:themeColor="text1" w:themeTint="F2"/>
      <w:sz w:val="32"/>
      <w:szCs w:val="26"/>
    </w:rPr>
  </w:style>
  <w:style w:type="paragraph" w:styleId="Titlu">
    <w:name w:val="Title"/>
    <w:basedOn w:val="Normal"/>
    <w:next w:val="Normal"/>
    <w:link w:val="TitluCaracter"/>
    <w:uiPriority w:val="10"/>
    <w:qFormat/>
    <w:rsid w:val="00454DE6"/>
    <w:pPr>
      <w:spacing w:after="80" w:line="240" w:lineRule="auto"/>
      <w:contextualSpacing/>
    </w:pPr>
    <w:rPr>
      <w:rFonts w:eastAsiaTheme="majorEastAsia" w:cstheme="majorBidi"/>
      <w:b/>
      <w:spacing w:val="-10"/>
      <w:kern w:val="28"/>
      <w:sz w:val="56"/>
      <w:szCs w:val="56"/>
    </w:rPr>
  </w:style>
  <w:style w:type="character" w:customStyle="1" w:styleId="TitluCaracter">
    <w:name w:val="Titlu Caracter"/>
    <w:basedOn w:val="Fontdeparagrafimplicit"/>
    <w:link w:val="Titlu"/>
    <w:uiPriority w:val="10"/>
    <w:rsid w:val="00454DE6"/>
    <w:rPr>
      <w:rFonts w:ascii="Times New Roman" w:eastAsiaTheme="majorEastAsia" w:hAnsi="Times New Roman" w:cstheme="majorBidi"/>
      <w:b/>
      <w:spacing w:val="-10"/>
      <w:kern w:val="28"/>
      <w:sz w:val="56"/>
      <w:szCs w:val="56"/>
      <w:lang w:val="en-GB"/>
      <w14:ligatures w14:val="none"/>
    </w:rPr>
  </w:style>
  <w:style w:type="character" w:customStyle="1" w:styleId="Titlu3Caracter">
    <w:name w:val="Titlu 3 Caracter"/>
    <w:basedOn w:val="Fontdeparagrafimplicit"/>
    <w:link w:val="Titlu3"/>
    <w:uiPriority w:val="9"/>
    <w:semiHidden/>
    <w:rsid w:val="003F4565"/>
    <w:rPr>
      <w:rFonts w:eastAsiaTheme="majorEastAsia" w:cstheme="majorBidi"/>
      <w:color w:val="0F4761" w:themeColor="accent1" w:themeShade="BF"/>
      <w:kern w:val="0"/>
      <w:sz w:val="28"/>
      <w:szCs w:val="28"/>
      <w:lang w:val="en-GB"/>
      <w14:ligatures w14:val="none"/>
    </w:rPr>
  </w:style>
  <w:style w:type="character" w:customStyle="1" w:styleId="Titlu4Caracter">
    <w:name w:val="Titlu 4 Caracter"/>
    <w:basedOn w:val="Fontdeparagrafimplicit"/>
    <w:link w:val="Titlu4"/>
    <w:uiPriority w:val="9"/>
    <w:semiHidden/>
    <w:rsid w:val="003F4565"/>
    <w:rPr>
      <w:rFonts w:eastAsiaTheme="majorEastAsia" w:cstheme="majorBidi"/>
      <w:i/>
      <w:iCs/>
      <w:color w:val="0F4761" w:themeColor="accent1" w:themeShade="BF"/>
      <w:kern w:val="0"/>
      <w:szCs w:val="22"/>
      <w:lang w:val="en-GB"/>
      <w14:ligatures w14:val="none"/>
    </w:rPr>
  </w:style>
  <w:style w:type="character" w:customStyle="1" w:styleId="Titlu5Caracter">
    <w:name w:val="Titlu 5 Caracter"/>
    <w:basedOn w:val="Fontdeparagrafimplicit"/>
    <w:link w:val="Titlu5"/>
    <w:uiPriority w:val="9"/>
    <w:semiHidden/>
    <w:rsid w:val="003F4565"/>
    <w:rPr>
      <w:rFonts w:eastAsiaTheme="majorEastAsia" w:cstheme="majorBidi"/>
      <w:color w:val="0F4761" w:themeColor="accent1" w:themeShade="BF"/>
      <w:kern w:val="0"/>
      <w:szCs w:val="22"/>
      <w:lang w:val="en-GB"/>
      <w14:ligatures w14:val="none"/>
    </w:rPr>
  </w:style>
  <w:style w:type="character" w:customStyle="1" w:styleId="Titlu6Caracter">
    <w:name w:val="Titlu 6 Caracter"/>
    <w:basedOn w:val="Fontdeparagrafimplicit"/>
    <w:link w:val="Titlu6"/>
    <w:uiPriority w:val="9"/>
    <w:semiHidden/>
    <w:rsid w:val="003F4565"/>
    <w:rPr>
      <w:rFonts w:eastAsiaTheme="majorEastAsia" w:cstheme="majorBidi"/>
      <w:i/>
      <w:iCs/>
      <w:color w:val="595959" w:themeColor="text1" w:themeTint="A6"/>
      <w:kern w:val="0"/>
      <w:szCs w:val="22"/>
      <w:lang w:val="en-GB"/>
      <w14:ligatures w14:val="none"/>
    </w:rPr>
  </w:style>
  <w:style w:type="character" w:customStyle="1" w:styleId="Titlu7Caracter">
    <w:name w:val="Titlu 7 Caracter"/>
    <w:basedOn w:val="Fontdeparagrafimplicit"/>
    <w:link w:val="Titlu7"/>
    <w:uiPriority w:val="9"/>
    <w:semiHidden/>
    <w:rsid w:val="003F4565"/>
    <w:rPr>
      <w:rFonts w:eastAsiaTheme="majorEastAsia" w:cstheme="majorBidi"/>
      <w:color w:val="595959" w:themeColor="text1" w:themeTint="A6"/>
      <w:kern w:val="0"/>
      <w:szCs w:val="22"/>
      <w:lang w:val="en-GB"/>
      <w14:ligatures w14:val="none"/>
    </w:rPr>
  </w:style>
  <w:style w:type="character" w:customStyle="1" w:styleId="Titlu8Caracter">
    <w:name w:val="Titlu 8 Caracter"/>
    <w:basedOn w:val="Fontdeparagrafimplicit"/>
    <w:link w:val="Titlu8"/>
    <w:uiPriority w:val="9"/>
    <w:semiHidden/>
    <w:rsid w:val="003F4565"/>
    <w:rPr>
      <w:rFonts w:eastAsiaTheme="majorEastAsia" w:cstheme="majorBidi"/>
      <w:i/>
      <w:iCs/>
      <w:color w:val="272727" w:themeColor="text1" w:themeTint="D8"/>
      <w:kern w:val="0"/>
      <w:szCs w:val="22"/>
      <w:lang w:val="en-GB"/>
      <w14:ligatures w14:val="none"/>
    </w:rPr>
  </w:style>
  <w:style w:type="character" w:customStyle="1" w:styleId="Titlu9Caracter">
    <w:name w:val="Titlu 9 Caracter"/>
    <w:basedOn w:val="Fontdeparagrafimplicit"/>
    <w:link w:val="Titlu9"/>
    <w:uiPriority w:val="9"/>
    <w:semiHidden/>
    <w:rsid w:val="003F4565"/>
    <w:rPr>
      <w:rFonts w:eastAsiaTheme="majorEastAsia" w:cstheme="majorBidi"/>
      <w:color w:val="272727" w:themeColor="text1" w:themeTint="D8"/>
      <w:kern w:val="0"/>
      <w:szCs w:val="22"/>
      <w:lang w:val="en-GB"/>
      <w14:ligatures w14:val="none"/>
    </w:rPr>
  </w:style>
  <w:style w:type="paragraph" w:styleId="Subtitlu">
    <w:name w:val="Subtitle"/>
    <w:basedOn w:val="Normal"/>
    <w:next w:val="Normal"/>
    <w:link w:val="SubtitluCaracter"/>
    <w:uiPriority w:val="11"/>
    <w:qFormat/>
    <w:rsid w:val="003F456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3F4565"/>
    <w:rPr>
      <w:rFonts w:eastAsiaTheme="majorEastAsia" w:cstheme="majorBidi"/>
      <w:color w:val="595959" w:themeColor="text1" w:themeTint="A6"/>
      <w:spacing w:val="15"/>
      <w:kern w:val="0"/>
      <w:sz w:val="28"/>
      <w:szCs w:val="28"/>
      <w:lang w:val="en-GB"/>
      <w14:ligatures w14:val="none"/>
    </w:rPr>
  </w:style>
  <w:style w:type="paragraph" w:styleId="Citat">
    <w:name w:val="Quote"/>
    <w:basedOn w:val="Normal"/>
    <w:next w:val="Normal"/>
    <w:link w:val="CitatCaracter"/>
    <w:uiPriority w:val="29"/>
    <w:qFormat/>
    <w:rsid w:val="003F4565"/>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3F4565"/>
    <w:rPr>
      <w:rFonts w:ascii="Times New Roman" w:hAnsi="Times New Roman"/>
      <w:i/>
      <w:iCs/>
      <w:color w:val="404040" w:themeColor="text1" w:themeTint="BF"/>
      <w:kern w:val="0"/>
      <w:szCs w:val="22"/>
      <w:lang w:val="en-GB"/>
      <w14:ligatures w14:val="none"/>
    </w:rPr>
  </w:style>
  <w:style w:type="paragraph" w:styleId="Listparagraf">
    <w:name w:val="List Paragraph"/>
    <w:basedOn w:val="Normal"/>
    <w:uiPriority w:val="34"/>
    <w:qFormat/>
    <w:rsid w:val="003F4565"/>
    <w:pPr>
      <w:ind w:left="720"/>
      <w:contextualSpacing/>
    </w:pPr>
  </w:style>
  <w:style w:type="character" w:styleId="Accentuareintens">
    <w:name w:val="Intense Emphasis"/>
    <w:basedOn w:val="Fontdeparagrafimplicit"/>
    <w:uiPriority w:val="21"/>
    <w:qFormat/>
    <w:rsid w:val="003F4565"/>
    <w:rPr>
      <w:i/>
      <w:iCs/>
      <w:color w:val="0F4761" w:themeColor="accent1" w:themeShade="BF"/>
    </w:rPr>
  </w:style>
  <w:style w:type="paragraph" w:styleId="Citatintens">
    <w:name w:val="Intense Quote"/>
    <w:basedOn w:val="Normal"/>
    <w:next w:val="Normal"/>
    <w:link w:val="CitatintensCaracter"/>
    <w:uiPriority w:val="30"/>
    <w:qFormat/>
    <w:rsid w:val="003F45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3F4565"/>
    <w:rPr>
      <w:rFonts w:ascii="Times New Roman" w:hAnsi="Times New Roman"/>
      <w:i/>
      <w:iCs/>
      <w:color w:val="0F4761" w:themeColor="accent1" w:themeShade="BF"/>
      <w:kern w:val="0"/>
      <w:szCs w:val="22"/>
      <w:lang w:val="en-GB"/>
      <w14:ligatures w14:val="none"/>
    </w:rPr>
  </w:style>
  <w:style w:type="character" w:styleId="Referireintens">
    <w:name w:val="Intense Reference"/>
    <w:basedOn w:val="Fontdeparagrafimplicit"/>
    <w:uiPriority w:val="32"/>
    <w:qFormat/>
    <w:rsid w:val="003F4565"/>
    <w:rPr>
      <w:b/>
      <w:bCs/>
      <w:smallCaps/>
      <w:color w:val="0F4761" w:themeColor="accent1" w:themeShade="BF"/>
      <w:spacing w:val="5"/>
    </w:rPr>
  </w:style>
  <w:style w:type="paragraph" w:styleId="Legend">
    <w:name w:val="caption"/>
    <w:basedOn w:val="Normal"/>
    <w:next w:val="Normal"/>
    <w:uiPriority w:val="35"/>
    <w:unhideWhenUsed/>
    <w:qFormat/>
    <w:rsid w:val="003160B9"/>
    <w:pPr>
      <w:spacing w:line="240" w:lineRule="auto"/>
    </w:pPr>
    <w:rPr>
      <w:i/>
      <w:iCs/>
      <w:color w:val="0E2841" w:themeColor="text2"/>
      <w:sz w:val="18"/>
      <w:szCs w:val="18"/>
    </w:rPr>
  </w:style>
  <w:style w:type="paragraph" w:styleId="Titlucuprins">
    <w:name w:val="TOC Heading"/>
    <w:basedOn w:val="Titlu1"/>
    <w:next w:val="Normal"/>
    <w:uiPriority w:val="39"/>
    <w:unhideWhenUsed/>
    <w:qFormat/>
    <w:rsid w:val="00A45C8A"/>
    <w:pPr>
      <w:keepNext/>
      <w:keepLines/>
      <w:spacing w:before="240" w:after="0" w:line="259" w:lineRule="auto"/>
      <w:jc w:val="left"/>
      <w:outlineLvl w:val="9"/>
    </w:pPr>
    <w:rPr>
      <w:rFonts w:asciiTheme="majorHAnsi" w:eastAsiaTheme="majorEastAsia" w:hAnsiTheme="majorHAnsi" w:cstheme="majorBidi"/>
      <w:b w:val="0"/>
      <w:color w:val="0F4761" w:themeColor="accent1" w:themeShade="BF"/>
      <w:kern w:val="0"/>
      <w:sz w:val="32"/>
      <w:szCs w:val="32"/>
      <w14:ligatures w14:val="none"/>
    </w:rPr>
  </w:style>
  <w:style w:type="paragraph" w:styleId="Cuprins1">
    <w:name w:val="toc 1"/>
    <w:basedOn w:val="Normal"/>
    <w:next w:val="Normal"/>
    <w:autoRedefine/>
    <w:uiPriority w:val="39"/>
    <w:unhideWhenUsed/>
    <w:rsid w:val="00A45C8A"/>
    <w:pPr>
      <w:spacing w:after="100"/>
    </w:pPr>
  </w:style>
  <w:style w:type="paragraph" w:styleId="Cuprins2">
    <w:name w:val="toc 2"/>
    <w:basedOn w:val="Normal"/>
    <w:next w:val="Normal"/>
    <w:autoRedefine/>
    <w:uiPriority w:val="39"/>
    <w:unhideWhenUsed/>
    <w:rsid w:val="00A45C8A"/>
    <w:pPr>
      <w:spacing w:after="100"/>
      <w:ind w:left="240"/>
    </w:pPr>
  </w:style>
  <w:style w:type="character" w:styleId="Hyperlink">
    <w:name w:val="Hyperlink"/>
    <w:basedOn w:val="Fontdeparagrafimplicit"/>
    <w:uiPriority w:val="99"/>
    <w:unhideWhenUsed/>
    <w:rsid w:val="00A45C8A"/>
    <w:rPr>
      <w:color w:val="467886" w:themeColor="hyperlink"/>
      <w:u w:val="single"/>
    </w:rPr>
  </w:style>
  <w:style w:type="paragraph" w:styleId="Tabeldefiguri">
    <w:name w:val="table of figures"/>
    <w:basedOn w:val="Normal"/>
    <w:next w:val="Normal"/>
    <w:uiPriority w:val="99"/>
    <w:unhideWhenUsed/>
    <w:rsid w:val="00A45C8A"/>
    <w:pPr>
      <w:spacing w:after="0"/>
    </w:pPr>
  </w:style>
  <w:style w:type="paragraph" w:styleId="Antet">
    <w:name w:val="header"/>
    <w:basedOn w:val="Normal"/>
    <w:link w:val="AntetCaracter"/>
    <w:uiPriority w:val="99"/>
    <w:unhideWhenUsed/>
    <w:rsid w:val="00286A17"/>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286A17"/>
    <w:rPr>
      <w:rFonts w:ascii="Times New Roman" w:hAnsi="Times New Roman"/>
      <w:kern w:val="0"/>
      <w:szCs w:val="22"/>
      <w:lang w:val="en-GB"/>
      <w14:ligatures w14:val="none"/>
    </w:rPr>
  </w:style>
  <w:style w:type="paragraph" w:styleId="Subsol">
    <w:name w:val="footer"/>
    <w:basedOn w:val="Normal"/>
    <w:link w:val="SubsolCaracter"/>
    <w:uiPriority w:val="99"/>
    <w:unhideWhenUsed/>
    <w:rsid w:val="00286A17"/>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286A17"/>
    <w:rPr>
      <w:rFonts w:ascii="Times New Roman" w:hAnsi="Times New Roman"/>
      <w:kern w:val="0"/>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diagramColors" Target="diagrams/colors1.xml" /><Relationship Id="rId18" Type="http://schemas.openxmlformats.org/officeDocument/2006/relationships/diagramColors" Target="diagrams/colors2.xm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diagramQuickStyle" Target="diagrams/quickStyle1.xml" /><Relationship Id="rId17" Type="http://schemas.openxmlformats.org/officeDocument/2006/relationships/diagramQuickStyle" Target="diagrams/quickStyle2.xml" /><Relationship Id="rId2" Type="http://schemas.openxmlformats.org/officeDocument/2006/relationships/numbering" Target="numbering.xml" /><Relationship Id="rId16" Type="http://schemas.openxmlformats.org/officeDocument/2006/relationships/diagramLayout" Target="diagrams/layout2.xm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Layout" Target="diagrams/layout1.xml" /><Relationship Id="rId5" Type="http://schemas.openxmlformats.org/officeDocument/2006/relationships/webSettings" Target="webSettings.xml" /><Relationship Id="rId15" Type="http://schemas.openxmlformats.org/officeDocument/2006/relationships/diagramData" Target="diagrams/data2.xml" /><Relationship Id="rId10" Type="http://schemas.openxmlformats.org/officeDocument/2006/relationships/diagramData" Target="diagrams/data1.xml" /><Relationship Id="rId19" Type="http://schemas.microsoft.com/office/2007/relationships/diagramDrawing" Target="diagrams/drawing2.xml" /><Relationship Id="rId4" Type="http://schemas.openxmlformats.org/officeDocument/2006/relationships/settings" Target="settings.xml" /><Relationship Id="rId9" Type="http://schemas.openxmlformats.org/officeDocument/2006/relationships/image" Target="media/image2.png" /><Relationship Id="rId14" Type="http://schemas.microsoft.com/office/2007/relationships/diagramDrawing" Target="diagrams/drawing1.xml" /><Relationship Id="rId22" Type="http://schemas.openxmlformats.org/officeDocument/2006/relationships/theme" Target="theme/theme1.xml" /></Relationships>
</file>

<file path=word/diagrams/colors1.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E91573D-027C-4581-A2B4-31F5B25824C7}" type="doc">
      <dgm:prSet loTypeId="urn:microsoft.com/office/officeart/2005/8/layout/radial3" loCatId="cycle" qsTypeId="urn:microsoft.com/office/officeart/2005/8/quickstyle/simple5" qsCatId="simple" csTypeId="urn:microsoft.com/office/officeart/2005/8/colors/accent6_5" csCatId="accent6" phldr="1"/>
      <dgm:spPr/>
      <dgm:t>
        <a:bodyPr/>
        <a:lstStyle/>
        <a:p>
          <a:endParaRPr lang="en-US"/>
        </a:p>
      </dgm:t>
    </dgm:pt>
    <dgm:pt modelId="{4B13139F-F199-4A52-AF21-D62CEBAFFB1D}">
      <dgm:prSet phldrT="[Text]"/>
      <dgm:spPr/>
      <dgm:t>
        <a:bodyPr/>
        <a:lstStyle/>
        <a:p>
          <a:pPr>
            <a:buNone/>
          </a:pPr>
          <a:r>
            <a:rPr lang="en-GB" b="1">
              <a:latin typeface="Times New Roman" panose="02020603050405020304" pitchFamily="18" charset="0"/>
              <a:cs typeface="Times New Roman" panose="02020603050405020304" pitchFamily="18" charset="0"/>
            </a:rPr>
            <a:t>Performance Measurement and Decision-Making</a:t>
          </a:r>
          <a:br>
            <a:rPr lang="en-GB" b="1">
              <a:latin typeface="Times New Roman" panose="02020603050405020304" pitchFamily="18" charset="0"/>
              <a:cs typeface="Times New Roman" panose="02020603050405020304" pitchFamily="18" charset="0"/>
            </a:rPr>
          </a:br>
          <a:r>
            <a:rPr lang="en-US" b="1">
              <a:latin typeface="Times New Roman" panose="02020603050405020304" pitchFamily="18" charset="0"/>
              <a:cs typeface="Times New Roman" panose="02020603050405020304" pitchFamily="18" charset="0"/>
            </a:rPr>
            <a:t>Selected KPIs</a:t>
          </a:r>
        </a:p>
      </dgm:t>
    </dgm:pt>
    <dgm:pt modelId="{EDD7DFE3-54A1-4BCF-96CB-D8DE0FAA147B}" type="parTrans" cxnId="{5FA2CD6B-1E46-4B30-B18A-33A17A747C37}">
      <dgm:prSet/>
      <dgm:spPr/>
      <dgm:t>
        <a:bodyPr/>
        <a:lstStyle/>
        <a:p>
          <a:endParaRPr lang="en-US"/>
        </a:p>
      </dgm:t>
    </dgm:pt>
    <dgm:pt modelId="{284F86C5-3AD9-48C8-9A8F-717DD2CC8323}" type="sibTrans" cxnId="{5FA2CD6B-1E46-4B30-B18A-33A17A747C37}">
      <dgm:prSet/>
      <dgm:spPr/>
      <dgm:t>
        <a:bodyPr/>
        <a:lstStyle/>
        <a:p>
          <a:endParaRPr lang="en-US"/>
        </a:p>
      </dgm:t>
    </dgm:pt>
    <dgm:pt modelId="{5C522FFC-BC61-415D-9885-636B3E50C6CF}">
      <dgm:prSet phldrT="[Text]"/>
      <dgm:spPr/>
      <dgm:t>
        <a:bodyPr/>
        <a:lstStyle/>
        <a:p>
          <a:pPr>
            <a:buNone/>
          </a:pPr>
          <a:r>
            <a:rPr lang="en-US" b="1">
              <a:latin typeface="Times New Roman" panose="02020603050405020304" pitchFamily="18" charset="0"/>
              <a:cs typeface="Times New Roman" panose="02020603050405020304" pitchFamily="18" charset="0"/>
            </a:rPr>
            <a:t>1. Revenue (Total Revenue, Year-on-Year)</a:t>
          </a:r>
        </a:p>
      </dgm:t>
    </dgm:pt>
    <dgm:pt modelId="{DA589CB7-F15E-4BC8-95F4-E4347DEB2618}" type="parTrans" cxnId="{D5AF46A9-00BF-45A4-B90A-0EAA035277B7}">
      <dgm:prSet/>
      <dgm:spPr/>
      <dgm:t>
        <a:bodyPr/>
        <a:lstStyle/>
        <a:p>
          <a:endParaRPr lang="en-US"/>
        </a:p>
      </dgm:t>
    </dgm:pt>
    <dgm:pt modelId="{197946FA-F1D8-4382-967D-9ED1579AD308}" type="sibTrans" cxnId="{D5AF46A9-00BF-45A4-B90A-0EAA035277B7}">
      <dgm:prSet/>
      <dgm:spPr/>
      <dgm:t>
        <a:bodyPr/>
        <a:lstStyle/>
        <a:p>
          <a:endParaRPr lang="en-US"/>
        </a:p>
      </dgm:t>
    </dgm:pt>
    <dgm:pt modelId="{DA511B70-D495-401A-9D4C-463F662E8A1B}">
      <dgm:prSet phldrT="[Text]"/>
      <dgm:spPr/>
      <dgm:t>
        <a:bodyPr/>
        <a:lstStyle/>
        <a:p>
          <a:pPr>
            <a:buNone/>
          </a:pPr>
          <a:r>
            <a:rPr lang="en-GB" b="1">
              <a:latin typeface="Times New Roman" panose="02020603050405020304" pitchFamily="18" charset="0"/>
              <a:cs typeface="Times New Roman" panose="02020603050405020304" pitchFamily="18" charset="0"/>
            </a:rPr>
            <a:t>2. Operating Margin and Operating Income.</a:t>
          </a:r>
          <a:endParaRPr lang="en-US" b="1">
            <a:latin typeface="Times New Roman" panose="02020603050405020304" pitchFamily="18" charset="0"/>
            <a:cs typeface="Times New Roman" panose="02020603050405020304" pitchFamily="18" charset="0"/>
          </a:endParaRPr>
        </a:p>
      </dgm:t>
    </dgm:pt>
    <dgm:pt modelId="{94B23792-2601-47B5-BAD8-94E71117D172}" type="parTrans" cxnId="{4F8E82D5-EEFF-4A78-A966-D8049CD35491}">
      <dgm:prSet/>
      <dgm:spPr/>
      <dgm:t>
        <a:bodyPr/>
        <a:lstStyle/>
        <a:p>
          <a:endParaRPr lang="en-US"/>
        </a:p>
      </dgm:t>
    </dgm:pt>
    <dgm:pt modelId="{94DCC3A1-359A-4F45-9048-F9BAF6C6257D}" type="sibTrans" cxnId="{4F8E82D5-EEFF-4A78-A966-D8049CD35491}">
      <dgm:prSet/>
      <dgm:spPr/>
      <dgm:t>
        <a:bodyPr/>
        <a:lstStyle/>
        <a:p>
          <a:endParaRPr lang="en-US"/>
        </a:p>
      </dgm:t>
    </dgm:pt>
    <dgm:pt modelId="{EF645ADE-45C5-4041-8BB8-816247A2A7BE}">
      <dgm:prSet phldrT="[Text]"/>
      <dgm:spPr/>
      <dgm:t>
        <a:bodyPr/>
        <a:lstStyle/>
        <a:p>
          <a:pPr>
            <a:buNone/>
          </a:pPr>
          <a:r>
            <a:rPr lang="en-US" b="1">
              <a:latin typeface="Times New Roman" panose="02020603050405020304" pitchFamily="18" charset="0"/>
              <a:cs typeface="Times New Roman" panose="02020603050405020304" pitchFamily="18" charset="0"/>
            </a:rPr>
            <a:t>3. Free Cash Flow and Operating Cash Flow.</a:t>
          </a:r>
        </a:p>
      </dgm:t>
    </dgm:pt>
    <dgm:pt modelId="{21F5AF4F-77F9-4E2F-9CDF-01E5D4568D9B}" type="parTrans" cxnId="{E14EA11F-8076-4131-ABC7-AD23EAC61948}">
      <dgm:prSet/>
      <dgm:spPr/>
      <dgm:t>
        <a:bodyPr/>
        <a:lstStyle/>
        <a:p>
          <a:endParaRPr lang="en-US"/>
        </a:p>
      </dgm:t>
    </dgm:pt>
    <dgm:pt modelId="{48D57BF2-2ED0-4C7F-91B2-AAA0D2AA7C3A}" type="sibTrans" cxnId="{E14EA11F-8076-4131-ABC7-AD23EAC61948}">
      <dgm:prSet/>
      <dgm:spPr/>
      <dgm:t>
        <a:bodyPr/>
        <a:lstStyle/>
        <a:p>
          <a:endParaRPr lang="en-US"/>
        </a:p>
      </dgm:t>
    </dgm:pt>
    <dgm:pt modelId="{8FE20D59-4C2D-44E9-A974-9D47B44B2EAE}">
      <dgm:prSet phldrT="[Text]"/>
      <dgm:spPr/>
      <dgm:t>
        <a:bodyPr/>
        <a:lstStyle/>
        <a:p>
          <a:pPr>
            <a:buNone/>
          </a:pPr>
          <a:r>
            <a:rPr lang="en-US" b="1">
              <a:latin typeface="Times New Roman" panose="02020603050405020304" pitchFamily="18" charset="0"/>
              <a:cs typeface="Times New Roman" panose="02020603050405020304" pitchFamily="18" charset="0"/>
            </a:rPr>
            <a:t>4. AWS Operating Margin and Income.</a:t>
          </a:r>
        </a:p>
      </dgm:t>
    </dgm:pt>
    <dgm:pt modelId="{04FA58EE-6697-421B-BE55-E9311E0A65CF}" type="parTrans" cxnId="{638BCCCD-BC8E-4DC3-8229-692D6A36BC0E}">
      <dgm:prSet/>
      <dgm:spPr/>
      <dgm:t>
        <a:bodyPr/>
        <a:lstStyle/>
        <a:p>
          <a:endParaRPr lang="en-US"/>
        </a:p>
      </dgm:t>
    </dgm:pt>
    <dgm:pt modelId="{D31D3053-6C5F-45FB-88C9-BAFBDD2876CC}" type="sibTrans" cxnId="{638BCCCD-BC8E-4DC3-8229-692D6A36BC0E}">
      <dgm:prSet/>
      <dgm:spPr/>
      <dgm:t>
        <a:bodyPr/>
        <a:lstStyle/>
        <a:p>
          <a:endParaRPr lang="en-US"/>
        </a:p>
      </dgm:t>
    </dgm:pt>
    <dgm:pt modelId="{619A330B-3990-4C74-8626-1CEE8C2843D7}">
      <dgm:prSet/>
      <dgm:spPr/>
      <dgm:t>
        <a:bodyPr/>
        <a:lstStyle/>
        <a:p>
          <a:pPr>
            <a:buNone/>
          </a:pPr>
          <a:r>
            <a:rPr lang="en-US" b="1">
              <a:latin typeface="Times New Roman" panose="02020603050405020304" pitchFamily="18" charset="0"/>
              <a:cs typeface="Times New Roman" panose="02020603050405020304" pitchFamily="18" charset="0"/>
            </a:rPr>
            <a:t>Best Membership and Customer Retention Metrics.</a:t>
          </a:r>
        </a:p>
      </dgm:t>
    </dgm:pt>
    <dgm:pt modelId="{50E8F88C-8C6B-4FCF-B2E0-D7F1037CF690}" type="parTrans" cxnId="{C1998794-B2A2-45A6-B0C4-CAE09EFB0E70}">
      <dgm:prSet/>
      <dgm:spPr/>
      <dgm:t>
        <a:bodyPr/>
        <a:lstStyle/>
        <a:p>
          <a:endParaRPr lang="en-US"/>
        </a:p>
      </dgm:t>
    </dgm:pt>
    <dgm:pt modelId="{09F4FB4D-F967-4308-9BD8-29BDE435EC35}" type="sibTrans" cxnId="{C1998794-B2A2-45A6-B0C4-CAE09EFB0E70}">
      <dgm:prSet/>
      <dgm:spPr/>
      <dgm:t>
        <a:bodyPr/>
        <a:lstStyle/>
        <a:p>
          <a:endParaRPr lang="en-US"/>
        </a:p>
      </dgm:t>
    </dgm:pt>
    <dgm:pt modelId="{F3AA0DBF-23B5-4D93-A136-475221BC526D}" type="pres">
      <dgm:prSet presAssocID="{EE91573D-027C-4581-A2B4-31F5B25824C7}" presName="composite" presStyleCnt="0">
        <dgm:presLayoutVars>
          <dgm:chMax val="1"/>
          <dgm:dir/>
          <dgm:resizeHandles val="exact"/>
        </dgm:presLayoutVars>
      </dgm:prSet>
      <dgm:spPr/>
    </dgm:pt>
    <dgm:pt modelId="{E3EA30E8-A38D-4B0A-9993-E9AAF010322B}" type="pres">
      <dgm:prSet presAssocID="{EE91573D-027C-4581-A2B4-31F5B25824C7}" presName="radial" presStyleCnt="0">
        <dgm:presLayoutVars>
          <dgm:animLvl val="ctr"/>
        </dgm:presLayoutVars>
      </dgm:prSet>
      <dgm:spPr/>
    </dgm:pt>
    <dgm:pt modelId="{7A218548-5431-40AB-9CC9-42BD02DC1B4A}" type="pres">
      <dgm:prSet presAssocID="{4B13139F-F199-4A52-AF21-D62CEBAFFB1D}" presName="centerShape" presStyleLbl="vennNode1" presStyleIdx="0" presStyleCnt="6"/>
      <dgm:spPr/>
    </dgm:pt>
    <dgm:pt modelId="{79B9CD08-0B72-4AEF-AB61-94D9DC9140E9}" type="pres">
      <dgm:prSet presAssocID="{5C522FFC-BC61-415D-9885-636B3E50C6CF}" presName="node" presStyleLbl="vennNode1" presStyleIdx="1" presStyleCnt="6">
        <dgm:presLayoutVars>
          <dgm:bulletEnabled val="1"/>
        </dgm:presLayoutVars>
      </dgm:prSet>
      <dgm:spPr/>
    </dgm:pt>
    <dgm:pt modelId="{E0013B52-15AB-423A-BAC5-82B0CE2C9132}" type="pres">
      <dgm:prSet presAssocID="{DA511B70-D495-401A-9D4C-463F662E8A1B}" presName="node" presStyleLbl="vennNode1" presStyleIdx="2" presStyleCnt="6">
        <dgm:presLayoutVars>
          <dgm:bulletEnabled val="1"/>
        </dgm:presLayoutVars>
      </dgm:prSet>
      <dgm:spPr/>
    </dgm:pt>
    <dgm:pt modelId="{0B6E9FE4-B045-4918-B0C2-CCFCA67F4F5D}" type="pres">
      <dgm:prSet presAssocID="{EF645ADE-45C5-4041-8BB8-816247A2A7BE}" presName="node" presStyleLbl="vennNode1" presStyleIdx="3" presStyleCnt="6">
        <dgm:presLayoutVars>
          <dgm:bulletEnabled val="1"/>
        </dgm:presLayoutVars>
      </dgm:prSet>
      <dgm:spPr/>
    </dgm:pt>
    <dgm:pt modelId="{0A8547AC-5904-4ADB-959B-3D9D38716652}" type="pres">
      <dgm:prSet presAssocID="{8FE20D59-4C2D-44E9-A974-9D47B44B2EAE}" presName="node" presStyleLbl="vennNode1" presStyleIdx="4" presStyleCnt="6">
        <dgm:presLayoutVars>
          <dgm:bulletEnabled val="1"/>
        </dgm:presLayoutVars>
      </dgm:prSet>
      <dgm:spPr/>
    </dgm:pt>
    <dgm:pt modelId="{1AB4A7CF-D6C4-431E-AA2E-FF296734B00B}" type="pres">
      <dgm:prSet presAssocID="{619A330B-3990-4C74-8626-1CEE8C2843D7}" presName="node" presStyleLbl="vennNode1" presStyleIdx="5" presStyleCnt="6">
        <dgm:presLayoutVars>
          <dgm:bulletEnabled val="1"/>
        </dgm:presLayoutVars>
      </dgm:prSet>
      <dgm:spPr/>
    </dgm:pt>
  </dgm:ptLst>
  <dgm:cxnLst>
    <dgm:cxn modelId="{E14EA11F-8076-4131-ABC7-AD23EAC61948}" srcId="{4B13139F-F199-4A52-AF21-D62CEBAFFB1D}" destId="{EF645ADE-45C5-4041-8BB8-816247A2A7BE}" srcOrd="2" destOrd="0" parTransId="{21F5AF4F-77F9-4E2F-9CDF-01E5D4568D9B}" sibTransId="{48D57BF2-2ED0-4C7F-91B2-AAA0D2AA7C3A}"/>
    <dgm:cxn modelId="{1DF6AB30-4078-46E9-B545-D8813D10B9AD}" type="presOf" srcId="{8FE20D59-4C2D-44E9-A974-9D47B44B2EAE}" destId="{0A8547AC-5904-4ADB-959B-3D9D38716652}" srcOrd="0" destOrd="0" presId="urn:microsoft.com/office/officeart/2005/8/layout/radial3"/>
    <dgm:cxn modelId="{5FA2CD6B-1E46-4B30-B18A-33A17A747C37}" srcId="{EE91573D-027C-4581-A2B4-31F5B25824C7}" destId="{4B13139F-F199-4A52-AF21-D62CEBAFFB1D}" srcOrd="0" destOrd="0" parTransId="{EDD7DFE3-54A1-4BCF-96CB-D8DE0FAA147B}" sibTransId="{284F86C5-3AD9-48C8-9A8F-717DD2CC8323}"/>
    <dgm:cxn modelId="{7137A64E-A4A2-47E8-8A4A-B3D9029AF663}" type="presOf" srcId="{4B13139F-F199-4A52-AF21-D62CEBAFFB1D}" destId="{7A218548-5431-40AB-9CC9-42BD02DC1B4A}" srcOrd="0" destOrd="0" presId="urn:microsoft.com/office/officeart/2005/8/layout/radial3"/>
    <dgm:cxn modelId="{21FF417C-1F4A-477A-A10B-1F5D49B1EAEB}" type="presOf" srcId="{EF645ADE-45C5-4041-8BB8-816247A2A7BE}" destId="{0B6E9FE4-B045-4918-B0C2-CCFCA67F4F5D}" srcOrd="0" destOrd="0" presId="urn:microsoft.com/office/officeart/2005/8/layout/radial3"/>
    <dgm:cxn modelId="{C1998794-B2A2-45A6-B0C4-CAE09EFB0E70}" srcId="{4B13139F-F199-4A52-AF21-D62CEBAFFB1D}" destId="{619A330B-3990-4C74-8626-1CEE8C2843D7}" srcOrd="4" destOrd="0" parTransId="{50E8F88C-8C6B-4FCF-B2E0-D7F1037CF690}" sibTransId="{09F4FB4D-F967-4308-9BD8-29BDE435EC35}"/>
    <dgm:cxn modelId="{D5AF46A9-00BF-45A4-B90A-0EAA035277B7}" srcId="{4B13139F-F199-4A52-AF21-D62CEBAFFB1D}" destId="{5C522FFC-BC61-415D-9885-636B3E50C6CF}" srcOrd="0" destOrd="0" parTransId="{DA589CB7-F15E-4BC8-95F4-E4347DEB2618}" sibTransId="{197946FA-F1D8-4382-967D-9ED1579AD308}"/>
    <dgm:cxn modelId="{B06F37AA-5190-42FF-958F-035C5B937039}" type="presOf" srcId="{5C522FFC-BC61-415D-9885-636B3E50C6CF}" destId="{79B9CD08-0B72-4AEF-AB61-94D9DC9140E9}" srcOrd="0" destOrd="0" presId="urn:microsoft.com/office/officeart/2005/8/layout/radial3"/>
    <dgm:cxn modelId="{54D5F6AD-07AE-43F8-A059-2A8810FB21DA}" type="presOf" srcId="{EE91573D-027C-4581-A2B4-31F5B25824C7}" destId="{F3AA0DBF-23B5-4D93-A136-475221BC526D}" srcOrd="0" destOrd="0" presId="urn:microsoft.com/office/officeart/2005/8/layout/radial3"/>
    <dgm:cxn modelId="{638BCCCD-BC8E-4DC3-8229-692D6A36BC0E}" srcId="{4B13139F-F199-4A52-AF21-D62CEBAFFB1D}" destId="{8FE20D59-4C2D-44E9-A974-9D47B44B2EAE}" srcOrd="3" destOrd="0" parTransId="{04FA58EE-6697-421B-BE55-E9311E0A65CF}" sibTransId="{D31D3053-6C5F-45FB-88C9-BAFBDD2876CC}"/>
    <dgm:cxn modelId="{F5130ED1-4A68-4E41-9C16-023A3CD33E95}" type="presOf" srcId="{DA511B70-D495-401A-9D4C-463F662E8A1B}" destId="{E0013B52-15AB-423A-BAC5-82B0CE2C9132}" srcOrd="0" destOrd="0" presId="urn:microsoft.com/office/officeart/2005/8/layout/radial3"/>
    <dgm:cxn modelId="{4F8E82D5-EEFF-4A78-A966-D8049CD35491}" srcId="{4B13139F-F199-4A52-AF21-D62CEBAFFB1D}" destId="{DA511B70-D495-401A-9D4C-463F662E8A1B}" srcOrd="1" destOrd="0" parTransId="{94B23792-2601-47B5-BAD8-94E71117D172}" sibTransId="{94DCC3A1-359A-4F45-9048-F9BAF6C6257D}"/>
    <dgm:cxn modelId="{1867B5F5-633F-43F7-9935-3CA98F2CF8EF}" type="presOf" srcId="{619A330B-3990-4C74-8626-1CEE8C2843D7}" destId="{1AB4A7CF-D6C4-431E-AA2E-FF296734B00B}" srcOrd="0" destOrd="0" presId="urn:microsoft.com/office/officeart/2005/8/layout/radial3"/>
    <dgm:cxn modelId="{AA71408A-BF12-4421-B383-407309A6F20F}" type="presParOf" srcId="{F3AA0DBF-23B5-4D93-A136-475221BC526D}" destId="{E3EA30E8-A38D-4B0A-9993-E9AAF010322B}" srcOrd="0" destOrd="0" presId="urn:microsoft.com/office/officeart/2005/8/layout/radial3"/>
    <dgm:cxn modelId="{37D29C57-4997-4EE6-A50D-5356765EDDB9}" type="presParOf" srcId="{E3EA30E8-A38D-4B0A-9993-E9AAF010322B}" destId="{7A218548-5431-40AB-9CC9-42BD02DC1B4A}" srcOrd="0" destOrd="0" presId="urn:microsoft.com/office/officeart/2005/8/layout/radial3"/>
    <dgm:cxn modelId="{E47E46FA-D693-4500-8A3E-2FF465AE74E7}" type="presParOf" srcId="{E3EA30E8-A38D-4B0A-9993-E9AAF010322B}" destId="{79B9CD08-0B72-4AEF-AB61-94D9DC9140E9}" srcOrd="1" destOrd="0" presId="urn:microsoft.com/office/officeart/2005/8/layout/radial3"/>
    <dgm:cxn modelId="{C498094A-079C-4A1D-8973-F371BBB6A009}" type="presParOf" srcId="{E3EA30E8-A38D-4B0A-9993-E9AAF010322B}" destId="{E0013B52-15AB-423A-BAC5-82B0CE2C9132}" srcOrd="2" destOrd="0" presId="urn:microsoft.com/office/officeart/2005/8/layout/radial3"/>
    <dgm:cxn modelId="{B993AF31-4819-46A6-AB4E-0ACAC7AA0C8F}" type="presParOf" srcId="{E3EA30E8-A38D-4B0A-9993-E9AAF010322B}" destId="{0B6E9FE4-B045-4918-B0C2-CCFCA67F4F5D}" srcOrd="3" destOrd="0" presId="urn:microsoft.com/office/officeart/2005/8/layout/radial3"/>
    <dgm:cxn modelId="{143AE10F-C828-4C2A-9418-715B6617C4ED}" type="presParOf" srcId="{E3EA30E8-A38D-4B0A-9993-E9AAF010322B}" destId="{0A8547AC-5904-4ADB-959B-3D9D38716652}" srcOrd="4" destOrd="0" presId="urn:microsoft.com/office/officeart/2005/8/layout/radial3"/>
    <dgm:cxn modelId="{224C34C8-57D0-4040-9265-B7465454F5F5}" type="presParOf" srcId="{E3EA30E8-A38D-4B0A-9993-E9AAF010322B}" destId="{1AB4A7CF-D6C4-431E-AA2E-FF296734B00B}" srcOrd="5" destOrd="0" presId="urn:microsoft.com/office/officeart/2005/8/layout/radial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409B388-F80B-4077-96B2-DEF69AFE14BA}" type="doc">
      <dgm:prSet loTypeId="urn:microsoft.com/office/officeart/2005/8/layout/radial6" loCatId="cycle" qsTypeId="urn:microsoft.com/office/officeart/2005/8/quickstyle/simple5" qsCatId="simple" csTypeId="urn:microsoft.com/office/officeart/2005/8/colors/accent2_2" csCatId="accent2" phldr="1"/>
      <dgm:spPr/>
      <dgm:t>
        <a:bodyPr/>
        <a:lstStyle/>
        <a:p>
          <a:endParaRPr lang="en-US"/>
        </a:p>
      </dgm:t>
    </dgm:pt>
    <dgm:pt modelId="{2D749612-31F3-4132-95E5-60BDED619D30}">
      <dgm:prSet phldrT="[Text]" custT="1"/>
      <dgm:spPr/>
      <dgm:t>
        <a:bodyPr/>
        <a:lstStyle/>
        <a:p>
          <a:pPr>
            <a:buNone/>
          </a:pPr>
          <a:r>
            <a:rPr lang="en-US" sz="600" b="1">
              <a:solidFill>
                <a:schemeClr val="tx1">
                  <a:lumMod val="95000"/>
                  <a:lumOff val="5000"/>
                </a:schemeClr>
              </a:solidFill>
              <a:latin typeface="Times New Roman" panose="02020603050405020304" pitchFamily="18" charset="0"/>
              <a:cs typeface="Times New Roman" panose="02020603050405020304" pitchFamily="18" charset="0"/>
            </a:rPr>
            <a:t>Recommendations</a:t>
          </a:r>
        </a:p>
      </dgm:t>
    </dgm:pt>
    <dgm:pt modelId="{92852D63-3AD7-4384-8FD0-A4B389B27F6C}" type="parTrans" cxnId="{9FF3C446-BEAA-4A6E-BF26-2D20C0F854CA}">
      <dgm:prSet/>
      <dgm:spPr/>
      <dgm:t>
        <a:bodyPr/>
        <a:lstStyle/>
        <a:p>
          <a:endParaRPr lang="en-US" sz="1200"/>
        </a:p>
      </dgm:t>
    </dgm:pt>
    <dgm:pt modelId="{5E0FA8CF-D8F9-4139-8C12-9E45799B58B0}" type="sibTrans" cxnId="{9FF3C446-BEAA-4A6E-BF26-2D20C0F854CA}">
      <dgm:prSet/>
      <dgm:spPr/>
      <dgm:t>
        <a:bodyPr/>
        <a:lstStyle/>
        <a:p>
          <a:endParaRPr lang="en-US" sz="1200"/>
        </a:p>
      </dgm:t>
    </dgm:pt>
    <dgm:pt modelId="{8537057C-9833-4678-B112-8656972CEE9A}">
      <dgm:prSet phldrT="[Text]" custT="1"/>
      <dgm:spPr/>
      <dgm:t>
        <a:bodyPr/>
        <a:lstStyle/>
        <a:p>
          <a:pPr>
            <a:buNone/>
          </a:pPr>
          <a:r>
            <a:rPr lang="en-US" sz="500" b="1">
              <a:solidFill>
                <a:schemeClr val="tx1">
                  <a:lumMod val="95000"/>
                  <a:lumOff val="5000"/>
                </a:schemeClr>
              </a:solidFill>
              <a:latin typeface="Times New Roman" panose="02020603050405020304" pitchFamily="18" charset="0"/>
              <a:cs typeface="Times New Roman" panose="02020603050405020304" pitchFamily="18" charset="0"/>
            </a:rPr>
            <a:t>Expand Activity-Based Costing (ABC) to Fulfilment:</a:t>
          </a:r>
        </a:p>
      </dgm:t>
    </dgm:pt>
    <dgm:pt modelId="{1FCD38CA-4A61-48FB-9711-0F9AE47EE7B1}" type="parTrans" cxnId="{CB8FA24C-7DE3-4DEE-A207-EAAE069D06A1}">
      <dgm:prSet/>
      <dgm:spPr/>
      <dgm:t>
        <a:bodyPr/>
        <a:lstStyle/>
        <a:p>
          <a:endParaRPr lang="en-US" sz="1200"/>
        </a:p>
      </dgm:t>
    </dgm:pt>
    <dgm:pt modelId="{4C6EE7A9-C23C-42A4-890A-630166E7EADD}" type="sibTrans" cxnId="{CB8FA24C-7DE3-4DEE-A207-EAAE069D06A1}">
      <dgm:prSet/>
      <dgm:spPr/>
      <dgm:t>
        <a:bodyPr/>
        <a:lstStyle/>
        <a:p>
          <a:endParaRPr lang="en-US" sz="1200"/>
        </a:p>
      </dgm:t>
    </dgm:pt>
    <dgm:pt modelId="{D106BBCB-6952-4647-B756-327078CB789C}">
      <dgm:prSet phldrT="[Text]" custT="1"/>
      <dgm:spPr/>
      <dgm:t>
        <a:bodyPr/>
        <a:lstStyle/>
        <a:p>
          <a:pPr>
            <a:buNone/>
          </a:pPr>
          <a:r>
            <a:rPr lang="en-GB" sz="500" b="1">
              <a:solidFill>
                <a:schemeClr val="tx1">
                  <a:lumMod val="95000"/>
                  <a:lumOff val="5000"/>
                </a:schemeClr>
              </a:solidFill>
              <a:latin typeface="Times New Roman" panose="02020603050405020304" pitchFamily="18" charset="0"/>
              <a:cs typeface="Times New Roman" panose="02020603050405020304" pitchFamily="18" charset="0"/>
            </a:rPr>
            <a:t>Integrate Sustainability KPIs into Incentives: </a:t>
          </a:r>
          <a:endParaRPr lang="en-US" sz="500" b="1">
            <a:solidFill>
              <a:schemeClr val="tx1">
                <a:lumMod val="95000"/>
                <a:lumOff val="5000"/>
              </a:schemeClr>
            </a:solidFill>
            <a:latin typeface="Times New Roman" panose="02020603050405020304" pitchFamily="18" charset="0"/>
            <a:cs typeface="Times New Roman" panose="02020603050405020304" pitchFamily="18" charset="0"/>
          </a:endParaRPr>
        </a:p>
      </dgm:t>
    </dgm:pt>
    <dgm:pt modelId="{DBECC22D-468F-4493-B72D-404639333830}" type="parTrans" cxnId="{1ADD1EFE-B5EB-42AA-8B0C-DA632567C831}">
      <dgm:prSet/>
      <dgm:spPr/>
      <dgm:t>
        <a:bodyPr/>
        <a:lstStyle/>
        <a:p>
          <a:endParaRPr lang="en-US" sz="1200"/>
        </a:p>
      </dgm:t>
    </dgm:pt>
    <dgm:pt modelId="{562706C7-A535-4F7D-85A2-A84C53B96795}" type="sibTrans" cxnId="{1ADD1EFE-B5EB-42AA-8B0C-DA632567C831}">
      <dgm:prSet/>
      <dgm:spPr/>
      <dgm:t>
        <a:bodyPr/>
        <a:lstStyle/>
        <a:p>
          <a:endParaRPr lang="en-US" sz="1200"/>
        </a:p>
      </dgm:t>
    </dgm:pt>
    <dgm:pt modelId="{E707E316-B328-42DA-99A8-C33BB6ECFD99}">
      <dgm:prSet phldrT="[Text]" custT="1"/>
      <dgm:spPr/>
      <dgm:t>
        <a:bodyPr/>
        <a:lstStyle/>
        <a:p>
          <a:pPr>
            <a:buNone/>
          </a:pPr>
          <a:r>
            <a:rPr lang="en-US" sz="500" b="1">
              <a:solidFill>
                <a:schemeClr val="tx1">
                  <a:lumMod val="95000"/>
                  <a:lumOff val="5000"/>
                </a:schemeClr>
              </a:solidFill>
              <a:latin typeface="Times New Roman" panose="02020603050405020304" pitchFamily="18" charset="0"/>
              <a:cs typeface="Times New Roman" panose="02020603050405020304" pitchFamily="18" charset="0"/>
            </a:rPr>
            <a:t>Empower Macro Risk Scenario Budgeting: Introduce</a:t>
          </a:r>
        </a:p>
      </dgm:t>
    </dgm:pt>
    <dgm:pt modelId="{A18AFD64-0F6C-407B-98FC-3E9599D73B1D}" type="parTrans" cxnId="{DD017D94-AEDD-4236-A60F-6B0A3C5BE0A6}">
      <dgm:prSet/>
      <dgm:spPr/>
      <dgm:t>
        <a:bodyPr/>
        <a:lstStyle/>
        <a:p>
          <a:endParaRPr lang="en-US" sz="1200"/>
        </a:p>
      </dgm:t>
    </dgm:pt>
    <dgm:pt modelId="{8FBC4B07-FCF4-496F-911D-12984E9A81B9}" type="sibTrans" cxnId="{DD017D94-AEDD-4236-A60F-6B0A3C5BE0A6}">
      <dgm:prSet/>
      <dgm:spPr/>
      <dgm:t>
        <a:bodyPr/>
        <a:lstStyle/>
        <a:p>
          <a:endParaRPr lang="en-US" sz="1200"/>
        </a:p>
      </dgm:t>
    </dgm:pt>
    <dgm:pt modelId="{FD1BEBF6-83B8-4F86-B0FB-078797E9B97F}" type="pres">
      <dgm:prSet presAssocID="{7409B388-F80B-4077-96B2-DEF69AFE14BA}" presName="Name0" presStyleCnt="0">
        <dgm:presLayoutVars>
          <dgm:chMax val="1"/>
          <dgm:dir/>
          <dgm:animLvl val="ctr"/>
          <dgm:resizeHandles val="exact"/>
        </dgm:presLayoutVars>
      </dgm:prSet>
      <dgm:spPr/>
    </dgm:pt>
    <dgm:pt modelId="{DDD15A31-0404-43BB-9FF8-F262AFC9030F}" type="pres">
      <dgm:prSet presAssocID="{2D749612-31F3-4132-95E5-60BDED619D30}" presName="centerShape" presStyleLbl="node0" presStyleIdx="0" presStyleCnt="1"/>
      <dgm:spPr/>
    </dgm:pt>
    <dgm:pt modelId="{A8F0F940-0AB8-494B-9DDF-F2D46D348AE1}" type="pres">
      <dgm:prSet presAssocID="{8537057C-9833-4678-B112-8656972CEE9A}" presName="node" presStyleLbl="node1" presStyleIdx="0" presStyleCnt="3">
        <dgm:presLayoutVars>
          <dgm:bulletEnabled val="1"/>
        </dgm:presLayoutVars>
      </dgm:prSet>
      <dgm:spPr/>
    </dgm:pt>
    <dgm:pt modelId="{222B74C2-F3AF-437D-8CAE-681405142411}" type="pres">
      <dgm:prSet presAssocID="{8537057C-9833-4678-B112-8656972CEE9A}" presName="dummy" presStyleCnt="0"/>
      <dgm:spPr/>
    </dgm:pt>
    <dgm:pt modelId="{DDC39FB5-2EE1-4BF5-A35F-FCD874D4E2E8}" type="pres">
      <dgm:prSet presAssocID="{4C6EE7A9-C23C-42A4-890A-630166E7EADD}" presName="sibTrans" presStyleLbl="sibTrans2D1" presStyleIdx="0" presStyleCnt="3"/>
      <dgm:spPr/>
    </dgm:pt>
    <dgm:pt modelId="{867E0B0B-1D58-4EA1-BB15-435F42FD1FDC}" type="pres">
      <dgm:prSet presAssocID="{D106BBCB-6952-4647-B756-327078CB789C}" presName="node" presStyleLbl="node1" presStyleIdx="1" presStyleCnt="3">
        <dgm:presLayoutVars>
          <dgm:bulletEnabled val="1"/>
        </dgm:presLayoutVars>
      </dgm:prSet>
      <dgm:spPr/>
    </dgm:pt>
    <dgm:pt modelId="{3620A836-5DD6-4D57-8CCD-3C13943EF575}" type="pres">
      <dgm:prSet presAssocID="{D106BBCB-6952-4647-B756-327078CB789C}" presName="dummy" presStyleCnt="0"/>
      <dgm:spPr/>
    </dgm:pt>
    <dgm:pt modelId="{9CE182F0-ADE8-47A1-944A-2BBEBAF8E574}" type="pres">
      <dgm:prSet presAssocID="{562706C7-A535-4F7D-85A2-A84C53B96795}" presName="sibTrans" presStyleLbl="sibTrans2D1" presStyleIdx="1" presStyleCnt="3"/>
      <dgm:spPr/>
    </dgm:pt>
    <dgm:pt modelId="{5CC3D665-588D-4546-B871-05751E50F114}" type="pres">
      <dgm:prSet presAssocID="{E707E316-B328-42DA-99A8-C33BB6ECFD99}" presName="node" presStyleLbl="node1" presStyleIdx="2" presStyleCnt="3">
        <dgm:presLayoutVars>
          <dgm:bulletEnabled val="1"/>
        </dgm:presLayoutVars>
      </dgm:prSet>
      <dgm:spPr/>
    </dgm:pt>
    <dgm:pt modelId="{522C8DF7-BA41-4DCF-B717-9AAF3FA7BAF6}" type="pres">
      <dgm:prSet presAssocID="{E707E316-B328-42DA-99A8-C33BB6ECFD99}" presName="dummy" presStyleCnt="0"/>
      <dgm:spPr/>
    </dgm:pt>
    <dgm:pt modelId="{5A462BEC-B598-4D3B-B8EB-B5700408E135}" type="pres">
      <dgm:prSet presAssocID="{8FBC4B07-FCF4-496F-911D-12984E9A81B9}" presName="sibTrans" presStyleLbl="sibTrans2D1" presStyleIdx="2" presStyleCnt="3"/>
      <dgm:spPr/>
    </dgm:pt>
  </dgm:ptLst>
  <dgm:cxnLst>
    <dgm:cxn modelId="{991F441A-5076-448F-A25A-2854A96F5A65}" type="presOf" srcId="{562706C7-A535-4F7D-85A2-A84C53B96795}" destId="{9CE182F0-ADE8-47A1-944A-2BBEBAF8E574}" srcOrd="0" destOrd="0" presId="urn:microsoft.com/office/officeart/2005/8/layout/radial6"/>
    <dgm:cxn modelId="{33F4F51E-344E-4BEF-B0D3-E089A8CF6E11}" type="presOf" srcId="{7409B388-F80B-4077-96B2-DEF69AFE14BA}" destId="{FD1BEBF6-83B8-4F86-B0FB-078797E9B97F}" srcOrd="0" destOrd="0" presId="urn:microsoft.com/office/officeart/2005/8/layout/radial6"/>
    <dgm:cxn modelId="{96496942-89E5-40ED-BA00-58D0268320C0}" type="presOf" srcId="{8FBC4B07-FCF4-496F-911D-12984E9A81B9}" destId="{5A462BEC-B598-4D3B-B8EB-B5700408E135}" srcOrd="0" destOrd="0" presId="urn:microsoft.com/office/officeart/2005/8/layout/radial6"/>
    <dgm:cxn modelId="{F17E8942-601B-461A-98DC-84CC688F7FC6}" type="presOf" srcId="{E707E316-B328-42DA-99A8-C33BB6ECFD99}" destId="{5CC3D665-588D-4546-B871-05751E50F114}" srcOrd="0" destOrd="0" presId="urn:microsoft.com/office/officeart/2005/8/layout/radial6"/>
    <dgm:cxn modelId="{5CDBEB42-4B05-4953-8679-46DE10F87C6F}" type="presOf" srcId="{2D749612-31F3-4132-95E5-60BDED619D30}" destId="{DDD15A31-0404-43BB-9FF8-F262AFC9030F}" srcOrd="0" destOrd="0" presId="urn:microsoft.com/office/officeart/2005/8/layout/radial6"/>
    <dgm:cxn modelId="{9FF3C446-BEAA-4A6E-BF26-2D20C0F854CA}" srcId="{7409B388-F80B-4077-96B2-DEF69AFE14BA}" destId="{2D749612-31F3-4132-95E5-60BDED619D30}" srcOrd="0" destOrd="0" parTransId="{92852D63-3AD7-4384-8FD0-A4B389B27F6C}" sibTransId="{5E0FA8CF-D8F9-4139-8C12-9E45799B58B0}"/>
    <dgm:cxn modelId="{CB8FA24C-7DE3-4DEE-A207-EAAE069D06A1}" srcId="{2D749612-31F3-4132-95E5-60BDED619D30}" destId="{8537057C-9833-4678-B112-8656972CEE9A}" srcOrd="0" destOrd="0" parTransId="{1FCD38CA-4A61-48FB-9711-0F9AE47EE7B1}" sibTransId="{4C6EE7A9-C23C-42A4-890A-630166E7EADD}"/>
    <dgm:cxn modelId="{DD017D94-AEDD-4236-A60F-6B0A3C5BE0A6}" srcId="{2D749612-31F3-4132-95E5-60BDED619D30}" destId="{E707E316-B328-42DA-99A8-C33BB6ECFD99}" srcOrd="2" destOrd="0" parTransId="{A18AFD64-0F6C-407B-98FC-3E9599D73B1D}" sibTransId="{8FBC4B07-FCF4-496F-911D-12984E9A81B9}"/>
    <dgm:cxn modelId="{7C51BDC5-C2E7-4468-9D38-F1EB481B03D7}" type="presOf" srcId="{8537057C-9833-4678-B112-8656972CEE9A}" destId="{A8F0F940-0AB8-494B-9DDF-F2D46D348AE1}" srcOrd="0" destOrd="0" presId="urn:microsoft.com/office/officeart/2005/8/layout/radial6"/>
    <dgm:cxn modelId="{754566EF-E154-441C-B661-9ABE622A7A99}" type="presOf" srcId="{D106BBCB-6952-4647-B756-327078CB789C}" destId="{867E0B0B-1D58-4EA1-BB15-435F42FD1FDC}" srcOrd="0" destOrd="0" presId="urn:microsoft.com/office/officeart/2005/8/layout/radial6"/>
    <dgm:cxn modelId="{E2AD55F8-0A4D-4CE5-8043-B5F09F55DB13}" type="presOf" srcId="{4C6EE7A9-C23C-42A4-890A-630166E7EADD}" destId="{DDC39FB5-2EE1-4BF5-A35F-FCD874D4E2E8}" srcOrd="0" destOrd="0" presId="urn:microsoft.com/office/officeart/2005/8/layout/radial6"/>
    <dgm:cxn modelId="{1ADD1EFE-B5EB-42AA-8B0C-DA632567C831}" srcId="{2D749612-31F3-4132-95E5-60BDED619D30}" destId="{D106BBCB-6952-4647-B756-327078CB789C}" srcOrd="1" destOrd="0" parTransId="{DBECC22D-468F-4493-B72D-404639333830}" sibTransId="{562706C7-A535-4F7D-85A2-A84C53B96795}"/>
    <dgm:cxn modelId="{8CE6D508-A340-4F5B-BC10-112D2C1832EB}" type="presParOf" srcId="{FD1BEBF6-83B8-4F86-B0FB-078797E9B97F}" destId="{DDD15A31-0404-43BB-9FF8-F262AFC9030F}" srcOrd="0" destOrd="0" presId="urn:microsoft.com/office/officeart/2005/8/layout/radial6"/>
    <dgm:cxn modelId="{F6F3735F-3B84-4EEB-BE0A-0795AA635160}" type="presParOf" srcId="{FD1BEBF6-83B8-4F86-B0FB-078797E9B97F}" destId="{A8F0F940-0AB8-494B-9DDF-F2D46D348AE1}" srcOrd="1" destOrd="0" presId="urn:microsoft.com/office/officeart/2005/8/layout/radial6"/>
    <dgm:cxn modelId="{5937FF80-B123-4F9A-BD4E-6F0CBED35C3A}" type="presParOf" srcId="{FD1BEBF6-83B8-4F86-B0FB-078797E9B97F}" destId="{222B74C2-F3AF-437D-8CAE-681405142411}" srcOrd="2" destOrd="0" presId="urn:microsoft.com/office/officeart/2005/8/layout/radial6"/>
    <dgm:cxn modelId="{DF894BA4-9BB5-4C66-800A-5565732DBB42}" type="presParOf" srcId="{FD1BEBF6-83B8-4F86-B0FB-078797E9B97F}" destId="{DDC39FB5-2EE1-4BF5-A35F-FCD874D4E2E8}" srcOrd="3" destOrd="0" presId="urn:microsoft.com/office/officeart/2005/8/layout/radial6"/>
    <dgm:cxn modelId="{7C744392-0946-423D-B8A3-943C7F2A2F6A}" type="presParOf" srcId="{FD1BEBF6-83B8-4F86-B0FB-078797E9B97F}" destId="{867E0B0B-1D58-4EA1-BB15-435F42FD1FDC}" srcOrd="4" destOrd="0" presId="urn:microsoft.com/office/officeart/2005/8/layout/radial6"/>
    <dgm:cxn modelId="{10652A9F-B341-4D84-A085-76B52BE80B4E}" type="presParOf" srcId="{FD1BEBF6-83B8-4F86-B0FB-078797E9B97F}" destId="{3620A836-5DD6-4D57-8CCD-3C13943EF575}" srcOrd="5" destOrd="0" presId="urn:microsoft.com/office/officeart/2005/8/layout/radial6"/>
    <dgm:cxn modelId="{AD45E7E3-5403-4F18-83D7-8A0AE0BC2D64}" type="presParOf" srcId="{FD1BEBF6-83B8-4F86-B0FB-078797E9B97F}" destId="{9CE182F0-ADE8-47A1-944A-2BBEBAF8E574}" srcOrd="6" destOrd="0" presId="urn:microsoft.com/office/officeart/2005/8/layout/radial6"/>
    <dgm:cxn modelId="{1AE37908-88EE-4582-AE56-A8208C69D79E}" type="presParOf" srcId="{FD1BEBF6-83B8-4F86-B0FB-078797E9B97F}" destId="{5CC3D665-588D-4546-B871-05751E50F114}" srcOrd="7" destOrd="0" presId="urn:microsoft.com/office/officeart/2005/8/layout/radial6"/>
    <dgm:cxn modelId="{0D215C8A-7A4E-4B11-88C0-3C45481FC8BC}" type="presParOf" srcId="{FD1BEBF6-83B8-4F86-B0FB-078797E9B97F}" destId="{522C8DF7-BA41-4DCF-B717-9AAF3FA7BAF6}" srcOrd="8" destOrd="0" presId="urn:microsoft.com/office/officeart/2005/8/layout/radial6"/>
    <dgm:cxn modelId="{1F1F0D0C-80C9-4DEA-90AD-860BAE4188A5}" type="presParOf" srcId="{FD1BEBF6-83B8-4F86-B0FB-078797E9B97F}" destId="{5A462BEC-B598-4D3B-B8EB-B5700408E135}" srcOrd="9" destOrd="0" presId="urn:microsoft.com/office/officeart/2005/8/layout/radial6"/>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218548-5431-40AB-9CC9-42BD02DC1B4A}">
      <dsp:nvSpPr>
        <dsp:cNvPr id="0" name=""/>
        <dsp:cNvSpPr/>
      </dsp:nvSpPr>
      <dsp:spPr>
        <a:xfrm>
          <a:off x="1023500" y="505783"/>
          <a:ext cx="1172449" cy="1172449"/>
        </a:xfrm>
        <a:prstGeom prst="ellipse">
          <a:avLst/>
        </a:prstGeom>
        <a:gradFill rotWithShape="0">
          <a:gsLst>
            <a:gs pos="0">
              <a:schemeClr val="accent6">
                <a:shade val="80000"/>
                <a:alpha val="50000"/>
                <a:hueOff val="0"/>
                <a:satOff val="0"/>
                <a:lumOff val="0"/>
                <a:alphaOff val="0"/>
                <a:satMod val="103000"/>
                <a:lumMod val="102000"/>
                <a:tint val="94000"/>
              </a:schemeClr>
            </a:gs>
            <a:gs pos="50000">
              <a:schemeClr val="accent6">
                <a:shade val="80000"/>
                <a:alpha val="50000"/>
                <a:hueOff val="0"/>
                <a:satOff val="0"/>
                <a:lumOff val="0"/>
                <a:alphaOff val="0"/>
                <a:satMod val="110000"/>
                <a:lumMod val="100000"/>
                <a:shade val="100000"/>
              </a:schemeClr>
            </a:gs>
            <a:gs pos="100000">
              <a:schemeClr val="accent6">
                <a:shade val="80000"/>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Performance Measurement and Decision-Making</a:t>
          </a:r>
          <a:br>
            <a:rPr lang="en-GB" sz="1000" b="1" kern="1200">
              <a:latin typeface="Times New Roman" panose="02020603050405020304" pitchFamily="18" charset="0"/>
              <a:cs typeface="Times New Roman" panose="02020603050405020304" pitchFamily="18" charset="0"/>
            </a:rPr>
          </a:br>
          <a:r>
            <a:rPr lang="en-US" sz="1000" b="1" kern="1200">
              <a:latin typeface="Times New Roman" panose="02020603050405020304" pitchFamily="18" charset="0"/>
              <a:cs typeface="Times New Roman" panose="02020603050405020304" pitchFamily="18" charset="0"/>
            </a:rPr>
            <a:t>Selected KPIs</a:t>
          </a:r>
        </a:p>
      </dsp:txBody>
      <dsp:txXfrm>
        <a:off x="1195201" y="677484"/>
        <a:ext cx="829047" cy="829047"/>
      </dsp:txXfrm>
    </dsp:sp>
    <dsp:sp modelId="{79B9CD08-0B72-4AEF-AB61-94D9DC9140E9}">
      <dsp:nvSpPr>
        <dsp:cNvPr id="0" name=""/>
        <dsp:cNvSpPr/>
      </dsp:nvSpPr>
      <dsp:spPr>
        <a:xfrm>
          <a:off x="1316612" y="36172"/>
          <a:ext cx="586224" cy="586224"/>
        </a:xfrm>
        <a:prstGeom prst="ellipse">
          <a:avLst/>
        </a:prstGeom>
        <a:gradFill rotWithShape="0">
          <a:gsLst>
            <a:gs pos="0">
              <a:schemeClr val="accent6">
                <a:shade val="80000"/>
                <a:alpha val="50000"/>
                <a:hueOff val="-26"/>
                <a:satOff val="-147"/>
                <a:lumOff val="839"/>
                <a:alphaOff val="6000"/>
                <a:satMod val="103000"/>
                <a:lumMod val="102000"/>
                <a:tint val="94000"/>
              </a:schemeClr>
            </a:gs>
            <a:gs pos="50000">
              <a:schemeClr val="accent6">
                <a:shade val="80000"/>
                <a:alpha val="50000"/>
                <a:hueOff val="-26"/>
                <a:satOff val="-147"/>
                <a:lumOff val="839"/>
                <a:alphaOff val="6000"/>
                <a:satMod val="110000"/>
                <a:lumMod val="100000"/>
                <a:shade val="100000"/>
              </a:schemeClr>
            </a:gs>
            <a:gs pos="100000">
              <a:schemeClr val="accent6">
                <a:shade val="80000"/>
                <a:alpha val="50000"/>
                <a:hueOff val="-26"/>
                <a:satOff val="-147"/>
                <a:lumOff val="839"/>
                <a:alphaOff val="600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latin typeface="Times New Roman" panose="02020603050405020304" pitchFamily="18" charset="0"/>
              <a:cs typeface="Times New Roman" panose="02020603050405020304" pitchFamily="18" charset="0"/>
            </a:rPr>
            <a:t>1. Revenue (Total Revenue, Year-on-Year)</a:t>
          </a:r>
        </a:p>
      </dsp:txBody>
      <dsp:txXfrm>
        <a:off x="1402463" y="122023"/>
        <a:ext cx="414522" cy="414522"/>
      </dsp:txXfrm>
    </dsp:sp>
    <dsp:sp modelId="{E0013B52-15AB-423A-BAC5-82B0CE2C9132}">
      <dsp:nvSpPr>
        <dsp:cNvPr id="0" name=""/>
        <dsp:cNvSpPr/>
      </dsp:nvSpPr>
      <dsp:spPr>
        <a:xfrm>
          <a:off x="2042005" y="563201"/>
          <a:ext cx="586224" cy="586224"/>
        </a:xfrm>
        <a:prstGeom prst="ellipse">
          <a:avLst/>
        </a:prstGeom>
        <a:gradFill rotWithShape="0">
          <a:gsLst>
            <a:gs pos="0">
              <a:schemeClr val="accent6">
                <a:shade val="80000"/>
                <a:alpha val="50000"/>
                <a:hueOff val="-52"/>
                <a:satOff val="-294"/>
                <a:lumOff val="1678"/>
                <a:alphaOff val="12000"/>
                <a:satMod val="103000"/>
                <a:lumMod val="102000"/>
                <a:tint val="94000"/>
              </a:schemeClr>
            </a:gs>
            <a:gs pos="50000">
              <a:schemeClr val="accent6">
                <a:shade val="80000"/>
                <a:alpha val="50000"/>
                <a:hueOff val="-52"/>
                <a:satOff val="-294"/>
                <a:lumOff val="1678"/>
                <a:alphaOff val="12000"/>
                <a:satMod val="110000"/>
                <a:lumMod val="100000"/>
                <a:shade val="100000"/>
              </a:schemeClr>
            </a:gs>
            <a:gs pos="100000">
              <a:schemeClr val="accent6">
                <a:shade val="80000"/>
                <a:alpha val="50000"/>
                <a:hueOff val="-52"/>
                <a:satOff val="-294"/>
                <a:lumOff val="1678"/>
                <a:alphaOff val="1200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latin typeface="Times New Roman" panose="02020603050405020304" pitchFamily="18" charset="0"/>
              <a:cs typeface="Times New Roman" panose="02020603050405020304" pitchFamily="18" charset="0"/>
            </a:rPr>
            <a:t>2. Operating Margin and Operating Income.</a:t>
          </a:r>
          <a:endParaRPr lang="en-US" sz="500" b="1" kern="1200">
            <a:latin typeface="Times New Roman" panose="02020603050405020304" pitchFamily="18" charset="0"/>
            <a:cs typeface="Times New Roman" panose="02020603050405020304" pitchFamily="18" charset="0"/>
          </a:endParaRPr>
        </a:p>
      </dsp:txBody>
      <dsp:txXfrm>
        <a:off x="2127856" y="649052"/>
        <a:ext cx="414522" cy="414522"/>
      </dsp:txXfrm>
    </dsp:sp>
    <dsp:sp modelId="{0B6E9FE4-B045-4918-B0C2-CCFCA67F4F5D}">
      <dsp:nvSpPr>
        <dsp:cNvPr id="0" name=""/>
        <dsp:cNvSpPr/>
      </dsp:nvSpPr>
      <dsp:spPr>
        <a:xfrm>
          <a:off x="1764930" y="1415952"/>
          <a:ext cx="586224" cy="586224"/>
        </a:xfrm>
        <a:prstGeom prst="ellipse">
          <a:avLst/>
        </a:prstGeom>
        <a:gradFill rotWithShape="0">
          <a:gsLst>
            <a:gs pos="0">
              <a:schemeClr val="accent6">
                <a:shade val="80000"/>
                <a:alpha val="50000"/>
                <a:hueOff val="-78"/>
                <a:satOff val="-441"/>
                <a:lumOff val="2518"/>
                <a:alphaOff val="18000"/>
                <a:satMod val="103000"/>
                <a:lumMod val="102000"/>
                <a:tint val="94000"/>
              </a:schemeClr>
            </a:gs>
            <a:gs pos="50000">
              <a:schemeClr val="accent6">
                <a:shade val="80000"/>
                <a:alpha val="50000"/>
                <a:hueOff val="-78"/>
                <a:satOff val="-441"/>
                <a:lumOff val="2518"/>
                <a:alphaOff val="18000"/>
                <a:satMod val="110000"/>
                <a:lumMod val="100000"/>
                <a:shade val="100000"/>
              </a:schemeClr>
            </a:gs>
            <a:gs pos="100000">
              <a:schemeClr val="accent6">
                <a:shade val="80000"/>
                <a:alpha val="50000"/>
                <a:hueOff val="-78"/>
                <a:satOff val="-441"/>
                <a:lumOff val="2518"/>
                <a:alphaOff val="1800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latin typeface="Times New Roman" panose="02020603050405020304" pitchFamily="18" charset="0"/>
              <a:cs typeface="Times New Roman" panose="02020603050405020304" pitchFamily="18" charset="0"/>
            </a:rPr>
            <a:t>3. Free Cash Flow and Operating Cash Flow.</a:t>
          </a:r>
        </a:p>
      </dsp:txBody>
      <dsp:txXfrm>
        <a:off x="1850781" y="1501803"/>
        <a:ext cx="414522" cy="414522"/>
      </dsp:txXfrm>
    </dsp:sp>
    <dsp:sp modelId="{0A8547AC-5904-4ADB-959B-3D9D38716652}">
      <dsp:nvSpPr>
        <dsp:cNvPr id="0" name=""/>
        <dsp:cNvSpPr/>
      </dsp:nvSpPr>
      <dsp:spPr>
        <a:xfrm>
          <a:off x="868295" y="1415952"/>
          <a:ext cx="586224" cy="586224"/>
        </a:xfrm>
        <a:prstGeom prst="ellipse">
          <a:avLst/>
        </a:prstGeom>
        <a:gradFill rotWithShape="0">
          <a:gsLst>
            <a:gs pos="0">
              <a:schemeClr val="accent6">
                <a:shade val="80000"/>
                <a:alpha val="50000"/>
                <a:hueOff val="-104"/>
                <a:satOff val="-588"/>
                <a:lumOff val="3357"/>
                <a:alphaOff val="24000"/>
                <a:satMod val="103000"/>
                <a:lumMod val="102000"/>
                <a:tint val="94000"/>
              </a:schemeClr>
            </a:gs>
            <a:gs pos="50000">
              <a:schemeClr val="accent6">
                <a:shade val="80000"/>
                <a:alpha val="50000"/>
                <a:hueOff val="-104"/>
                <a:satOff val="-588"/>
                <a:lumOff val="3357"/>
                <a:alphaOff val="24000"/>
                <a:satMod val="110000"/>
                <a:lumMod val="100000"/>
                <a:shade val="100000"/>
              </a:schemeClr>
            </a:gs>
            <a:gs pos="100000">
              <a:schemeClr val="accent6">
                <a:shade val="80000"/>
                <a:alpha val="50000"/>
                <a:hueOff val="-104"/>
                <a:satOff val="-588"/>
                <a:lumOff val="3357"/>
                <a:alphaOff val="2400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latin typeface="Times New Roman" panose="02020603050405020304" pitchFamily="18" charset="0"/>
              <a:cs typeface="Times New Roman" panose="02020603050405020304" pitchFamily="18" charset="0"/>
            </a:rPr>
            <a:t>4. AWS Operating Margin and Income.</a:t>
          </a:r>
        </a:p>
      </dsp:txBody>
      <dsp:txXfrm>
        <a:off x="954146" y="1501803"/>
        <a:ext cx="414522" cy="414522"/>
      </dsp:txXfrm>
    </dsp:sp>
    <dsp:sp modelId="{1AB4A7CF-D6C4-431E-AA2E-FF296734B00B}">
      <dsp:nvSpPr>
        <dsp:cNvPr id="0" name=""/>
        <dsp:cNvSpPr/>
      </dsp:nvSpPr>
      <dsp:spPr>
        <a:xfrm>
          <a:off x="591219" y="563201"/>
          <a:ext cx="586224" cy="586224"/>
        </a:xfrm>
        <a:prstGeom prst="ellipse">
          <a:avLst/>
        </a:prstGeom>
        <a:gradFill rotWithShape="0">
          <a:gsLst>
            <a:gs pos="0">
              <a:schemeClr val="accent6">
                <a:shade val="80000"/>
                <a:alpha val="50000"/>
                <a:hueOff val="-130"/>
                <a:satOff val="-735"/>
                <a:lumOff val="4196"/>
                <a:alphaOff val="30000"/>
                <a:satMod val="103000"/>
                <a:lumMod val="102000"/>
                <a:tint val="94000"/>
              </a:schemeClr>
            </a:gs>
            <a:gs pos="50000">
              <a:schemeClr val="accent6">
                <a:shade val="80000"/>
                <a:alpha val="50000"/>
                <a:hueOff val="-130"/>
                <a:satOff val="-735"/>
                <a:lumOff val="4196"/>
                <a:alphaOff val="30000"/>
                <a:satMod val="110000"/>
                <a:lumMod val="100000"/>
                <a:shade val="100000"/>
              </a:schemeClr>
            </a:gs>
            <a:gs pos="100000">
              <a:schemeClr val="accent6">
                <a:shade val="80000"/>
                <a:alpha val="50000"/>
                <a:hueOff val="-130"/>
                <a:satOff val="-735"/>
                <a:lumOff val="4196"/>
                <a:alphaOff val="3000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latin typeface="Times New Roman" panose="02020603050405020304" pitchFamily="18" charset="0"/>
              <a:cs typeface="Times New Roman" panose="02020603050405020304" pitchFamily="18" charset="0"/>
            </a:rPr>
            <a:t>Best Membership and Customer Retention Metrics.</a:t>
          </a:r>
        </a:p>
      </dsp:txBody>
      <dsp:txXfrm>
        <a:off x="677070" y="649052"/>
        <a:ext cx="414522" cy="41452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462BEC-B598-4D3B-B8EB-B5700408E135}">
      <dsp:nvSpPr>
        <dsp:cNvPr id="0" name=""/>
        <dsp:cNvSpPr/>
      </dsp:nvSpPr>
      <dsp:spPr>
        <a:xfrm>
          <a:off x="884920" y="301305"/>
          <a:ext cx="2008408" cy="2008408"/>
        </a:xfrm>
        <a:prstGeom prst="blockArc">
          <a:avLst>
            <a:gd name="adj1" fmla="val 9000000"/>
            <a:gd name="adj2" fmla="val 16200000"/>
            <a:gd name="adj3" fmla="val 4639"/>
          </a:avLst>
        </a:prstGeom>
        <a:gradFill rotWithShape="0">
          <a:gsLst>
            <a:gs pos="0">
              <a:schemeClr val="accent2">
                <a:tint val="60000"/>
                <a:hueOff val="0"/>
                <a:satOff val="0"/>
                <a:lumOff val="0"/>
                <a:alphaOff val="0"/>
                <a:satMod val="103000"/>
                <a:lumMod val="102000"/>
                <a:tint val="94000"/>
              </a:schemeClr>
            </a:gs>
            <a:gs pos="50000">
              <a:schemeClr val="accent2">
                <a:tint val="60000"/>
                <a:hueOff val="0"/>
                <a:satOff val="0"/>
                <a:lumOff val="0"/>
                <a:alphaOff val="0"/>
                <a:satMod val="110000"/>
                <a:lumMod val="100000"/>
                <a:shade val="100000"/>
              </a:schemeClr>
            </a:gs>
            <a:gs pos="100000">
              <a:schemeClr val="accent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9CE182F0-ADE8-47A1-944A-2BBEBAF8E574}">
      <dsp:nvSpPr>
        <dsp:cNvPr id="0" name=""/>
        <dsp:cNvSpPr/>
      </dsp:nvSpPr>
      <dsp:spPr>
        <a:xfrm>
          <a:off x="884920" y="301305"/>
          <a:ext cx="2008408" cy="2008408"/>
        </a:xfrm>
        <a:prstGeom prst="blockArc">
          <a:avLst>
            <a:gd name="adj1" fmla="val 1800000"/>
            <a:gd name="adj2" fmla="val 9000000"/>
            <a:gd name="adj3" fmla="val 4639"/>
          </a:avLst>
        </a:prstGeom>
        <a:gradFill rotWithShape="0">
          <a:gsLst>
            <a:gs pos="0">
              <a:schemeClr val="accent2">
                <a:tint val="60000"/>
                <a:hueOff val="0"/>
                <a:satOff val="0"/>
                <a:lumOff val="0"/>
                <a:alphaOff val="0"/>
                <a:satMod val="103000"/>
                <a:lumMod val="102000"/>
                <a:tint val="94000"/>
              </a:schemeClr>
            </a:gs>
            <a:gs pos="50000">
              <a:schemeClr val="accent2">
                <a:tint val="60000"/>
                <a:hueOff val="0"/>
                <a:satOff val="0"/>
                <a:lumOff val="0"/>
                <a:alphaOff val="0"/>
                <a:satMod val="110000"/>
                <a:lumMod val="100000"/>
                <a:shade val="100000"/>
              </a:schemeClr>
            </a:gs>
            <a:gs pos="100000">
              <a:schemeClr val="accent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DDC39FB5-2EE1-4BF5-A35F-FCD874D4E2E8}">
      <dsp:nvSpPr>
        <dsp:cNvPr id="0" name=""/>
        <dsp:cNvSpPr/>
      </dsp:nvSpPr>
      <dsp:spPr>
        <a:xfrm>
          <a:off x="884920" y="301305"/>
          <a:ext cx="2008408" cy="2008408"/>
        </a:xfrm>
        <a:prstGeom prst="blockArc">
          <a:avLst>
            <a:gd name="adj1" fmla="val 16200000"/>
            <a:gd name="adj2" fmla="val 1800000"/>
            <a:gd name="adj3" fmla="val 4639"/>
          </a:avLst>
        </a:prstGeom>
        <a:gradFill rotWithShape="0">
          <a:gsLst>
            <a:gs pos="0">
              <a:schemeClr val="accent2">
                <a:tint val="60000"/>
                <a:hueOff val="0"/>
                <a:satOff val="0"/>
                <a:lumOff val="0"/>
                <a:alphaOff val="0"/>
                <a:satMod val="103000"/>
                <a:lumMod val="102000"/>
                <a:tint val="94000"/>
              </a:schemeClr>
            </a:gs>
            <a:gs pos="50000">
              <a:schemeClr val="accent2">
                <a:tint val="60000"/>
                <a:hueOff val="0"/>
                <a:satOff val="0"/>
                <a:lumOff val="0"/>
                <a:alphaOff val="0"/>
                <a:satMod val="110000"/>
                <a:lumMod val="100000"/>
                <a:shade val="100000"/>
              </a:schemeClr>
            </a:gs>
            <a:gs pos="100000">
              <a:schemeClr val="accent2">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DDD15A31-0404-43BB-9FF8-F262AFC9030F}">
      <dsp:nvSpPr>
        <dsp:cNvPr id="0" name=""/>
        <dsp:cNvSpPr/>
      </dsp:nvSpPr>
      <dsp:spPr>
        <a:xfrm>
          <a:off x="1426990" y="843375"/>
          <a:ext cx="924269" cy="924269"/>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b="1" kern="1200">
              <a:solidFill>
                <a:schemeClr val="tx1">
                  <a:lumMod val="95000"/>
                  <a:lumOff val="5000"/>
                </a:schemeClr>
              </a:solidFill>
              <a:latin typeface="Times New Roman" panose="02020603050405020304" pitchFamily="18" charset="0"/>
              <a:cs typeface="Times New Roman" panose="02020603050405020304" pitchFamily="18" charset="0"/>
            </a:rPr>
            <a:t>Recommendations</a:t>
          </a:r>
        </a:p>
      </dsp:txBody>
      <dsp:txXfrm>
        <a:off x="1562346" y="978731"/>
        <a:ext cx="653557" cy="653557"/>
      </dsp:txXfrm>
    </dsp:sp>
    <dsp:sp modelId="{A8F0F940-0AB8-494B-9DDF-F2D46D348AE1}">
      <dsp:nvSpPr>
        <dsp:cNvPr id="0" name=""/>
        <dsp:cNvSpPr/>
      </dsp:nvSpPr>
      <dsp:spPr>
        <a:xfrm>
          <a:off x="1565630" y="1103"/>
          <a:ext cx="646988" cy="646988"/>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solidFill>
                <a:schemeClr val="tx1">
                  <a:lumMod val="95000"/>
                  <a:lumOff val="5000"/>
                </a:schemeClr>
              </a:solidFill>
              <a:latin typeface="Times New Roman" panose="02020603050405020304" pitchFamily="18" charset="0"/>
              <a:cs typeface="Times New Roman" panose="02020603050405020304" pitchFamily="18" charset="0"/>
            </a:rPr>
            <a:t>Expand Activity-Based Costing (ABC) to Fulfilment:</a:t>
          </a:r>
        </a:p>
      </dsp:txBody>
      <dsp:txXfrm>
        <a:off x="1660379" y="95852"/>
        <a:ext cx="457490" cy="457490"/>
      </dsp:txXfrm>
    </dsp:sp>
    <dsp:sp modelId="{867E0B0B-1D58-4EA1-BB15-435F42FD1FDC}">
      <dsp:nvSpPr>
        <dsp:cNvPr id="0" name=""/>
        <dsp:cNvSpPr/>
      </dsp:nvSpPr>
      <dsp:spPr>
        <a:xfrm>
          <a:off x="2415126" y="1472472"/>
          <a:ext cx="646988" cy="646988"/>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b="1" kern="1200">
              <a:solidFill>
                <a:schemeClr val="tx1">
                  <a:lumMod val="95000"/>
                  <a:lumOff val="5000"/>
                </a:schemeClr>
              </a:solidFill>
              <a:latin typeface="Times New Roman" panose="02020603050405020304" pitchFamily="18" charset="0"/>
              <a:cs typeface="Times New Roman" panose="02020603050405020304" pitchFamily="18" charset="0"/>
            </a:rPr>
            <a:t>Integrate Sustainability KPIs into Incentives: </a:t>
          </a:r>
          <a:endParaRPr lang="en-US" sz="500" b="1" kern="1200">
            <a:solidFill>
              <a:schemeClr val="tx1">
                <a:lumMod val="95000"/>
                <a:lumOff val="5000"/>
              </a:schemeClr>
            </a:solidFill>
            <a:latin typeface="Times New Roman" panose="02020603050405020304" pitchFamily="18" charset="0"/>
            <a:cs typeface="Times New Roman" panose="02020603050405020304" pitchFamily="18" charset="0"/>
          </a:endParaRPr>
        </a:p>
      </dsp:txBody>
      <dsp:txXfrm>
        <a:off x="2509875" y="1567221"/>
        <a:ext cx="457490" cy="457490"/>
      </dsp:txXfrm>
    </dsp:sp>
    <dsp:sp modelId="{5CC3D665-588D-4546-B871-05751E50F114}">
      <dsp:nvSpPr>
        <dsp:cNvPr id="0" name=""/>
        <dsp:cNvSpPr/>
      </dsp:nvSpPr>
      <dsp:spPr>
        <a:xfrm>
          <a:off x="716135" y="1472472"/>
          <a:ext cx="646988" cy="646988"/>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solidFill>
                <a:schemeClr val="tx1">
                  <a:lumMod val="95000"/>
                  <a:lumOff val="5000"/>
                </a:schemeClr>
              </a:solidFill>
              <a:latin typeface="Times New Roman" panose="02020603050405020304" pitchFamily="18" charset="0"/>
              <a:cs typeface="Times New Roman" panose="02020603050405020304" pitchFamily="18" charset="0"/>
            </a:rPr>
            <a:t>Empower Macro Risk Scenario Budgeting: Introduce</a:t>
          </a:r>
        </a:p>
      </dsp:txBody>
      <dsp:txXfrm>
        <a:off x="810884" y="1567221"/>
        <a:ext cx="457490" cy="457490"/>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9D20AA-233A-4D7D-80F8-1BDA31C4F1B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2658</Words>
  <Characters>17642</Characters>
  <Application>Microsoft Office Word</Application>
  <DocSecurity>0</DocSecurity>
  <Lines>147</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Zegheru</dc:creator>
  <cp:keywords/>
  <dc:description/>
  <cp:lastModifiedBy>Roxana Zegheru</cp:lastModifiedBy>
  <cp:revision>2</cp:revision>
  <dcterms:created xsi:type="dcterms:W3CDTF">2025-11-20T16:32:00Z</dcterms:created>
  <dcterms:modified xsi:type="dcterms:W3CDTF">2025-11-20T16:32:00Z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0db0312b-fe69-47be-a19f-1f8025673aff</vt:lpwstr>
  </property>
</Properties>
</file>