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30E89" w14:textId="77777777" w:rsidR="00961CCD" w:rsidRPr="001A24BC" w:rsidRDefault="00961CCD" w:rsidP="00FB3D42">
      <w:pPr>
        <w:jc w:val="center"/>
        <w:rPr>
          <w:rFonts w:ascii="Arial" w:hAnsi="Arial" w:cs="Arial"/>
          <w:b/>
          <w:bCs/>
          <w:sz w:val="28"/>
          <w:szCs w:val="28"/>
        </w:rPr>
      </w:pPr>
    </w:p>
    <w:p w14:paraId="139C5D97" w14:textId="77777777" w:rsidR="00B53B1A" w:rsidRPr="001A24BC" w:rsidRDefault="00B53B1A" w:rsidP="00FB3D42">
      <w:pPr>
        <w:jc w:val="center"/>
        <w:rPr>
          <w:rFonts w:ascii="Arial" w:hAnsi="Arial" w:cs="Arial"/>
          <w:b/>
          <w:bCs/>
          <w:sz w:val="28"/>
          <w:szCs w:val="28"/>
        </w:rPr>
      </w:pPr>
    </w:p>
    <w:p w14:paraId="3D77FCAC" w14:textId="77777777" w:rsidR="00B53B1A" w:rsidRPr="001A24BC" w:rsidRDefault="00B53B1A" w:rsidP="00FB3D42">
      <w:pPr>
        <w:jc w:val="center"/>
        <w:rPr>
          <w:rFonts w:ascii="Arial" w:hAnsi="Arial" w:cs="Arial"/>
          <w:b/>
          <w:bCs/>
          <w:sz w:val="28"/>
          <w:szCs w:val="28"/>
        </w:rPr>
      </w:pPr>
    </w:p>
    <w:p w14:paraId="32D7E27B" w14:textId="77777777" w:rsidR="00961CCD" w:rsidRPr="001A24BC" w:rsidRDefault="00961CCD" w:rsidP="00FB3D42">
      <w:pPr>
        <w:jc w:val="center"/>
        <w:rPr>
          <w:rFonts w:ascii="Arial" w:hAnsi="Arial" w:cs="Arial"/>
          <w:b/>
          <w:bCs/>
          <w:sz w:val="28"/>
          <w:szCs w:val="28"/>
        </w:rPr>
      </w:pPr>
    </w:p>
    <w:p w14:paraId="64275EE5" w14:textId="4FD17DE7" w:rsidR="00961CCD" w:rsidRPr="001A24BC" w:rsidRDefault="00961CCD" w:rsidP="00FB3D42">
      <w:pPr>
        <w:jc w:val="center"/>
        <w:rPr>
          <w:rFonts w:ascii="Arial" w:hAnsi="Arial" w:cs="Arial"/>
          <w:b/>
          <w:bCs/>
          <w:sz w:val="28"/>
          <w:szCs w:val="28"/>
        </w:rPr>
      </w:pPr>
      <w:r w:rsidRPr="001A24BC">
        <w:rPr>
          <w:rFonts w:ascii="Arial" w:hAnsi="Arial" w:cs="Arial"/>
          <w:b/>
          <w:bCs/>
          <w:sz w:val="28"/>
          <w:szCs w:val="28"/>
        </w:rPr>
        <w:t>Module Name: Digital Skills and Research Methods</w:t>
      </w:r>
    </w:p>
    <w:p w14:paraId="55707692" w14:textId="77777777" w:rsidR="00961CCD" w:rsidRPr="001A24BC" w:rsidRDefault="00961CCD" w:rsidP="00FB3D42">
      <w:pPr>
        <w:jc w:val="center"/>
        <w:rPr>
          <w:rFonts w:ascii="Arial" w:hAnsi="Arial" w:cs="Arial"/>
          <w:b/>
          <w:bCs/>
          <w:sz w:val="28"/>
          <w:szCs w:val="28"/>
        </w:rPr>
      </w:pPr>
      <w:r w:rsidRPr="001A24BC">
        <w:rPr>
          <w:rFonts w:ascii="Arial" w:hAnsi="Arial" w:cs="Arial"/>
          <w:b/>
          <w:bCs/>
          <w:sz w:val="28"/>
          <w:szCs w:val="28"/>
        </w:rPr>
        <w:t>Module Code: LCHS4007</w:t>
      </w:r>
    </w:p>
    <w:p w14:paraId="568190C9" w14:textId="77777777" w:rsidR="00961CCD" w:rsidRPr="001A24BC" w:rsidRDefault="00961CCD" w:rsidP="00FB3D42">
      <w:pPr>
        <w:jc w:val="center"/>
        <w:rPr>
          <w:rFonts w:ascii="Arial" w:hAnsi="Arial" w:cs="Arial"/>
          <w:b/>
          <w:bCs/>
          <w:sz w:val="28"/>
          <w:szCs w:val="28"/>
        </w:rPr>
      </w:pPr>
      <w:r w:rsidRPr="001A24BC">
        <w:rPr>
          <w:rFonts w:ascii="Arial" w:hAnsi="Arial" w:cs="Arial"/>
          <w:b/>
          <w:bCs/>
          <w:sz w:val="28"/>
          <w:szCs w:val="28"/>
        </w:rPr>
        <w:t>Title: Component 2 – Research Report: Impact of high-stress environments, such as emergency departments and long-term care facilities, on burnout rates</w:t>
      </w:r>
    </w:p>
    <w:p w14:paraId="439C4F61" w14:textId="490D9793" w:rsidR="00961CCD" w:rsidRPr="001A24BC" w:rsidRDefault="00961CCD" w:rsidP="00FB3D42">
      <w:pPr>
        <w:jc w:val="center"/>
        <w:rPr>
          <w:rFonts w:ascii="Arial" w:hAnsi="Arial" w:cs="Arial"/>
          <w:b/>
          <w:bCs/>
          <w:sz w:val="28"/>
          <w:szCs w:val="28"/>
        </w:rPr>
      </w:pPr>
      <w:r w:rsidRPr="001A24BC">
        <w:rPr>
          <w:rFonts w:ascii="Arial" w:hAnsi="Arial" w:cs="Arial"/>
          <w:b/>
          <w:bCs/>
          <w:sz w:val="28"/>
          <w:szCs w:val="28"/>
        </w:rPr>
        <w:t>Student Name:</w:t>
      </w:r>
      <w:r w:rsidR="00B36ED7">
        <w:rPr>
          <w:rFonts w:ascii="Arial" w:hAnsi="Arial" w:cs="Arial"/>
          <w:b/>
          <w:bCs/>
          <w:sz w:val="28"/>
          <w:szCs w:val="28"/>
        </w:rPr>
        <w:t xml:space="preserve"> Laura Victoria Nicolaescu</w:t>
      </w:r>
    </w:p>
    <w:p w14:paraId="5E9E0657" w14:textId="6436DD73" w:rsidR="00961CCD" w:rsidRPr="001A24BC" w:rsidRDefault="00961CCD" w:rsidP="00FB3D42">
      <w:pPr>
        <w:jc w:val="center"/>
        <w:rPr>
          <w:rFonts w:ascii="Arial" w:hAnsi="Arial" w:cs="Arial"/>
          <w:b/>
          <w:bCs/>
          <w:sz w:val="28"/>
          <w:szCs w:val="28"/>
        </w:rPr>
      </w:pPr>
      <w:r w:rsidRPr="001A24BC">
        <w:rPr>
          <w:rFonts w:ascii="Arial" w:hAnsi="Arial" w:cs="Arial"/>
          <w:b/>
          <w:bCs/>
          <w:sz w:val="28"/>
          <w:szCs w:val="28"/>
        </w:rPr>
        <w:t>Student ID:</w:t>
      </w:r>
      <w:r w:rsidR="00B36ED7">
        <w:rPr>
          <w:rFonts w:ascii="Arial" w:hAnsi="Arial" w:cs="Arial"/>
          <w:b/>
          <w:bCs/>
          <w:sz w:val="28"/>
          <w:szCs w:val="28"/>
        </w:rPr>
        <w:t>2512067</w:t>
      </w:r>
    </w:p>
    <w:p w14:paraId="6F662A18" w14:textId="77777777" w:rsidR="00961CCD" w:rsidRPr="001A24BC" w:rsidRDefault="00961CCD" w:rsidP="00FB3D42">
      <w:pPr>
        <w:rPr>
          <w:rFonts w:ascii="Arial" w:hAnsi="Arial" w:cs="Arial"/>
          <w:b/>
          <w:bCs/>
        </w:rPr>
      </w:pPr>
    </w:p>
    <w:p w14:paraId="3D69C98A" w14:textId="77777777" w:rsidR="00961CCD" w:rsidRPr="001A24BC" w:rsidRDefault="00961CCD" w:rsidP="00FB3D42">
      <w:pPr>
        <w:rPr>
          <w:rFonts w:ascii="Arial" w:hAnsi="Arial" w:cs="Arial"/>
          <w:b/>
          <w:bCs/>
        </w:rPr>
      </w:pPr>
    </w:p>
    <w:p w14:paraId="1E657F7D" w14:textId="77777777" w:rsidR="00961CCD" w:rsidRPr="001A24BC" w:rsidRDefault="00961CCD" w:rsidP="00FB3D42">
      <w:pPr>
        <w:rPr>
          <w:rFonts w:ascii="Arial" w:hAnsi="Arial" w:cs="Arial"/>
          <w:b/>
          <w:bCs/>
        </w:rPr>
      </w:pPr>
    </w:p>
    <w:p w14:paraId="36D89569" w14:textId="77777777" w:rsidR="00961CCD" w:rsidRPr="001A24BC" w:rsidRDefault="00961CCD" w:rsidP="00FB3D42">
      <w:pPr>
        <w:rPr>
          <w:rFonts w:ascii="Arial" w:hAnsi="Arial" w:cs="Arial"/>
          <w:b/>
          <w:bCs/>
        </w:rPr>
      </w:pPr>
    </w:p>
    <w:p w14:paraId="2DE89D0F" w14:textId="77777777" w:rsidR="00961CCD" w:rsidRPr="001A24BC" w:rsidRDefault="00961CCD" w:rsidP="00FB3D42">
      <w:pPr>
        <w:rPr>
          <w:rFonts w:ascii="Arial" w:hAnsi="Arial" w:cs="Arial"/>
          <w:b/>
          <w:bCs/>
        </w:rPr>
      </w:pPr>
    </w:p>
    <w:p w14:paraId="4FDE1FF7" w14:textId="77777777" w:rsidR="00961CCD" w:rsidRPr="001A24BC" w:rsidRDefault="00961CCD" w:rsidP="00FB3D42">
      <w:pPr>
        <w:rPr>
          <w:rFonts w:ascii="Arial" w:hAnsi="Arial" w:cs="Arial"/>
          <w:b/>
          <w:bCs/>
        </w:rPr>
      </w:pPr>
    </w:p>
    <w:p w14:paraId="177D2691" w14:textId="77777777" w:rsidR="00961CCD" w:rsidRPr="001A24BC" w:rsidRDefault="00961CCD" w:rsidP="00FB3D42">
      <w:pPr>
        <w:rPr>
          <w:rFonts w:ascii="Arial" w:hAnsi="Arial" w:cs="Arial"/>
          <w:b/>
          <w:bCs/>
        </w:rPr>
      </w:pPr>
    </w:p>
    <w:p w14:paraId="373D485E" w14:textId="77777777" w:rsidR="00961CCD" w:rsidRPr="001A24BC" w:rsidRDefault="00961CCD" w:rsidP="00FB3D42">
      <w:pPr>
        <w:rPr>
          <w:rFonts w:ascii="Arial" w:hAnsi="Arial" w:cs="Arial"/>
          <w:b/>
          <w:bCs/>
        </w:rPr>
      </w:pPr>
    </w:p>
    <w:p w14:paraId="450E00C2" w14:textId="77777777" w:rsidR="00961CCD" w:rsidRPr="001A24BC" w:rsidRDefault="00961CCD" w:rsidP="00FB3D42">
      <w:pPr>
        <w:rPr>
          <w:rFonts w:ascii="Arial" w:hAnsi="Arial" w:cs="Arial"/>
          <w:b/>
          <w:bCs/>
        </w:rPr>
      </w:pPr>
    </w:p>
    <w:p w14:paraId="453FFEAC" w14:textId="77777777" w:rsidR="00961CCD" w:rsidRPr="001A24BC" w:rsidRDefault="00961CCD" w:rsidP="00FB3D42">
      <w:pPr>
        <w:rPr>
          <w:rFonts w:ascii="Arial" w:hAnsi="Arial" w:cs="Arial"/>
          <w:b/>
          <w:bCs/>
        </w:rPr>
      </w:pPr>
      <w:r w:rsidRPr="001A24BC">
        <w:rPr>
          <w:rFonts w:ascii="Arial" w:hAnsi="Arial" w:cs="Arial"/>
        </w:rPr>
        <w:br w:type="page"/>
      </w:r>
    </w:p>
    <w:p w14:paraId="4319F16A" w14:textId="77777777" w:rsidR="00961CCD" w:rsidRPr="001A24BC" w:rsidRDefault="00961CCD" w:rsidP="00FB3D42">
      <w:pPr>
        <w:jc w:val="center"/>
        <w:rPr>
          <w:rFonts w:ascii="Arial" w:hAnsi="Arial" w:cs="Arial"/>
          <w:b/>
          <w:bCs/>
        </w:rPr>
      </w:pPr>
      <w:r w:rsidRPr="001A24BC">
        <w:rPr>
          <w:rFonts w:ascii="Arial" w:hAnsi="Arial" w:cs="Arial"/>
          <w:b/>
          <w:bCs/>
        </w:rPr>
        <w:lastRenderedPageBreak/>
        <w:t>Executive Summary</w:t>
      </w:r>
    </w:p>
    <w:p w14:paraId="554F3CAF" w14:textId="73194B89" w:rsidR="00961CCD" w:rsidRPr="001A24BC" w:rsidRDefault="00961CCD" w:rsidP="00FB3D42">
      <w:pPr>
        <w:rPr>
          <w:rFonts w:ascii="Arial" w:hAnsi="Arial" w:cs="Arial"/>
        </w:rPr>
      </w:pPr>
      <w:r w:rsidRPr="001A24BC">
        <w:rPr>
          <w:rFonts w:ascii="Arial" w:hAnsi="Arial" w:cs="Arial"/>
        </w:rPr>
        <w:t xml:space="preserve">The topic has effectively described the issue of staff burnout in the UK health and social care sector. It has been identified that the mental, emotional and physical pressure due to the huge workloads leads to the issue. The main focus is on creating a sustainable working environment that focuses on the welfare of the workforce. This particular research has effectively covered the research methodological approaches that enhanced the future research topic. This particular research is mainly based on the impact of high-stress environments, such as emergency departments and long-term care facilities, on burnout rates. The appropriate method for this research is a mixed-method comparative approach. This research will collect both primary and secondary data to inform future development. This research has highlighted that the health and social care committee focused on addressing the issue of staff burnout that is faced by the NHS. This research has evaluated that the plan is integrated by healthcare staff to address the issues within a limited time frame. </w:t>
      </w:r>
    </w:p>
    <w:p w14:paraId="2C73C39A" w14:textId="77777777" w:rsidR="00961CCD" w:rsidRPr="001A24BC" w:rsidRDefault="00961CCD" w:rsidP="00FB3D42">
      <w:pPr>
        <w:rPr>
          <w:rFonts w:ascii="Arial" w:hAnsi="Arial" w:cs="Arial"/>
        </w:rPr>
      </w:pPr>
      <w:r w:rsidRPr="001A24BC">
        <w:rPr>
          <w:rFonts w:ascii="Arial" w:hAnsi="Arial" w:cs="Arial"/>
        </w:rPr>
        <w:br w:type="page"/>
      </w:r>
    </w:p>
    <w:sdt>
      <w:sdtPr>
        <w:rPr>
          <w:rFonts w:ascii="Times New Roman" w:eastAsia="Times New Roman" w:hAnsi="Times New Roman" w:cs="Times New Roman"/>
          <w:b/>
          <w:bCs/>
          <w:color w:val="auto"/>
          <w:sz w:val="24"/>
          <w:szCs w:val="24"/>
          <w:lang w:val="en-GB" w:eastAsia="en-IN"/>
        </w:rPr>
        <w:id w:val="-1315179237"/>
        <w:docPartObj>
          <w:docPartGallery w:val="Table of Contents"/>
          <w:docPartUnique/>
        </w:docPartObj>
      </w:sdtPr>
      <w:sdtContent>
        <w:p w14:paraId="325DF1AA" w14:textId="0794214D" w:rsidR="00961CCD" w:rsidRPr="001A24BC" w:rsidRDefault="00961CCD" w:rsidP="00FB3D42">
          <w:pPr>
            <w:pStyle w:val="TOCHeading"/>
            <w:spacing w:before="0" w:line="480" w:lineRule="auto"/>
            <w:rPr>
              <w:rFonts w:ascii="Arial" w:hAnsi="Arial" w:cs="Arial"/>
              <w:b/>
              <w:bCs/>
              <w:sz w:val="22"/>
              <w:szCs w:val="22"/>
              <w:lang w:val="en-GB"/>
            </w:rPr>
          </w:pPr>
          <w:r w:rsidRPr="001A24BC">
            <w:rPr>
              <w:rFonts w:ascii="Arial" w:hAnsi="Arial" w:cs="Arial"/>
              <w:b/>
              <w:bCs/>
              <w:sz w:val="22"/>
              <w:szCs w:val="22"/>
              <w:lang w:val="en-GB"/>
            </w:rPr>
            <w:t>Table of Contents</w:t>
          </w:r>
        </w:p>
        <w:p w14:paraId="334EC614" w14:textId="6BE833AA" w:rsidR="006C76E0" w:rsidRDefault="00961CCD">
          <w:pPr>
            <w:pStyle w:val="TOC1"/>
            <w:tabs>
              <w:tab w:val="right" w:leader="dot" w:pos="9350"/>
            </w:tabs>
            <w:rPr>
              <w:rFonts w:asciiTheme="minorHAnsi" w:eastAsiaTheme="minorEastAsia" w:hAnsiTheme="minorHAnsi" w:cstheme="minorBidi"/>
              <w:noProof/>
              <w:kern w:val="2"/>
              <w:lang w:val="en-IN"/>
              <w14:ligatures w14:val="standardContextual"/>
            </w:rPr>
          </w:pPr>
          <w:r w:rsidRPr="001A24BC">
            <w:rPr>
              <w:rFonts w:ascii="Arial" w:hAnsi="Arial" w:cs="Arial"/>
              <w:sz w:val="22"/>
              <w:szCs w:val="22"/>
            </w:rPr>
            <w:fldChar w:fldCharType="begin"/>
          </w:r>
          <w:r w:rsidRPr="001A24BC">
            <w:rPr>
              <w:rFonts w:ascii="Arial" w:hAnsi="Arial" w:cs="Arial"/>
              <w:sz w:val="22"/>
              <w:szCs w:val="22"/>
            </w:rPr>
            <w:instrText xml:space="preserve"> TOC \o "1-3" \h \z \u </w:instrText>
          </w:r>
          <w:r w:rsidRPr="001A24BC">
            <w:rPr>
              <w:rFonts w:ascii="Arial" w:hAnsi="Arial" w:cs="Arial"/>
              <w:sz w:val="22"/>
              <w:szCs w:val="22"/>
            </w:rPr>
            <w:fldChar w:fldCharType="separate"/>
          </w:r>
          <w:hyperlink w:anchor="_Toc224829082" w:history="1">
            <w:r w:rsidR="006C76E0" w:rsidRPr="005C7ED5">
              <w:rPr>
                <w:rStyle w:val="Hyperlink"/>
                <w:noProof/>
              </w:rPr>
              <w:t>Introduction</w:t>
            </w:r>
            <w:r w:rsidR="006C76E0">
              <w:rPr>
                <w:noProof/>
                <w:webHidden/>
              </w:rPr>
              <w:tab/>
            </w:r>
            <w:r w:rsidR="006C76E0">
              <w:rPr>
                <w:noProof/>
                <w:webHidden/>
              </w:rPr>
              <w:fldChar w:fldCharType="begin"/>
            </w:r>
            <w:r w:rsidR="006C76E0">
              <w:rPr>
                <w:noProof/>
                <w:webHidden/>
              </w:rPr>
              <w:instrText xml:space="preserve"> PAGEREF _Toc224829082 \h </w:instrText>
            </w:r>
            <w:r w:rsidR="006C76E0">
              <w:rPr>
                <w:noProof/>
                <w:webHidden/>
              </w:rPr>
            </w:r>
            <w:r w:rsidR="006C76E0">
              <w:rPr>
                <w:noProof/>
                <w:webHidden/>
              </w:rPr>
              <w:fldChar w:fldCharType="separate"/>
            </w:r>
            <w:r w:rsidR="006C76E0">
              <w:rPr>
                <w:noProof/>
                <w:webHidden/>
              </w:rPr>
              <w:t>4</w:t>
            </w:r>
            <w:r w:rsidR="006C76E0">
              <w:rPr>
                <w:noProof/>
                <w:webHidden/>
              </w:rPr>
              <w:fldChar w:fldCharType="end"/>
            </w:r>
          </w:hyperlink>
        </w:p>
        <w:p w14:paraId="7011B8DE" w14:textId="6091C0B3" w:rsidR="006C76E0" w:rsidRDefault="006C76E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829083" w:history="1">
            <w:r w:rsidRPr="005C7ED5">
              <w:rPr>
                <w:rStyle w:val="Hyperlink"/>
                <w:noProof/>
              </w:rPr>
              <w:t>Task 1 of 4 - The Research topic</w:t>
            </w:r>
            <w:r>
              <w:rPr>
                <w:noProof/>
                <w:webHidden/>
              </w:rPr>
              <w:tab/>
            </w:r>
            <w:r>
              <w:rPr>
                <w:noProof/>
                <w:webHidden/>
              </w:rPr>
              <w:fldChar w:fldCharType="begin"/>
            </w:r>
            <w:r>
              <w:rPr>
                <w:noProof/>
                <w:webHidden/>
              </w:rPr>
              <w:instrText xml:space="preserve"> PAGEREF _Toc224829083 \h </w:instrText>
            </w:r>
            <w:r>
              <w:rPr>
                <w:noProof/>
                <w:webHidden/>
              </w:rPr>
            </w:r>
            <w:r>
              <w:rPr>
                <w:noProof/>
                <w:webHidden/>
              </w:rPr>
              <w:fldChar w:fldCharType="separate"/>
            </w:r>
            <w:r>
              <w:rPr>
                <w:noProof/>
                <w:webHidden/>
              </w:rPr>
              <w:t>5</w:t>
            </w:r>
            <w:r>
              <w:rPr>
                <w:noProof/>
                <w:webHidden/>
              </w:rPr>
              <w:fldChar w:fldCharType="end"/>
            </w:r>
          </w:hyperlink>
        </w:p>
        <w:p w14:paraId="72EE010D" w14:textId="0DCA3EB9" w:rsidR="006C76E0" w:rsidRDefault="006C76E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829084" w:history="1">
            <w:r w:rsidRPr="005C7ED5">
              <w:rPr>
                <w:rStyle w:val="Hyperlink"/>
                <w:noProof/>
              </w:rPr>
              <w:t>Task 2 of 4 – Evaluating information sources</w:t>
            </w:r>
            <w:r>
              <w:rPr>
                <w:noProof/>
                <w:webHidden/>
              </w:rPr>
              <w:tab/>
            </w:r>
            <w:r>
              <w:rPr>
                <w:noProof/>
                <w:webHidden/>
              </w:rPr>
              <w:fldChar w:fldCharType="begin"/>
            </w:r>
            <w:r>
              <w:rPr>
                <w:noProof/>
                <w:webHidden/>
              </w:rPr>
              <w:instrText xml:space="preserve"> PAGEREF _Toc224829084 \h </w:instrText>
            </w:r>
            <w:r>
              <w:rPr>
                <w:noProof/>
                <w:webHidden/>
              </w:rPr>
            </w:r>
            <w:r>
              <w:rPr>
                <w:noProof/>
                <w:webHidden/>
              </w:rPr>
              <w:fldChar w:fldCharType="separate"/>
            </w:r>
            <w:r>
              <w:rPr>
                <w:noProof/>
                <w:webHidden/>
              </w:rPr>
              <w:t>7</w:t>
            </w:r>
            <w:r>
              <w:rPr>
                <w:noProof/>
                <w:webHidden/>
              </w:rPr>
              <w:fldChar w:fldCharType="end"/>
            </w:r>
          </w:hyperlink>
        </w:p>
        <w:p w14:paraId="2FAB38D9" w14:textId="5F29CCD7" w:rsidR="006C76E0" w:rsidRDefault="006C76E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829085" w:history="1">
            <w:r w:rsidRPr="005C7ED5">
              <w:rPr>
                <w:rStyle w:val="Hyperlink"/>
                <w:noProof/>
              </w:rPr>
              <w:t>Task 3 of 4 – Research Methodologies</w:t>
            </w:r>
            <w:r>
              <w:rPr>
                <w:noProof/>
                <w:webHidden/>
              </w:rPr>
              <w:tab/>
            </w:r>
            <w:r>
              <w:rPr>
                <w:noProof/>
                <w:webHidden/>
              </w:rPr>
              <w:fldChar w:fldCharType="begin"/>
            </w:r>
            <w:r>
              <w:rPr>
                <w:noProof/>
                <w:webHidden/>
              </w:rPr>
              <w:instrText xml:space="preserve"> PAGEREF _Toc224829085 \h </w:instrText>
            </w:r>
            <w:r>
              <w:rPr>
                <w:noProof/>
                <w:webHidden/>
              </w:rPr>
            </w:r>
            <w:r>
              <w:rPr>
                <w:noProof/>
                <w:webHidden/>
              </w:rPr>
              <w:fldChar w:fldCharType="separate"/>
            </w:r>
            <w:r>
              <w:rPr>
                <w:noProof/>
                <w:webHidden/>
              </w:rPr>
              <w:t>9</w:t>
            </w:r>
            <w:r>
              <w:rPr>
                <w:noProof/>
                <w:webHidden/>
              </w:rPr>
              <w:fldChar w:fldCharType="end"/>
            </w:r>
          </w:hyperlink>
        </w:p>
        <w:p w14:paraId="56B0B0AD" w14:textId="728C0E32" w:rsidR="006C76E0" w:rsidRDefault="006C76E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829086" w:history="1">
            <w:r w:rsidRPr="005C7ED5">
              <w:rPr>
                <w:rStyle w:val="Hyperlink"/>
                <w:noProof/>
              </w:rPr>
              <w:t>Task 4 of 4 – Data Collection</w:t>
            </w:r>
            <w:r>
              <w:rPr>
                <w:noProof/>
                <w:webHidden/>
              </w:rPr>
              <w:tab/>
            </w:r>
            <w:r>
              <w:rPr>
                <w:noProof/>
                <w:webHidden/>
              </w:rPr>
              <w:fldChar w:fldCharType="begin"/>
            </w:r>
            <w:r>
              <w:rPr>
                <w:noProof/>
                <w:webHidden/>
              </w:rPr>
              <w:instrText xml:space="preserve"> PAGEREF _Toc224829086 \h </w:instrText>
            </w:r>
            <w:r>
              <w:rPr>
                <w:noProof/>
                <w:webHidden/>
              </w:rPr>
            </w:r>
            <w:r>
              <w:rPr>
                <w:noProof/>
                <w:webHidden/>
              </w:rPr>
              <w:fldChar w:fldCharType="separate"/>
            </w:r>
            <w:r>
              <w:rPr>
                <w:noProof/>
                <w:webHidden/>
              </w:rPr>
              <w:t>11</w:t>
            </w:r>
            <w:r>
              <w:rPr>
                <w:noProof/>
                <w:webHidden/>
              </w:rPr>
              <w:fldChar w:fldCharType="end"/>
            </w:r>
          </w:hyperlink>
        </w:p>
        <w:p w14:paraId="5376C080" w14:textId="42A221EF" w:rsidR="006C76E0" w:rsidRDefault="006C76E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829087" w:history="1">
            <w:r w:rsidRPr="005C7ED5">
              <w:rPr>
                <w:rStyle w:val="Hyperlink"/>
                <w:noProof/>
              </w:rPr>
              <w:t>Conclusion</w:t>
            </w:r>
            <w:r>
              <w:rPr>
                <w:noProof/>
                <w:webHidden/>
              </w:rPr>
              <w:tab/>
            </w:r>
            <w:r>
              <w:rPr>
                <w:noProof/>
                <w:webHidden/>
              </w:rPr>
              <w:fldChar w:fldCharType="begin"/>
            </w:r>
            <w:r>
              <w:rPr>
                <w:noProof/>
                <w:webHidden/>
              </w:rPr>
              <w:instrText xml:space="preserve"> PAGEREF _Toc224829087 \h </w:instrText>
            </w:r>
            <w:r>
              <w:rPr>
                <w:noProof/>
                <w:webHidden/>
              </w:rPr>
            </w:r>
            <w:r>
              <w:rPr>
                <w:noProof/>
                <w:webHidden/>
              </w:rPr>
              <w:fldChar w:fldCharType="separate"/>
            </w:r>
            <w:r>
              <w:rPr>
                <w:noProof/>
                <w:webHidden/>
              </w:rPr>
              <w:t>13</w:t>
            </w:r>
            <w:r>
              <w:rPr>
                <w:noProof/>
                <w:webHidden/>
              </w:rPr>
              <w:fldChar w:fldCharType="end"/>
            </w:r>
          </w:hyperlink>
        </w:p>
        <w:p w14:paraId="0DC3DEAC" w14:textId="59C715C4" w:rsidR="006C76E0" w:rsidRDefault="006C76E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829088" w:history="1">
            <w:r w:rsidRPr="005C7ED5">
              <w:rPr>
                <w:rStyle w:val="Hyperlink"/>
                <w:noProof/>
              </w:rPr>
              <w:t>References</w:t>
            </w:r>
            <w:r>
              <w:rPr>
                <w:noProof/>
                <w:webHidden/>
              </w:rPr>
              <w:tab/>
            </w:r>
            <w:r>
              <w:rPr>
                <w:noProof/>
                <w:webHidden/>
              </w:rPr>
              <w:fldChar w:fldCharType="begin"/>
            </w:r>
            <w:r>
              <w:rPr>
                <w:noProof/>
                <w:webHidden/>
              </w:rPr>
              <w:instrText xml:space="preserve"> PAGEREF _Toc224829088 \h </w:instrText>
            </w:r>
            <w:r>
              <w:rPr>
                <w:noProof/>
                <w:webHidden/>
              </w:rPr>
            </w:r>
            <w:r>
              <w:rPr>
                <w:noProof/>
                <w:webHidden/>
              </w:rPr>
              <w:fldChar w:fldCharType="separate"/>
            </w:r>
            <w:r>
              <w:rPr>
                <w:noProof/>
                <w:webHidden/>
              </w:rPr>
              <w:t>14</w:t>
            </w:r>
            <w:r>
              <w:rPr>
                <w:noProof/>
                <w:webHidden/>
              </w:rPr>
              <w:fldChar w:fldCharType="end"/>
            </w:r>
          </w:hyperlink>
        </w:p>
        <w:p w14:paraId="590CD5BB" w14:textId="2E421CBD" w:rsidR="00961CCD" w:rsidRPr="001A24BC" w:rsidRDefault="00961CCD" w:rsidP="00FB3D42">
          <w:r w:rsidRPr="001A24BC">
            <w:rPr>
              <w:rFonts w:ascii="Arial" w:hAnsi="Arial" w:cs="Arial"/>
              <w:b/>
              <w:bCs/>
              <w:sz w:val="22"/>
              <w:szCs w:val="22"/>
            </w:rPr>
            <w:fldChar w:fldCharType="end"/>
          </w:r>
        </w:p>
      </w:sdtContent>
    </w:sdt>
    <w:p w14:paraId="43DF930E" w14:textId="77777777" w:rsidR="00961CCD" w:rsidRPr="001A24BC" w:rsidRDefault="00961CCD" w:rsidP="00FB3D42">
      <w:pPr>
        <w:rPr>
          <w:rFonts w:ascii="Arial" w:hAnsi="Arial" w:cs="Arial"/>
        </w:rPr>
      </w:pPr>
    </w:p>
    <w:p w14:paraId="5BD7E2DC" w14:textId="77777777" w:rsidR="00961CCD" w:rsidRPr="001A24BC" w:rsidRDefault="00961CCD" w:rsidP="00FB3D42">
      <w:pPr>
        <w:rPr>
          <w:rFonts w:ascii="Arial" w:hAnsi="Arial" w:cs="Arial"/>
          <w:b/>
          <w:bCs/>
        </w:rPr>
      </w:pPr>
      <w:r w:rsidRPr="001A24BC">
        <w:rPr>
          <w:rFonts w:ascii="Arial" w:hAnsi="Arial" w:cs="Arial"/>
        </w:rPr>
        <w:br w:type="page"/>
      </w:r>
      <w:bookmarkStart w:id="0" w:name="_gq3cshzgmsnl"/>
      <w:bookmarkEnd w:id="0"/>
    </w:p>
    <w:p w14:paraId="0426F13C" w14:textId="77777777" w:rsidR="00961CCD" w:rsidRPr="001A24BC" w:rsidRDefault="00961CCD" w:rsidP="00FB3D42">
      <w:pPr>
        <w:pStyle w:val="Heading1"/>
        <w:spacing w:before="0" w:after="0"/>
      </w:pPr>
      <w:bookmarkStart w:id="1" w:name="_8hi0gd6gd0u8"/>
      <w:bookmarkStart w:id="2" w:name="_Toc224829082"/>
      <w:bookmarkEnd w:id="1"/>
      <w:r w:rsidRPr="001A24BC">
        <w:lastRenderedPageBreak/>
        <w:t>Introduction</w:t>
      </w:r>
      <w:bookmarkEnd w:id="2"/>
      <w:r w:rsidRPr="001A24BC">
        <w:t xml:space="preserve"> </w:t>
      </w:r>
    </w:p>
    <w:p w14:paraId="65014012" w14:textId="77777777" w:rsidR="00961CCD" w:rsidRPr="001A24BC" w:rsidRDefault="00961CCD" w:rsidP="00FB3D42">
      <w:pPr>
        <w:rPr>
          <w:rFonts w:ascii="Arial" w:hAnsi="Arial" w:cs="Arial"/>
          <w:sz w:val="22"/>
          <w:szCs w:val="22"/>
        </w:rPr>
      </w:pPr>
      <w:r w:rsidRPr="001A24BC">
        <w:rPr>
          <w:rFonts w:ascii="Arial" w:hAnsi="Arial" w:cs="Arial"/>
          <w:sz w:val="22"/>
          <w:szCs w:val="22"/>
        </w:rPr>
        <w:t>The report aims to provide a health and care issue in the UK population and setting. The issue is staff burnout, as it is a critical issue due to employee depression and lower personal accomplishment. This is mainly due to huge workloads and insufficient resources. The report will evaluate the current issues of staff burnout in health and social care by explaining why it matters for care organisations. The report will evaluate the chosen problem from three credible sources and address gaps in the current research. It will also provide the methodology and the data collection method that will be used in the research.</w:t>
      </w:r>
      <w:r w:rsidRPr="001A24BC">
        <w:rPr>
          <w:rFonts w:ascii="Arial" w:hAnsi="Arial" w:cs="Arial"/>
          <w:sz w:val="22"/>
          <w:szCs w:val="22"/>
        </w:rPr>
        <w:br w:type="page"/>
      </w:r>
    </w:p>
    <w:p w14:paraId="7C03D1FF" w14:textId="77777777" w:rsidR="00961CCD" w:rsidRPr="001A24BC" w:rsidRDefault="00961CCD" w:rsidP="00FB3D42">
      <w:pPr>
        <w:pStyle w:val="Heading1"/>
        <w:spacing w:before="0" w:after="0"/>
      </w:pPr>
      <w:bookmarkStart w:id="3" w:name="_5cx4ohwxzr4q"/>
      <w:bookmarkStart w:id="4" w:name="_Toc224829083"/>
      <w:bookmarkEnd w:id="3"/>
      <w:r w:rsidRPr="001A24BC">
        <w:lastRenderedPageBreak/>
        <w:t>Task 1 of 4 - The Research topic</w:t>
      </w:r>
      <w:bookmarkEnd w:id="4"/>
    </w:p>
    <w:p w14:paraId="399C0D36" w14:textId="77777777" w:rsidR="00961CCD" w:rsidRPr="001A24BC" w:rsidRDefault="00961CCD" w:rsidP="00FB3D42">
      <w:pPr>
        <w:rPr>
          <w:rFonts w:ascii="Arial" w:hAnsi="Arial" w:cs="Arial"/>
          <w:b/>
          <w:bCs/>
          <w:sz w:val="22"/>
          <w:szCs w:val="22"/>
          <w:u w:val="single"/>
        </w:rPr>
      </w:pPr>
      <w:r w:rsidRPr="001A24BC">
        <w:rPr>
          <w:rFonts w:ascii="Arial" w:hAnsi="Arial" w:cs="Arial"/>
          <w:b/>
          <w:bCs/>
          <w:sz w:val="22"/>
          <w:szCs w:val="22"/>
          <w:u w:val="single"/>
        </w:rPr>
        <w:t>Issue</w:t>
      </w:r>
    </w:p>
    <w:p w14:paraId="32B3A7E9" w14:textId="77777777" w:rsidR="00961CCD" w:rsidRPr="001A24BC" w:rsidRDefault="00961CCD" w:rsidP="00FB3D42">
      <w:pPr>
        <w:rPr>
          <w:rFonts w:ascii="Arial" w:hAnsi="Arial" w:cs="Arial"/>
          <w:sz w:val="22"/>
          <w:szCs w:val="22"/>
        </w:rPr>
      </w:pPr>
      <w:r w:rsidRPr="001A24BC">
        <w:rPr>
          <w:rFonts w:ascii="Arial" w:hAnsi="Arial" w:cs="Arial"/>
          <w:sz w:val="22"/>
          <w:szCs w:val="22"/>
        </w:rPr>
        <w:t>One of the most essential current issues in health and social issues is staff burnout. The topic is about the impact of high stress, such as in emergency departments and long-term care facilities, on burnout rates.</w:t>
      </w:r>
    </w:p>
    <w:p w14:paraId="313D6093" w14:textId="77777777" w:rsidR="00961CCD" w:rsidRPr="001A24BC" w:rsidRDefault="00961CCD" w:rsidP="00FB3D42">
      <w:pPr>
        <w:rPr>
          <w:rFonts w:ascii="Arial" w:hAnsi="Arial" w:cs="Arial"/>
          <w:b/>
          <w:bCs/>
          <w:sz w:val="22"/>
          <w:szCs w:val="22"/>
          <w:u w:val="single"/>
        </w:rPr>
      </w:pPr>
      <w:r w:rsidRPr="001A24BC">
        <w:rPr>
          <w:rFonts w:ascii="Arial" w:hAnsi="Arial" w:cs="Arial"/>
          <w:b/>
          <w:bCs/>
          <w:sz w:val="22"/>
          <w:szCs w:val="22"/>
          <w:u w:val="single"/>
        </w:rPr>
        <w:t xml:space="preserve">Affected individuals and the reasons for their relevance  </w:t>
      </w:r>
    </w:p>
    <w:p w14:paraId="1AAEB375"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The affected individuals of staff burnout include frontline staff, junior doctors, allied healthcare professionals, administrators, technical staff and service users. This mainly matters for staff wellbeing services and care organisations (who.int, 2024). Burnout leads to anxiety and depression, which creates mental trauma. A cynical attitude might develop in the staff that could result in emotional breakdown, minimised empathy and unprofessional behaviour. Burned-out staff have a higher likelihood of making errors that develop patient mortality risks. High doubt minimises empathy that leads to poorer communication, longer response times and lower patient satisfaction. Burnout is basically a systemic issue-driven problem (McKenzie, 2023). This mainly happens due to the forces to the staff for the workload per person. This time, workers feel unable to provide safe and high-quality care due to the stress of the workload. Moreover, burned-out employees could lead to high recruitment and training costs for agencies. Burnout has a clear impact on staffing, turnover and clinical fees, leaving the profession (Ferry et al., 2021). </w:t>
      </w:r>
    </w:p>
    <w:p w14:paraId="3B2750FE" w14:textId="77777777" w:rsidR="00961CCD" w:rsidRPr="001A24BC" w:rsidRDefault="00961CCD" w:rsidP="00FB3D42">
      <w:pPr>
        <w:rPr>
          <w:rFonts w:ascii="Arial" w:hAnsi="Arial" w:cs="Arial"/>
          <w:b/>
          <w:bCs/>
          <w:sz w:val="22"/>
          <w:szCs w:val="22"/>
          <w:u w:val="single"/>
        </w:rPr>
      </w:pPr>
      <w:r w:rsidRPr="001A24BC">
        <w:rPr>
          <w:rFonts w:ascii="Arial" w:hAnsi="Arial" w:cs="Arial"/>
          <w:b/>
          <w:bCs/>
          <w:sz w:val="22"/>
          <w:szCs w:val="22"/>
          <w:u w:val="single"/>
        </w:rPr>
        <w:t xml:space="preserve">Reflection on the topic </w:t>
      </w:r>
    </w:p>
    <w:p w14:paraId="6E5AF0AB"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Staff burnout in UK health and social care is directly linked to poorer patient safety and reduced quality of care. Patient care mainly suffers if the staff feel emotionally exhausted. This is interesting as burnout is the primary driver of staff leaving. Staff often feel forced to work, which increases the risk of accidents (Ferry et al., 2021). </w:t>
      </w:r>
    </w:p>
    <w:p w14:paraId="31CFCC81" w14:textId="77777777" w:rsidR="00961CCD" w:rsidRPr="001A24BC" w:rsidRDefault="00961CCD" w:rsidP="00FB3D42">
      <w:pPr>
        <w:rPr>
          <w:rFonts w:ascii="Arial" w:hAnsi="Arial" w:cs="Arial"/>
        </w:rPr>
      </w:pPr>
      <w:r w:rsidRPr="001A24BC">
        <w:rPr>
          <w:rFonts w:ascii="Arial" w:hAnsi="Arial" w:cs="Arial"/>
          <w:sz w:val="22"/>
          <w:szCs w:val="22"/>
        </w:rPr>
        <w:t xml:space="preserve">Studies suggest that an inclusive workplace helps in reducing burnout by providing a target-driven culture. The shift toward maintaining mental health support for staff is an essential and ongoing </w:t>
      </w:r>
      <w:r w:rsidRPr="001A24BC">
        <w:rPr>
          <w:rFonts w:ascii="Arial" w:hAnsi="Arial" w:cs="Arial"/>
          <w:sz w:val="22"/>
          <w:szCs w:val="22"/>
        </w:rPr>
        <w:lastRenderedPageBreak/>
        <w:t xml:space="preserve">research area. A future career plan is to implement preventive strategies, such as flexible working and training managers about the early signs of burnout. The future career plans for resilience training would help to identify the root causes of staff burnout. </w:t>
      </w:r>
      <w:r w:rsidRPr="001A24BC">
        <w:rPr>
          <w:rFonts w:ascii="Arial" w:hAnsi="Arial" w:cs="Arial"/>
          <w:sz w:val="22"/>
          <w:szCs w:val="22"/>
        </w:rPr>
        <w:br w:type="page"/>
      </w:r>
    </w:p>
    <w:p w14:paraId="0BE5386C" w14:textId="77777777" w:rsidR="00961CCD" w:rsidRPr="001A24BC" w:rsidRDefault="00961CCD" w:rsidP="00FB3D42">
      <w:pPr>
        <w:pStyle w:val="Heading1"/>
        <w:spacing w:before="0" w:after="0"/>
      </w:pPr>
      <w:bookmarkStart w:id="5" w:name="_jlzby3hlu6l"/>
      <w:bookmarkStart w:id="6" w:name="_Toc224829084"/>
      <w:bookmarkEnd w:id="5"/>
      <w:r w:rsidRPr="001A24BC">
        <w:lastRenderedPageBreak/>
        <w:t>Task 2 of 4 – Evaluating information sources</w:t>
      </w:r>
      <w:bookmarkEnd w:id="6"/>
    </w:p>
    <w:p w14:paraId="73B24C9D"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According to Deakin (2022), the flat-out issue of staff burnout is faced by NHS staff, and a sense of disintegration is facilitated by them while operating. This source is useful as it highlights the issue of frustration and burnout that are being faced by staff, as it results in the occurrence of receiving negative comments from their relatives and carers. This source supports the topic as it is a guide to highlight sustained pressure on professionals, and high margins of hospital admission rates are facilitated within it. It guides that continued flat-out working is facilitated by staff, and a knock-on effect is facilitated on the standard of care. The rise in admissions to hospitals and deaths has created frustration among NHS staff. The gap in this research is that insights regarding effective intervention strategies are not being evaluated in this research. </w:t>
      </w:r>
    </w:p>
    <w:p w14:paraId="1A322AE2"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According to Iacobucci (2021), the Health and Social Care Committee has reported that the issue of staff shortage has created burnout among NHS staff. The issue of increased mental distance is facilitated, and negative feelings regarding the job have developed within them. This source is useful as it helped to evaluate the unacceptable pressure that is faced by staff and provided insights into workforce planning that helped to address multiple circumstances while performing their operations. This source supports the topic as it guides in achieving long-term demands, and workforce projections are facilitated on a large scale. Integration of the plan is guided to align with the supply of doctors and nurses. The mental health support is provided to staffs that help to establish a link with the resilience of individual team members, and patient care is deprioritised. Ethnic minority backgrounds have faced multiple challenges, and evidence supports this. The gap in this research is that insights regarding the long-term impact of compassionate and inclusive workplace cultures. </w:t>
      </w:r>
    </w:p>
    <w:p w14:paraId="11A3DFB8" w14:textId="52911B92" w:rsidR="00961CCD" w:rsidRPr="001A24BC" w:rsidRDefault="00961CCD" w:rsidP="00FB3D42">
      <w:pPr>
        <w:rPr>
          <w:rFonts w:ascii="Arial" w:hAnsi="Arial" w:cs="Arial"/>
        </w:rPr>
      </w:pPr>
      <w:r w:rsidRPr="001A24BC">
        <w:rPr>
          <w:rFonts w:ascii="Arial" w:hAnsi="Arial" w:cs="Arial"/>
          <w:sz w:val="22"/>
          <w:szCs w:val="22"/>
        </w:rPr>
        <w:t xml:space="preserve">According to the House of Commons Health and Social Care Committee (2021), staff burnout in the UK is caused by the presence of workforce shortages and funding pressure. It has raised concerns regarding the impact of this issue on staff morale. The increased workforce pressure is </w:t>
      </w:r>
      <w:r w:rsidRPr="001A24BC">
        <w:rPr>
          <w:rFonts w:ascii="Arial" w:hAnsi="Arial" w:cs="Arial"/>
          <w:sz w:val="22"/>
          <w:szCs w:val="22"/>
        </w:rPr>
        <w:lastRenderedPageBreak/>
        <w:t xml:space="preserve">faced by staffs that create a sense of disintegration within their operations. This source is useful as it </w:t>
      </w:r>
      <w:r w:rsidR="001A24BC" w:rsidRPr="001A24BC">
        <w:rPr>
          <w:rFonts w:ascii="Arial" w:hAnsi="Arial" w:cs="Arial"/>
          <w:sz w:val="22"/>
          <w:szCs w:val="22"/>
        </w:rPr>
        <w:t>guides</w:t>
      </w:r>
      <w:r w:rsidRPr="001A24BC">
        <w:rPr>
          <w:rFonts w:ascii="Arial" w:hAnsi="Arial" w:cs="Arial"/>
          <w:sz w:val="22"/>
          <w:szCs w:val="22"/>
        </w:rPr>
        <w:t xml:space="preserve"> to provide insights into the impact of COVID-19 on care terms. This source supports the topic as it suggests that a sense of exhaustion is faced by staffs that guide to affect their engagement on a large scale. The gap in this research is that short-term circumstances that create burnout among staff are not being evaluated in it.</w:t>
      </w:r>
      <w:r w:rsidRPr="001A24BC">
        <w:rPr>
          <w:rFonts w:ascii="Arial" w:hAnsi="Arial" w:cs="Arial"/>
        </w:rPr>
        <w:t xml:space="preserve"> </w:t>
      </w:r>
      <w:r w:rsidRPr="001A24BC">
        <w:rPr>
          <w:rFonts w:ascii="Arial" w:hAnsi="Arial" w:cs="Arial"/>
        </w:rPr>
        <w:br w:type="page"/>
      </w:r>
    </w:p>
    <w:p w14:paraId="56CA517C" w14:textId="77777777" w:rsidR="00961CCD" w:rsidRPr="001A24BC" w:rsidRDefault="00961CCD" w:rsidP="00FB3D42">
      <w:pPr>
        <w:pStyle w:val="Heading1"/>
        <w:spacing w:before="0" w:after="0"/>
      </w:pPr>
      <w:bookmarkStart w:id="7" w:name="_g8rc7svre6f8"/>
      <w:bookmarkStart w:id="8" w:name="_Toc224829085"/>
      <w:bookmarkEnd w:id="7"/>
      <w:r w:rsidRPr="001A24BC">
        <w:lastRenderedPageBreak/>
        <w:t>Task 3 of 4 – Research Methodologies</w:t>
      </w:r>
      <w:bookmarkEnd w:id="8"/>
      <w:r w:rsidRPr="001A24BC">
        <w:t xml:space="preserve"> </w:t>
      </w:r>
    </w:p>
    <w:p w14:paraId="2AA4F25E" w14:textId="77777777" w:rsidR="00961CCD" w:rsidRPr="001A24BC" w:rsidRDefault="00961CCD" w:rsidP="00FB3D42">
      <w:pPr>
        <w:rPr>
          <w:rFonts w:ascii="Arial" w:hAnsi="Arial" w:cs="Arial"/>
          <w:b/>
          <w:bCs/>
          <w:sz w:val="22"/>
          <w:szCs w:val="22"/>
        </w:rPr>
      </w:pPr>
      <w:r w:rsidRPr="001A24BC">
        <w:rPr>
          <w:rFonts w:ascii="Arial" w:hAnsi="Arial" w:cs="Arial"/>
          <w:b/>
          <w:bCs/>
          <w:sz w:val="22"/>
          <w:szCs w:val="22"/>
        </w:rPr>
        <w:t>Definition of quantitative, qualitative, and mixed-methods research</w:t>
      </w:r>
    </w:p>
    <w:p w14:paraId="14F2BE58"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Quantitative research effectively uses numerical data and statistics to test theories. Hence, qualitative research mainly uses words and observations to determine the concepts. </w:t>
      </w:r>
    </w:p>
    <w:p w14:paraId="3F7CE04E" w14:textId="77777777" w:rsidR="00961CCD" w:rsidRPr="001A24BC" w:rsidRDefault="00961CCD" w:rsidP="00FB3D42">
      <w:pPr>
        <w:rPr>
          <w:rFonts w:ascii="Arial" w:hAnsi="Arial" w:cs="Arial"/>
          <w:b/>
          <w:bCs/>
          <w:sz w:val="22"/>
          <w:szCs w:val="22"/>
          <w:u w:val="single"/>
        </w:rPr>
      </w:pPr>
      <w:r w:rsidRPr="001A24BC">
        <w:rPr>
          <w:rFonts w:ascii="Arial" w:hAnsi="Arial" w:cs="Arial"/>
          <w:b/>
          <w:bCs/>
          <w:sz w:val="22"/>
          <w:szCs w:val="22"/>
          <w:u w:val="single"/>
        </w:rPr>
        <w:t>Quantitative Research</w:t>
      </w:r>
    </w:p>
    <w:p w14:paraId="34B5DBDD"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This is a systematic approach that is based on objective investigation. This effectively uses numerical data to quantify several variables, test theories, and identify the research pattern (Pregoner, 2024). For example, research in the quantitative approach is effectively measuring the new exercise programs. This is effectively based on testing the effectiveness of a new medication by comparing treatment results.   </w:t>
      </w:r>
    </w:p>
    <w:p w14:paraId="3FC08AB9" w14:textId="77777777" w:rsidR="00961CCD" w:rsidRPr="001A24BC" w:rsidRDefault="00961CCD" w:rsidP="00FB3D42">
      <w:pPr>
        <w:rPr>
          <w:rFonts w:ascii="Arial" w:hAnsi="Arial" w:cs="Arial"/>
          <w:b/>
          <w:bCs/>
          <w:sz w:val="22"/>
          <w:szCs w:val="22"/>
          <w:u w:val="single"/>
        </w:rPr>
      </w:pPr>
      <w:r w:rsidRPr="001A24BC">
        <w:rPr>
          <w:rFonts w:ascii="Arial" w:hAnsi="Arial" w:cs="Arial"/>
          <w:b/>
          <w:bCs/>
          <w:sz w:val="22"/>
          <w:szCs w:val="22"/>
          <w:u w:val="single"/>
        </w:rPr>
        <w:t>Qualitative research</w:t>
      </w:r>
    </w:p>
    <w:p w14:paraId="5896A217"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Qualitative research is an approach that effectively reflects on collecting, analysing and interpreting non-numeric data. This helps a researcher to understand the concepts, experiences and subjective phenomena (Schoonenboom, 2023). For example, effective qualitative research relies on investigating lived experiences, including how patients feel and manage living chronic conditions such as diabetes and long-term mental health challenges. </w:t>
      </w:r>
    </w:p>
    <w:p w14:paraId="25D51FC1" w14:textId="77777777" w:rsidR="00961CCD" w:rsidRPr="001A24BC" w:rsidRDefault="00961CCD" w:rsidP="00FB3D42">
      <w:pPr>
        <w:rPr>
          <w:rFonts w:ascii="Arial" w:hAnsi="Arial" w:cs="Arial"/>
          <w:sz w:val="22"/>
          <w:szCs w:val="22"/>
        </w:rPr>
      </w:pPr>
      <w:r w:rsidRPr="001A24BC">
        <w:rPr>
          <w:rFonts w:ascii="Arial" w:hAnsi="Arial" w:cs="Arial"/>
          <w:b/>
          <w:bCs/>
          <w:sz w:val="22"/>
          <w:szCs w:val="22"/>
          <w:u w:val="single"/>
        </w:rPr>
        <w:t>Mixed method Research</w:t>
      </w:r>
      <w:r w:rsidRPr="001A24BC">
        <w:rPr>
          <w:rFonts w:ascii="Arial" w:hAnsi="Arial" w:cs="Arial"/>
          <w:sz w:val="22"/>
          <w:szCs w:val="22"/>
        </w:rPr>
        <w:t xml:space="preserve"> </w:t>
      </w:r>
    </w:p>
    <w:p w14:paraId="7C2FE8F4" w14:textId="77777777" w:rsidR="00961CCD" w:rsidRPr="001A24BC" w:rsidRDefault="00961CCD" w:rsidP="00FB3D42">
      <w:pPr>
        <w:rPr>
          <w:rFonts w:ascii="Arial" w:hAnsi="Arial" w:cs="Arial"/>
          <w:sz w:val="22"/>
          <w:szCs w:val="22"/>
        </w:rPr>
      </w:pPr>
      <w:r w:rsidRPr="001A24BC">
        <w:rPr>
          <w:rFonts w:ascii="Arial" w:hAnsi="Arial" w:cs="Arial"/>
          <w:sz w:val="22"/>
          <w:szCs w:val="22"/>
        </w:rPr>
        <w:t>The mixed-methods research is a methodology that incorporates both quantitative and qualitative data within a single study (Matović and Ovesni, 2023). For example, mixed-methods research effectively relies on evaluating a mental health service that may use standardised patient satisfaction surveys and in-depth interviews.</w:t>
      </w:r>
    </w:p>
    <w:p w14:paraId="5508E189" w14:textId="77777777" w:rsidR="00961CCD" w:rsidRPr="001A24BC" w:rsidRDefault="00961CCD" w:rsidP="00FB3D42">
      <w:pPr>
        <w:rPr>
          <w:rFonts w:ascii="Arial" w:hAnsi="Arial" w:cs="Arial"/>
          <w:b/>
          <w:bCs/>
          <w:sz w:val="22"/>
          <w:szCs w:val="22"/>
        </w:rPr>
      </w:pPr>
      <w:r w:rsidRPr="001A24BC">
        <w:rPr>
          <w:rFonts w:ascii="Arial" w:hAnsi="Arial" w:cs="Arial"/>
          <w:b/>
          <w:bCs/>
          <w:sz w:val="22"/>
          <w:szCs w:val="22"/>
        </w:rPr>
        <w:t xml:space="preserve">Chosen methodology  </w:t>
      </w:r>
    </w:p>
    <w:p w14:paraId="50C11937"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This particular research is mainly based on the impact of high-stress environments, such as emergency departments and long-term care facilities, on burnout rates. The appropriate method for this research is a mixed-method comparative approach. This is the most appropriate </w:t>
      </w:r>
      <w:r w:rsidRPr="001A24BC">
        <w:rPr>
          <w:rFonts w:ascii="Arial" w:hAnsi="Arial" w:cs="Arial"/>
          <w:sz w:val="22"/>
          <w:szCs w:val="22"/>
        </w:rPr>
        <w:lastRenderedPageBreak/>
        <w:t xml:space="preserve">methodology as it effectively combines quantitative data to measure the prevalence of burnout and qualitative data to understand the contextual approaches. This is effectively based on the lived experiences of staff in a district environment. </w:t>
      </w:r>
    </w:p>
    <w:p w14:paraId="1AF121A8" w14:textId="77777777" w:rsidR="00961CCD" w:rsidRPr="001A24BC" w:rsidRDefault="00961CCD" w:rsidP="00FB3D42">
      <w:pPr>
        <w:rPr>
          <w:rFonts w:ascii="Arial" w:hAnsi="Arial" w:cs="Arial"/>
          <w:b/>
          <w:bCs/>
          <w:sz w:val="22"/>
          <w:szCs w:val="22"/>
        </w:rPr>
      </w:pPr>
      <w:r w:rsidRPr="001A24BC">
        <w:rPr>
          <w:rFonts w:ascii="Arial" w:hAnsi="Arial" w:cs="Arial"/>
          <w:sz w:val="22"/>
          <w:szCs w:val="22"/>
        </w:rPr>
        <w:br w:type="page"/>
      </w:r>
      <w:bookmarkStart w:id="9" w:name="_9rg4qt4vcfkn"/>
      <w:bookmarkEnd w:id="9"/>
    </w:p>
    <w:p w14:paraId="2FA4F93B" w14:textId="77777777" w:rsidR="00961CCD" w:rsidRPr="001A24BC" w:rsidRDefault="00961CCD" w:rsidP="00FB3D42">
      <w:pPr>
        <w:pStyle w:val="Heading1"/>
        <w:spacing w:before="0" w:after="0"/>
      </w:pPr>
      <w:bookmarkStart w:id="10" w:name="_mraeqojuekhg"/>
      <w:bookmarkStart w:id="11" w:name="_Toc224829086"/>
      <w:bookmarkEnd w:id="10"/>
      <w:r w:rsidRPr="001A24BC">
        <w:lastRenderedPageBreak/>
        <w:t>Task 4 of 4 – Data Collection</w:t>
      </w:r>
      <w:bookmarkEnd w:id="11"/>
      <w:r w:rsidRPr="001A24BC">
        <w:t xml:space="preserve"> </w:t>
      </w:r>
    </w:p>
    <w:p w14:paraId="66FA260C" w14:textId="77777777" w:rsidR="00961CCD" w:rsidRPr="001A24BC" w:rsidRDefault="00961CCD" w:rsidP="00FB3D42">
      <w:pPr>
        <w:rPr>
          <w:rFonts w:ascii="Arial" w:hAnsi="Arial" w:cs="Arial"/>
          <w:b/>
          <w:bCs/>
          <w:sz w:val="22"/>
          <w:szCs w:val="22"/>
        </w:rPr>
      </w:pPr>
      <w:r w:rsidRPr="001A24BC">
        <w:rPr>
          <w:rFonts w:ascii="Arial" w:hAnsi="Arial" w:cs="Arial"/>
          <w:b/>
          <w:bCs/>
          <w:sz w:val="22"/>
          <w:szCs w:val="22"/>
        </w:rPr>
        <w:t>The difference between primary and secondary data collection</w:t>
      </w:r>
    </w:p>
    <w:p w14:paraId="25927D7E"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The key difference between primary data and secondary data is based on effective approaches. Primary data is based on original, first-hand information that is collected through methods such as surveys and interviews (Ajayi, 2023). Hence, the secondary data is the existing information that was gathered previously for other purposes. This includes reports and data sets that offer fast and low-cost insights. </w:t>
      </w:r>
    </w:p>
    <w:p w14:paraId="7FE50A29" w14:textId="77777777" w:rsidR="00961CCD" w:rsidRPr="001A24BC" w:rsidRDefault="00961CCD" w:rsidP="00FB3D42">
      <w:pPr>
        <w:rPr>
          <w:rFonts w:ascii="Arial" w:hAnsi="Arial" w:cs="Arial"/>
          <w:b/>
          <w:bCs/>
          <w:sz w:val="22"/>
          <w:szCs w:val="22"/>
        </w:rPr>
      </w:pPr>
      <w:r w:rsidRPr="001A24BC">
        <w:rPr>
          <w:rFonts w:ascii="Arial" w:hAnsi="Arial" w:cs="Arial"/>
          <w:b/>
          <w:bCs/>
          <w:sz w:val="22"/>
          <w:szCs w:val="22"/>
        </w:rPr>
        <w:t>Form of data</w:t>
      </w:r>
    </w:p>
    <w:p w14:paraId="10C3BA5D"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This research will follow the mixed method form of data that combines quantitative and qualitative data. This research will follow the primary quantitative and secondary qualitative data form. This approach is best as the burnout is a multifaceted phenomenon, which could be measured and counted. Hence, this is effectively shaped by deep, contextual factors. This is also based on using a comprehensive understanding.   </w:t>
      </w:r>
    </w:p>
    <w:p w14:paraId="3FD131D1" w14:textId="77777777" w:rsidR="00961CCD" w:rsidRPr="001A24BC" w:rsidRDefault="00961CCD" w:rsidP="00FB3D42">
      <w:pPr>
        <w:rPr>
          <w:rFonts w:ascii="Arial" w:hAnsi="Arial" w:cs="Arial"/>
          <w:b/>
          <w:bCs/>
          <w:sz w:val="22"/>
          <w:szCs w:val="22"/>
        </w:rPr>
      </w:pPr>
      <w:r w:rsidRPr="001A24BC">
        <w:rPr>
          <w:rFonts w:ascii="Arial" w:hAnsi="Arial" w:cs="Arial"/>
          <w:b/>
          <w:bCs/>
          <w:sz w:val="22"/>
          <w:szCs w:val="22"/>
        </w:rPr>
        <w:t xml:space="preserve">Type of data </w:t>
      </w:r>
    </w:p>
    <w:p w14:paraId="5770E2F6"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This particular research will gather both primary and secondary data for future development. The secondary data will be gathered from pre-existing sources such as journals, articles and authentic government-registered websites. On the other hand, the primary data will be gathered by conducting a survey with the health and social care staff in the UK health and social care organisations. This approach is appropriate as it effectively combines the director's real-time insights with a broad, historical context. This effectively resulted in a more robust and comprehensive understanding of the issue. </w:t>
      </w:r>
    </w:p>
    <w:p w14:paraId="20BFCE83" w14:textId="77777777" w:rsidR="00961CCD" w:rsidRPr="001A24BC" w:rsidRDefault="00961CCD" w:rsidP="00FB3D42">
      <w:pPr>
        <w:rPr>
          <w:rFonts w:ascii="Arial" w:hAnsi="Arial" w:cs="Arial"/>
          <w:b/>
          <w:bCs/>
          <w:sz w:val="22"/>
          <w:szCs w:val="22"/>
        </w:rPr>
      </w:pPr>
      <w:r w:rsidRPr="001A24BC">
        <w:rPr>
          <w:rFonts w:ascii="Arial" w:hAnsi="Arial" w:cs="Arial"/>
          <w:b/>
          <w:bCs/>
          <w:sz w:val="22"/>
          <w:szCs w:val="22"/>
        </w:rPr>
        <w:t>Advantages and challenges</w:t>
      </w:r>
    </w:p>
    <w:p w14:paraId="79623494" w14:textId="77777777" w:rsidR="00961CCD" w:rsidRPr="001A24BC" w:rsidRDefault="00961CCD" w:rsidP="00FB3D42">
      <w:pPr>
        <w:rPr>
          <w:rFonts w:ascii="Arial" w:hAnsi="Arial" w:cs="Arial"/>
          <w:sz w:val="22"/>
          <w:szCs w:val="22"/>
        </w:rPr>
      </w:pPr>
      <w:r w:rsidRPr="001A24BC">
        <w:rPr>
          <w:rFonts w:ascii="Arial" w:hAnsi="Arial" w:cs="Arial"/>
          <w:b/>
          <w:bCs/>
          <w:i/>
          <w:iCs/>
          <w:sz w:val="22"/>
          <w:szCs w:val="22"/>
        </w:rPr>
        <w:t>Advantages:</w:t>
      </w:r>
      <w:r w:rsidRPr="001A24BC">
        <w:rPr>
          <w:rFonts w:ascii="Arial" w:hAnsi="Arial" w:cs="Arial"/>
          <w:sz w:val="22"/>
          <w:szCs w:val="22"/>
        </w:rPr>
        <w:t xml:space="preserve"> The key advantages of collecting both types of data are based on a comprehensive understanding, enhancing reliability and accuracy, and appropriate resource and time efficiency.</w:t>
      </w:r>
    </w:p>
    <w:p w14:paraId="47880C6C" w14:textId="38D22813" w:rsidR="00961CCD" w:rsidRPr="001A24BC" w:rsidRDefault="00961CCD" w:rsidP="00FB3D42">
      <w:pPr>
        <w:rPr>
          <w:rFonts w:ascii="Arial" w:hAnsi="Arial" w:cs="Arial"/>
        </w:rPr>
      </w:pPr>
      <w:r w:rsidRPr="001A24BC">
        <w:rPr>
          <w:rFonts w:ascii="Arial" w:hAnsi="Arial" w:cs="Arial"/>
          <w:b/>
          <w:bCs/>
          <w:i/>
          <w:iCs/>
          <w:sz w:val="22"/>
          <w:szCs w:val="22"/>
        </w:rPr>
        <w:lastRenderedPageBreak/>
        <w:t>Challenges:</w:t>
      </w:r>
      <w:r w:rsidRPr="001A24BC">
        <w:rPr>
          <w:rFonts w:ascii="Arial" w:hAnsi="Arial" w:cs="Arial"/>
          <w:sz w:val="22"/>
          <w:szCs w:val="22"/>
        </w:rPr>
        <w:t xml:space="preserve"> the key challenges include methodological mismatch, </w:t>
      </w:r>
      <w:r w:rsidR="001A24BC" w:rsidRPr="001A24BC">
        <w:rPr>
          <w:rFonts w:ascii="Arial" w:hAnsi="Arial" w:cs="Arial"/>
          <w:sz w:val="22"/>
          <w:szCs w:val="22"/>
        </w:rPr>
        <w:t>high-cost</w:t>
      </w:r>
      <w:r w:rsidRPr="001A24BC">
        <w:rPr>
          <w:rFonts w:ascii="Arial" w:hAnsi="Arial" w:cs="Arial"/>
          <w:sz w:val="22"/>
          <w:szCs w:val="22"/>
        </w:rPr>
        <w:t xml:space="preserve"> interference and quality control.  </w:t>
      </w:r>
      <w:r w:rsidRPr="001A24BC">
        <w:rPr>
          <w:rFonts w:ascii="Arial" w:hAnsi="Arial" w:cs="Arial"/>
        </w:rPr>
        <w:br w:type="page"/>
      </w:r>
    </w:p>
    <w:p w14:paraId="49517269" w14:textId="77777777" w:rsidR="00961CCD" w:rsidRPr="001A24BC" w:rsidRDefault="00961CCD" w:rsidP="00FB3D42">
      <w:pPr>
        <w:pStyle w:val="Heading1"/>
        <w:spacing w:before="0" w:after="0"/>
      </w:pPr>
      <w:bookmarkStart w:id="12" w:name="_uyamc55unjzq"/>
      <w:bookmarkStart w:id="13" w:name="_Toc224829087"/>
      <w:bookmarkEnd w:id="12"/>
      <w:r w:rsidRPr="001A24BC">
        <w:lastRenderedPageBreak/>
        <w:t>Conclusion</w:t>
      </w:r>
      <w:bookmarkEnd w:id="13"/>
    </w:p>
    <w:p w14:paraId="549F048E" w14:textId="77777777" w:rsidR="00961CCD" w:rsidRPr="001A24BC" w:rsidRDefault="00961CCD" w:rsidP="00FB3D42">
      <w:pPr>
        <w:rPr>
          <w:rFonts w:ascii="Arial" w:hAnsi="Arial" w:cs="Arial"/>
          <w:sz w:val="22"/>
          <w:szCs w:val="22"/>
        </w:rPr>
      </w:pPr>
      <w:r w:rsidRPr="001A24BC">
        <w:rPr>
          <w:rFonts w:ascii="Arial" w:hAnsi="Arial" w:cs="Arial"/>
          <w:sz w:val="22"/>
          <w:szCs w:val="22"/>
        </w:rPr>
        <w:t xml:space="preserve">Going through this report, it has been understood that burnout leads to poor retention, which contributes to the staff shortage. It also develops significant risks such as high burnout with huge medical errors, lower quality of care and reduced empathy. Moreover, the mixed-method comparative approach has effectively helped to identify the prevalence of burnout. The main drivers of staff burnout include unmanageable workloads, high-intensity shifts and chronic staffing shortages. </w:t>
      </w:r>
    </w:p>
    <w:p w14:paraId="737E9054" w14:textId="77777777" w:rsidR="00961CCD" w:rsidRPr="001A24BC" w:rsidRDefault="00961CCD" w:rsidP="00FB3D42">
      <w:pPr>
        <w:rPr>
          <w:rFonts w:ascii="Arial" w:hAnsi="Arial" w:cs="Arial"/>
          <w:b/>
          <w:bCs/>
          <w:sz w:val="22"/>
          <w:szCs w:val="22"/>
        </w:rPr>
      </w:pPr>
      <w:r w:rsidRPr="001A24BC">
        <w:rPr>
          <w:rFonts w:ascii="Arial" w:hAnsi="Arial" w:cs="Arial"/>
          <w:sz w:val="22"/>
          <w:szCs w:val="22"/>
        </w:rPr>
        <w:br w:type="page"/>
      </w:r>
      <w:bookmarkStart w:id="14" w:name="_dxky0zv7tqqr"/>
      <w:bookmarkEnd w:id="14"/>
    </w:p>
    <w:p w14:paraId="5C167D69" w14:textId="4E768F31" w:rsidR="00961CCD" w:rsidRPr="001A24BC" w:rsidRDefault="00961CCD" w:rsidP="00FB3D42">
      <w:pPr>
        <w:pStyle w:val="Heading1"/>
        <w:spacing w:before="0" w:after="0"/>
      </w:pPr>
      <w:bookmarkStart w:id="15" w:name="_zdt4j9tkuuh0"/>
      <w:bookmarkStart w:id="16" w:name="_Toc224829088"/>
      <w:bookmarkEnd w:id="15"/>
      <w:r w:rsidRPr="001A24BC">
        <w:lastRenderedPageBreak/>
        <w:t>References</w:t>
      </w:r>
      <w:bookmarkEnd w:id="16"/>
    </w:p>
    <w:p w14:paraId="3D99EF02"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Ajayi, V.O., (2023). A review on primary sources of data and secondary sources of data. </w:t>
      </w:r>
      <w:r w:rsidRPr="00FE6CF0">
        <w:rPr>
          <w:rFonts w:ascii="Arial" w:hAnsi="Arial" w:cs="Arial"/>
          <w:i/>
          <w:iCs/>
          <w:sz w:val="22"/>
          <w:szCs w:val="22"/>
        </w:rPr>
        <w:t>Available at SSRN 5378785</w:t>
      </w:r>
      <w:r w:rsidRPr="00FE6CF0">
        <w:rPr>
          <w:rFonts w:ascii="Arial" w:hAnsi="Arial" w:cs="Arial"/>
          <w:sz w:val="22"/>
          <w:szCs w:val="22"/>
        </w:rPr>
        <w:t>.</w:t>
      </w:r>
    </w:p>
    <w:p w14:paraId="55730242" w14:textId="77777777" w:rsidR="00FE6CF0" w:rsidRPr="00FE6CF0" w:rsidRDefault="00FE6CF0" w:rsidP="00FE6CF0">
      <w:pPr>
        <w:rPr>
          <w:rFonts w:ascii="Arial" w:hAnsi="Arial" w:cs="Arial"/>
          <w:sz w:val="22"/>
          <w:szCs w:val="22"/>
        </w:rPr>
      </w:pPr>
      <w:r w:rsidRPr="00FE6CF0">
        <w:rPr>
          <w:rFonts w:ascii="Arial" w:hAnsi="Arial" w:cs="Arial"/>
          <w:sz w:val="22"/>
          <w:szCs w:val="22"/>
        </w:rPr>
        <w:t>Deakin, M., (2022). NHS workforce shortages and staff burnout are taking a toll. Bmj, 377.</w:t>
      </w:r>
    </w:p>
    <w:p w14:paraId="382A7259"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Ferry, A.V., Wereski, R., Strachan, F.E. and Mills, N.L., (2021). Predictors of UK healthcare worker burnout during the COVID-19 pandemic. </w:t>
      </w:r>
      <w:r w:rsidRPr="00FE6CF0">
        <w:rPr>
          <w:rFonts w:ascii="Arial" w:hAnsi="Arial" w:cs="Arial"/>
          <w:i/>
          <w:iCs/>
          <w:sz w:val="22"/>
          <w:szCs w:val="22"/>
        </w:rPr>
        <w:t>QJM: An International Journal of Medicine</w:t>
      </w:r>
      <w:r w:rsidRPr="00FE6CF0">
        <w:rPr>
          <w:rFonts w:ascii="Arial" w:hAnsi="Arial" w:cs="Arial"/>
          <w:sz w:val="22"/>
          <w:szCs w:val="22"/>
        </w:rPr>
        <w:t xml:space="preserve">, </w:t>
      </w:r>
      <w:r w:rsidRPr="00FE6CF0">
        <w:rPr>
          <w:rFonts w:ascii="Arial" w:hAnsi="Arial" w:cs="Arial"/>
          <w:i/>
          <w:iCs/>
          <w:sz w:val="22"/>
          <w:szCs w:val="22"/>
        </w:rPr>
        <w:t>114</w:t>
      </w:r>
      <w:r w:rsidRPr="00FE6CF0">
        <w:rPr>
          <w:rFonts w:ascii="Arial" w:hAnsi="Arial" w:cs="Arial"/>
          <w:sz w:val="22"/>
          <w:szCs w:val="22"/>
        </w:rPr>
        <w:t>(6), pp.374-380.\</w:t>
      </w:r>
    </w:p>
    <w:p w14:paraId="4F71880A"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House of Commons Health and Social Care Committee, (2021). </w:t>
      </w:r>
      <w:r w:rsidRPr="00FE6CF0">
        <w:rPr>
          <w:rFonts w:ascii="Arial" w:hAnsi="Arial" w:cs="Arial"/>
          <w:i/>
          <w:iCs/>
          <w:sz w:val="22"/>
          <w:szCs w:val="22"/>
        </w:rPr>
        <w:t>Workforce Burnout and Resilience in the NHS and Social Care Second Report of Session 2021-22 Report, Together with Formal Minutes Relating to the Report.</w:t>
      </w:r>
      <w:r w:rsidRPr="00FE6CF0">
        <w:rPr>
          <w:rFonts w:ascii="Arial" w:hAnsi="Arial" w:cs="Arial"/>
          <w:sz w:val="22"/>
          <w:szCs w:val="22"/>
        </w:rPr>
        <w:t xml:space="preserve"> [online] Hou Available at: </w:t>
      </w:r>
      <w:hyperlink r:id="rId8" w:history="1">
        <w:r w:rsidRPr="00FE6CF0">
          <w:rPr>
            <w:rStyle w:val="Hyperlink"/>
            <w:rFonts w:ascii="Arial" w:hAnsi="Arial" w:cs="Arial"/>
            <w:sz w:val="22"/>
            <w:szCs w:val="22"/>
          </w:rPr>
          <w:t>https://committees.parliament.uk/publications/6158/documents/68766/default/</w:t>
        </w:r>
      </w:hyperlink>
      <w:r w:rsidRPr="00FE6CF0">
        <w:rPr>
          <w:rFonts w:ascii="Arial" w:hAnsi="Arial" w:cs="Arial"/>
          <w:sz w:val="22"/>
          <w:szCs w:val="22"/>
          <w:u w:val="single"/>
        </w:rPr>
        <w:t xml:space="preserve">. </w:t>
      </w:r>
      <w:r w:rsidRPr="00FE6CF0">
        <w:rPr>
          <w:rFonts w:ascii="Arial" w:hAnsi="Arial" w:cs="Arial"/>
          <w:sz w:val="22"/>
          <w:szCs w:val="22"/>
        </w:rPr>
        <w:t>[Accessed 15 03 2026]</w:t>
      </w:r>
    </w:p>
    <w:p w14:paraId="517CBAF4"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Iacobucci, G, (2021). </w:t>
      </w:r>
      <w:r w:rsidRPr="00FE6CF0">
        <w:rPr>
          <w:rFonts w:ascii="Arial" w:hAnsi="Arial" w:cs="Arial"/>
          <w:i/>
          <w:iCs/>
          <w:sz w:val="22"/>
          <w:szCs w:val="22"/>
        </w:rPr>
        <w:t>Staff burnout: MPs demand ‘total overhaul’ of NHS workforce planning. BMJ, 373, p.n1461.</w:t>
      </w:r>
      <w:r w:rsidRPr="00FE6CF0">
        <w:rPr>
          <w:rFonts w:ascii="Arial" w:hAnsi="Arial" w:cs="Arial"/>
          <w:sz w:val="22"/>
          <w:szCs w:val="22"/>
        </w:rPr>
        <w:t xml:space="preserve"> Available at: </w:t>
      </w:r>
      <w:hyperlink r:id="rId9" w:history="1">
        <w:r w:rsidRPr="00FE6CF0">
          <w:rPr>
            <w:rStyle w:val="Hyperlink"/>
            <w:rFonts w:ascii="Arial" w:hAnsi="Arial" w:cs="Arial"/>
            <w:sz w:val="22"/>
            <w:szCs w:val="22"/>
          </w:rPr>
          <w:t>https://www.bmj.com/content/373/bmj.n1461</w:t>
        </w:r>
      </w:hyperlink>
      <w:r w:rsidRPr="00FE6CF0">
        <w:rPr>
          <w:rFonts w:ascii="Arial" w:hAnsi="Arial" w:cs="Arial"/>
          <w:sz w:val="22"/>
          <w:szCs w:val="22"/>
          <w:u w:val="single"/>
        </w:rPr>
        <w:t xml:space="preserve"> </w:t>
      </w:r>
      <w:r w:rsidRPr="00FE6CF0">
        <w:rPr>
          <w:rFonts w:ascii="Arial" w:hAnsi="Arial" w:cs="Arial"/>
          <w:sz w:val="22"/>
          <w:szCs w:val="22"/>
        </w:rPr>
        <w:t>[Accessed 15 03 2026]</w:t>
      </w:r>
    </w:p>
    <w:p w14:paraId="391CFBE2"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Matović, N. and Ovesni, K., (2023). Interaction of quantitative and qualitative methodology in mixed methods research: integration and/or combination. </w:t>
      </w:r>
      <w:r w:rsidRPr="00FE6CF0">
        <w:rPr>
          <w:rFonts w:ascii="Arial" w:hAnsi="Arial" w:cs="Arial"/>
          <w:i/>
          <w:iCs/>
          <w:sz w:val="22"/>
          <w:szCs w:val="22"/>
        </w:rPr>
        <w:t>International Journal of Social Research Methodology</w:t>
      </w:r>
      <w:r w:rsidRPr="00FE6CF0">
        <w:rPr>
          <w:rFonts w:ascii="Arial" w:hAnsi="Arial" w:cs="Arial"/>
          <w:sz w:val="22"/>
          <w:szCs w:val="22"/>
        </w:rPr>
        <w:t xml:space="preserve">, </w:t>
      </w:r>
      <w:r w:rsidRPr="00FE6CF0">
        <w:rPr>
          <w:rFonts w:ascii="Arial" w:hAnsi="Arial" w:cs="Arial"/>
          <w:i/>
          <w:iCs/>
          <w:sz w:val="22"/>
          <w:szCs w:val="22"/>
        </w:rPr>
        <w:t>26</w:t>
      </w:r>
      <w:r w:rsidRPr="00FE6CF0">
        <w:rPr>
          <w:rFonts w:ascii="Arial" w:hAnsi="Arial" w:cs="Arial"/>
          <w:sz w:val="22"/>
          <w:szCs w:val="22"/>
        </w:rPr>
        <w:t>(1), pp.51-65.</w:t>
      </w:r>
    </w:p>
    <w:p w14:paraId="27F7CD64"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McKenzie, R., (2023). </w:t>
      </w:r>
      <w:r w:rsidRPr="00FE6CF0">
        <w:rPr>
          <w:rFonts w:ascii="Arial" w:hAnsi="Arial" w:cs="Arial"/>
          <w:i/>
          <w:iCs/>
          <w:sz w:val="22"/>
          <w:szCs w:val="22"/>
        </w:rPr>
        <w:t xml:space="preserve">Sick and tired: how can we stop staff burnout in the NHS?. </w:t>
      </w:r>
      <w:r w:rsidRPr="00FE6CF0">
        <w:rPr>
          <w:rFonts w:ascii="Arial" w:hAnsi="Arial" w:cs="Arial"/>
          <w:sz w:val="22"/>
          <w:szCs w:val="22"/>
        </w:rPr>
        <w:t>[Online] Available at:</w:t>
      </w:r>
      <w:hyperlink r:id="rId10" w:anchor=":~:text=In%20June%202023%20(the%20latest,issues%20before%20they%20become%20overwhelming" w:history="1">
        <w:r w:rsidRPr="00FE6CF0">
          <w:rPr>
            <w:rStyle w:val="Hyperlink"/>
            <w:rFonts w:ascii="Arial" w:hAnsi="Arial" w:cs="Arial"/>
            <w:sz w:val="22"/>
            <w:szCs w:val="22"/>
          </w:rPr>
          <w:t xml:space="preserve"> </w:t>
        </w:r>
      </w:hyperlink>
      <w:hyperlink r:id="rId11" w:anchor=":~:text=In%20June%202023%20(the%20latest,issues%20before%20they%20become%20overwhelming" w:history="1">
        <w:r w:rsidRPr="00FE6CF0">
          <w:rPr>
            <w:rStyle w:val="Hyperlink"/>
            <w:rFonts w:ascii="Arial" w:hAnsi="Arial" w:cs="Arial"/>
            <w:sz w:val="22"/>
            <w:szCs w:val="22"/>
          </w:rPr>
          <w:t>https://www.miphealth.org.uk/news/sick-and-tired-staff-burnout-nhs/#:~:text=In%20June%202023%20(the%20latest,issues%20before%20they%20become%20overwhelming</w:t>
        </w:r>
      </w:hyperlink>
      <w:r w:rsidRPr="00FE6CF0">
        <w:rPr>
          <w:rFonts w:ascii="Arial" w:hAnsi="Arial" w:cs="Arial"/>
          <w:sz w:val="22"/>
          <w:szCs w:val="22"/>
          <w:u w:val="single"/>
        </w:rPr>
        <w:t>.</w:t>
      </w:r>
      <w:r w:rsidRPr="00FE6CF0">
        <w:rPr>
          <w:rFonts w:ascii="Arial" w:hAnsi="Arial" w:cs="Arial"/>
          <w:sz w:val="22"/>
          <w:szCs w:val="22"/>
        </w:rPr>
        <w:t xml:space="preserve"> [Accessed 14 03 2026].</w:t>
      </w:r>
    </w:p>
    <w:p w14:paraId="688F4952"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Pregoner, J.D., (2024). Research approaches in education: A comparison of quantitative, qualitative and mixed methods. </w:t>
      </w:r>
      <w:r w:rsidRPr="00FE6CF0">
        <w:rPr>
          <w:rFonts w:ascii="Arial" w:hAnsi="Arial" w:cs="Arial"/>
          <w:i/>
          <w:iCs/>
          <w:sz w:val="22"/>
          <w:szCs w:val="22"/>
        </w:rPr>
        <w:t>IMCC Journal of Science</w:t>
      </w:r>
      <w:r w:rsidRPr="00FE6CF0">
        <w:rPr>
          <w:rFonts w:ascii="Arial" w:hAnsi="Arial" w:cs="Arial"/>
          <w:sz w:val="22"/>
          <w:szCs w:val="22"/>
        </w:rPr>
        <w:t>.</w:t>
      </w:r>
    </w:p>
    <w:p w14:paraId="5BFCC061" w14:textId="77777777" w:rsidR="00FE6CF0" w:rsidRPr="00FE6CF0" w:rsidRDefault="00FE6CF0" w:rsidP="00FE6CF0">
      <w:pPr>
        <w:rPr>
          <w:rFonts w:ascii="Arial" w:hAnsi="Arial" w:cs="Arial"/>
          <w:sz w:val="22"/>
          <w:szCs w:val="22"/>
        </w:rPr>
      </w:pPr>
      <w:r w:rsidRPr="00FE6CF0">
        <w:rPr>
          <w:rFonts w:ascii="Arial" w:hAnsi="Arial" w:cs="Arial"/>
          <w:sz w:val="22"/>
          <w:szCs w:val="22"/>
        </w:rPr>
        <w:lastRenderedPageBreak/>
        <w:t xml:space="preserve">Schoonenboom, J., (2023). The fundamental difference between qualitative and quantitative data in mixed methods research. In </w:t>
      </w:r>
      <w:r w:rsidRPr="00FE6CF0">
        <w:rPr>
          <w:rFonts w:ascii="Arial" w:hAnsi="Arial" w:cs="Arial"/>
          <w:i/>
          <w:iCs/>
          <w:sz w:val="22"/>
          <w:szCs w:val="22"/>
        </w:rPr>
        <w:t>Forum Qualitative Sozialforschung/Forum: Qualitative Social Research</w:t>
      </w:r>
      <w:r w:rsidRPr="00FE6CF0">
        <w:rPr>
          <w:rFonts w:ascii="Arial" w:hAnsi="Arial" w:cs="Arial"/>
          <w:sz w:val="22"/>
          <w:szCs w:val="22"/>
        </w:rPr>
        <w:t xml:space="preserve"> (Vol. 24, No. 1). DEU.</w:t>
      </w:r>
    </w:p>
    <w:p w14:paraId="0A6D312B" w14:textId="77777777" w:rsidR="00FE6CF0" w:rsidRPr="00FE6CF0" w:rsidRDefault="00FE6CF0" w:rsidP="00FE6CF0">
      <w:pPr>
        <w:rPr>
          <w:rFonts w:ascii="Arial" w:hAnsi="Arial" w:cs="Arial"/>
          <w:sz w:val="22"/>
          <w:szCs w:val="22"/>
        </w:rPr>
      </w:pPr>
      <w:r w:rsidRPr="00FE6CF0">
        <w:rPr>
          <w:rFonts w:ascii="Arial" w:hAnsi="Arial" w:cs="Arial"/>
          <w:sz w:val="22"/>
          <w:szCs w:val="22"/>
        </w:rPr>
        <w:t xml:space="preserve">who.int, (2024). </w:t>
      </w:r>
      <w:r w:rsidRPr="00FE6CF0">
        <w:rPr>
          <w:rFonts w:ascii="Arial" w:hAnsi="Arial" w:cs="Arial"/>
          <w:i/>
          <w:iCs/>
          <w:sz w:val="22"/>
          <w:szCs w:val="22"/>
        </w:rPr>
        <w:t xml:space="preserve">Protecting health and care workers’ mental health and well-being: Technical Consultation Meeting. </w:t>
      </w:r>
      <w:r w:rsidRPr="00FE6CF0">
        <w:rPr>
          <w:rFonts w:ascii="Arial" w:hAnsi="Arial" w:cs="Arial"/>
          <w:sz w:val="22"/>
          <w:szCs w:val="22"/>
        </w:rPr>
        <w:t>[Online] Available at:</w:t>
      </w:r>
      <w:hyperlink r:id="rId12" w:history="1">
        <w:r w:rsidRPr="00FE6CF0">
          <w:rPr>
            <w:rStyle w:val="Hyperlink"/>
            <w:rFonts w:ascii="Arial" w:hAnsi="Arial" w:cs="Arial"/>
            <w:sz w:val="22"/>
            <w:szCs w:val="22"/>
          </w:rPr>
          <w:t xml:space="preserve"> </w:t>
        </w:r>
      </w:hyperlink>
      <w:hyperlink r:id="rId13" w:history="1">
        <w:r w:rsidRPr="00FE6CF0">
          <w:rPr>
            <w:rStyle w:val="Hyperlink"/>
            <w:rFonts w:ascii="Arial" w:hAnsi="Arial" w:cs="Arial"/>
            <w:sz w:val="22"/>
            <w:szCs w:val="22"/>
          </w:rPr>
          <w:t>https://www.who.int/news/item/25-04-2024-202404_protecthw_mentalhealth</w:t>
        </w:r>
      </w:hyperlink>
      <w:r w:rsidRPr="00FE6CF0">
        <w:rPr>
          <w:rFonts w:ascii="Arial" w:hAnsi="Arial" w:cs="Arial"/>
          <w:sz w:val="22"/>
          <w:szCs w:val="22"/>
        </w:rPr>
        <w:t xml:space="preserve"> [Accessed 14 03 2026].</w:t>
      </w:r>
    </w:p>
    <w:sectPr w:rsidR="00FE6CF0" w:rsidRPr="00FE6CF0" w:rsidSect="00961CCD">
      <w:headerReference w:type="default" r:id="rId14"/>
      <w:footerReference w:type="defaul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02C63" w14:textId="77777777" w:rsidR="00C23906" w:rsidRPr="001A24BC" w:rsidRDefault="00C23906" w:rsidP="00961CCD">
      <w:pPr>
        <w:spacing w:line="240" w:lineRule="auto"/>
      </w:pPr>
      <w:r w:rsidRPr="001A24BC">
        <w:separator/>
      </w:r>
    </w:p>
  </w:endnote>
  <w:endnote w:type="continuationSeparator" w:id="0">
    <w:p w14:paraId="1529D8E1" w14:textId="77777777" w:rsidR="00C23906" w:rsidRPr="001A24BC" w:rsidRDefault="00C23906" w:rsidP="00961CCD">
      <w:pPr>
        <w:spacing w:line="240" w:lineRule="auto"/>
      </w:pPr>
      <w:r w:rsidRPr="001A24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40561FD-040A-4519-A3D2-DD710FCCA2C3}"/>
  </w:font>
  <w:font w:name="Cambria">
    <w:panose1 w:val="02040503050406030204"/>
    <w:charset w:val="00"/>
    <w:family w:val="roman"/>
    <w:pitch w:val="variable"/>
    <w:sig w:usb0="E00006FF" w:usb1="420024FF" w:usb2="02000000" w:usb3="00000000" w:csb0="0000019F" w:csb1="00000000"/>
    <w:embedRegular r:id="rId2" w:fontKey="{FC2AE040-45D4-4543-95A8-81E36B744F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950935962"/>
      <w:docPartObj>
        <w:docPartGallery w:val="Page Numbers (Bottom of Page)"/>
        <w:docPartUnique/>
      </w:docPartObj>
    </w:sdtPr>
    <w:sdtContent>
      <w:sdt>
        <w:sdtPr>
          <w:rPr>
            <w:rFonts w:ascii="Arial" w:hAnsi="Arial" w:cs="Arial"/>
            <w:sz w:val="22"/>
            <w:szCs w:val="22"/>
          </w:rPr>
          <w:id w:val="-1769616900"/>
          <w:docPartObj>
            <w:docPartGallery w:val="Page Numbers (Top of Page)"/>
            <w:docPartUnique/>
          </w:docPartObj>
        </w:sdtPr>
        <w:sdtContent>
          <w:p w14:paraId="1D9906ED" w14:textId="70FEE448" w:rsidR="00961CCD" w:rsidRPr="001A24BC" w:rsidRDefault="00961CCD" w:rsidP="00B53B1A">
            <w:pPr>
              <w:pStyle w:val="Footer"/>
              <w:jc w:val="right"/>
              <w:rPr>
                <w:rFonts w:ascii="Arial" w:hAnsi="Arial" w:cs="Arial"/>
                <w:sz w:val="22"/>
                <w:szCs w:val="22"/>
              </w:rPr>
            </w:pPr>
            <w:r w:rsidRPr="001A24BC">
              <w:rPr>
                <w:rFonts w:ascii="Arial" w:hAnsi="Arial" w:cs="Arial"/>
                <w:sz w:val="22"/>
                <w:szCs w:val="22"/>
              </w:rPr>
              <w:t xml:space="preserve">Page </w:t>
            </w:r>
            <w:r w:rsidRPr="001A24BC">
              <w:rPr>
                <w:rFonts w:ascii="Arial" w:hAnsi="Arial" w:cs="Arial"/>
                <w:b/>
                <w:bCs/>
                <w:sz w:val="22"/>
                <w:szCs w:val="22"/>
              </w:rPr>
              <w:fldChar w:fldCharType="begin"/>
            </w:r>
            <w:r w:rsidRPr="001A24BC">
              <w:rPr>
                <w:rFonts w:ascii="Arial" w:hAnsi="Arial" w:cs="Arial"/>
                <w:b/>
                <w:bCs/>
                <w:sz w:val="22"/>
                <w:szCs w:val="22"/>
              </w:rPr>
              <w:instrText xml:space="preserve"> PAGE </w:instrText>
            </w:r>
            <w:r w:rsidRPr="001A24BC">
              <w:rPr>
                <w:rFonts w:ascii="Arial" w:hAnsi="Arial" w:cs="Arial"/>
                <w:b/>
                <w:bCs/>
                <w:sz w:val="22"/>
                <w:szCs w:val="22"/>
              </w:rPr>
              <w:fldChar w:fldCharType="separate"/>
            </w:r>
            <w:r w:rsidRPr="001A24BC">
              <w:rPr>
                <w:rFonts w:ascii="Arial" w:hAnsi="Arial" w:cs="Arial"/>
                <w:b/>
                <w:bCs/>
                <w:sz w:val="22"/>
                <w:szCs w:val="22"/>
              </w:rPr>
              <w:t>2</w:t>
            </w:r>
            <w:r w:rsidRPr="001A24BC">
              <w:rPr>
                <w:rFonts w:ascii="Arial" w:hAnsi="Arial" w:cs="Arial"/>
                <w:b/>
                <w:bCs/>
                <w:sz w:val="22"/>
                <w:szCs w:val="22"/>
              </w:rPr>
              <w:fldChar w:fldCharType="end"/>
            </w:r>
            <w:r w:rsidRPr="001A24BC">
              <w:rPr>
                <w:rFonts w:ascii="Arial" w:hAnsi="Arial" w:cs="Arial"/>
                <w:sz w:val="22"/>
                <w:szCs w:val="22"/>
              </w:rPr>
              <w:t xml:space="preserve"> of </w:t>
            </w:r>
            <w:r w:rsidRPr="001A24BC">
              <w:rPr>
                <w:rFonts w:ascii="Arial" w:hAnsi="Arial" w:cs="Arial"/>
                <w:b/>
                <w:bCs/>
                <w:sz w:val="22"/>
                <w:szCs w:val="22"/>
              </w:rPr>
              <w:fldChar w:fldCharType="begin"/>
            </w:r>
            <w:r w:rsidRPr="001A24BC">
              <w:rPr>
                <w:rFonts w:ascii="Arial" w:hAnsi="Arial" w:cs="Arial"/>
                <w:b/>
                <w:bCs/>
                <w:sz w:val="22"/>
                <w:szCs w:val="22"/>
              </w:rPr>
              <w:instrText xml:space="preserve"> NUMPAGES  </w:instrText>
            </w:r>
            <w:r w:rsidRPr="001A24BC">
              <w:rPr>
                <w:rFonts w:ascii="Arial" w:hAnsi="Arial" w:cs="Arial"/>
                <w:b/>
                <w:bCs/>
                <w:sz w:val="22"/>
                <w:szCs w:val="22"/>
              </w:rPr>
              <w:fldChar w:fldCharType="separate"/>
            </w:r>
            <w:r w:rsidRPr="001A24BC">
              <w:rPr>
                <w:rFonts w:ascii="Arial" w:hAnsi="Arial" w:cs="Arial"/>
                <w:b/>
                <w:bCs/>
                <w:sz w:val="22"/>
                <w:szCs w:val="22"/>
              </w:rPr>
              <w:t>2</w:t>
            </w:r>
            <w:r w:rsidRPr="001A24BC">
              <w:rPr>
                <w:rFonts w:ascii="Arial" w:hAnsi="Arial" w:cs="Arial"/>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073C6" w14:textId="77777777" w:rsidR="00C23906" w:rsidRPr="001A24BC" w:rsidRDefault="00C23906" w:rsidP="00961CCD">
      <w:pPr>
        <w:spacing w:line="240" w:lineRule="auto"/>
      </w:pPr>
      <w:r w:rsidRPr="001A24BC">
        <w:separator/>
      </w:r>
    </w:p>
  </w:footnote>
  <w:footnote w:type="continuationSeparator" w:id="0">
    <w:p w14:paraId="3EAD8355" w14:textId="77777777" w:rsidR="00C23906" w:rsidRPr="001A24BC" w:rsidRDefault="00C23906" w:rsidP="00961CCD">
      <w:pPr>
        <w:spacing w:line="240" w:lineRule="auto"/>
      </w:pPr>
      <w:r w:rsidRPr="001A24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C31C5" w14:textId="5869C6BA" w:rsidR="00961CCD" w:rsidRPr="001A24BC" w:rsidRDefault="00961CCD" w:rsidP="00961CCD">
    <w:pPr>
      <w:jc w:val="right"/>
      <w:rPr>
        <w:rFonts w:ascii="Arial" w:hAnsi="Arial" w:cs="Arial"/>
        <w:sz w:val="22"/>
        <w:szCs w:val="22"/>
      </w:rPr>
    </w:pPr>
    <w:r w:rsidRPr="001A24BC">
      <w:rPr>
        <w:rFonts w:ascii="Arial" w:hAnsi="Arial" w:cs="Arial"/>
        <w:sz w:val="22"/>
        <w:szCs w:val="22"/>
      </w:rPr>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D3728"/>
    <w:multiLevelType w:val="hybridMultilevel"/>
    <w:tmpl w:val="81B0D3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36413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DFF"/>
    <w:rsid w:val="00160C5A"/>
    <w:rsid w:val="00184712"/>
    <w:rsid w:val="001A24BC"/>
    <w:rsid w:val="002E0EED"/>
    <w:rsid w:val="00353DB1"/>
    <w:rsid w:val="003C3F3C"/>
    <w:rsid w:val="0040570B"/>
    <w:rsid w:val="00406164"/>
    <w:rsid w:val="00417F71"/>
    <w:rsid w:val="004E55A0"/>
    <w:rsid w:val="006466BF"/>
    <w:rsid w:val="006C76E0"/>
    <w:rsid w:val="0072428F"/>
    <w:rsid w:val="007A3F16"/>
    <w:rsid w:val="00902352"/>
    <w:rsid w:val="00961CCD"/>
    <w:rsid w:val="009B2DFF"/>
    <w:rsid w:val="00AB0C82"/>
    <w:rsid w:val="00AF384B"/>
    <w:rsid w:val="00B32E33"/>
    <w:rsid w:val="00B34342"/>
    <w:rsid w:val="00B36ED7"/>
    <w:rsid w:val="00B53B1A"/>
    <w:rsid w:val="00C23906"/>
    <w:rsid w:val="00C42127"/>
    <w:rsid w:val="00D556D5"/>
    <w:rsid w:val="00E728A9"/>
    <w:rsid w:val="00EF23E6"/>
    <w:rsid w:val="00FB3D42"/>
    <w:rsid w:val="00FE2B7F"/>
    <w:rsid w:val="00FE6C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9757B"/>
  <w15:docId w15:val="{7187F40B-7BAA-4DAC-B7DB-5B293871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961CCD"/>
    <w:pPr>
      <w:keepNext/>
      <w:keepLines/>
      <w:shd w:val="clear" w:color="auto" w:fill="FFFFFF"/>
      <w:spacing w:before="400" w:after="120"/>
      <w:outlineLvl w:val="0"/>
    </w:pPr>
    <w:rPr>
      <w:rFonts w:ascii="Arial" w:hAnsi="Arial"/>
      <w:b/>
      <w:bCs/>
      <w:sz w:val="28"/>
      <w:szCs w:val="28"/>
    </w:rPr>
  </w:style>
  <w:style w:type="paragraph" w:styleId="Heading2">
    <w:name w:val="heading 2"/>
    <w:basedOn w:val="Normal"/>
    <w:next w:val="Normal"/>
    <w:uiPriority w:val="9"/>
    <w:unhideWhenUsed/>
    <w:qFormat/>
    <w:rsid w:val="00961CCD"/>
    <w:pPr>
      <w:keepNext/>
      <w:keepLines/>
      <w:spacing w:before="360" w:after="120"/>
      <w:outlineLvl w:val="1"/>
    </w:pPr>
    <w:rPr>
      <w:rFonts w:ascii="Arial" w:hAnsi="Arial"/>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61CCD"/>
    <w:rPr>
      <w:color w:val="0000FF" w:themeColor="hyperlink"/>
      <w:u w:val="single"/>
    </w:rPr>
  </w:style>
  <w:style w:type="character" w:styleId="UnresolvedMention">
    <w:name w:val="Unresolved Mention"/>
    <w:basedOn w:val="DefaultParagraphFont"/>
    <w:uiPriority w:val="99"/>
    <w:semiHidden/>
    <w:unhideWhenUsed/>
    <w:rsid w:val="00961CCD"/>
    <w:rPr>
      <w:color w:val="605E5C"/>
      <w:shd w:val="clear" w:color="auto" w:fill="E1DFDD"/>
    </w:rPr>
  </w:style>
  <w:style w:type="paragraph" w:styleId="Header">
    <w:name w:val="header"/>
    <w:basedOn w:val="Normal"/>
    <w:link w:val="HeaderChar"/>
    <w:uiPriority w:val="99"/>
    <w:unhideWhenUsed/>
    <w:rsid w:val="00961CCD"/>
    <w:pPr>
      <w:tabs>
        <w:tab w:val="center" w:pos="4513"/>
        <w:tab w:val="right" w:pos="9026"/>
      </w:tabs>
      <w:spacing w:line="240" w:lineRule="auto"/>
    </w:pPr>
  </w:style>
  <w:style w:type="character" w:customStyle="1" w:styleId="HeaderChar">
    <w:name w:val="Header Char"/>
    <w:basedOn w:val="DefaultParagraphFont"/>
    <w:link w:val="Header"/>
    <w:uiPriority w:val="99"/>
    <w:rsid w:val="00961CCD"/>
  </w:style>
  <w:style w:type="paragraph" w:styleId="Footer">
    <w:name w:val="footer"/>
    <w:basedOn w:val="Normal"/>
    <w:link w:val="FooterChar"/>
    <w:uiPriority w:val="99"/>
    <w:unhideWhenUsed/>
    <w:rsid w:val="00961CCD"/>
    <w:pPr>
      <w:tabs>
        <w:tab w:val="center" w:pos="4513"/>
        <w:tab w:val="right" w:pos="9026"/>
      </w:tabs>
      <w:spacing w:line="240" w:lineRule="auto"/>
    </w:pPr>
  </w:style>
  <w:style w:type="character" w:customStyle="1" w:styleId="FooterChar">
    <w:name w:val="Footer Char"/>
    <w:basedOn w:val="DefaultParagraphFont"/>
    <w:link w:val="Footer"/>
    <w:uiPriority w:val="99"/>
    <w:rsid w:val="00961CCD"/>
  </w:style>
  <w:style w:type="paragraph" w:styleId="TOCHeading">
    <w:name w:val="TOC Heading"/>
    <w:basedOn w:val="Heading1"/>
    <w:next w:val="Normal"/>
    <w:uiPriority w:val="39"/>
    <w:unhideWhenUsed/>
    <w:qFormat/>
    <w:rsid w:val="00961CCD"/>
    <w:pPr>
      <w:shd w:val="clear" w:color="auto" w:fill="auto"/>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61CCD"/>
    <w:pPr>
      <w:spacing w:after="100"/>
    </w:pPr>
  </w:style>
  <w:style w:type="paragraph" w:styleId="ListParagraph">
    <w:name w:val="List Paragraph"/>
    <w:basedOn w:val="Normal"/>
    <w:uiPriority w:val="34"/>
    <w:qFormat/>
    <w:rsid w:val="00FE6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ommittees.parliament.uk/publications/6158/documents/68766/default/" TargetMode="External"/><Relationship Id="rId13" Type="http://schemas.openxmlformats.org/officeDocument/2006/relationships/hyperlink" Target="https://www.who.int/news/item/25-04-2024-202404_protecthw_mentalheal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item/25-04-2024-202404_protecthw_mentalhealt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phealth.org.uk/news/sick-and-tired-staff-burnout-nh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iphealth.org.uk/news/sick-and-tired-staff-burnout-nhs/" TargetMode="External"/><Relationship Id="rId4" Type="http://schemas.openxmlformats.org/officeDocument/2006/relationships/settings" Target="settings.xml"/><Relationship Id="rId9" Type="http://schemas.openxmlformats.org/officeDocument/2006/relationships/hyperlink" Target="https://www.bmj.com/content/373/bmj.n1461"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B6497F-317F-4E87-9D88-E44E74216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15</Pages>
  <Words>2225</Words>
  <Characters>12685</Characters>
  <Application>Microsoft Office Word</Application>
  <DocSecurity>0</DocSecurity>
  <Lines>105</Lines>
  <Paragraphs>29</Paragraphs>
  <ScaleCrop>false</ScaleCrop>
  <Company/>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Nicolaescu (2512067)</cp:lastModifiedBy>
  <cp:revision>2</cp:revision>
  <dcterms:created xsi:type="dcterms:W3CDTF">2026-03-14T05:33:00Z</dcterms:created>
  <dcterms:modified xsi:type="dcterms:W3CDTF">2026-03-21T15:19:00Z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49690dbb-dfd8-46c7-ac26-74ffd131299f</vt:lpwstr>
  </property>
</Properties>
</file>