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9659504"/>
        <w:docPartObj>
          <w:docPartGallery w:val="Cover Pages"/>
          <w:docPartUnique/>
        </w:docPartObj>
      </w:sdtPr>
      <w:sdtEndPr/>
      <w:sdtContent>
        <w:p w:rsidR="00204B54" w:rsidRDefault="00204B54">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b/>
                                    <w:caps/>
                                    <w:color w:val="FFFFFF" w:themeColor="background1"/>
                                    <w:sz w:val="96"/>
                                    <w:szCs w:val="96"/>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204B54" w:rsidRDefault="00204B54">
                                    <w:pPr>
                                      <w:pStyle w:val="Title"/>
                                      <w:jc w:val="right"/>
                                      <w:rPr>
                                        <w:caps/>
                                        <w:color w:val="FFFFFF" w:themeColor="background1"/>
                                        <w:sz w:val="80"/>
                                        <w:szCs w:val="80"/>
                                      </w:rPr>
                                    </w:pPr>
                                    <w:r w:rsidRPr="00204B54">
                                      <w:rPr>
                                        <w:b/>
                                        <w:caps/>
                                        <w:color w:val="FFFFFF" w:themeColor="background1"/>
                                        <w:sz w:val="96"/>
                                        <w:szCs w:val="96"/>
                                      </w:rPr>
                                      <w:t>Theories of Bereavement</w:t>
                                    </w:r>
                                  </w:p>
                                </w:sdtContent>
                              </w:sdt>
                              <w:p w:rsidR="00204B54" w:rsidRDefault="00204B54">
                                <w:pPr>
                                  <w:spacing w:before="240"/>
                                  <w:ind w:left="720"/>
                                  <w:jc w:val="right"/>
                                  <w:rPr>
                                    <w:color w:val="FFFFFF" w:themeColor="background1"/>
                                  </w:rPr>
                                </w:pPr>
                              </w:p>
                              <w:sdt>
                                <w:sdtPr>
                                  <w:rPr>
                                    <w:color w:val="FFFFFF" w:themeColor="background1"/>
                                    <w:sz w:val="28"/>
                                    <w:szCs w:val="28"/>
                                  </w:rPr>
                                  <w:alias w:val="Abstract"/>
                                  <w:id w:val="-1812170092"/>
                                  <w:dataBinding w:prefixMappings="xmlns:ns0='http://schemas.microsoft.com/office/2006/coverPageProps'" w:xpath="/ns0:CoverPageProperties[1]/ns0:Abstract[1]" w:storeItemID="{55AF091B-3C7A-41E3-B477-F2FDAA23CFDA}"/>
                                  <w:text/>
                                </w:sdtPr>
                                <w:sdtEndPr/>
                                <w:sdtContent>
                                  <w:p w:rsidR="00204B54" w:rsidRPr="00204B54" w:rsidRDefault="00204B54">
                                    <w:pPr>
                                      <w:spacing w:before="240"/>
                                      <w:ind w:left="1008"/>
                                      <w:jc w:val="right"/>
                                      <w:rPr>
                                        <w:color w:val="FFFFFF" w:themeColor="background1"/>
                                        <w:sz w:val="28"/>
                                        <w:szCs w:val="28"/>
                                      </w:rPr>
                                    </w:pPr>
                                    <w:r w:rsidRPr="00204B54">
                                      <w:rPr>
                                        <w:color w:val="FFFFFF" w:themeColor="background1"/>
                                        <w:sz w:val="28"/>
                                        <w:szCs w:val="28"/>
                                      </w:rPr>
                                      <w:t xml:space="preserve">A briefing report to </w:t>
                                    </w:r>
                                    <w:r w:rsidR="00635EF7">
                                      <w:rPr>
                                        <w:color w:val="FFFFFF" w:themeColor="background1"/>
                                        <w:sz w:val="28"/>
                                        <w:szCs w:val="28"/>
                                      </w:rPr>
                                      <w:t xml:space="preserve">highlight theories which provide </w:t>
                                    </w:r>
                                    <w:r w:rsidR="00B50738">
                                      <w:rPr>
                                        <w:color w:val="FFFFFF" w:themeColor="background1"/>
                                        <w:sz w:val="28"/>
                                        <w:szCs w:val="28"/>
                                      </w:rPr>
                                      <w:t>bereavement coping strategies</w:t>
                                    </w:r>
                                    <w:r w:rsidR="00635EF7">
                                      <w:rPr>
                                        <w:color w:val="FFFFFF" w:themeColor="background1"/>
                                        <w:sz w:val="28"/>
                                        <w:szCs w:val="28"/>
                                      </w:rPr>
                                      <w:t xml:space="preserve"> for</w:t>
                                    </w:r>
                                    <w:r w:rsidRPr="00204B54">
                                      <w:rPr>
                                        <w:color w:val="FFFFFF" w:themeColor="background1"/>
                                        <w:sz w:val="28"/>
                                        <w:szCs w:val="28"/>
                                      </w:rPr>
                                      <w:t xml:space="preserve"> older age</w:t>
                                    </w:r>
                                    <w:r w:rsidR="00635EF7">
                                      <w:rPr>
                                        <w:color w:val="FFFFFF" w:themeColor="background1"/>
                                        <w:sz w:val="28"/>
                                        <w:szCs w:val="28"/>
                                      </w:rPr>
                                      <w:t xml:space="preserve">d adults. </w:t>
                                    </w:r>
                                  </w:p>
                                </w:sdtContent>
                              </w:sdt>
                              <w:p w:rsidR="00635EF7" w:rsidRDefault="007378DF" w:rsidP="007378DF">
                                <w:pPr>
                                  <w:jc w:val="center"/>
                                </w:pPr>
                                <w:r>
                                  <w:rPr>
                                    <w:noProof/>
                                    <w:lang w:eastAsia="en-GB"/>
                                  </w:rPr>
                                  <w:drawing>
                                    <wp:inline distT="0" distB="0" distL="0" distR="0">
                                      <wp:extent cx="3530600" cy="19773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old married hands.jpg"/>
                                              <pic:cNvPicPr/>
                                            </pic:nvPicPr>
                                            <pic:blipFill>
                                              <a:blip r:embed="rId8">
                                                <a:extLst>
                                                  <a:ext uri="{28A0092B-C50C-407E-A947-70E740481C1C}">
                                                    <a14:useLocalDpi xmlns:a14="http://schemas.microsoft.com/office/drawing/2010/main" val="0"/>
                                                  </a:ext>
                                                </a:extLst>
                                              </a:blip>
                                              <a:stretch>
                                                <a:fillRect/>
                                              </a:stretch>
                                            </pic:blipFill>
                                            <pic:spPr>
                                              <a:xfrm>
                                                <a:off x="0" y="0"/>
                                                <a:ext cx="3537317" cy="1981152"/>
                                              </a:xfrm>
                                              <a:prstGeom prst="rect">
                                                <a:avLst/>
                                              </a:prstGeom>
                                            </pic:spPr>
                                          </pic:pic>
                                        </a:graphicData>
                                      </a:graphic>
                                    </wp:inline>
                                  </w:drawing>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5b9bd5 [3204]" stroked="f">
                    <v:path arrowok="t"/>
                    <v:textbox inset="21.6pt,1in,21.6pt">
                      <w:txbxContent>
                        <w:sdt>
                          <w:sdtPr>
                            <w:rPr>
                              <w:b/>
                              <w:caps/>
                              <w:color w:val="FFFFFF" w:themeColor="background1"/>
                              <w:sz w:val="96"/>
                              <w:szCs w:val="96"/>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204B54" w:rsidRDefault="00204B54">
                              <w:pPr>
                                <w:pStyle w:val="Title"/>
                                <w:jc w:val="right"/>
                                <w:rPr>
                                  <w:caps/>
                                  <w:color w:val="FFFFFF" w:themeColor="background1"/>
                                  <w:sz w:val="80"/>
                                  <w:szCs w:val="80"/>
                                </w:rPr>
                              </w:pPr>
                              <w:r w:rsidRPr="00204B54">
                                <w:rPr>
                                  <w:b/>
                                  <w:caps/>
                                  <w:color w:val="FFFFFF" w:themeColor="background1"/>
                                  <w:sz w:val="96"/>
                                  <w:szCs w:val="96"/>
                                </w:rPr>
                                <w:t>Theories of Bereavement</w:t>
                              </w:r>
                            </w:p>
                          </w:sdtContent>
                        </w:sdt>
                        <w:p w:rsidR="00204B54" w:rsidRDefault="00204B54">
                          <w:pPr>
                            <w:spacing w:before="240"/>
                            <w:ind w:left="720"/>
                            <w:jc w:val="right"/>
                            <w:rPr>
                              <w:color w:val="FFFFFF" w:themeColor="background1"/>
                            </w:rPr>
                          </w:pPr>
                        </w:p>
                        <w:sdt>
                          <w:sdtPr>
                            <w:rPr>
                              <w:color w:val="FFFFFF" w:themeColor="background1"/>
                              <w:sz w:val="28"/>
                              <w:szCs w:val="28"/>
                            </w:rPr>
                            <w:alias w:val="Abstract"/>
                            <w:id w:val="-1812170092"/>
                            <w:dataBinding w:prefixMappings="xmlns:ns0='http://schemas.microsoft.com/office/2006/coverPageProps'" w:xpath="/ns0:CoverPageProperties[1]/ns0:Abstract[1]" w:storeItemID="{55AF091B-3C7A-41E3-B477-F2FDAA23CFDA}"/>
                            <w:text/>
                          </w:sdtPr>
                          <w:sdtEndPr/>
                          <w:sdtContent>
                            <w:p w:rsidR="00204B54" w:rsidRPr="00204B54" w:rsidRDefault="00204B54">
                              <w:pPr>
                                <w:spacing w:before="240"/>
                                <w:ind w:left="1008"/>
                                <w:jc w:val="right"/>
                                <w:rPr>
                                  <w:color w:val="FFFFFF" w:themeColor="background1"/>
                                  <w:sz w:val="28"/>
                                  <w:szCs w:val="28"/>
                                </w:rPr>
                              </w:pPr>
                              <w:r w:rsidRPr="00204B54">
                                <w:rPr>
                                  <w:color w:val="FFFFFF" w:themeColor="background1"/>
                                  <w:sz w:val="28"/>
                                  <w:szCs w:val="28"/>
                                </w:rPr>
                                <w:t xml:space="preserve">A briefing report to </w:t>
                              </w:r>
                              <w:r w:rsidR="00635EF7">
                                <w:rPr>
                                  <w:color w:val="FFFFFF" w:themeColor="background1"/>
                                  <w:sz w:val="28"/>
                                  <w:szCs w:val="28"/>
                                </w:rPr>
                                <w:t xml:space="preserve">highlight theories which provide </w:t>
                              </w:r>
                              <w:r w:rsidR="00B50738">
                                <w:rPr>
                                  <w:color w:val="FFFFFF" w:themeColor="background1"/>
                                  <w:sz w:val="28"/>
                                  <w:szCs w:val="28"/>
                                </w:rPr>
                                <w:t>bereavement coping strategies</w:t>
                              </w:r>
                              <w:r w:rsidR="00635EF7">
                                <w:rPr>
                                  <w:color w:val="FFFFFF" w:themeColor="background1"/>
                                  <w:sz w:val="28"/>
                                  <w:szCs w:val="28"/>
                                </w:rPr>
                                <w:t xml:space="preserve"> for</w:t>
                              </w:r>
                              <w:r w:rsidRPr="00204B54">
                                <w:rPr>
                                  <w:color w:val="FFFFFF" w:themeColor="background1"/>
                                  <w:sz w:val="28"/>
                                  <w:szCs w:val="28"/>
                                </w:rPr>
                                <w:t xml:space="preserve"> older age</w:t>
                              </w:r>
                              <w:r w:rsidR="00635EF7">
                                <w:rPr>
                                  <w:color w:val="FFFFFF" w:themeColor="background1"/>
                                  <w:sz w:val="28"/>
                                  <w:szCs w:val="28"/>
                                </w:rPr>
                                <w:t xml:space="preserve">d adults. </w:t>
                              </w:r>
                            </w:p>
                          </w:sdtContent>
                        </w:sdt>
                        <w:p w:rsidR="00635EF7" w:rsidRDefault="007378DF" w:rsidP="007378DF">
                          <w:pPr>
                            <w:jc w:val="center"/>
                          </w:pPr>
                          <w:r>
                            <w:rPr>
                              <w:noProof/>
                              <w:lang w:eastAsia="en-GB"/>
                            </w:rPr>
                            <w:drawing>
                              <wp:inline distT="0" distB="0" distL="0" distR="0">
                                <wp:extent cx="3530600" cy="19773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old married hands.jpg"/>
                                        <pic:cNvPicPr/>
                                      </pic:nvPicPr>
                                      <pic:blipFill>
                                        <a:blip r:embed="rId8">
                                          <a:extLst>
                                            <a:ext uri="{28A0092B-C50C-407E-A947-70E740481C1C}">
                                              <a14:useLocalDpi xmlns:a14="http://schemas.microsoft.com/office/drawing/2010/main" val="0"/>
                                            </a:ext>
                                          </a:extLst>
                                        </a:blip>
                                        <a:stretch>
                                          <a:fillRect/>
                                        </a:stretch>
                                      </pic:blipFill>
                                      <pic:spPr>
                                        <a:xfrm>
                                          <a:off x="0" y="0"/>
                                          <a:ext cx="3537317" cy="1981152"/>
                                        </a:xfrm>
                                        <a:prstGeom prst="rect">
                                          <a:avLst/>
                                        </a:prstGeom>
                                      </pic:spPr>
                                    </pic:pic>
                                  </a:graphicData>
                                </a:graphic>
                              </wp:inline>
                            </w:drawing>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rsidR="00204B54" w:rsidRDefault="00635EF7">
                                    <w:pPr>
                                      <w:pStyle w:val="Subtitle"/>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rsidR="00204B54" w:rsidRDefault="00635EF7">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p>
        <w:p w:rsidR="00204B54" w:rsidRDefault="00204B54"/>
        <w:p w:rsidR="00204B54" w:rsidRDefault="00204B54">
          <w:r>
            <w:br w:type="page"/>
          </w:r>
        </w:p>
      </w:sdtContent>
    </w:sdt>
    <w:p w:rsidR="00204B54" w:rsidRPr="00B72045" w:rsidRDefault="00204B54" w:rsidP="00204B54">
      <w:pPr>
        <w:pStyle w:val="Heading1"/>
        <w:rPr>
          <w:color w:val="92D050"/>
          <w:sz w:val="44"/>
          <w:szCs w:val="44"/>
        </w:rPr>
      </w:pPr>
      <w:r w:rsidRPr="00B72045">
        <w:rPr>
          <w:color w:val="92D050"/>
          <w:sz w:val="44"/>
          <w:szCs w:val="44"/>
        </w:rPr>
        <w:lastRenderedPageBreak/>
        <w:t>Executive Summary</w:t>
      </w:r>
    </w:p>
    <w:p w:rsidR="00204B54" w:rsidRPr="00204B54" w:rsidRDefault="00204B54" w:rsidP="00204B54">
      <w:pPr>
        <w:rPr>
          <w:noProof/>
          <w:sz w:val="28"/>
          <w:szCs w:val="28"/>
        </w:rPr>
      </w:pPr>
      <w:r w:rsidRPr="00204B54">
        <w:rPr>
          <w:noProof/>
          <w:sz w:val="28"/>
          <w:szCs w:val="28"/>
        </w:rPr>
        <w:t>This report aims to inform individuals</w:t>
      </w:r>
      <w:r w:rsidR="00B15BB9">
        <w:rPr>
          <w:noProof/>
          <w:sz w:val="28"/>
          <w:szCs w:val="28"/>
        </w:rPr>
        <w:t xml:space="preserve"> of</w:t>
      </w:r>
      <w:r w:rsidRPr="00204B54">
        <w:rPr>
          <w:noProof/>
          <w:sz w:val="28"/>
          <w:szCs w:val="28"/>
        </w:rPr>
        <w:t xml:space="preserve"> the bereavement theories currentl</w:t>
      </w:r>
      <w:r w:rsidR="00325D8B">
        <w:rPr>
          <w:noProof/>
          <w:sz w:val="28"/>
          <w:szCs w:val="28"/>
        </w:rPr>
        <w:t>y used to aid bereavement for</w:t>
      </w:r>
      <w:r w:rsidRPr="00204B54">
        <w:rPr>
          <w:noProof/>
          <w:sz w:val="28"/>
          <w:szCs w:val="28"/>
        </w:rPr>
        <w:t xml:space="preserve"> older adults. The theories themselves are highlighted as well as the strengths and weaknesses of the theories. Utimately to come to a conclusion for the most suited theory to support older adults with bereavement.</w:t>
      </w:r>
    </w:p>
    <w:p w:rsidR="00204B54" w:rsidRDefault="00204B54"/>
    <w:p w:rsidR="00204B54" w:rsidRPr="00B72045" w:rsidRDefault="00204B54" w:rsidP="00204B54">
      <w:pPr>
        <w:pStyle w:val="Heading1"/>
        <w:rPr>
          <w:color w:val="FFC000" w:themeColor="accent4"/>
          <w:sz w:val="44"/>
          <w:szCs w:val="44"/>
        </w:rPr>
      </w:pPr>
      <w:r w:rsidRPr="00B72045">
        <w:rPr>
          <w:color w:val="FFC000" w:themeColor="accent4"/>
          <w:sz w:val="44"/>
          <w:szCs w:val="44"/>
        </w:rPr>
        <w:t>Introduction</w:t>
      </w:r>
    </w:p>
    <w:p w:rsidR="00204B54" w:rsidRDefault="00204B54" w:rsidP="00204B54">
      <w:pPr>
        <w:rPr>
          <w:noProof/>
          <w:sz w:val="28"/>
          <w:szCs w:val="28"/>
        </w:rPr>
      </w:pPr>
      <w:r w:rsidRPr="00D324CE">
        <w:rPr>
          <w:noProof/>
          <w:color w:val="FF33CC"/>
          <w:lang w:eastAsia="en-GB"/>
        </w:rPr>
        <w:drawing>
          <wp:anchor distT="0" distB="0" distL="114300" distR="114300" simplePos="0" relativeHeight="251661312" behindDoc="0" locked="0" layoutInCell="1" allowOverlap="1" wp14:anchorId="62330D9A" wp14:editId="5B9DACC7">
            <wp:simplePos x="0" y="0"/>
            <wp:positionH relativeFrom="margin">
              <wp:align>right</wp:align>
            </wp:positionH>
            <wp:positionV relativeFrom="paragraph">
              <wp:posOffset>7620</wp:posOffset>
            </wp:positionV>
            <wp:extent cx="1774825" cy="2800350"/>
            <wp:effectExtent l="0" t="0" r="15875" b="0"/>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anchor>
        </w:drawing>
      </w:r>
      <w:r w:rsidR="00B163B8">
        <w:rPr>
          <w:noProof/>
          <w:sz w:val="28"/>
          <w:szCs w:val="28"/>
        </w:rPr>
        <w:t xml:space="preserve">The </w:t>
      </w:r>
      <w:r w:rsidRPr="00204B54">
        <w:rPr>
          <w:noProof/>
          <w:sz w:val="28"/>
          <w:szCs w:val="28"/>
        </w:rPr>
        <w:t xml:space="preserve">loss </w:t>
      </w:r>
      <w:r w:rsidR="00B163B8">
        <w:rPr>
          <w:noProof/>
          <w:sz w:val="28"/>
          <w:szCs w:val="28"/>
        </w:rPr>
        <w:t xml:space="preserve">of a spouse is the most common </w:t>
      </w:r>
      <w:r w:rsidR="002F40B0">
        <w:rPr>
          <w:noProof/>
          <w:sz w:val="28"/>
          <w:szCs w:val="28"/>
        </w:rPr>
        <w:t xml:space="preserve">loss of a loved one for older adults </w:t>
      </w:r>
      <w:r w:rsidRPr="00204B54">
        <w:rPr>
          <w:noProof/>
          <w:sz w:val="28"/>
          <w:szCs w:val="28"/>
        </w:rPr>
        <w:t xml:space="preserve"> </w:t>
      </w:r>
      <w:r w:rsidR="009A33F3">
        <w:rPr>
          <w:noProof/>
          <w:sz w:val="28"/>
          <w:szCs w:val="28"/>
        </w:rPr>
        <w:t>(Carr,</w:t>
      </w:r>
      <w:r w:rsidR="00DF4D9E">
        <w:rPr>
          <w:noProof/>
          <w:sz w:val="28"/>
          <w:szCs w:val="28"/>
        </w:rPr>
        <w:t xml:space="preserve"> Nesse &amp; wortman, 2005</w:t>
      </w:r>
      <w:r w:rsidRPr="00204B54">
        <w:rPr>
          <w:noProof/>
          <w:sz w:val="28"/>
          <w:szCs w:val="28"/>
        </w:rPr>
        <w:t>). Although spousal bereavement is considered to be an normative biographical transition during old age, it is also considered</w:t>
      </w:r>
      <w:r w:rsidR="002F40B0">
        <w:rPr>
          <w:noProof/>
          <w:sz w:val="28"/>
          <w:szCs w:val="28"/>
        </w:rPr>
        <w:t xml:space="preserve"> to be one of the most stress enducing</w:t>
      </w:r>
      <w:r w:rsidRPr="00204B54">
        <w:rPr>
          <w:noProof/>
          <w:sz w:val="28"/>
          <w:szCs w:val="28"/>
        </w:rPr>
        <w:t xml:space="preserve"> life events (Clark &amp; Georgellis, 2013). By the age of 70, 15% of men and 45% of women are widowed (</w:t>
      </w:r>
      <w:r w:rsidRPr="00B738CB">
        <w:rPr>
          <w:noProof/>
          <w:sz w:val="28"/>
          <w:szCs w:val="28"/>
        </w:rPr>
        <w:t>Elliot &amp; Simmons, 2011</w:t>
      </w:r>
      <w:r w:rsidRPr="00204B54">
        <w:rPr>
          <w:noProof/>
          <w:sz w:val="28"/>
          <w:szCs w:val="28"/>
        </w:rPr>
        <w:t xml:space="preserve">). The death of a loved one can greatly affect, social, spiritual, cognitive, behavioural, emotional, physical and financial aspects of ones life (Breen &amp; O’Connor, 2007) which in turn could have a significant impact on well-being and daily life (Clark &amp; Georgellis, 2013).  </w:t>
      </w:r>
    </w:p>
    <w:p w:rsidR="00204B54" w:rsidRDefault="00204B54" w:rsidP="00204B54">
      <w:pPr>
        <w:rPr>
          <w:noProof/>
          <w:sz w:val="28"/>
          <w:szCs w:val="28"/>
        </w:rPr>
      </w:pPr>
    </w:p>
    <w:p w:rsidR="006D4952" w:rsidRPr="006D4952" w:rsidRDefault="00204B54" w:rsidP="006D4952">
      <w:pPr>
        <w:pStyle w:val="QuoteOpen"/>
        <w:jc w:val="center"/>
        <w:rPr>
          <w:sz w:val="44"/>
          <w:szCs w:val="44"/>
        </w:rPr>
      </w:pPr>
      <w:r w:rsidRPr="00CB1F66">
        <w:rPr>
          <w:rFonts w:ascii="Tw Cen MT" w:hAnsi="Tw Cen MT"/>
          <w:color w:val="A8D08D" w:themeColor="accent6" w:themeTint="99"/>
          <w:sz w:val="144"/>
          <w:szCs w:val="144"/>
        </w:rPr>
        <w:t>“</w:t>
      </w:r>
      <w:r w:rsidR="00CB1F66" w:rsidRPr="006D4952">
        <w:rPr>
          <w:sz w:val="40"/>
          <w:szCs w:val="40"/>
        </w:rPr>
        <w:t xml:space="preserve">Between 10-15% of the bereaved could experience prolonged and intense reactions to </w:t>
      </w:r>
      <w:r w:rsidR="00C17D1A" w:rsidRPr="006D4952">
        <w:rPr>
          <w:sz w:val="40"/>
          <w:szCs w:val="40"/>
        </w:rPr>
        <w:t>grief (Bonanno &amp; Mancini, 2008), also a higher risk of death themselves (Stroebe &amp; Schut, 2015).</w:t>
      </w:r>
    </w:p>
    <w:p w:rsidR="00204B54" w:rsidRDefault="00CB1F66" w:rsidP="00CB1F66">
      <w:pPr>
        <w:pStyle w:val="QuoteOpen"/>
        <w:jc w:val="center"/>
        <w:rPr>
          <w:rFonts w:ascii="Tw Cen MT" w:hAnsi="Tw Cen MT"/>
          <w:color w:val="EC44CC"/>
          <w:sz w:val="144"/>
          <w:szCs w:val="144"/>
        </w:rPr>
      </w:pPr>
      <w:r>
        <w:rPr>
          <w:sz w:val="44"/>
          <w:szCs w:val="44"/>
        </w:rPr>
        <w:t xml:space="preserve">                                                         </w:t>
      </w:r>
      <w:r w:rsidRPr="00CB1F66">
        <w:rPr>
          <w:rFonts w:ascii="Tw Cen MT" w:hAnsi="Tw Cen MT"/>
          <w:color w:val="EC44CC"/>
          <w:sz w:val="144"/>
          <w:szCs w:val="144"/>
        </w:rPr>
        <w:t>”</w:t>
      </w:r>
    </w:p>
    <w:p w:rsidR="00CB1F66" w:rsidRDefault="00CB1F66" w:rsidP="00CB1F66">
      <w:pPr>
        <w:rPr>
          <w:sz w:val="28"/>
          <w:szCs w:val="28"/>
          <w:lang w:val="en-US"/>
        </w:rPr>
      </w:pPr>
      <w:r w:rsidRPr="000C0A50">
        <w:rPr>
          <w:sz w:val="28"/>
          <w:szCs w:val="28"/>
          <w:lang w:val="en-US"/>
        </w:rPr>
        <w:t xml:space="preserve">Therefore, it is crucial to have an understanding of the daily difficulties a bereaved older adult may experience in order to identify coping strategies that </w:t>
      </w:r>
      <w:r w:rsidR="002F40B0">
        <w:rPr>
          <w:sz w:val="28"/>
          <w:szCs w:val="28"/>
          <w:lang w:val="en-US"/>
        </w:rPr>
        <w:lastRenderedPageBreak/>
        <w:t>minimize the effects of</w:t>
      </w:r>
      <w:r w:rsidRPr="000C0A50">
        <w:rPr>
          <w:sz w:val="28"/>
          <w:szCs w:val="28"/>
          <w:lang w:val="en-US"/>
        </w:rPr>
        <w:t xml:space="preserve"> negative phy</w:t>
      </w:r>
      <w:r w:rsidR="002F40B0">
        <w:rPr>
          <w:sz w:val="28"/>
          <w:szCs w:val="28"/>
          <w:lang w:val="en-US"/>
        </w:rPr>
        <w:t>sical health and psychosocial outcomes</w:t>
      </w:r>
      <w:r w:rsidR="000C0A50">
        <w:rPr>
          <w:sz w:val="28"/>
          <w:szCs w:val="28"/>
          <w:lang w:val="en-US"/>
        </w:rPr>
        <w:t xml:space="preserve"> as a result of a bereavement</w:t>
      </w:r>
      <w:r w:rsidRPr="000C0A50">
        <w:rPr>
          <w:sz w:val="28"/>
          <w:szCs w:val="28"/>
          <w:lang w:val="en-US"/>
        </w:rPr>
        <w:t xml:space="preserve"> (H</w:t>
      </w:r>
      <w:r w:rsidR="000C0A50">
        <w:rPr>
          <w:sz w:val="28"/>
          <w:szCs w:val="28"/>
          <w:lang w:val="en-US"/>
        </w:rPr>
        <w:t>a</w:t>
      </w:r>
      <w:r w:rsidRPr="000C0A50">
        <w:rPr>
          <w:sz w:val="28"/>
          <w:szCs w:val="28"/>
          <w:lang w:val="en-US"/>
        </w:rPr>
        <w:t>nsson &amp; Stroebe, 2007).</w:t>
      </w:r>
      <w:r w:rsidR="00B15BB9">
        <w:rPr>
          <w:sz w:val="28"/>
          <w:szCs w:val="28"/>
          <w:lang w:val="en-US"/>
        </w:rPr>
        <w:t xml:space="preserve"> The first theory looked at will be Kubler-Ross the five stages of grief (1969).</w:t>
      </w:r>
    </w:p>
    <w:p w:rsidR="00B15BB9" w:rsidRDefault="00B15BB9" w:rsidP="00CF6B80">
      <w:pPr>
        <w:pStyle w:val="Heading1"/>
        <w:rPr>
          <w:color w:val="EC44CC"/>
        </w:rPr>
      </w:pPr>
    </w:p>
    <w:p w:rsidR="00CF6B80" w:rsidRPr="00B72045" w:rsidRDefault="002500FB" w:rsidP="00CF6B80">
      <w:pPr>
        <w:pStyle w:val="Heading1"/>
        <w:rPr>
          <w:color w:val="EC44CC"/>
          <w:sz w:val="44"/>
          <w:szCs w:val="44"/>
        </w:rPr>
      </w:pPr>
      <w:r>
        <w:rPr>
          <w:color w:val="EC44CC"/>
          <w:sz w:val="44"/>
          <w:szCs w:val="44"/>
        </w:rPr>
        <w:t>The Five Stages of Grief</w:t>
      </w:r>
      <w:r w:rsidR="00B15BB9" w:rsidRPr="00B72045">
        <w:rPr>
          <w:color w:val="EC44CC"/>
          <w:sz w:val="44"/>
          <w:szCs w:val="44"/>
        </w:rPr>
        <w:t xml:space="preserve"> Kubler-Ross</w:t>
      </w:r>
      <w:r w:rsidR="00CF6B80" w:rsidRPr="00B72045">
        <w:rPr>
          <w:color w:val="EC44CC"/>
          <w:sz w:val="44"/>
          <w:szCs w:val="44"/>
        </w:rPr>
        <w:t xml:space="preserve"> </w:t>
      </w:r>
      <w:r w:rsidR="00B15BB9" w:rsidRPr="00B72045">
        <w:rPr>
          <w:color w:val="EC44CC"/>
          <w:sz w:val="44"/>
          <w:szCs w:val="44"/>
        </w:rPr>
        <w:t>(</w:t>
      </w:r>
      <w:r w:rsidR="00CF6B80" w:rsidRPr="00B72045">
        <w:rPr>
          <w:color w:val="EC44CC"/>
          <w:sz w:val="44"/>
          <w:szCs w:val="44"/>
        </w:rPr>
        <w:t>1969).</w:t>
      </w:r>
    </w:p>
    <w:p w:rsidR="00CF6B80" w:rsidRPr="00CF6B80" w:rsidRDefault="00CF6B80" w:rsidP="00CF6B80">
      <w:pPr>
        <w:rPr>
          <w:sz w:val="28"/>
          <w:szCs w:val="28"/>
        </w:rPr>
      </w:pPr>
      <w:r w:rsidRPr="00CF6B80">
        <w:rPr>
          <w:sz w:val="28"/>
          <w:szCs w:val="28"/>
        </w:rPr>
        <w:t>This theory which was originally coined for patients during the process of dying has since been accepted to aid with bereavement</w:t>
      </w:r>
      <w:r w:rsidR="009A33F3">
        <w:rPr>
          <w:sz w:val="28"/>
          <w:szCs w:val="28"/>
        </w:rPr>
        <w:t xml:space="preserve"> (Corr, 20015</w:t>
      </w:r>
      <w:r w:rsidR="00D80A5E">
        <w:rPr>
          <w:sz w:val="28"/>
          <w:szCs w:val="28"/>
        </w:rPr>
        <w:t>)</w:t>
      </w:r>
      <w:r w:rsidRPr="00CF6B80">
        <w:rPr>
          <w:sz w:val="28"/>
          <w:szCs w:val="28"/>
        </w:rPr>
        <w:t>. This theory suggests that in order to understand and cope with death, the bereaved must go through five stages (Kubler-Ross, 1969). These are:</w:t>
      </w:r>
    </w:p>
    <w:p w:rsidR="00CF6B80" w:rsidRPr="00B15BB9" w:rsidRDefault="00CF6B80" w:rsidP="00CF6B80">
      <w:pPr>
        <w:pStyle w:val="ListBullet"/>
        <w:tabs>
          <w:tab w:val="clear" w:pos="360"/>
        </w:tabs>
        <w:rPr>
          <w:color w:val="auto"/>
          <w:sz w:val="28"/>
          <w:szCs w:val="28"/>
        </w:rPr>
      </w:pPr>
      <w:r w:rsidRPr="00B15BB9">
        <w:rPr>
          <w:color w:val="auto"/>
          <w:sz w:val="28"/>
          <w:szCs w:val="28"/>
        </w:rPr>
        <w:t>Denial</w:t>
      </w:r>
      <w:r w:rsidR="00A345FF" w:rsidRPr="00B15BB9">
        <w:rPr>
          <w:color w:val="auto"/>
          <w:sz w:val="28"/>
          <w:szCs w:val="28"/>
        </w:rPr>
        <w:t xml:space="preserve">                                       </w:t>
      </w:r>
    </w:p>
    <w:p w:rsidR="00CF6B80" w:rsidRPr="00B15BB9" w:rsidRDefault="00CF6B80" w:rsidP="00CF6B80">
      <w:pPr>
        <w:pStyle w:val="ListBullet"/>
        <w:tabs>
          <w:tab w:val="clear" w:pos="360"/>
        </w:tabs>
        <w:rPr>
          <w:color w:val="auto"/>
          <w:sz w:val="28"/>
          <w:szCs w:val="28"/>
        </w:rPr>
      </w:pPr>
      <w:r w:rsidRPr="00B15BB9">
        <w:rPr>
          <w:color w:val="auto"/>
          <w:sz w:val="28"/>
          <w:szCs w:val="28"/>
        </w:rPr>
        <w:t>Anger</w:t>
      </w:r>
    </w:p>
    <w:p w:rsidR="00CF6B80" w:rsidRPr="00B15BB9" w:rsidRDefault="006D58A6" w:rsidP="00CF6B80">
      <w:pPr>
        <w:pStyle w:val="ListBullet"/>
        <w:tabs>
          <w:tab w:val="clear" w:pos="360"/>
        </w:tabs>
        <w:rPr>
          <w:color w:val="auto"/>
          <w:sz w:val="28"/>
          <w:szCs w:val="28"/>
        </w:rPr>
      </w:pPr>
      <w:r w:rsidRPr="00B15BB9">
        <w:rPr>
          <w:color w:val="auto"/>
          <w:sz w:val="28"/>
          <w:szCs w:val="28"/>
        </w:rPr>
        <w:t>Bargaining</w:t>
      </w:r>
    </w:p>
    <w:p w:rsidR="00CF6B80" w:rsidRPr="00B15BB9" w:rsidRDefault="00CF6B80" w:rsidP="00CF6B80">
      <w:pPr>
        <w:pStyle w:val="ListBullet"/>
        <w:tabs>
          <w:tab w:val="clear" w:pos="360"/>
        </w:tabs>
        <w:rPr>
          <w:color w:val="auto"/>
          <w:sz w:val="28"/>
          <w:szCs w:val="28"/>
        </w:rPr>
      </w:pPr>
      <w:r w:rsidRPr="00B15BB9">
        <w:rPr>
          <w:color w:val="auto"/>
          <w:sz w:val="28"/>
          <w:szCs w:val="28"/>
        </w:rPr>
        <w:t>Depression</w:t>
      </w:r>
    </w:p>
    <w:p w:rsidR="00CF6B80" w:rsidRPr="00B15BB9" w:rsidRDefault="00CF6B80" w:rsidP="00CF6B80">
      <w:pPr>
        <w:pStyle w:val="ListBullet"/>
        <w:tabs>
          <w:tab w:val="clear" w:pos="360"/>
        </w:tabs>
        <w:rPr>
          <w:color w:val="auto"/>
          <w:sz w:val="28"/>
          <w:szCs w:val="28"/>
        </w:rPr>
      </w:pPr>
      <w:r w:rsidRPr="00B15BB9">
        <w:rPr>
          <w:color w:val="auto"/>
          <w:sz w:val="28"/>
          <w:szCs w:val="28"/>
        </w:rPr>
        <w:t>Acceptance</w:t>
      </w:r>
    </w:p>
    <w:p w:rsidR="00CF6B80" w:rsidRDefault="00CF6B80" w:rsidP="00CF6B80">
      <w:pPr>
        <w:rPr>
          <w:sz w:val="28"/>
          <w:szCs w:val="28"/>
        </w:rPr>
      </w:pPr>
      <w:r w:rsidRPr="00CF6B80">
        <w:rPr>
          <w:sz w:val="28"/>
          <w:szCs w:val="28"/>
        </w:rPr>
        <w:t xml:space="preserve">The stages are said to be a pattern of reactions that individuals go through during bereavement in order to overcome grief (Sroebe, Boener &amp; Schut, 2017). However, </w:t>
      </w:r>
      <w:r w:rsidR="003E17DC" w:rsidRPr="00DA401D">
        <w:rPr>
          <w:sz w:val="28"/>
          <w:szCs w:val="28"/>
        </w:rPr>
        <w:t>Hall (2017</w:t>
      </w:r>
      <w:r w:rsidR="003E17DC" w:rsidRPr="003E17DC">
        <w:rPr>
          <w:sz w:val="28"/>
          <w:szCs w:val="28"/>
        </w:rPr>
        <w:t>)</w:t>
      </w:r>
      <w:r w:rsidRPr="00CF6B80">
        <w:rPr>
          <w:sz w:val="28"/>
          <w:szCs w:val="28"/>
        </w:rPr>
        <w:t xml:space="preserve"> suggests that these stages are too rigid and passive to be used to explain the complexity involved in the process of grief and bereavement. Realistically, the stages could overlap, and occur in</w:t>
      </w:r>
      <w:r w:rsidR="003E17DC">
        <w:rPr>
          <w:sz w:val="28"/>
          <w:szCs w:val="28"/>
        </w:rPr>
        <w:t xml:space="preserve"> a</w:t>
      </w:r>
      <w:r w:rsidRPr="00CF6B80">
        <w:rPr>
          <w:sz w:val="28"/>
          <w:szCs w:val="28"/>
        </w:rPr>
        <w:t xml:space="preserve"> random manner </w:t>
      </w:r>
      <w:r w:rsidRPr="003E17DC">
        <w:rPr>
          <w:sz w:val="28"/>
          <w:szCs w:val="28"/>
        </w:rPr>
        <w:t>(Corr, 1993</w:t>
      </w:r>
      <w:r w:rsidRPr="00CF6B80">
        <w:rPr>
          <w:sz w:val="28"/>
          <w:szCs w:val="28"/>
        </w:rPr>
        <w:t>). Kubler-Ross (1969) stages of grief is critis</w:t>
      </w:r>
      <w:r w:rsidR="00D324CE">
        <w:rPr>
          <w:sz w:val="28"/>
          <w:szCs w:val="28"/>
        </w:rPr>
        <w:t>is</w:t>
      </w:r>
      <w:r w:rsidRPr="00CF6B80">
        <w:rPr>
          <w:sz w:val="28"/>
          <w:szCs w:val="28"/>
        </w:rPr>
        <w:t>ed for being based on clinical opinions, it lacks empirical evidence and theoretical grounding (Stroebe, Boener &amp; Schut, 2017). This theory also fails to recognize the cultural and social factors which may influence the bereavement process (Boemer, Stroebe, Schut &amp; Woetman, 2016).</w:t>
      </w:r>
      <w:r w:rsidR="00D80A5E">
        <w:rPr>
          <w:sz w:val="28"/>
          <w:szCs w:val="28"/>
        </w:rPr>
        <w:t xml:space="preserve"> Although, despite the criticisms, this </w:t>
      </w:r>
      <w:r w:rsidR="00D324CE">
        <w:rPr>
          <w:sz w:val="28"/>
          <w:szCs w:val="28"/>
        </w:rPr>
        <w:t>model did help to draw</w:t>
      </w:r>
      <w:r w:rsidR="00D80A5E">
        <w:rPr>
          <w:sz w:val="28"/>
          <w:szCs w:val="28"/>
        </w:rPr>
        <w:t xml:space="preserve"> to attention in the issues</w:t>
      </w:r>
      <w:r w:rsidR="00D324CE">
        <w:rPr>
          <w:sz w:val="28"/>
          <w:szCs w:val="28"/>
        </w:rPr>
        <w:t xml:space="preserve"> involved with coping with death</w:t>
      </w:r>
      <w:r w:rsidR="00D80A5E">
        <w:rPr>
          <w:sz w:val="28"/>
          <w:szCs w:val="28"/>
        </w:rPr>
        <w:t xml:space="preserve"> (Corr, 2019). </w:t>
      </w:r>
    </w:p>
    <w:p w:rsidR="003A5C16" w:rsidRPr="00CF6B80" w:rsidRDefault="00AB38E0" w:rsidP="00CF6B80">
      <w:pPr>
        <w:rPr>
          <w:sz w:val="28"/>
          <w:szCs w:val="28"/>
        </w:rPr>
      </w:pPr>
      <w:r>
        <w:rPr>
          <w:sz w:val="28"/>
          <w:szCs w:val="28"/>
        </w:rPr>
        <w:t>Another theory of bereavement which focuses on stages/phases is Bowlby (1973) attachment theory, this will be the next theory considered within this review.</w:t>
      </w:r>
    </w:p>
    <w:p w:rsidR="00CF6B80" w:rsidRDefault="00CF6B80" w:rsidP="00CF6B80">
      <w:pPr>
        <w:rPr>
          <w:sz w:val="28"/>
          <w:szCs w:val="28"/>
        </w:rPr>
      </w:pPr>
    </w:p>
    <w:p w:rsidR="00CF6B80" w:rsidRDefault="00B15BB9" w:rsidP="00CF6B80">
      <w:pPr>
        <w:pStyle w:val="Heading1"/>
      </w:pPr>
      <w:r>
        <w:lastRenderedPageBreak/>
        <w:t>Attachment Theory Bowlby (</w:t>
      </w:r>
      <w:r w:rsidR="00CF6B80">
        <w:t>1973).</w:t>
      </w:r>
    </w:p>
    <w:p w:rsidR="00CF6B80" w:rsidRPr="00CF6B80" w:rsidRDefault="00581C93" w:rsidP="00CF6B80">
      <w:pPr>
        <w:autoSpaceDE w:val="0"/>
        <w:autoSpaceDN w:val="0"/>
        <w:adjustRightInd w:val="0"/>
        <w:rPr>
          <w:sz w:val="28"/>
          <w:szCs w:val="28"/>
        </w:rPr>
      </w:pPr>
      <w:r>
        <w:rPr>
          <w:noProof/>
          <w:sz w:val="28"/>
          <w:szCs w:val="28"/>
          <w:lang w:eastAsia="en-GB"/>
        </w:rPr>
        <mc:AlternateContent>
          <mc:Choice Requires="wps">
            <w:drawing>
              <wp:anchor distT="0" distB="0" distL="114300" distR="114300" simplePos="0" relativeHeight="251662336" behindDoc="0" locked="0" layoutInCell="1" allowOverlap="1" wp14:anchorId="46A32DF4" wp14:editId="7D26CBCB">
                <wp:simplePos x="0" y="0"/>
                <wp:positionH relativeFrom="margin">
                  <wp:align>right</wp:align>
                </wp:positionH>
                <wp:positionV relativeFrom="paragraph">
                  <wp:posOffset>95885</wp:posOffset>
                </wp:positionV>
                <wp:extent cx="2908800" cy="2084400"/>
                <wp:effectExtent l="0" t="0" r="25400" b="11430"/>
                <wp:wrapSquare wrapText="bothSides"/>
                <wp:docPr id="18" name="Rectangle 18"/>
                <wp:cNvGraphicFramePr/>
                <a:graphic xmlns:a="http://schemas.openxmlformats.org/drawingml/2006/main">
                  <a:graphicData uri="http://schemas.microsoft.com/office/word/2010/wordprocessingShape">
                    <wps:wsp>
                      <wps:cNvSpPr/>
                      <wps:spPr>
                        <a:xfrm>
                          <a:off x="0" y="0"/>
                          <a:ext cx="2908800" cy="2084400"/>
                        </a:xfrm>
                        <a:prstGeom prst="rect">
                          <a:avLst/>
                        </a:prstGeom>
                        <a:solidFill>
                          <a:schemeClr val="accent5">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6D6594" w:rsidRPr="00AB38E0" w:rsidRDefault="006D6594" w:rsidP="00AB38E0">
                            <w:pPr>
                              <w:shd w:val="clear" w:color="auto" w:fill="2E74B5" w:themeFill="accent1" w:themeFillShade="BF"/>
                              <w:jc w:val="center"/>
                              <w:rPr>
                                <w:color w:val="FFFFFF" w:themeColor="background1"/>
                                <w:sz w:val="28"/>
                                <w:szCs w:val="28"/>
                              </w:rPr>
                            </w:pPr>
                            <w:r w:rsidRPr="00AB38E0">
                              <w:rPr>
                                <w:color w:val="FFFFFF" w:themeColor="background1"/>
                                <w:sz w:val="28"/>
                                <w:szCs w:val="28"/>
                              </w:rPr>
                              <w:t xml:space="preserve">Hall (2017) suggests that </w:t>
                            </w:r>
                            <w:r w:rsidR="00581C93" w:rsidRPr="00AB38E0">
                              <w:rPr>
                                <w:color w:val="FFFFFF" w:themeColor="background1"/>
                                <w:sz w:val="28"/>
                                <w:szCs w:val="28"/>
                              </w:rPr>
                              <w:t xml:space="preserve">the stage theories are not adequate enough to </w:t>
                            </w:r>
                            <w:r w:rsidRPr="00AB38E0">
                              <w:rPr>
                                <w:color w:val="FFFFFF" w:themeColor="background1"/>
                                <w:sz w:val="28"/>
                                <w:szCs w:val="28"/>
                              </w:rPr>
                              <w:t xml:space="preserve">help bereaved individuals </w:t>
                            </w:r>
                            <w:r w:rsidR="00581C93" w:rsidRPr="00AB38E0">
                              <w:rPr>
                                <w:color w:val="FFFFFF" w:themeColor="background1"/>
                                <w:sz w:val="28"/>
                                <w:szCs w:val="28"/>
                              </w:rPr>
                              <w:t xml:space="preserve">cope with a loss as they fail to </w:t>
                            </w:r>
                            <w:r w:rsidRPr="00AB38E0">
                              <w:rPr>
                                <w:color w:val="FFFFFF" w:themeColor="background1"/>
                                <w:sz w:val="28"/>
                                <w:szCs w:val="28"/>
                              </w:rPr>
                              <w:t>recognise the unique nee</w:t>
                            </w:r>
                            <w:r w:rsidR="00581C93" w:rsidRPr="00AB38E0">
                              <w:rPr>
                                <w:color w:val="FFFFFF" w:themeColor="background1"/>
                                <w:sz w:val="28"/>
                                <w:szCs w:val="28"/>
                              </w:rPr>
                              <w:t xml:space="preserve">ds, reactions and challenges the individual may encounter due to coping with a </w:t>
                            </w:r>
                            <w:r w:rsidRPr="00AB38E0">
                              <w:rPr>
                                <w:color w:val="FFFFFF" w:themeColor="background1"/>
                                <w:sz w:val="28"/>
                                <w:szCs w:val="28"/>
                              </w:rPr>
                              <w:t>loss</w:t>
                            </w:r>
                            <w:r w:rsidR="00581C93" w:rsidRPr="00AB38E0">
                              <w:rPr>
                                <w:color w:val="FFFFFF" w:themeColor="background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A32DF4" id="Rectangle 18" o:spid="_x0000_s1028" style="position:absolute;margin-left:177.85pt;margin-top:7.55pt;width:229.05pt;height:164.1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dbCogIAAMAFAAAOAAAAZHJzL2Uyb0RvYy54bWysVE1v2zAMvQ/YfxB0X+0E7ZYadYqgRYcB&#10;XVe0HXpWZCk2IImapMTOfv0oyXGDrtth2MUWP/RIPpG8uBy0IjvhfAemprOTkhJhODSd2dT0+9PN&#10;hwUlPjDTMAVG1HQvPL1cvn930dtKzKEF1QhHEMT4qrc1bUOwVVF43grN/AlYYdAowWkWUHSbonGs&#10;R3StinlZfix6cI11wIX3qL3ORrpM+FIKHr5J6UUgqqaYW0hfl77r+C2WF6zaOGbbjo9psH/IQrPO&#10;YNAJ6poFRrau+w1Kd9yBBxlOOOgCpOy4SDVgNbPyVTWPLbMi1YLkeDvR5P8fLL/b3TvSNfh2+FKG&#10;aXyjB2SNmY0SBHVIUG99hX6P9t6NksdjrHaQTsc/1kGGROp+IlUMgXBUzs/LxaJE7jna5uXi9BQF&#10;xClerlvnw2cBmsRDTR3GT2Sy3a0P2fXgEqN5UF1z0ymVhNgp4ko5smP4xoxzYcJZuq62+is0WY+9&#10;ksOyCtXYE1mNiU3ZpJ6LSCm3oyBFJCCXnE5hr0QMrcyDkMhdLDIFnBCOc5llU8sakdVnf4yZACOy&#10;xOIm7BHgrTpnI5Gjf7wqUtNPl8u/JZapnW6kyGDCdFl3BtxbACpMkbM/UnZETTyGYT2kvpofWmgN&#10;zR57zUEeQm/5TYfvfct8uGcOpw57BDdJ+IYfqaCvKYwnSlpwP9/SR38cBrRS0uMU19T/2DInKFFf&#10;DI7J+QzbDcc+Cadnn+YouGPL+thitvoKsIlmuLMsT8foH9ThKB3oZ1w4qxgVTcxwjF1THtxBuAp5&#10;u+DK4mK1Sm446paFW/NoeQSPPMd+fhqembNj0weclzs4TDyrXvV+9o03Day2AWSXBiMynXkdXwDX&#10;RGrfcaXFPXQsJ6+Xxbv8BQAA//8DAFBLAwQUAAYACAAAACEA+6FPnN8AAAAHAQAADwAAAGRycy9k&#10;b3ducmV2LnhtbEyPzU7DQAyE70h9h5UrcaOb0hRVIZsKgTigXugPB25u4iZRs94ou01Snh5zojeP&#10;x5r5nK5H26ieOl87NjCfRaCIc1fUXBo47N8fVqB8QC6wcUwGruRhnU3uUkwKN/CW+l0olYSwT9BA&#10;FUKbaO3ziiz6mWuJxTu5zmIQ2ZW66HCQcNvoxyh60hZrloYKW3qtKD/vLtbA1wY/9tvhu/35dIdy&#10;83Y92XPfG3M/HV+eQQUaw/8x/OELOmTCdHQXLrxqDMgjQbbLOShx4+VKhqOBRbyIQWepvuXPfgEA&#10;AP//AwBQSwECLQAUAAYACAAAACEAtoM4kv4AAADhAQAAEwAAAAAAAAAAAAAAAAAAAAAAW0NvbnRl&#10;bnRfVHlwZXNdLnhtbFBLAQItABQABgAIAAAAIQA4/SH/1gAAAJQBAAALAAAAAAAAAAAAAAAAAC8B&#10;AABfcmVscy8ucmVsc1BLAQItABQABgAIAAAAIQAfcdbCogIAAMAFAAAOAAAAAAAAAAAAAAAAAC4C&#10;AABkcnMvZTJvRG9jLnhtbFBLAQItABQABgAIAAAAIQD7oU+c3wAAAAcBAAAPAAAAAAAAAAAAAAAA&#10;APwEAABkcnMvZG93bnJldi54bWxQSwUGAAAAAAQABADzAAAACAYAAAAA&#10;" fillcolor="#d9e2f3 [664]" strokecolor="#1f4d78 [1604]" strokeweight="1pt">
                <v:textbox>
                  <w:txbxContent>
                    <w:p w:rsidR="006D6594" w:rsidRPr="00AB38E0" w:rsidRDefault="006D6594" w:rsidP="00AB38E0">
                      <w:pPr>
                        <w:shd w:val="clear" w:color="auto" w:fill="2E74B5" w:themeFill="accent1" w:themeFillShade="BF"/>
                        <w:jc w:val="center"/>
                        <w:rPr>
                          <w:color w:val="FFFFFF" w:themeColor="background1"/>
                          <w:sz w:val="28"/>
                          <w:szCs w:val="28"/>
                        </w:rPr>
                      </w:pPr>
                      <w:r w:rsidRPr="00AB38E0">
                        <w:rPr>
                          <w:color w:val="FFFFFF" w:themeColor="background1"/>
                          <w:sz w:val="28"/>
                          <w:szCs w:val="28"/>
                        </w:rPr>
                        <w:t xml:space="preserve">Hall (2017) suggests that </w:t>
                      </w:r>
                      <w:r w:rsidR="00581C93" w:rsidRPr="00AB38E0">
                        <w:rPr>
                          <w:color w:val="FFFFFF" w:themeColor="background1"/>
                          <w:sz w:val="28"/>
                          <w:szCs w:val="28"/>
                        </w:rPr>
                        <w:t xml:space="preserve">the stage theories are not adequate enough to </w:t>
                      </w:r>
                      <w:r w:rsidRPr="00AB38E0">
                        <w:rPr>
                          <w:color w:val="FFFFFF" w:themeColor="background1"/>
                          <w:sz w:val="28"/>
                          <w:szCs w:val="28"/>
                        </w:rPr>
                        <w:t xml:space="preserve">help bereaved individuals </w:t>
                      </w:r>
                      <w:r w:rsidR="00581C93" w:rsidRPr="00AB38E0">
                        <w:rPr>
                          <w:color w:val="FFFFFF" w:themeColor="background1"/>
                          <w:sz w:val="28"/>
                          <w:szCs w:val="28"/>
                        </w:rPr>
                        <w:t xml:space="preserve">cope with a loss as they fail to </w:t>
                      </w:r>
                      <w:r w:rsidRPr="00AB38E0">
                        <w:rPr>
                          <w:color w:val="FFFFFF" w:themeColor="background1"/>
                          <w:sz w:val="28"/>
                          <w:szCs w:val="28"/>
                        </w:rPr>
                        <w:t>recognise the unique nee</w:t>
                      </w:r>
                      <w:r w:rsidR="00581C93" w:rsidRPr="00AB38E0">
                        <w:rPr>
                          <w:color w:val="FFFFFF" w:themeColor="background1"/>
                          <w:sz w:val="28"/>
                          <w:szCs w:val="28"/>
                        </w:rPr>
                        <w:t xml:space="preserve">ds, reactions and challenges the individual may encounter due to coping with a </w:t>
                      </w:r>
                      <w:r w:rsidRPr="00AB38E0">
                        <w:rPr>
                          <w:color w:val="FFFFFF" w:themeColor="background1"/>
                          <w:sz w:val="28"/>
                          <w:szCs w:val="28"/>
                        </w:rPr>
                        <w:t>loss</w:t>
                      </w:r>
                      <w:r w:rsidR="00581C93" w:rsidRPr="00AB38E0">
                        <w:rPr>
                          <w:color w:val="FFFFFF" w:themeColor="background1"/>
                          <w:sz w:val="28"/>
                          <w:szCs w:val="28"/>
                        </w:rPr>
                        <w:t>.</w:t>
                      </w:r>
                    </w:p>
                  </w:txbxContent>
                </v:textbox>
                <w10:wrap type="square" anchorx="margin"/>
              </v:rect>
            </w:pict>
          </mc:Fallback>
        </mc:AlternateContent>
      </w:r>
      <w:r w:rsidR="00CF6B80" w:rsidRPr="00CF6B80">
        <w:rPr>
          <w:noProof/>
          <w:sz w:val="28"/>
          <w:szCs w:val="28"/>
        </w:rPr>
        <w:t>This theory focuses on the importance of</w:t>
      </w:r>
      <w:r w:rsidR="00CF6B80" w:rsidRPr="00CF6B80">
        <w:rPr>
          <w:sz w:val="28"/>
          <w:szCs w:val="28"/>
        </w:rPr>
        <w:t xml:space="preserve"> attachments and bonds between individuals which are developed in childhood. This theory suggests that grief evolves through a sequence of four overlapping, flexible phases. These are, shock, yearning and </w:t>
      </w:r>
      <w:r w:rsidR="00B15BB9">
        <w:rPr>
          <w:sz w:val="28"/>
          <w:szCs w:val="28"/>
        </w:rPr>
        <w:t>protest, despair and recovery (Bowlby, 1973)</w:t>
      </w:r>
      <w:r w:rsidR="00CF6B80" w:rsidRPr="00CF6B80">
        <w:rPr>
          <w:rFonts w:ascii="AdvTT5843c571" w:hAnsi="AdvTT5843c571" w:cs="AdvTT5843c571"/>
          <w:color w:val="000000"/>
          <w:sz w:val="28"/>
          <w:szCs w:val="28"/>
        </w:rPr>
        <w:t xml:space="preserve">. </w:t>
      </w:r>
      <w:r w:rsidR="00CF6B80" w:rsidRPr="00CF6B80">
        <w:rPr>
          <w:sz w:val="28"/>
          <w:szCs w:val="28"/>
        </w:rPr>
        <w:t xml:space="preserve">This theory suggests that the attachments experienced in childhood will reflect in relationships in later life </w:t>
      </w:r>
      <w:r w:rsidR="00B15BB9">
        <w:rPr>
          <w:sz w:val="28"/>
          <w:szCs w:val="28"/>
        </w:rPr>
        <w:t>(</w:t>
      </w:r>
      <w:r w:rsidR="00CF6B80" w:rsidRPr="00CF6B80">
        <w:rPr>
          <w:sz w:val="28"/>
          <w:szCs w:val="28"/>
        </w:rPr>
        <w:t xml:space="preserve">Stroebe, 2002) for example, children </w:t>
      </w:r>
      <w:r w:rsidR="00DA401D">
        <w:rPr>
          <w:sz w:val="28"/>
          <w:szCs w:val="28"/>
        </w:rPr>
        <w:t xml:space="preserve">who were separated from their mother </w:t>
      </w:r>
      <w:r w:rsidR="00DD35F4">
        <w:rPr>
          <w:sz w:val="28"/>
          <w:szCs w:val="28"/>
        </w:rPr>
        <w:t>or</w:t>
      </w:r>
      <w:r w:rsidR="00DA401D">
        <w:rPr>
          <w:sz w:val="28"/>
          <w:szCs w:val="28"/>
        </w:rPr>
        <w:t xml:space="preserve"> father during childhood may form highly </w:t>
      </w:r>
      <w:r w:rsidR="00047A08">
        <w:rPr>
          <w:sz w:val="28"/>
          <w:szCs w:val="28"/>
        </w:rPr>
        <w:t>dependent</w:t>
      </w:r>
      <w:r w:rsidR="00DA401D">
        <w:rPr>
          <w:sz w:val="28"/>
          <w:szCs w:val="28"/>
        </w:rPr>
        <w:t xml:space="preserve"> attachments as adults. As a result of this highly </w:t>
      </w:r>
      <w:r w:rsidR="00047A08">
        <w:rPr>
          <w:sz w:val="28"/>
          <w:szCs w:val="28"/>
        </w:rPr>
        <w:t>dependent</w:t>
      </w:r>
      <w:r w:rsidR="00DA401D">
        <w:rPr>
          <w:sz w:val="28"/>
          <w:szCs w:val="28"/>
        </w:rPr>
        <w:t xml:space="preserve"> attachment, when a partner dies they may feel grief more </w:t>
      </w:r>
      <w:r w:rsidR="00DD35F4">
        <w:rPr>
          <w:sz w:val="28"/>
          <w:szCs w:val="28"/>
        </w:rPr>
        <w:t>intensely</w:t>
      </w:r>
      <w:r w:rsidR="00DA401D">
        <w:rPr>
          <w:sz w:val="28"/>
          <w:szCs w:val="28"/>
        </w:rPr>
        <w:t xml:space="preserve"> for a prolonged period</w:t>
      </w:r>
      <w:r w:rsidR="00CF6B80" w:rsidRPr="00CF6B80">
        <w:rPr>
          <w:rFonts w:ascii="AdvTT5843c571" w:hAnsi="AdvTT5843c571" w:cs="AdvTT5843c571"/>
          <w:color w:val="000000"/>
          <w:sz w:val="28"/>
          <w:szCs w:val="28"/>
        </w:rPr>
        <w:t xml:space="preserve"> (Boemer, Sroebe, Schut &amp; Woetman, 2016).</w:t>
      </w:r>
      <w:r w:rsidR="00CF6B80" w:rsidRPr="00CF6B80">
        <w:rPr>
          <w:sz w:val="28"/>
          <w:szCs w:val="28"/>
        </w:rPr>
        <w:t xml:space="preserve"> </w:t>
      </w:r>
    </w:p>
    <w:p w:rsidR="001F7D1A" w:rsidRDefault="00CF6B80" w:rsidP="00CF6B80">
      <w:pPr>
        <w:autoSpaceDE w:val="0"/>
        <w:autoSpaceDN w:val="0"/>
        <w:adjustRightInd w:val="0"/>
        <w:rPr>
          <w:sz w:val="28"/>
          <w:szCs w:val="28"/>
        </w:rPr>
      </w:pPr>
      <w:r w:rsidRPr="00CF6B80">
        <w:rPr>
          <w:sz w:val="28"/>
          <w:szCs w:val="28"/>
        </w:rPr>
        <w:t xml:space="preserve">In contrast to the five stages of grief (Kubler-Ross, 1969) this theory recognizes that grief is </w:t>
      </w:r>
      <w:r w:rsidR="00DA401D">
        <w:rPr>
          <w:sz w:val="28"/>
          <w:szCs w:val="28"/>
        </w:rPr>
        <w:t>flexible and phases may overlap</w:t>
      </w:r>
      <w:r w:rsidR="00A83D20">
        <w:rPr>
          <w:sz w:val="28"/>
          <w:szCs w:val="28"/>
        </w:rPr>
        <w:t>. While focusing on the survival component</w:t>
      </w:r>
      <w:r w:rsidRPr="00CF6B80">
        <w:rPr>
          <w:sz w:val="28"/>
          <w:szCs w:val="28"/>
        </w:rPr>
        <w:t xml:space="preserve"> of attachment behavior, Bowlby (1973) was the first to give a </w:t>
      </w:r>
      <w:r w:rsidR="00DA401D" w:rsidRPr="00CF6B80">
        <w:rPr>
          <w:sz w:val="28"/>
          <w:szCs w:val="28"/>
        </w:rPr>
        <w:t>reasonable</w:t>
      </w:r>
      <w:r w:rsidRPr="00CF6B80">
        <w:rPr>
          <w:sz w:val="28"/>
          <w:szCs w:val="28"/>
        </w:rPr>
        <w:t xml:space="preserve"> explanation for</w:t>
      </w:r>
      <w:r w:rsidR="00A83D20">
        <w:rPr>
          <w:sz w:val="28"/>
          <w:szCs w:val="28"/>
        </w:rPr>
        <w:t xml:space="preserve"> responses such as </w:t>
      </w:r>
      <w:r w:rsidRPr="00CF6B80">
        <w:rPr>
          <w:sz w:val="28"/>
          <w:szCs w:val="28"/>
        </w:rPr>
        <w:t xml:space="preserve">anger </w:t>
      </w:r>
      <w:r w:rsidR="00A83D20">
        <w:rPr>
          <w:sz w:val="28"/>
          <w:szCs w:val="28"/>
        </w:rPr>
        <w:t>and searching during grief</w:t>
      </w:r>
      <w:r w:rsidRPr="00CF6B80">
        <w:rPr>
          <w:sz w:val="28"/>
          <w:szCs w:val="28"/>
        </w:rPr>
        <w:t xml:space="preserve"> (Boemer, Stroebe, Schut &amp; Woetman, 2016). He was also </w:t>
      </w:r>
      <w:r w:rsidRPr="00CF6B80">
        <w:rPr>
          <w:rFonts w:ascii="AdvTT5843c571" w:hAnsi="AdvTT5843c571" w:cs="AdvTT5843c571"/>
          <w:sz w:val="28"/>
          <w:szCs w:val="28"/>
        </w:rPr>
        <w:t xml:space="preserve">the </w:t>
      </w:r>
      <w:r w:rsidRPr="00CF6B80">
        <w:rPr>
          <w:rFonts w:ascii="AdvTT5843c571+fb" w:hAnsi="AdvTT5843c571+fb" w:cs="AdvTT5843c571+fb"/>
          <w:sz w:val="28"/>
          <w:szCs w:val="28"/>
        </w:rPr>
        <w:t>fi</w:t>
      </w:r>
      <w:r w:rsidRPr="00CF6B80">
        <w:rPr>
          <w:rFonts w:ascii="AdvTT5843c571" w:hAnsi="AdvTT5843c571" w:cs="AdvTT5843c571"/>
          <w:sz w:val="28"/>
          <w:szCs w:val="28"/>
        </w:rPr>
        <w:t xml:space="preserve">rst to </w:t>
      </w:r>
      <w:r w:rsidR="00A83D20">
        <w:rPr>
          <w:rFonts w:ascii="AdvTT5843c571" w:hAnsi="AdvTT5843c571" w:cs="AdvTT5843c571"/>
          <w:sz w:val="28"/>
          <w:szCs w:val="28"/>
        </w:rPr>
        <w:t>suggest</w:t>
      </w:r>
      <w:r w:rsidRPr="00CF6B80">
        <w:rPr>
          <w:rFonts w:ascii="AdvTT5843c571" w:hAnsi="AdvTT5843c571" w:cs="AdvTT5843c571"/>
          <w:sz w:val="28"/>
          <w:szCs w:val="28"/>
        </w:rPr>
        <w:t xml:space="preserve"> that there is a relationship between a person</w:t>
      </w:r>
      <w:r w:rsidRPr="00CF6B80">
        <w:rPr>
          <w:rFonts w:ascii="AdvTT5843c571+20" w:hAnsi="AdvTT5843c571+20" w:cs="AdvTT5843c571+20"/>
          <w:sz w:val="28"/>
          <w:szCs w:val="28"/>
        </w:rPr>
        <w:t>’</w:t>
      </w:r>
      <w:r w:rsidRPr="00CF6B80">
        <w:rPr>
          <w:rFonts w:ascii="AdvTT5843c571" w:hAnsi="AdvTT5843c571" w:cs="AdvTT5843c571"/>
          <w:sz w:val="28"/>
          <w:szCs w:val="28"/>
        </w:rPr>
        <w:t>s attachment</w:t>
      </w:r>
      <w:r w:rsidR="00A83D20">
        <w:rPr>
          <w:rFonts w:ascii="AdvTT5843c571" w:hAnsi="AdvTT5843c571" w:cs="AdvTT5843c571"/>
          <w:sz w:val="28"/>
          <w:szCs w:val="28"/>
        </w:rPr>
        <w:t xml:space="preserve"> history and this will influence the way in which they </w:t>
      </w:r>
      <w:r w:rsidRPr="00CF6B80">
        <w:rPr>
          <w:rFonts w:ascii="AdvTT5843c571" w:hAnsi="AdvTT5843c571" w:cs="AdvTT5843c571"/>
          <w:sz w:val="28"/>
          <w:szCs w:val="28"/>
        </w:rPr>
        <w:t xml:space="preserve">react to the loss of a loved one (Boemer, Stroebe, Schut and Woetman, 2016). However, </w:t>
      </w:r>
      <w:r w:rsidRPr="00CF6B80">
        <w:rPr>
          <w:sz w:val="28"/>
          <w:szCs w:val="28"/>
        </w:rPr>
        <w:t xml:space="preserve">Bowlby (1973) </w:t>
      </w:r>
      <w:r w:rsidR="00A83D20">
        <w:rPr>
          <w:sz w:val="28"/>
          <w:szCs w:val="28"/>
        </w:rPr>
        <w:t xml:space="preserve">relied on the experiences of childhood </w:t>
      </w:r>
      <w:r w:rsidRPr="00CF6B80">
        <w:rPr>
          <w:sz w:val="28"/>
          <w:szCs w:val="28"/>
        </w:rPr>
        <w:t xml:space="preserve">to explain </w:t>
      </w:r>
      <w:r w:rsidR="00A83D20">
        <w:rPr>
          <w:sz w:val="28"/>
          <w:szCs w:val="28"/>
        </w:rPr>
        <w:t xml:space="preserve">how an individual could respond to bereavement in adulthood. </w:t>
      </w:r>
    </w:p>
    <w:p w:rsidR="006D6594" w:rsidRDefault="00B15BB9" w:rsidP="00CF6B80">
      <w:pPr>
        <w:autoSpaceDE w:val="0"/>
        <w:autoSpaceDN w:val="0"/>
        <w:adjustRightInd w:val="0"/>
        <w:rPr>
          <w:sz w:val="28"/>
          <w:szCs w:val="28"/>
        </w:rPr>
      </w:pPr>
      <w:r>
        <w:rPr>
          <w:noProof/>
          <w:sz w:val="28"/>
          <w:szCs w:val="28"/>
          <w:lang w:eastAsia="en-GB"/>
        </w:rPr>
        <mc:AlternateContent>
          <mc:Choice Requires="wps">
            <w:drawing>
              <wp:anchor distT="0" distB="0" distL="114300" distR="114300" simplePos="0" relativeHeight="251663360" behindDoc="0" locked="0" layoutInCell="1" allowOverlap="1" wp14:anchorId="743F5CE5" wp14:editId="3DDBA7E4">
                <wp:simplePos x="0" y="0"/>
                <wp:positionH relativeFrom="margin">
                  <wp:posOffset>1092200</wp:posOffset>
                </wp:positionH>
                <wp:positionV relativeFrom="paragraph">
                  <wp:posOffset>15875</wp:posOffset>
                </wp:positionV>
                <wp:extent cx="3276600" cy="2578100"/>
                <wp:effectExtent l="0" t="0" r="19050" b="31750"/>
                <wp:wrapNone/>
                <wp:docPr id="20" name="Down Arrow Callout 20"/>
                <wp:cNvGraphicFramePr/>
                <a:graphic xmlns:a="http://schemas.openxmlformats.org/drawingml/2006/main">
                  <a:graphicData uri="http://schemas.microsoft.com/office/word/2010/wordprocessingShape">
                    <wps:wsp>
                      <wps:cNvSpPr/>
                      <wps:spPr>
                        <a:xfrm>
                          <a:off x="0" y="0"/>
                          <a:ext cx="3276600" cy="2578100"/>
                        </a:xfrm>
                        <a:prstGeom prst="downArrowCallout">
                          <a:avLst/>
                        </a:prstGeom>
                        <a:gradFill>
                          <a:gsLst>
                            <a:gs pos="0">
                              <a:schemeClr val="accent6">
                                <a:lumMod val="40000"/>
                                <a:lumOff val="6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wps:spPr>
                      <wps:style>
                        <a:lnRef idx="2">
                          <a:schemeClr val="accent1">
                            <a:shade val="50000"/>
                          </a:schemeClr>
                        </a:lnRef>
                        <a:fillRef idx="1">
                          <a:schemeClr val="accent1"/>
                        </a:fillRef>
                        <a:effectRef idx="0">
                          <a:schemeClr val="accent1"/>
                        </a:effectRef>
                        <a:fontRef idx="minor">
                          <a:schemeClr val="lt1"/>
                        </a:fontRef>
                      </wps:style>
                      <wps:txbx>
                        <w:txbxContent>
                          <w:p w:rsidR="000357C4" w:rsidRPr="00AB38E0" w:rsidRDefault="000357C4" w:rsidP="00AB38E0">
                            <w:pPr>
                              <w:shd w:val="clear" w:color="auto" w:fill="2E74B5" w:themeFill="accent1" w:themeFillShade="BF"/>
                              <w:autoSpaceDE w:val="0"/>
                              <w:autoSpaceDN w:val="0"/>
                              <w:adjustRightInd w:val="0"/>
                              <w:jc w:val="center"/>
                              <w:rPr>
                                <w:color w:val="FFFFFF" w:themeColor="background1"/>
                                <w:sz w:val="28"/>
                                <w:szCs w:val="28"/>
                              </w:rPr>
                            </w:pPr>
                            <w:r w:rsidRPr="00AB38E0">
                              <w:rPr>
                                <w:color w:val="FFFFFF" w:themeColor="background1"/>
                                <w:sz w:val="28"/>
                                <w:szCs w:val="28"/>
                              </w:rPr>
                              <w:t xml:space="preserve">As the dual-process model of coping with bereavement was designed to overcome limitations and build on strengths already seen in Bowlbys </w:t>
                            </w:r>
                            <w:r w:rsidR="006C769E">
                              <w:rPr>
                                <w:color w:val="FFFFFF" w:themeColor="background1"/>
                                <w:sz w:val="28"/>
                                <w:szCs w:val="28"/>
                              </w:rPr>
                              <w:t>(1973</w:t>
                            </w:r>
                            <w:r w:rsidRPr="00AB38E0">
                              <w:rPr>
                                <w:color w:val="FFFFFF" w:themeColor="background1"/>
                                <w:sz w:val="28"/>
                                <w:szCs w:val="28"/>
                              </w:rPr>
                              <w:t>) attachment theory (Stroebe &amp; Schut, 2016) it will be explored below.</w:t>
                            </w:r>
                          </w:p>
                          <w:p w:rsidR="000357C4" w:rsidRDefault="000357C4" w:rsidP="00AB38E0">
                            <w:pPr>
                              <w:shd w:val="clear" w:color="auto" w:fill="2E74B5" w:themeFill="accent1" w:themeFillShade="BF"/>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3F5CE5"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Down Arrow Callout 20" o:spid="_x0000_s1029" type="#_x0000_t80" style="position:absolute;margin-left:86pt;margin-top:1.25pt;width:258pt;height:20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Suo+wIAAG0HAAAOAAAAZHJzL2Uyb0RvYy54bWy8VW1v2yAQ/j5p/wHxfXWc5qWL6lRRqk6T&#10;urZqO/UzwTixhDkGJHb263eA7WZt1mnTtHxwjuPeuHt4OL9oKkl2wtgSVEbTkwElQnHIS7XO6NfH&#10;qw9nlFjHVM4kKJHRvbD0Yv7+3XmtZ2IIG5C5MASDKDurdUY3zulZkli+ERWzJ6CFws0CTMUcLs06&#10;yQ2rMXolk+FgMElqMLk2wIW1qL2Mm3Qe4heF4O62KKxwRGYUa3Pha8J35b/J/JzN1obpTcnbMthf&#10;VFGxUmHSPtQlc4xsTfkqVFVyAxYKd8KhSqAoSi7CGfA06eDFaR42TItwFmyO1X2b7L8Ly292d4aU&#10;eUaH2B7FKpzRJdSKLIyBmiyZlLB1BDexU7W2M3R40HemXVkU/bGbwlT+Hw9EmtDdfd9d0TjCUXk6&#10;nE4mA8zCcW84np6luMA4ybO7NtZ9ElARL2Q0x0JCHW0ZocNsd21ddOvM28bnV6WUQbZoEgWiAbs1&#10;CJ4BVGIpDdkxhAPjXCg3CVtyW32BPOpHA/xFYKAa4RPVWHpfbx8pVL+2h7mm3v/X+dLX+cZH8407&#10;NfbnrXxnp/83H07tDxP6Ao80dNqpjx4QletujLJUhHlCGYfZIIQsZ1IgaNMWQHiD2+knHqQRlkFy&#10;eyn8eKS6FwUCHYE4/N107IblIk7dD6FD6c9TCAF95AJR18eO4+0tD5HW1drae1cRGKp3fhM2EfK9&#10;R8gMyvXOVanAHDuZdH3maI+gPWiNF12zagIJnPp+es0K8j0Sg4HImFbzqxLv5DWz7o4ZpEgcAtK+&#10;u8VPIaHOKLQSJRsw34/pvT0yF+5SUiPlZtR+2zIjKJGfFd7Sj+lohGFdWIzGU89I5nBndbijttUS&#10;8BqniAbNg+jtnezEwkD1hK/DwmfFLaY45s4od6ZbLF18CvB94WKxCGbIy5q5a/WguQ/u++x55rF5&#10;Yka3xOSQ026go2c2e8FJ0dZ7KlhsHRRlIKznvrYTQE6PBBLfH/9oHK6D1fMrOf8BAAD//wMAUEsD&#10;BBQABgAIAAAAIQDeBluA3AAAAAkBAAAPAAAAZHJzL2Rvd25yZXYueG1sTI9BS8NAEIXvgv9hGcGb&#10;3RhsDTGbUlq8CIJWEbxNs+MmmJ0N2W0a/73jyR4fb/jme9V69r2aaIxdYAO3iwwUcRNsx87A+9vj&#10;TQEqJmSLfWAy8EMR1vXlRYWlDSd+pWmfnBIIxxINtCkNpdaxacljXISBWLqvMHpMEken7Ygngfte&#10;51m20h47lg8tDrRtqfneH72Bu+e0w4k+0tPnzvVb6zaz5xdjrq/mzQOoRHP6P4Y/fVGHWpwO4cg2&#10;ql7yfS5bkoF8CUr6VVFIPgg8K5ag60qfL6h/AQAA//8DAFBLAQItABQABgAIAAAAIQC2gziS/gAA&#10;AOEBAAATAAAAAAAAAAAAAAAAAAAAAABbQ29udGVudF9UeXBlc10ueG1sUEsBAi0AFAAGAAgAAAAh&#10;ADj9If/WAAAAlAEAAAsAAAAAAAAAAAAAAAAALwEAAF9yZWxzLy5yZWxzUEsBAi0AFAAGAAgAAAAh&#10;AACdK6j7AgAAbQcAAA4AAAAAAAAAAAAAAAAALgIAAGRycy9lMm9Eb2MueG1sUEsBAi0AFAAGAAgA&#10;AAAhAN4GW4DcAAAACQEAAA8AAAAAAAAAAAAAAAAAVQUAAGRycy9kb3ducmV2LnhtbFBLBQYAAAAA&#10;BAAEAPMAAABeBgAAAAA=&#10;" adj="14035,6551,16200,8676" fillcolor="#c5e0b3 [1305]" strokecolor="#1f4d78 [1604]" strokeweight="1pt">
                <v:fill color2="#cde0f2 [980]" colors="0 #c5e0b4;48497f #b5d2ec;54395f #b5d2ec;1 #cee1f2" focus="100%" type="gradient"/>
                <v:textbox>
                  <w:txbxContent>
                    <w:p w:rsidR="000357C4" w:rsidRPr="00AB38E0" w:rsidRDefault="000357C4" w:rsidP="00AB38E0">
                      <w:pPr>
                        <w:shd w:val="clear" w:color="auto" w:fill="2E74B5" w:themeFill="accent1" w:themeFillShade="BF"/>
                        <w:autoSpaceDE w:val="0"/>
                        <w:autoSpaceDN w:val="0"/>
                        <w:adjustRightInd w:val="0"/>
                        <w:jc w:val="center"/>
                        <w:rPr>
                          <w:color w:val="FFFFFF" w:themeColor="background1"/>
                          <w:sz w:val="28"/>
                          <w:szCs w:val="28"/>
                        </w:rPr>
                      </w:pPr>
                      <w:r w:rsidRPr="00AB38E0">
                        <w:rPr>
                          <w:color w:val="FFFFFF" w:themeColor="background1"/>
                          <w:sz w:val="28"/>
                          <w:szCs w:val="28"/>
                        </w:rPr>
                        <w:t xml:space="preserve">As the dual-process model of coping with bereavement was designed to overcome limitations and build on strengths already seen in Bowlbys </w:t>
                      </w:r>
                      <w:r w:rsidR="006C769E">
                        <w:rPr>
                          <w:color w:val="FFFFFF" w:themeColor="background1"/>
                          <w:sz w:val="28"/>
                          <w:szCs w:val="28"/>
                        </w:rPr>
                        <w:t>(1973</w:t>
                      </w:r>
                      <w:r w:rsidRPr="00AB38E0">
                        <w:rPr>
                          <w:color w:val="FFFFFF" w:themeColor="background1"/>
                          <w:sz w:val="28"/>
                          <w:szCs w:val="28"/>
                        </w:rPr>
                        <w:t>) attachment theory (Stroebe &amp; Schut, 2016) it will be explored below.</w:t>
                      </w:r>
                    </w:p>
                    <w:p w:rsidR="000357C4" w:rsidRDefault="000357C4" w:rsidP="00AB38E0">
                      <w:pPr>
                        <w:shd w:val="clear" w:color="auto" w:fill="2E74B5" w:themeFill="accent1" w:themeFillShade="BF"/>
                        <w:jc w:val="center"/>
                      </w:pPr>
                    </w:p>
                  </w:txbxContent>
                </v:textbox>
                <w10:wrap anchorx="margin"/>
              </v:shape>
            </w:pict>
          </mc:Fallback>
        </mc:AlternateContent>
      </w:r>
    </w:p>
    <w:p w:rsidR="00635EF7" w:rsidRDefault="00635EF7" w:rsidP="00155817">
      <w:pPr>
        <w:autoSpaceDE w:val="0"/>
        <w:autoSpaceDN w:val="0"/>
        <w:adjustRightInd w:val="0"/>
        <w:rPr>
          <w:sz w:val="28"/>
          <w:szCs w:val="28"/>
        </w:rPr>
      </w:pPr>
    </w:p>
    <w:p w:rsidR="00635EF7" w:rsidRDefault="001F7D1A" w:rsidP="00155817">
      <w:pPr>
        <w:autoSpaceDE w:val="0"/>
        <w:autoSpaceDN w:val="0"/>
        <w:adjustRightInd w:val="0"/>
        <w:rPr>
          <w:rFonts w:ascii="Tw Cen MT" w:hAnsi="Tw Cen MT"/>
          <w:color w:val="EC44CC"/>
          <w:sz w:val="144"/>
          <w:szCs w:val="144"/>
        </w:rPr>
      </w:pPr>
      <w:r w:rsidRPr="001F7D1A">
        <w:rPr>
          <w:rFonts w:ascii="Tw Cen MT" w:hAnsi="Tw Cen MT"/>
          <w:color w:val="EC44CC"/>
          <w:sz w:val="144"/>
          <w:szCs w:val="144"/>
        </w:rPr>
        <w:t xml:space="preserve">                                                                         </w:t>
      </w:r>
      <w:r w:rsidR="00635EF7">
        <w:rPr>
          <w:rFonts w:ascii="Tw Cen MT" w:hAnsi="Tw Cen MT"/>
          <w:color w:val="EC44CC"/>
          <w:sz w:val="144"/>
          <w:szCs w:val="144"/>
        </w:rPr>
        <w:t xml:space="preserve">                          </w:t>
      </w:r>
    </w:p>
    <w:p w:rsidR="00635EF7" w:rsidRDefault="00635EF7" w:rsidP="00155817">
      <w:pPr>
        <w:autoSpaceDE w:val="0"/>
        <w:autoSpaceDN w:val="0"/>
        <w:adjustRightInd w:val="0"/>
        <w:rPr>
          <w:color w:val="FFC000"/>
          <w:sz w:val="48"/>
          <w:szCs w:val="48"/>
        </w:rPr>
      </w:pPr>
    </w:p>
    <w:p w:rsidR="00A345FF" w:rsidRPr="00B15BB9" w:rsidRDefault="00A345FF" w:rsidP="00155817">
      <w:pPr>
        <w:autoSpaceDE w:val="0"/>
        <w:autoSpaceDN w:val="0"/>
        <w:adjustRightInd w:val="0"/>
        <w:rPr>
          <w:rFonts w:ascii="Tw Cen MT" w:hAnsi="Tw Cen MT"/>
          <w:color w:val="EC44CC"/>
          <w:sz w:val="144"/>
          <w:szCs w:val="144"/>
        </w:rPr>
      </w:pPr>
      <w:r w:rsidRPr="00B15BB9">
        <w:rPr>
          <w:color w:val="FFC000"/>
          <w:sz w:val="48"/>
          <w:szCs w:val="48"/>
        </w:rPr>
        <w:t>The Dual-Process Model of Co</w:t>
      </w:r>
      <w:r w:rsidR="006C769E">
        <w:rPr>
          <w:color w:val="FFC000"/>
          <w:sz w:val="48"/>
          <w:szCs w:val="48"/>
        </w:rPr>
        <w:t>ping with Bereavement</w:t>
      </w:r>
      <w:r w:rsidR="00B15BB9">
        <w:rPr>
          <w:color w:val="FFC000"/>
          <w:sz w:val="48"/>
          <w:szCs w:val="48"/>
        </w:rPr>
        <w:t xml:space="preserve"> Stroebe and Schut (</w:t>
      </w:r>
      <w:r w:rsidRPr="00B15BB9">
        <w:rPr>
          <w:color w:val="FFC000"/>
          <w:sz w:val="48"/>
          <w:szCs w:val="48"/>
        </w:rPr>
        <w:t>1999).</w:t>
      </w:r>
    </w:p>
    <w:p w:rsidR="00A345FF" w:rsidRDefault="00065943" w:rsidP="00550BD6">
      <w:pPr>
        <w:spacing w:after="0" w:line="240" w:lineRule="auto"/>
        <w:rPr>
          <w:sz w:val="28"/>
          <w:szCs w:val="28"/>
        </w:rPr>
      </w:pPr>
      <w:r>
        <w:rPr>
          <w:sz w:val="28"/>
          <w:szCs w:val="28"/>
        </w:rPr>
        <w:t xml:space="preserve">The </w:t>
      </w:r>
      <w:r w:rsidR="00A345FF" w:rsidRPr="00A345FF">
        <w:rPr>
          <w:sz w:val="28"/>
          <w:szCs w:val="28"/>
        </w:rPr>
        <w:t>Dual-Process Model of Coping with Bereavement (Stroebe &amp; Schut</w:t>
      </w:r>
      <w:r w:rsidR="006C769E">
        <w:rPr>
          <w:sz w:val="28"/>
          <w:szCs w:val="28"/>
        </w:rPr>
        <w:t xml:space="preserve">, </w:t>
      </w:r>
      <w:r w:rsidR="00A345FF" w:rsidRPr="00A345FF">
        <w:rPr>
          <w:sz w:val="28"/>
          <w:szCs w:val="28"/>
        </w:rPr>
        <w:t xml:space="preserve">1999) suggests that as a result of </w:t>
      </w:r>
      <w:r w:rsidR="00DD35F4" w:rsidRPr="00A345FF">
        <w:rPr>
          <w:sz w:val="28"/>
          <w:szCs w:val="28"/>
        </w:rPr>
        <w:t>losing</w:t>
      </w:r>
      <w:r w:rsidR="00A345FF" w:rsidRPr="00A345FF">
        <w:rPr>
          <w:sz w:val="28"/>
          <w:szCs w:val="28"/>
        </w:rPr>
        <w:t xml:space="preserve"> a spouse to death, there are two methods a bereaved person may take in order to cope</w:t>
      </w:r>
      <w:r w:rsidR="00550BD6">
        <w:rPr>
          <w:sz w:val="28"/>
          <w:szCs w:val="28"/>
        </w:rPr>
        <w:t xml:space="preserve">. </w:t>
      </w:r>
      <w:r w:rsidR="00A345FF" w:rsidRPr="00A345FF">
        <w:rPr>
          <w:sz w:val="28"/>
          <w:szCs w:val="28"/>
        </w:rPr>
        <w:t>The methods are, loss orientated coping and restoration-orientated coping. During loss-orientated coping, the bereaved person attempts to process or resolve some aspect of the loss itself such as focusing on and dealing with intrusive thoughts which surround the death (Hall, 2017)</w:t>
      </w:r>
      <w:r w:rsidR="00550BD6">
        <w:rPr>
          <w:sz w:val="28"/>
          <w:szCs w:val="28"/>
        </w:rPr>
        <w:t>,</w:t>
      </w:r>
      <w:r w:rsidR="00A345FF" w:rsidRPr="00A345FF">
        <w:rPr>
          <w:sz w:val="28"/>
          <w:szCs w:val="28"/>
        </w:rPr>
        <w:t xml:space="preserve"> thinking of and painful dwelling on the deceased person and looking at old photographs (</w:t>
      </w:r>
      <w:r w:rsidR="00A345FF" w:rsidRPr="00A345FF">
        <w:rPr>
          <w:color w:val="222222"/>
          <w:sz w:val="28"/>
          <w:szCs w:val="28"/>
        </w:rPr>
        <w:t>Wittenberg-Lyles et al., 2015)</w:t>
      </w:r>
      <w:r w:rsidR="00A345FF" w:rsidRPr="00A345FF">
        <w:rPr>
          <w:sz w:val="28"/>
          <w:szCs w:val="28"/>
        </w:rPr>
        <w:t>. When the bereaved individual attempts to adapt to and master the challenges of daily life which may have altered due to the loss of the loved one this is known as restoration-orientated coping. An example of this would be mastering new skills, and doing new things in order to distract oneself from the grief (Hall, 2017) as well as practical matters such as such as learning to manage finances or prepare meals if these tasks were previously managed by a now deceased spouse (Wittenber</w:t>
      </w:r>
      <w:r w:rsidR="006C769E">
        <w:rPr>
          <w:sz w:val="28"/>
          <w:szCs w:val="28"/>
        </w:rPr>
        <w:t>g</w:t>
      </w:r>
      <w:r w:rsidR="00A345FF" w:rsidRPr="00A345FF">
        <w:rPr>
          <w:sz w:val="28"/>
          <w:szCs w:val="28"/>
        </w:rPr>
        <w:t>-Lyles et al., 2015).</w:t>
      </w:r>
      <w:r w:rsidR="00A83D20">
        <w:rPr>
          <w:sz w:val="28"/>
          <w:szCs w:val="28"/>
        </w:rPr>
        <w:t xml:space="preserve"> It is suggested that in order </w:t>
      </w:r>
      <w:r w:rsidR="00550BD6" w:rsidRPr="00A345FF">
        <w:rPr>
          <w:sz w:val="28"/>
          <w:szCs w:val="28"/>
        </w:rPr>
        <w:t>to cop</w:t>
      </w:r>
      <w:r w:rsidR="00A83D20">
        <w:rPr>
          <w:sz w:val="28"/>
          <w:szCs w:val="28"/>
        </w:rPr>
        <w:t>e effectively, the bereaved should</w:t>
      </w:r>
      <w:r w:rsidR="00550BD6" w:rsidRPr="00A345FF">
        <w:rPr>
          <w:sz w:val="28"/>
          <w:szCs w:val="28"/>
        </w:rPr>
        <w:t xml:space="preserve"> oscil</w:t>
      </w:r>
      <w:r w:rsidR="006C769E">
        <w:rPr>
          <w:sz w:val="28"/>
          <w:szCs w:val="28"/>
        </w:rPr>
        <w:t>late between the two (Carr, 2006</w:t>
      </w:r>
      <w:r w:rsidR="00550BD6" w:rsidRPr="00A345FF">
        <w:rPr>
          <w:sz w:val="28"/>
          <w:szCs w:val="28"/>
        </w:rPr>
        <w:t>).</w:t>
      </w:r>
    </w:p>
    <w:p w:rsidR="00550BD6" w:rsidRDefault="00550BD6" w:rsidP="00550BD6">
      <w:pPr>
        <w:spacing w:after="0" w:line="240" w:lineRule="auto"/>
        <w:rPr>
          <w:sz w:val="28"/>
          <w:szCs w:val="28"/>
        </w:rPr>
      </w:pPr>
    </w:p>
    <w:p w:rsidR="00550BD6" w:rsidRDefault="000357C4" w:rsidP="00550BD6">
      <w:pPr>
        <w:spacing w:after="0" w:line="240" w:lineRule="auto"/>
        <w:rPr>
          <w:sz w:val="28"/>
          <w:szCs w:val="28"/>
        </w:rPr>
      </w:pPr>
      <w:r>
        <w:rPr>
          <w:noProof/>
          <w:sz w:val="28"/>
          <w:szCs w:val="28"/>
          <w:lang w:eastAsia="en-GB"/>
        </w:rPr>
        <w:drawing>
          <wp:inline distT="0" distB="0" distL="0" distR="0" wp14:anchorId="2EC4A27B" wp14:editId="489A1B8E">
            <wp:extent cx="4905077" cy="3581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Dual+Process+Model+of+Coping+with+Bereavement+Restoration+–oriente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76890" cy="3633834"/>
                    </a:xfrm>
                    <a:prstGeom prst="rect">
                      <a:avLst/>
                    </a:prstGeom>
                  </pic:spPr>
                </pic:pic>
              </a:graphicData>
            </a:graphic>
          </wp:inline>
        </w:drawing>
      </w:r>
    </w:p>
    <w:p w:rsidR="00550BD6" w:rsidRPr="00065943" w:rsidRDefault="0079304F" w:rsidP="00DD35F4">
      <w:pPr>
        <w:spacing w:after="0" w:line="240" w:lineRule="auto"/>
        <w:rPr>
          <w:color w:val="000000"/>
          <w:sz w:val="28"/>
          <w:szCs w:val="28"/>
        </w:rPr>
      </w:pPr>
      <w:bookmarkStart w:id="0" w:name="_GoBack"/>
      <w:bookmarkEnd w:id="0"/>
      <w:r w:rsidRPr="00065943">
        <w:rPr>
          <w:color w:val="000000"/>
          <w:sz w:val="28"/>
          <w:szCs w:val="28"/>
        </w:rPr>
        <w:lastRenderedPageBreak/>
        <w:t>Oscillation process shown by the line going back and forth between loss-orientated and restoration-orientated.</w:t>
      </w:r>
    </w:p>
    <w:p w:rsidR="00845F04" w:rsidRPr="00B72045" w:rsidRDefault="00301089" w:rsidP="00550BD6">
      <w:pPr>
        <w:spacing w:after="0" w:line="240" w:lineRule="auto"/>
        <w:rPr>
          <w:b/>
          <w:color w:val="92D050"/>
          <w:sz w:val="44"/>
          <w:szCs w:val="44"/>
        </w:rPr>
      </w:pPr>
      <w:r w:rsidRPr="00B72045">
        <w:rPr>
          <w:b/>
          <w:color w:val="92D050"/>
          <w:sz w:val="44"/>
          <w:szCs w:val="44"/>
        </w:rPr>
        <w:t>Strengths and weaknesses of the Dual Processing Model of Bereavement (DPM) Sroebe and Schut (1999).</w:t>
      </w:r>
    </w:p>
    <w:p w:rsidR="00301089" w:rsidRDefault="00301089" w:rsidP="00550BD6">
      <w:pPr>
        <w:spacing w:after="0" w:line="240" w:lineRule="auto"/>
        <w:rPr>
          <w:color w:val="92D050"/>
          <w:sz w:val="40"/>
          <w:szCs w:val="40"/>
        </w:rPr>
      </w:pPr>
    </w:p>
    <w:p w:rsidR="00301089" w:rsidRPr="00FA42B0" w:rsidRDefault="00301089" w:rsidP="00550BD6">
      <w:pPr>
        <w:spacing w:after="0" w:line="240" w:lineRule="auto"/>
        <w:rPr>
          <w:b/>
          <w:color w:val="EC44CC"/>
          <w:sz w:val="40"/>
          <w:szCs w:val="40"/>
        </w:rPr>
      </w:pPr>
      <w:r w:rsidRPr="00FA42B0">
        <w:rPr>
          <w:b/>
          <w:color w:val="EC44CC"/>
          <w:sz w:val="40"/>
          <w:szCs w:val="40"/>
        </w:rPr>
        <w:t>Strengths</w:t>
      </w:r>
    </w:p>
    <w:p w:rsidR="00301089" w:rsidRDefault="00301089" w:rsidP="00301089">
      <w:pPr>
        <w:pStyle w:val="ListBullet"/>
        <w:numPr>
          <w:ilvl w:val="0"/>
          <w:numId w:val="0"/>
        </w:numPr>
        <w:ind w:left="360"/>
      </w:pPr>
    </w:p>
    <w:p w:rsidR="00301089" w:rsidRPr="00724E3F" w:rsidRDefault="00301089" w:rsidP="00301089">
      <w:pPr>
        <w:pStyle w:val="ListBullet"/>
        <w:rPr>
          <w:b/>
          <w:color w:val="92D050"/>
          <w:sz w:val="28"/>
          <w:szCs w:val="28"/>
        </w:rPr>
      </w:pPr>
      <w:r w:rsidRPr="00724E3F">
        <w:rPr>
          <w:sz w:val="28"/>
          <w:szCs w:val="28"/>
        </w:rPr>
        <w:t>Unlike the five stages of grief theory (Kubler-Ross, 1969) this theory is considered to be more flexible as it takes into account bereavement does not have set stages or phases and appreciates that the individual will oscillate between coping methods (Hall, 2017).</w:t>
      </w:r>
    </w:p>
    <w:p w:rsidR="00301089" w:rsidRPr="00301089" w:rsidRDefault="00301089" w:rsidP="00301089">
      <w:pPr>
        <w:pStyle w:val="ListBullet"/>
        <w:rPr>
          <w:b/>
          <w:color w:val="92D050"/>
          <w:sz w:val="40"/>
          <w:szCs w:val="40"/>
        </w:rPr>
      </w:pPr>
      <w:r>
        <w:rPr>
          <w:sz w:val="28"/>
          <w:szCs w:val="28"/>
        </w:rPr>
        <w:t xml:space="preserve">The DPM </w:t>
      </w:r>
      <w:r w:rsidR="0087212C">
        <w:rPr>
          <w:sz w:val="28"/>
          <w:szCs w:val="28"/>
        </w:rPr>
        <w:t>recognizes</w:t>
      </w:r>
      <w:r>
        <w:rPr>
          <w:sz w:val="28"/>
          <w:szCs w:val="28"/>
        </w:rPr>
        <w:t xml:space="preserve"> that it is important to express feelings and also control feelings are important (Stroebe &amp; Schut, 1999).</w:t>
      </w:r>
    </w:p>
    <w:p w:rsidR="00301089" w:rsidRPr="00301089" w:rsidRDefault="00974AEC" w:rsidP="00301089">
      <w:pPr>
        <w:pStyle w:val="ListBullet"/>
        <w:rPr>
          <w:b/>
          <w:color w:val="92D050"/>
          <w:sz w:val="40"/>
          <w:szCs w:val="40"/>
        </w:rPr>
      </w:pPr>
      <w:r>
        <w:rPr>
          <w:noProof/>
          <w:lang w:val="en-GB" w:eastAsia="en-GB"/>
        </w:rPr>
        <mc:AlternateContent>
          <mc:Choice Requires="wps">
            <w:drawing>
              <wp:anchor distT="0" distB="0" distL="114300" distR="114300" simplePos="0" relativeHeight="251664384" behindDoc="1" locked="0" layoutInCell="1" allowOverlap="1" wp14:anchorId="5B1FEC61" wp14:editId="72BC1E40">
                <wp:simplePos x="0" y="0"/>
                <wp:positionH relativeFrom="column">
                  <wp:posOffset>3378200</wp:posOffset>
                </wp:positionH>
                <wp:positionV relativeFrom="paragraph">
                  <wp:posOffset>640715</wp:posOffset>
                </wp:positionV>
                <wp:extent cx="2882900" cy="1676400"/>
                <wp:effectExtent l="0" t="0" r="12700" b="19050"/>
                <wp:wrapTight wrapText="bothSides">
                  <wp:wrapPolygon edited="0">
                    <wp:start x="0" y="0"/>
                    <wp:lineTo x="0" y="21600"/>
                    <wp:lineTo x="21552" y="21600"/>
                    <wp:lineTo x="21552" y="0"/>
                    <wp:lineTo x="0" y="0"/>
                  </wp:wrapPolygon>
                </wp:wrapTight>
                <wp:docPr id="26" name="Rectangle 26"/>
                <wp:cNvGraphicFramePr/>
                <a:graphic xmlns:a="http://schemas.openxmlformats.org/drawingml/2006/main">
                  <a:graphicData uri="http://schemas.microsoft.com/office/word/2010/wordprocessingShape">
                    <wps:wsp>
                      <wps:cNvSpPr/>
                      <wps:spPr>
                        <a:xfrm>
                          <a:off x="0" y="0"/>
                          <a:ext cx="2882900" cy="1676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25D8B" w:rsidRPr="00974AEC" w:rsidRDefault="00325D8B" w:rsidP="00325D8B">
                            <w:pPr>
                              <w:jc w:val="center"/>
                              <w:rPr>
                                <w:sz w:val="28"/>
                                <w:szCs w:val="28"/>
                              </w:rPr>
                            </w:pPr>
                            <w:r w:rsidRPr="00974AEC">
                              <w:rPr>
                                <w:sz w:val="28"/>
                                <w:szCs w:val="28"/>
                              </w:rPr>
                              <w:t>A complicated grief intervention model containing components of the DPM has been designed for the south African context (Drenth, Herbst &amp; Strydom, 2010).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1FEC61" id="Rectangle 26" o:spid="_x0000_s1030" style="position:absolute;left:0;text-align:left;margin-left:266pt;margin-top:50.45pt;width:227pt;height:132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0+4fgIAAE4FAAAOAAAAZHJzL2Uyb0RvYy54bWysVFFP4zAMfj/p/kOU96PdNAZMdGgCcToJ&#10;AWKceM7SZK2UxjknW7v79eekXUGA7uF0e+ji2P5sf7ZzedU1hu0V+hpswScnOWfKSihruy34z+fb&#10;b+ec+SBsKQxYVfCD8vxq+fXLZesWagoVmFIhIxDrF60reBWCW2SZl5VqhD8BpywpNWAjAom4zUoU&#10;LaE3Jpvm+TxrAUuHIJX3dHvTK/ky4WutZHjQ2qvATMEpt5C+mL6b+M2Wl2KxReGqWg5piH/IohG1&#10;paAj1I0Igu2w/gDV1BLBgw4nEpoMtK6lSjVQNZP8XTXrSjiVaiFyvBtp8v8PVt7vH5HVZcGnc86s&#10;aKhHT8SasFujGN0RQa3zC7Jbu0ccJE/HWG2nsYn/VAfrEqmHkVTVBSbpcnp+Pr3IiXtJusn8bD4j&#10;gXCyV3eHPnxX0LB4KDhS/ESm2N/50JseTcgvptMnkE7hYFTMwdgnpamSGDJ5pxlS1wbZXlD3hZTK&#10;hkmvqkSp+uvTnH5DPqNHyi4BRmRdGzNiDwBxPj9i97kO9tFVpREcnfO/JdY7jx4pMtgwOje1BfwM&#10;wFBVQ+Te/khST01kKXSbLnV5Fi3jzQbKA3UeoV8J7+RtTezfCR8eBdIOUMdor8MDfbSBtuAwnDir&#10;AH9/dh/taTRJy1lLO1Vw/2snUHFmflga2ovJbBaXMAmz07MpCfhWs3mrsbvmGqhxE3pBnEzHaB/M&#10;8agRmhda/1WMSiphJcUuuAx4FK5Dv+v0gEi1WiUzWjwnwp1dOxnBI89xup67F4FuGMFA03sPx/0T&#10;i3eT2NtGTwurXQBdpzF95XXoAC1tGqXhgYmvwls5Wb0+g8s/AAAA//8DAFBLAwQUAAYACAAAACEA&#10;Ty0Uzt4AAAALAQAADwAAAGRycy9kb3ducmV2LnhtbEyPzU7DMBCE70i8g7VI3KjdFkKTxqlQJS5I&#10;HNryAG68jUP9E8VOk7w9ywmOuzOa+abcTc6yG/axDV7CciGAoa+Dbn0j4ev0/rQBFpPyWtngUcKM&#10;EXbV/V2pCh1Gf8DbMTWMQnwslASTUldwHmuDTsVF6NCTdgm9U4nOvuG6VyOFO8tXQmTcqdZTg1Ed&#10;7g3W1+PgqEThYV6+jvvrp5k+WrTzNw6zlI8P09sWWMIp/ZnhF5/QoSKmcxi8jsxKeFmvaEsiQYgc&#10;GDnyTUafs4R19pwDr0r+f0P1AwAA//8DAFBLAQItABQABgAIAAAAIQC2gziS/gAAAOEBAAATAAAA&#10;AAAAAAAAAAAAAAAAAABbQ29udGVudF9UeXBlc10ueG1sUEsBAi0AFAAGAAgAAAAhADj9If/WAAAA&#10;lAEAAAsAAAAAAAAAAAAAAAAALwEAAF9yZWxzLy5yZWxzUEsBAi0AFAAGAAgAAAAhAEHvT7h+AgAA&#10;TgUAAA4AAAAAAAAAAAAAAAAALgIAAGRycy9lMm9Eb2MueG1sUEsBAi0AFAAGAAgAAAAhAE8tFM7e&#10;AAAACwEAAA8AAAAAAAAAAAAAAAAA2AQAAGRycy9kb3ducmV2LnhtbFBLBQYAAAAABAAEAPMAAADj&#10;BQAAAAA=&#10;" fillcolor="#5b9bd5 [3204]" strokecolor="#1f4d78 [1604]" strokeweight="1pt">
                <v:textbox>
                  <w:txbxContent>
                    <w:p w:rsidR="00325D8B" w:rsidRPr="00974AEC" w:rsidRDefault="00325D8B" w:rsidP="00325D8B">
                      <w:pPr>
                        <w:jc w:val="center"/>
                        <w:rPr>
                          <w:sz w:val="28"/>
                          <w:szCs w:val="28"/>
                        </w:rPr>
                      </w:pPr>
                      <w:r w:rsidRPr="00974AEC">
                        <w:rPr>
                          <w:sz w:val="28"/>
                          <w:szCs w:val="28"/>
                        </w:rPr>
                        <w:t>A complicated grief intervention model containing components of the DPM has been designed for the south African context (Drenth, Herbst &amp; Strydom, 2010).</w:t>
                      </w:r>
                    </w:p>
                  </w:txbxContent>
                </v:textbox>
                <w10:wrap type="tight"/>
              </v:rect>
            </w:pict>
          </mc:Fallback>
        </mc:AlternateContent>
      </w:r>
      <w:r w:rsidR="00301089">
        <w:rPr>
          <w:sz w:val="28"/>
          <w:szCs w:val="28"/>
        </w:rPr>
        <w:t>This theory offers frameworks that guide interventions which enhances the bereaved individuals self-awareness and self-efficacy (Hall, 2017).</w:t>
      </w:r>
    </w:p>
    <w:p w:rsidR="00301089" w:rsidRPr="00301089" w:rsidRDefault="00301089" w:rsidP="00301089">
      <w:pPr>
        <w:pStyle w:val="ListBullet"/>
        <w:rPr>
          <w:b/>
          <w:color w:val="92D050"/>
          <w:sz w:val="40"/>
          <w:szCs w:val="40"/>
        </w:rPr>
      </w:pPr>
      <w:r>
        <w:rPr>
          <w:sz w:val="28"/>
          <w:szCs w:val="28"/>
        </w:rPr>
        <w:t>This theory also supports cultural and religious beliefs which may differ from one individual to another during the grieving process (Drenth, Herbst &amp; Strydom, 2010).</w:t>
      </w:r>
    </w:p>
    <w:p w:rsidR="00301089" w:rsidRPr="00301089" w:rsidRDefault="00301089" w:rsidP="00301089">
      <w:pPr>
        <w:pStyle w:val="ListBullet"/>
        <w:rPr>
          <w:b/>
          <w:color w:val="92D050"/>
          <w:sz w:val="40"/>
          <w:szCs w:val="40"/>
        </w:rPr>
      </w:pPr>
      <w:r>
        <w:rPr>
          <w:sz w:val="28"/>
          <w:szCs w:val="28"/>
        </w:rPr>
        <w:t>Following review of the DPM Stoebe and Schut recently added a more extensive family-level coping perspective to the model in order to appreciate family members may have alternate ways of coping with the loss, this allows new ways of communicating and adapting between family members (Stroebe &amp; Schut, 2015). This is the first time this factor has been specifically addressed as other models have also overlooked this factor (Stroebe &amp; Schut, 2017).</w:t>
      </w:r>
    </w:p>
    <w:p w:rsidR="00845F04" w:rsidRDefault="00845F04" w:rsidP="00550BD6">
      <w:pPr>
        <w:spacing w:after="0" w:line="240" w:lineRule="auto"/>
        <w:rPr>
          <w:sz w:val="28"/>
          <w:szCs w:val="28"/>
        </w:rPr>
      </w:pPr>
    </w:p>
    <w:p w:rsidR="00301089" w:rsidRPr="00FA42B0" w:rsidRDefault="00301089" w:rsidP="00550BD6">
      <w:pPr>
        <w:spacing w:after="0" w:line="240" w:lineRule="auto"/>
        <w:rPr>
          <w:b/>
          <w:color w:val="EC44CC"/>
          <w:sz w:val="40"/>
          <w:szCs w:val="40"/>
        </w:rPr>
      </w:pPr>
      <w:r w:rsidRPr="00FA42B0">
        <w:rPr>
          <w:b/>
          <w:color w:val="EC44CC"/>
          <w:sz w:val="40"/>
          <w:szCs w:val="40"/>
        </w:rPr>
        <w:t>Weaknesses</w:t>
      </w:r>
    </w:p>
    <w:p w:rsidR="00724E3F" w:rsidRDefault="00724E3F" w:rsidP="00550BD6">
      <w:pPr>
        <w:spacing w:after="0" w:line="240" w:lineRule="auto"/>
        <w:rPr>
          <w:color w:val="EC44CC"/>
          <w:sz w:val="40"/>
          <w:szCs w:val="40"/>
        </w:rPr>
      </w:pPr>
    </w:p>
    <w:p w:rsidR="00724E3F" w:rsidRDefault="00724E3F" w:rsidP="00724E3F">
      <w:pPr>
        <w:pStyle w:val="ListBullet"/>
        <w:rPr>
          <w:sz w:val="28"/>
          <w:szCs w:val="28"/>
        </w:rPr>
      </w:pPr>
      <w:r w:rsidRPr="00724E3F">
        <w:rPr>
          <w:sz w:val="28"/>
          <w:szCs w:val="28"/>
        </w:rPr>
        <w:t xml:space="preserve">Stroebe and Schut (2017) suggest there are complications which could arise from the oscillation process. They state that if the bereavement period is </w:t>
      </w:r>
      <w:r w:rsidRPr="00724E3F">
        <w:rPr>
          <w:sz w:val="28"/>
          <w:szCs w:val="28"/>
        </w:rPr>
        <w:lastRenderedPageBreak/>
        <w:t>particularly traumatic, alternating smoothly between the loss-orientated and restoration-orientated coping methods may prove difficult and the bereavement process will not be completed (Stroebe &amp; Schut, 2017).</w:t>
      </w:r>
    </w:p>
    <w:p w:rsidR="00724E3F" w:rsidRPr="00724E3F" w:rsidRDefault="00724E3F" w:rsidP="00724E3F">
      <w:pPr>
        <w:pStyle w:val="ListBullet"/>
        <w:numPr>
          <w:ilvl w:val="0"/>
          <w:numId w:val="0"/>
        </w:numPr>
        <w:ind w:left="426"/>
        <w:rPr>
          <w:sz w:val="28"/>
          <w:szCs w:val="28"/>
        </w:rPr>
      </w:pPr>
    </w:p>
    <w:p w:rsidR="00724E3F" w:rsidRDefault="00724E3F" w:rsidP="00724E3F">
      <w:pPr>
        <w:pStyle w:val="ListBullet"/>
        <w:rPr>
          <w:sz w:val="28"/>
          <w:szCs w:val="28"/>
        </w:rPr>
      </w:pPr>
      <w:r w:rsidRPr="00724E3F">
        <w:rPr>
          <w:sz w:val="28"/>
          <w:szCs w:val="28"/>
        </w:rPr>
        <w:t>Stroebe and Schut (2017) also highlight a factor they consider to be a missing link in their model which is overload. They feel the possibility of overload has been overlooked, there is the possibility that an individual will find there is too much to deal with and will not be able to cope at all resulting in the individual feeling pressurised, anxious and worn out (Stroebe &amp; Schut, 2017).</w:t>
      </w:r>
    </w:p>
    <w:p w:rsidR="00635EF7" w:rsidRDefault="00710E71" w:rsidP="00635EF7">
      <w:pPr>
        <w:pStyle w:val="ListParagraph"/>
        <w:rPr>
          <w:sz w:val="28"/>
          <w:szCs w:val="28"/>
        </w:rPr>
      </w:pPr>
      <w:r>
        <w:rPr>
          <w:noProof/>
          <w:sz w:val="28"/>
          <w:szCs w:val="28"/>
          <w:lang w:eastAsia="en-GB"/>
        </w:rPr>
        <mc:AlternateContent>
          <mc:Choice Requires="wps">
            <w:drawing>
              <wp:anchor distT="0" distB="0" distL="114300" distR="114300" simplePos="0" relativeHeight="251665408" behindDoc="1" locked="0" layoutInCell="1" allowOverlap="1" wp14:anchorId="425306F8" wp14:editId="063F4199">
                <wp:simplePos x="0" y="0"/>
                <wp:positionH relativeFrom="margin">
                  <wp:align>left</wp:align>
                </wp:positionH>
                <wp:positionV relativeFrom="paragraph">
                  <wp:posOffset>558800</wp:posOffset>
                </wp:positionV>
                <wp:extent cx="5715000" cy="3302000"/>
                <wp:effectExtent l="0" t="0" r="19050" b="12700"/>
                <wp:wrapTight wrapText="bothSides">
                  <wp:wrapPolygon edited="0">
                    <wp:start x="0" y="0"/>
                    <wp:lineTo x="0" y="21558"/>
                    <wp:lineTo x="21600" y="21558"/>
                    <wp:lineTo x="21600" y="0"/>
                    <wp:lineTo x="0" y="0"/>
                  </wp:wrapPolygon>
                </wp:wrapTight>
                <wp:docPr id="27" name="Rectangle 27"/>
                <wp:cNvGraphicFramePr/>
                <a:graphic xmlns:a="http://schemas.openxmlformats.org/drawingml/2006/main">
                  <a:graphicData uri="http://schemas.microsoft.com/office/word/2010/wordprocessingShape">
                    <wps:wsp>
                      <wps:cNvSpPr/>
                      <wps:spPr>
                        <a:xfrm>
                          <a:off x="0" y="0"/>
                          <a:ext cx="5715000" cy="330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74AEC" w:rsidRPr="006F22E5" w:rsidRDefault="00974AEC" w:rsidP="00974AEC">
                            <w:pPr>
                              <w:jc w:val="center"/>
                              <w:rPr>
                                <w:sz w:val="24"/>
                                <w:szCs w:val="24"/>
                              </w:rPr>
                            </w:pPr>
                            <w:r w:rsidRPr="006F22E5">
                              <w:rPr>
                                <w:sz w:val="24"/>
                                <w:szCs w:val="24"/>
                              </w:rPr>
                              <w:t>Research in support of the DPM providing adequate coping strategies for bereaved older adults was conducted by Ryckebosch-Dayez et al., (2016). In their study, forty widowed older adults between the ages of 57-83 were req</w:t>
                            </w:r>
                            <w:r w:rsidR="006F22E5">
                              <w:rPr>
                                <w:sz w:val="24"/>
                                <w:szCs w:val="24"/>
                              </w:rPr>
                              <w:t>uested to complete a daily</w:t>
                            </w:r>
                            <w:r w:rsidR="00D324CE">
                              <w:rPr>
                                <w:sz w:val="24"/>
                                <w:szCs w:val="24"/>
                              </w:rPr>
                              <w:t xml:space="preserve"> diary</w:t>
                            </w:r>
                            <w:r w:rsidRPr="006F22E5">
                              <w:rPr>
                                <w:sz w:val="24"/>
                                <w:szCs w:val="24"/>
                              </w:rPr>
                              <w:t xml:space="preserve"> noting the frequency of stressors relating to bereavement and the coping method used to </w:t>
                            </w:r>
                            <w:r w:rsidR="006F22E5" w:rsidRPr="006F22E5">
                              <w:rPr>
                                <w:sz w:val="24"/>
                                <w:szCs w:val="24"/>
                              </w:rPr>
                              <w:t>overcome</w:t>
                            </w:r>
                            <w:r w:rsidRPr="006F22E5">
                              <w:rPr>
                                <w:sz w:val="24"/>
                                <w:szCs w:val="24"/>
                              </w:rPr>
                              <w:t xml:space="preserve"> them over the period of a week. The results showed significant findings in support of DPM and</w:t>
                            </w:r>
                            <w:r w:rsidR="00E30A24" w:rsidRPr="006F22E5">
                              <w:rPr>
                                <w:sz w:val="24"/>
                                <w:szCs w:val="24"/>
                              </w:rPr>
                              <w:t xml:space="preserve"> that loss-orientated coping methods and restoration-orientated coping methods were used in oscillation as a mean</w:t>
                            </w:r>
                            <w:r w:rsidR="007038A5">
                              <w:rPr>
                                <w:sz w:val="24"/>
                                <w:szCs w:val="24"/>
                              </w:rPr>
                              <w:t>s</w:t>
                            </w:r>
                            <w:r w:rsidR="00E30A24" w:rsidRPr="006F22E5">
                              <w:rPr>
                                <w:sz w:val="24"/>
                                <w:szCs w:val="24"/>
                              </w:rPr>
                              <w:t xml:space="preserve"> to cope with stressors of bereavement. Although this study is in support of DPM, there are limiting factors which may have impacted the results, such as, sampling of the participants may have been biased as the emotional level of the participants was not known </w:t>
                            </w:r>
                            <w:r w:rsidR="006F22E5" w:rsidRPr="006F22E5">
                              <w:rPr>
                                <w:sz w:val="24"/>
                                <w:szCs w:val="24"/>
                              </w:rPr>
                              <w:t>beforehand</w:t>
                            </w:r>
                            <w:r w:rsidR="00E30A24" w:rsidRPr="006F22E5">
                              <w:rPr>
                                <w:sz w:val="24"/>
                                <w:szCs w:val="24"/>
                              </w:rPr>
                              <w:t xml:space="preserve">. No examination as to whether the oscillation between the coping </w:t>
                            </w:r>
                            <w:r w:rsidR="006F22E5" w:rsidRPr="006F22E5">
                              <w:rPr>
                                <w:sz w:val="24"/>
                                <w:szCs w:val="24"/>
                              </w:rPr>
                              <w:t>strategies</w:t>
                            </w:r>
                            <w:r w:rsidR="00E30A24" w:rsidRPr="006F22E5">
                              <w:rPr>
                                <w:sz w:val="24"/>
                                <w:szCs w:val="24"/>
                              </w:rPr>
                              <w:t xml:space="preserve"> was the effective process. Using a diary to record the data as in some cases </w:t>
                            </w:r>
                            <w:r w:rsidR="006F22E5" w:rsidRPr="006F22E5">
                              <w:rPr>
                                <w:sz w:val="24"/>
                                <w:szCs w:val="24"/>
                              </w:rPr>
                              <w:t>participants</w:t>
                            </w:r>
                            <w:r w:rsidR="00E30A24" w:rsidRPr="006F22E5">
                              <w:rPr>
                                <w:sz w:val="24"/>
                                <w:szCs w:val="24"/>
                              </w:rPr>
                              <w:t xml:space="preserve"> recorded this as a stressor in itself. </w:t>
                            </w:r>
                            <w:r w:rsidR="006F22E5" w:rsidRPr="006F22E5">
                              <w:rPr>
                                <w:sz w:val="24"/>
                                <w:szCs w:val="24"/>
                              </w:rPr>
                              <w:t>Although this is could also have an advantage as partic</w:t>
                            </w:r>
                            <w:r w:rsidR="00710E71">
                              <w:rPr>
                                <w:sz w:val="24"/>
                                <w:szCs w:val="24"/>
                              </w:rPr>
                              <w:t>ipants were able to take part i</w:t>
                            </w:r>
                            <w:r w:rsidR="006F22E5" w:rsidRPr="006F22E5">
                              <w:rPr>
                                <w:sz w:val="24"/>
                                <w:szCs w:val="24"/>
                              </w:rPr>
                              <w:t>n the comfort of their own home (Ryckebosch-Davez et al.,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5306F8" id="Rectangle 27" o:spid="_x0000_s1031" style="position:absolute;left:0;text-align:left;margin-left:0;margin-top:44pt;width:450pt;height:260pt;z-index:-2516510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XTPfgIAAE4FAAAOAAAAZHJzL2Uyb0RvYy54bWysVN9P3DAMfp+0/yHK+2jv4AY70UMnENMk&#10;BAiYeM6lybVSGmdO7trbXz8n/QECtIdpL20c25/tz3bOL7rGsL1CX4Mt+Owo50xZCWVttwX/+XT9&#10;5YwzH4QthQGrCn5Qnl+sPn86b91SzaECUypkBGL9snUFr0JwyyzzslKN8EfglCWlBmxEIBG3WYmi&#10;JfTGZPM8/5q1gKVDkMp7ur3qlXyV8LVWMtxp7VVgpuCUW0hfTN9N/Garc7HconBVLYc0xD9k0Yja&#10;UtAJ6koEwXZYv4NqaongQYcjCU0GWtdSpRqomln+pprHSjiVaiFyvJto8v8PVt7u75HVZcHnp5xZ&#10;0VCPHog1YbdGMbojglrnl2T36O5xkDwdY7Wdxib+qQ7WJVIPE6mqC0zS5eJ0tshz4l6S7vg4p64l&#10;2rMXd4c+fFfQsHgoOFL8RKbY3/hAIcl0NCEhptMnkE7hYFTMwdgHpakSCjlP3mmG1KVBthfUfSGl&#10;smHWqypRqv465jbmM3mkkAkwIuvamAl7AIjz+R67z3Wwj64qjeDknP8tsd558kiRwYbJuakt4EcA&#10;hqoaIvf2I0k9NZGl0G261OXF2NANlAfqPEK/Et7J65rYvxE+3AukHaCO0V6HO/poA23BYThxVgH+&#10;/ug+2tNokpazlnaq4P7XTqDizPywNLTfZicncQmTcLI4nZOArzWb1xq7ay6BGjejF8TJdIz2wYxH&#10;jdA80/qvY1RSCSspdsFlwFG4DP2u0wMi1XqdzGjxnAg39tHJCB55jtP11D0LdMMIBpreWxj3Tyzf&#10;TGJvGz0trHcBdJ3GNDLd8zp0gJY2jdLwwMRX4bWcrF6ewdUfAAAA//8DAFBLAwQUAAYACAAAACEA&#10;z4pyDtkAAAAHAQAADwAAAGRycy9kb3ducmV2LnhtbEyPTU7DMBCF90jcwRokdtQui5KGOFVViQ0S&#10;ixYO4MZDnNYeR7HTJLdnWMFqft7ovW+q3Ry8uOGQukga1isFAqmJtqNWw9fn21MBImVD1vhIqGHB&#10;BLv6/q4ypY0THfF2yq1gE0ql0eBy7kspU+MwmLSKPRJr33EIJvM4tNIOZmLz4OWzUhsZTEec4EyP&#10;B4fN9TQGDjF4XNYv0+H64eb3Dv1ywXHR+vFh3r+CyDjnv2P4xWd0qJnpHEeySXgN/EjWUBRcWd0q&#10;xc1Zw0bxRtaV/M9f/wAAAP//AwBQSwECLQAUAAYACAAAACEAtoM4kv4AAADhAQAAEwAAAAAAAAAA&#10;AAAAAAAAAAAAW0NvbnRlbnRfVHlwZXNdLnhtbFBLAQItABQABgAIAAAAIQA4/SH/1gAAAJQBAAAL&#10;AAAAAAAAAAAAAAAAAC8BAABfcmVscy8ucmVsc1BLAQItABQABgAIAAAAIQAMxXTPfgIAAE4FAAAO&#10;AAAAAAAAAAAAAAAAAC4CAABkcnMvZTJvRG9jLnhtbFBLAQItABQABgAIAAAAIQDPinIO2QAAAAcB&#10;AAAPAAAAAAAAAAAAAAAAANgEAABkcnMvZG93bnJldi54bWxQSwUGAAAAAAQABADzAAAA3gUAAAAA&#10;" fillcolor="#5b9bd5 [3204]" strokecolor="#1f4d78 [1604]" strokeweight="1pt">
                <v:textbox>
                  <w:txbxContent>
                    <w:p w:rsidR="00974AEC" w:rsidRPr="006F22E5" w:rsidRDefault="00974AEC" w:rsidP="00974AEC">
                      <w:pPr>
                        <w:jc w:val="center"/>
                        <w:rPr>
                          <w:sz w:val="24"/>
                          <w:szCs w:val="24"/>
                        </w:rPr>
                      </w:pPr>
                      <w:r w:rsidRPr="006F22E5">
                        <w:rPr>
                          <w:sz w:val="24"/>
                          <w:szCs w:val="24"/>
                        </w:rPr>
                        <w:t>Research in support of the DPM providing adequate coping strategies for bereaved older adults was conducted by Ryckebosch-Dayez et al., (2016). In their study, forty widowed older adults between the ages of 57-83 were req</w:t>
                      </w:r>
                      <w:r w:rsidR="006F22E5">
                        <w:rPr>
                          <w:sz w:val="24"/>
                          <w:szCs w:val="24"/>
                        </w:rPr>
                        <w:t>uested to complete a daily</w:t>
                      </w:r>
                      <w:r w:rsidR="00D324CE">
                        <w:rPr>
                          <w:sz w:val="24"/>
                          <w:szCs w:val="24"/>
                        </w:rPr>
                        <w:t xml:space="preserve"> diary</w:t>
                      </w:r>
                      <w:r w:rsidRPr="006F22E5">
                        <w:rPr>
                          <w:sz w:val="24"/>
                          <w:szCs w:val="24"/>
                        </w:rPr>
                        <w:t xml:space="preserve"> noting the frequency of stressors relating to bereavement and the coping method used to </w:t>
                      </w:r>
                      <w:r w:rsidR="006F22E5" w:rsidRPr="006F22E5">
                        <w:rPr>
                          <w:sz w:val="24"/>
                          <w:szCs w:val="24"/>
                        </w:rPr>
                        <w:t>overcome</w:t>
                      </w:r>
                      <w:r w:rsidRPr="006F22E5">
                        <w:rPr>
                          <w:sz w:val="24"/>
                          <w:szCs w:val="24"/>
                        </w:rPr>
                        <w:t xml:space="preserve"> them over the period of a week. The results showed significant findings in support of DPM and</w:t>
                      </w:r>
                      <w:r w:rsidR="00E30A24" w:rsidRPr="006F22E5">
                        <w:rPr>
                          <w:sz w:val="24"/>
                          <w:szCs w:val="24"/>
                        </w:rPr>
                        <w:t xml:space="preserve"> that loss-orientated coping methods and restoration-orientated coping methods were used in oscillation as a mean</w:t>
                      </w:r>
                      <w:r w:rsidR="007038A5">
                        <w:rPr>
                          <w:sz w:val="24"/>
                          <w:szCs w:val="24"/>
                        </w:rPr>
                        <w:t>s</w:t>
                      </w:r>
                      <w:r w:rsidR="00E30A24" w:rsidRPr="006F22E5">
                        <w:rPr>
                          <w:sz w:val="24"/>
                          <w:szCs w:val="24"/>
                        </w:rPr>
                        <w:t xml:space="preserve"> to cope with stressors of bereavement. Although this study is in support of DPM, there are limiting factors which may have impacted the results, such as, sampling of the participants may have been biased as the emotional level of the participants was not known </w:t>
                      </w:r>
                      <w:r w:rsidR="006F22E5" w:rsidRPr="006F22E5">
                        <w:rPr>
                          <w:sz w:val="24"/>
                          <w:szCs w:val="24"/>
                        </w:rPr>
                        <w:t>beforehand</w:t>
                      </w:r>
                      <w:r w:rsidR="00E30A24" w:rsidRPr="006F22E5">
                        <w:rPr>
                          <w:sz w:val="24"/>
                          <w:szCs w:val="24"/>
                        </w:rPr>
                        <w:t xml:space="preserve">. No examination as to whether the oscillation between the coping </w:t>
                      </w:r>
                      <w:r w:rsidR="006F22E5" w:rsidRPr="006F22E5">
                        <w:rPr>
                          <w:sz w:val="24"/>
                          <w:szCs w:val="24"/>
                        </w:rPr>
                        <w:t>strategies</w:t>
                      </w:r>
                      <w:r w:rsidR="00E30A24" w:rsidRPr="006F22E5">
                        <w:rPr>
                          <w:sz w:val="24"/>
                          <w:szCs w:val="24"/>
                        </w:rPr>
                        <w:t xml:space="preserve"> was the effective process. Using a diary to record the data as in some cases </w:t>
                      </w:r>
                      <w:r w:rsidR="006F22E5" w:rsidRPr="006F22E5">
                        <w:rPr>
                          <w:sz w:val="24"/>
                          <w:szCs w:val="24"/>
                        </w:rPr>
                        <w:t>participants</w:t>
                      </w:r>
                      <w:r w:rsidR="00E30A24" w:rsidRPr="006F22E5">
                        <w:rPr>
                          <w:sz w:val="24"/>
                          <w:szCs w:val="24"/>
                        </w:rPr>
                        <w:t xml:space="preserve"> recorded this as a stressor in itself. </w:t>
                      </w:r>
                      <w:r w:rsidR="006F22E5" w:rsidRPr="006F22E5">
                        <w:rPr>
                          <w:sz w:val="24"/>
                          <w:szCs w:val="24"/>
                        </w:rPr>
                        <w:t>Although this is could also have an advantage as partic</w:t>
                      </w:r>
                      <w:r w:rsidR="00710E71">
                        <w:rPr>
                          <w:sz w:val="24"/>
                          <w:szCs w:val="24"/>
                        </w:rPr>
                        <w:t>ipants were able to take part i</w:t>
                      </w:r>
                      <w:r w:rsidR="006F22E5" w:rsidRPr="006F22E5">
                        <w:rPr>
                          <w:sz w:val="24"/>
                          <w:szCs w:val="24"/>
                        </w:rPr>
                        <w:t>n the comfort of their own home (Ryckebosch-Davez et al., 2016).</w:t>
                      </w:r>
                    </w:p>
                  </w:txbxContent>
                </v:textbox>
                <w10:wrap type="tight" anchorx="margin"/>
              </v:rect>
            </w:pict>
          </mc:Fallback>
        </mc:AlternateContent>
      </w:r>
    </w:p>
    <w:p w:rsidR="00635EF7" w:rsidRPr="00635EF7" w:rsidRDefault="00635EF7" w:rsidP="00710E71">
      <w:pPr>
        <w:pStyle w:val="ListBullet"/>
        <w:numPr>
          <w:ilvl w:val="0"/>
          <w:numId w:val="0"/>
        </w:numPr>
        <w:rPr>
          <w:color w:val="FFC000"/>
          <w:sz w:val="44"/>
          <w:szCs w:val="44"/>
        </w:rPr>
      </w:pPr>
    </w:p>
    <w:p w:rsidR="00710E71" w:rsidRDefault="00710E71" w:rsidP="00B72045">
      <w:pPr>
        <w:pStyle w:val="ListBullet"/>
        <w:numPr>
          <w:ilvl w:val="0"/>
          <w:numId w:val="0"/>
        </w:numPr>
        <w:ind w:left="426" w:hanging="426"/>
        <w:rPr>
          <w:color w:val="FFC000"/>
          <w:sz w:val="44"/>
          <w:szCs w:val="44"/>
        </w:rPr>
      </w:pPr>
      <w:r>
        <w:rPr>
          <w:color w:val="FFC000"/>
          <w:sz w:val="44"/>
          <w:szCs w:val="44"/>
        </w:rPr>
        <w:t>C</w:t>
      </w:r>
      <w:r w:rsidRPr="00635EF7">
        <w:rPr>
          <w:color w:val="FFC000"/>
          <w:sz w:val="44"/>
          <w:szCs w:val="44"/>
        </w:rPr>
        <w:t>onclusion</w:t>
      </w:r>
      <w:r>
        <w:rPr>
          <w:color w:val="FFC000"/>
          <w:sz w:val="44"/>
          <w:szCs w:val="44"/>
        </w:rPr>
        <w:t>.</w:t>
      </w:r>
    </w:p>
    <w:p w:rsidR="00710E71" w:rsidRPr="00C17D1A" w:rsidRDefault="00C17D1A" w:rsidP="00686DBC">
      <w:pPr>
        <w:pStyle w:val="ListBullet"/>
        <w:numPr>
          <w:ilvl w:val="0"/>
          <w:numId w:val="0"/>
        </w:numPr>
        <w:ind w:left="426" w:hanging="426"/>
        <w:jc w:val="center"/>
        <w:rPr>
          <w:color w:val="000000"/>
          <w:sz w:val="24"/>
          <w:szCs w:val="24"/>
        </w:rPr>
      </w:pPr>
      <w:r w:rsidRPr="00C17D1A">
        <w:rPr>
          <w:color w:val="000000"/>
          <w:sz w:val="24"/>
          <w:szCs w:val="24"/>
        </w:rPr>
        <w:t>T</w:t>
      </w:r>
      <w:r w:rsidR="00710E71" w:rsidRPr="00C17D1A">
        <w:rPr>
          <w:color w:val="000000"/>
          <w:sz w:val="24"/>
          <w:szCs w:val="24"/>
        </w:rPr>
        <w:t>o</w:t>
      </w:r>
      <w:r w:rsidRPr="00C17D1A">
        <w:rPr>
          <w:color w:val="000000"/>
          <w:sz w:val="24"/>
          <w:szCs w:val="24"/>
        </w:rPr>
        <w:t xml:space="preserve"> conclude, the three theories highlighted in this report</w:t>
      </w:r>
      <w:r>
        <w:rPr>
          <w:color w:val="000000"/>
          <w:sz w:val="24"/>
          <w:szCs w:val="24"/>
        </w:rPr>
        <w:t xml:space="preserve"> </w:t>
      </w:r>
      <w:r w:rsidR="00867D22">
        <w:rPr>
          <w:color w:val="000000"/>
          <w:sz w:val="24"/>
          <w:szCs w:val="24"/>
        </w:rPr>
        <w:t>have their own strengths and limitations in regard to processes of coping with bereavement for older aged adults. However, as the dual process model of coping with bereavement (Stroe</w:t>
      </w:r>
      <w:r w:rsidR="002E0C3A">
        <w:rPr>
          <w:color w:val="000000"/>
          <w:sz w:val="24"/>
          <w:szCs w:val="24"/>
        </w:rPr>
        <w:t xml:space="preserve">be &amp; Schut 1999) focuses on the individuals own needs and appreciates there is no time frame for bereavement and is considered to be the most influential and comprehensive model (Hall, 2017) the next part of this campaign will </w:t>
      </w:r>
      <w:r w:rsidR="00142330">
        <w:rPr>
          <w:color w:val="000000"/>
          <w:sz w:val="24"/>
          <w:szCs w:val="24"/>
        </w:rPr>
        <w:t>provide a poster</w:t>
      </w:r>
      <w:r w:rsidR="00686DBC">
        <w:rPr>
          <w:color w:val="000000"/>
          <w:sz w:val="24"/>
          <w:szCs w:val="24"/>
        </w:rPr>
        <w:t xml:space="preserve"> promoting the dual process model and ways in which it can improve the way older adults cope with bereavement.</w:t>
      </w:r>
    </w:p>
    <w:p w:rsidR="00710E71" w:rsidRPr="00710E71" w:rsidRDefault="00710E71" w:rsidP="00710E71">
      <w:pPr>
        <w:pStyle w:val="ListBullet"/>
        <w:numPr>
          <w:ilvl w:val="0"/>
          <w:numId w:val="0"/>
        </w:numPr>
        <w:ind w:left="426"/>
        <w:rPr>
          <w:color w:val="7030A0"/>
          <w:sz w:val="28"/>
          <w:szCs w:val="28"/>
        </w:rPr>
      </w:pPr>
    </w:p>
    <w:p w:rsidR="00724E3F" w:rsidRDefault="005D7D58" w:rsidP="005D7D58">
      <w:pPr>
        <w:pStyle w:val="ListBullet"/>
        <w:numPr>
          <w:ilvl w:val="0"/>
          <w:numId w:val="0"/>
        </w:numPr>
        <w:ind w:left="426" w:hanging="426"/>
        <w:rPr>
          <w:rFonts w:ascii="Arial" w:hAnsi="Arial" w:cs="Arial"/>
          <w:color w:val="auto"/>
          <w:sz w:val="24"/>
          <w:szCs w:val="24"/>
        </w:rPr>
      </w:pPr>
      <w:r w:rsidRPr="005D7D58">
        <w:rPr>
          <w:rFonts w:ascii="Arial" w:hAnsi="Arial" w:cs="Arial"/>
          <w:color w:val="auto"/>
          <w:sz w:val="24"/>
          <w:szCs w:val="24"/>
        </w:rPr>
        <w:t>References</w:t>
      </w:r>
    </w:p>
    <w:p w:rsidR="00D324CE" w:rsidRDefault="00D324CE" w:rsidP="005D7D58">
      <w:pPr>
        <w:pStyle w:val="ListBullet"/>
        <w:numPr>
          <w:ilvl w:val="0"/>
          <w:numId w:val="0"/>
        </w:numPr>
        <w:ind w:left="426" w:hanging="426"/>
        <w:rPr>
          <w:rFonts w:ascii="Arial" w:hAnsi="Arial" w:cs="Arial"/>
          <w:color w:val="auto"/>
          <w:sz w:val="24"/>
          <w:szCs w:val="24"/>
        </w:rPr>
      </w:pPr>
    </w:p>
    <w:p w:rsidR="00D324CE" w:rsidRPr="005D7D58" w:rsidRDefault="00D324CE" w:rsidP="005D7D58">
      <w:pPr>
        <w:pStyle w:val="ListBullet"/>
        <w:numPr>
          <w:ilvl w:val="0"/>
          <w:numId w:val="0"/>
        </w:numPr>
        <w:ind w:left="426" w:hanging="426"/>
        <w:rPr>
          <w:rFonts w:ascii="Arial" w:hAnsi="Arial" w:cs="Arial"/>
          <w:color w:val="auto"/>
          <w:sz w:val="24"/>
          <w:szCs w:val="24"/>
        </w:rPr>
      </w:pPr>
      <w:r>
        <w:rPr>
          <w:rFonts w:ascii="Arial" w:hAnsi="Arial" w:cs="Arial"/>
          <w:color w:val="auto"/>
          <w:sz w:val="24"/>
          <w:szCs w:val="24"/>
        </w:rPr>
        <w:t>All images retrieved from google</w:t>
      </w:r>
    </w:p>
    <w:p w:rsidR="005D7D58" w:rsidRDefault="005D7D58" w:rsidP="005D7D58">
      <w:pPr>
        <w:rPr>
          <w:rFonts w:ascii="Arial" w:hAnsi="Arial" w:cs="Arial"/>
          <w:color w:val="222222"/>
          <w:sz w:val="24"/>
          <w:szCs w:val="24"/>
          <w:shd w:val="clear" w:color="auto" w:fill="FFFFFF"/>
        </w:rPr>
      </w:pPr>
      <w:r>
        <w:rPr>
          <w:rFonts w:ascii="Arial" w:hAnsi="Arial" w:cs="Arial"/>
          <w:color w:val="222222"/>
          <w:sz w:val="24"/>
          <w:szCs w:val="24"/>
          <w:shd w:val="clear" w:color="auto" w:fill="FFFFFF"/>
        </w:rPr>
        <w:t>Boerner, K., Stroebe, M., Schut, H., &amp; Wortman, C. B. (2015). Theories of grief and bereavement. </w:t>
      </w:r>
      <w:r>
        <w:rPr>
          <w:rFonts w:ascii="Arial" w:hAnsi="Arial" w:cs="Arial"/>
          <w:i/>
          <w:iCs/>
          <w:color w:val="222222"/>
          <w:sz w:val="24"/>
          <w:szCs w:val="24"/>
          <w:shd w:val="clear" w:color="auto" w:fill="FFFFFF"/>
        </w:rPr>
        <w:t>Encyclopedia of geropsychology</w:t>
      </w:r>
      <w:r>
        <w:rPr>
          <w:rFonts w:ascii="Arial" w:hAnsi="Arial" w:cs="Arial"/>
          <w:color w:val="222222"/>
          <w:sz w:val="24"/>
          <w:szCs w:val="24"/>
          <w:shd w:val="clear" w:color="auto" w:fill="FFFFFF"/>
        </w:rPr>
        <w:t>, 1-10.</w:t>
      </w:r>
    </w:p>
    <w:p w:rsidR="005D7D58" w:rsidRDefault="005D7D58" w:rsidP="005D7D58">
      <w:pPr>
        <w:rPr>
          <w:rFonts w:ascii="Arial" w:hAnsi="Arial" w:cs="Arial"/>
          <w:sz w:val="24"/>
          <w:szCs w:val="24"/>
        </w:rPr>
      </w:pPr>
      <w:r>
        <w:rPr>
          <w:rFonts w:ascii="Arial" w:hAnsi="Arial" w:cs="Arial"/>
          <w:color w:val="222222"/>
          <w:sz w:val="24"/>
          <w:szCs w:val="24"/>
          <w:shd w:val="clear" w:color="auto" w:fill="FFFFFF"/>
        </w:rPr>
        <w:t>Bonanno, G. A., &amp; Mancini, A. D. (2008). The human capacity to thrive in the face of potential trauma. </w:t>
      </w:r>
      <w:r>
        <w:rPr>
          <w:i/>
          <w:iCs/>
        </w:rPr>
        <w:t>Pediatrics</w:t>
      </w:r>
      <w:r>
        <w:t>, </w:t>
      </w:r>
      <w:r>
        <w:rPr>
          <w:i/>
          <w:iCs/>
        </w:rPr>
        <w:t>121</w:t>
      </w:r>
      <w:r>
        <w:t>(2), 369-375.</w:t>
      </w:r>
    </w:p>
    <w:p w:rsidR="005D7D58" w:rsidRDefault="005D7D58" w:rsidP="005D7D58">
      <w:pPr>
        <w:rPr>
          <w:rFonts w:ascii="Arial" w:hAnsi="Arial" w:cs="Arial"/>
          <w:color w:val="222222"/>
          <w:sz w:val="24"/>
          <w:szCs w:val="24"/>
        </w:rPr>
      </w:pPr>
      <w:r>
        <w:rPr>
          <w:rFonts w:ascii="Arial" w:hAnsi="Arial" w:cs="Arial"/>
          <w:sz w:val="24"/>
          <w:szCs w:val="24"/>
        </w:rPr>
        <w:t>Bowlby, J. (1973). Attachment and loss: Vol. 2. Separation: Anxiety and anger. London, U.K.: Hogarth</w:t>
      </w:r>
    </w:p>
    <w:p w:rsidR="005D7D58" w:rsidRDefault="005D7D58" w:rsidP="005D7D58">
      <w:pPr>
        <w:rPr>
          <w:rFonts w:ascii="Arial" w:hAnsi="Arial" w:cs="Arial"/>
          <w:color w:val="222222"/>
          <w:sz w:val="24"/>
          <w:szCs w:val="24"/>
        </w:rPr>
      </w:pPr>
      <w:r>
        <w:rPr>
          <w:rFonts w:ascii="Arial" w:hAnsi="Arial" w:cs="Arial"/>
          <w:color w:val="222222"/>
          <w:sz w:val="24"/>
          <w:szCs w:val="24"/>
          <w:shd w:val="clear" w:color="auto" w:fill="FFFFFF"/>
        </w:rPr>
        <w:t>Breen, L. J., &amp; O'Connor, M. (2007). The fundamental paradox in the grief literature: A critical reflection. </w:t>
      </w:r>
      <w:r>
        <w:rPr>
          <w:i/>
          <w:iCs/>
        </w:rPr>
        <w:t>OMEGA-Journal of Death and Dying</w:t>
      </w:r>
      <w:r>
        <w:t>, </w:t>
      </w:r>
      <w:r>
        <w:rPr>
          <w:i/>
          <w:iCs/>
        </w:rPr>
        <w:t>55</w:t>
      </w:r>
      <w:r>
        <w:t>(3), 199-218.</w:t>
      </w:r>
    </w:p>
    <w:p w:rsidR="005D7D58" w:rsidRDefault="005D7D58" w:rsidP="005D7D58">
      <w:pPr>
        <w:rPr>
          <w:rFonts w:ascii="Arial" w:hAnsi="Arial" w:cs="Arial"/>
          <w:sz w:val="24"/>
          <w:szCs w:val="24"/>
        </w:rPr>
      </w:pPr>
      <w:r>
        <w:rPr>
          <w:rFonts w:ascii="Arial" w:hAnsi="Arial" w:cs="Arial"/>
          <w:color w:val="222222"/>
          <w:sz w:val="24"/>
          <w:szCs w:val="24"/>
          <w:shd w:val="clear" w:color="auto" w:fill="FFFFFF"/>
        </w:rPr>
        <w:t>Carr, D. (2006). Methodological issues in studying late life bereavement. </w:t>
      </w:r>
      <w:r>
        <w:rPr>
          <w:rFonts w:ascii="Arial" w:hAnsi="Arial" w:cs="Arial"/>
          <w:i/>
          <w:iCs/>
          <w:sz w:val="24"/>
          <w:szCs w:val="24"/>
        </w:rPr>
        <w:t>Spousal bereavement in late life</w:t>
      </w:r>
      <w:r>
        <w:rPr>
          <w:rFonts w:ascii="Arial" w:hAnsi="Arial" w:cs="Arial"/>
          <w:sz w:val="24"/>
          <w:szCs w:val="24"/>
        </w:rPr>
        <w:t>, 19-47.</w:t>
      </w:r>
    </w:p>
    <w:p w:rsidR="00DF4D9E" w:rsidRPr="00DF4D9E" w:rsidRDefault="00DF4D9E" w:rsidP="005D7D58">
      <w:pPr>
        <w:rPr>
          <w:sz w:val="24"/>
          <w:szCs w:val="24"/>
        </w:rPr>
      </w:pPr>
      <w:r w:rsidRPr="00DF4D9E">
        <w:rPr>
          <w:rFonts w:ascii="Arial" w:hAnsi="Arial" w:cs="Arial"/>
          <w:color w:val="222222"/>
          <w:sz w:val="24"/>
          <w:szCs w:val="24"/>
          <w:shd w:val="clear" w:color="auto" w:fill="FFFFFF"/>
        </w:rPr>
        <w:t>Carr, D. S., Nesse, R. M., &amp; Wortman, C. B. (Eds.). (2005). </w:t>
      </w:r>
      <w:r w:rsidRPr="00DF4D9E">
        <w:rPr>
          <w:rFonts w:ascii="Arial" w:hAnsi="Arial" w:cs="Arial"/>
          <w:i/>
          <w:iCs/>
          <w:color w:val="222222"/>
          <w:sz w:val="24"/>
          <w:szCs w:val="24"/>
          <w:shd w:val="clear" w:color="auto" w:fill="FFFFFF"/>
        </w:rPr>
        <w:t>Spousal bereavement in late life</w:t>
      </w:r>
      <w:r w:rsidRPr="00DF4D9E">
        <w:rPr>
          <w:rFonts w:ascii="Arial" w:hAnsi="Arial" w:cs="Arial"/>
          <w:color w:val="222222"/>
          <w:sz w:val="24"/>
          <w:szCs w:val="24"/>
          <w:shd w:val="clear" w:color="auto" w:fill="FFFFFF"/>
        </w:rPr>
        <w:t>. Springer Publishing Company.</w:t>
      </w:r>
    </w:p>
    <w:p w:rsidR="005D7D58" w:rsidRDefault="005D7D58" w:rsidP="005D7D58">
      <w:r>
        <w:rPr>
          <w:rFonts w:ascii="Arial" w:hAnsi="Arial" w:cs="Arial"/>
          <w:color w:val="222222"/>
          <w:sz w:val="24"/>
          <w:szCs w:val="24"/>
          <w:shd w:val="clear" w:color="auto" w:fill="FFFFFF"/>
        </w:rPr>
        <w:t>Clark, A. E., &amp; Georgellis, Y. (2013). Back to baseline in Britain: adaptation in the British household panel survey. </w:t>
      </w:r>
      <w:r>
        <w:rPr>
          <w:i/>
          <w:iCs/>
        </w:rPr>
        <w:t>Economica</w:t>
      </w:r>
      <w:r>
        <w:t>, </w:t>
      </w:r>
      <w:r>
        <w:rPr>
          <w:i/>
          <w:iCs/>
        </w:rPr>
        <w:t>80</w:t>
      </w:r>
      <w:r>
        <w:t>(319), 496-512.</w:t>
      </w:r>
    </w:p>
    <w:p w:rsidR="005D7D58" w:rsidRDefault="005D7D58" w:rsidP="005D7D58">
      <w:pPr>
        <w:rPr>
          <w:rFonts w:ascii="Arial" w:hAnsi="Arial" w:cs="Arial"/>
          <w:sz w:val="24"/>
          <w:szCs w:val="24"/>
        </w:rPr>
      </w:pPr>
      <w:r>
        <w:rPr>
          <w:rFonts w:ascii="Arial" w:hAnsi="Arial" w:cs="Arial"/>
          <w:color w:val="222222"/>
          <w:sz w:val="24"/>
          <w:szCs w:val="24"/>
          <w:shd w:val="clear" w:color="auto" w:fill="FFFFFF"/>
        </w:rPr>
        <w:t>Corr, C. A. (1993). Coping with dying: Lessons that we should and should not learn from the work of Elisabeth Kübler-Ross. </w:t>
      </w:r>
      <w:r>
        <w:rPr>
          <w:i/>
          <w:iCs/>
        </w:rPr>
        <w:t>Death studies</w:t>
      </w:r>
      <w:r>
        <w:t>, </w:t>
      </w:r>
      <w:r>
        <w:rPr>
          <w:i/>
          <w:iCs/>
        </w:rPr>
        <w:t>17</w:t>
      </w:r>
      <w:r>
        <w:t>(1), 69-83.</w:t>
      </w:r>
    </w:p>
    <w:p w:rsidR="005D7D58" w:rsidRDefault="005D7D58" w:rsidP="005D7D58">
      <w:r>
        <w:rPr>
          <w:rFonts w:ascii="Arial" w:hAnsi="Arial" w:cs="Arial"/>
          <w:color w:val="222222"/>
          <w:sz w:val="24"/>
          <w:szCs w:val="24"/>
          <w:shd w:val="clear" w:color="auto" w:fill="FFFFFF"/>
        </w:rPr>
        <w:t>Corr, C. A. (2015). Let’s stop “staging” persons who are coping with loss. </w:t>
      </w:r>
      <w:r>
        <w:rPr>
          <w:rFonts w:ascii="Arial" w:hAnsi="Arial" w:cs="Arial"/>
          <w:i/>
          <w:iCs/>
          <w:sz w:val="24"/>
          <w:szCs w:val="24"/>
        </w:rPr>
        <w:t>Illness, Crisis &amp; Loss</w:t>
      </w:r>
      <w:r>
        <w:rPr>
          <w:rFonts w:ascii="Arial" w:hAnsi="Arial" w:cs="Arial"/>
          <w:sz w:val="24"/>
          <w:szCs w:val="24"/>
        </w:rPr>
        <w:t>, </w:t>
      </w:r>
      <w:r>
        <w:rPr>
          <w:i/>
          <w:iCs/>
        </w:rPr>
        <w:t>23</w:t>
      </w:r>
      <w:r>
        <w:t>(3), 226-241.</w:t>
      </w:r>
    </w:p>
    <w:p w:rsidR="005D7D58" w:rsidRDefault="005D7D58" w:rsidP="005D7D58">
      <w:pPr>
        <w:rPr>
          <w:rFonts w:ascii="Arial" w:hAnsi="Arial" w:cs="Arial"/>
          <w:color w:val="222222"/>
          <w:sz w:val="24"/>
          <w:szCs w:val="24"/>
        </w:rPr>
      </w:pPr>
      <w:r>
        <w:rPr>
          <w:rFonts w:ascii="Arial" w:hAnsi="Arial" w:cs="Arial"/>
          <w:color w:val="222222"/>
          <w:sz w:val="24"/>
          <w:szCs w:val="24"/>
        </w:rPr>
        <w:t xml:space="preserve">Corr, C. A. (2019). The ‘five stages’ in coping with dying and bereavement: strengths, weaknesses and some alternatives. </w:t>
      </w:r>
      <w:r>
        <w:rPr>
          <w:rFonts w:ascii="Arial" w:hAnsi="Arial" w:cs="Arial"/>
          <w:i/>
          <w:iCs/>
          <w:color w:val="222222"/>
          <w:sz w:val="24"/>
          <w:szCs w:val="24"/>
        </w:rPr>
        <w:t>Mortality</w:t>
      </w:r>
      <w:r>
        <w:rPr>
          <w:rFonts w:ascii="Arial" w:hAnsi="Arial" w:cs="Arial"/>
          <w:color w:val="222222"/>
          <w:sz w:val="24"/>
          <w:szCs w:val="24"/>
        </w:rPr>
        <w:t xml:space="preserve">, </w:t>
      </w:r>
      <w:r>
        <w:rPr>
          <w:rFonts w:ascii="Arial" w:hAnsi="Arial" w:cs="Arial"/>
          <w:i/>
          <w:iCs/>
          <w:color w:val="222222"/>
          <w:sz w:val="24"/>
          <w:szCs w:val="24"/>
        </w:rPr>
        <w:t>24</w:t>
      </w:r>
      <w:r>
        <w:rPr>
          <w:rFonts w:ascii="Arial" w:hAnsi="Arial" w:cs="Arial"/>
          <w:color w:val="222222"/>
          <w:sz w:val="24"/>
          <w:szCs w:val="24"/>
        </w:rPr>
        <w:t>(4), 405-417.</w:t>
      </w:r>
    </w:p>
    <w:p w:rsidR="005D7D58" w:rsidRDefault="005D7D58" w:rsidP="005D7D58">
      <w:pPr>
        <w:rPr>
          <w:rFonts w:ascii="Arial" w:hAnsi="Arial" w:cs="Arial"/>
          <w:color w:val="222222"/>
          <w:sz w:val="24"/>
          <w:szCs w:val="24"/>
        </w:rPr>
      </w:pPr>
      <w:r>
        <w:rPr>
          <w:rFonts w:ascii="Arial" w:hAnsi="Arial" w:cs="Arial"/>
          <w:color w:val="222222"/>
          <w:sz w:val="24"/>
          <w:szCs w:val="24"/>
          <w:shd w:val="clear" w:color="auto" w:fill="FFFFFF"/>
        </w:rPr>
        <w:t>Drenth, C. M., Herbst, A. G., &amp; Strydom, H. (2010). A complicated grief intervention model. </w:t>
      </w:r>
      <w:r>
        <w:rPr>
          <w:i/>
          <w:iCs/>
        </w:rPr>
        <w:t>Health SA Gesondheid (Online)</w:t>
      </w:r>
      <w:r>
        <w:t>, </w:t>
      </w:r>
      <w:r>
        <w:rPr>
          <w:i/>
          <w:iCs/>
        </w:rPr>
        <w:t>15</w:t>
      </w:r>
      <w:r>
        <w:t>(1), 1-8.</w:t>
      </w:r>
    </w:p>
    <w:p w:rsidR="005D7D58" w:rsidRDefault="005D7D58" w:rsidP="005D7D58">
      <w:r>
        <w:rPr>
          <w:rFonts w:ascii="Arial" w:hAnsi="Arial" w:cs="Arial"/>
          <w:color w:val="222222"/>
          <w:sz w:val="24"/>
          <w:szCs w:val="24"/>
          <w:shd w:val="clear" w:color="auto" w:fill="FFFFFF"/>
        </w:rPr>
        <w:t>Hansson, R., &amp; Stroebe, M. (2007). Coping with bereavement. </w:t>
      </w:r>
      <w:r>
        <w:rPr>
          <w:i/>
          <w:iCs/>
        </w:rPr>
        <w:t>Generations</w:t>
      </w:r>
      <w:r>
        <w:t>, </w:t>
      </w:r>
      <w:r>
        <w:rPr>
          <w:i/>
          <w:iCs/>
        </w:rPr>
        <w:t>31</w:t>
      </w:r>
      <w:r>
        <w:t>(3), 63-65.</w:t>
      </w:r>
    </w:p>
    <w:p w:rsidR="005D7D58" w:rsidRDefault="005D7D58" w:rsidP="005D7D58">
      <w:pPr>
        <w:rPr>
          <w:rFonts w:ascii="Arial" w:hAnsi="Arial" w:cs="Arial"/>
          <w:color w:val="222222"/>
          <w:sz w:val="24"/>
          <w:szCs w:val="24"/>
        </w:rPr>
      </w:pPr>
      <w:r>
        <w:rPr>
          <w:rFonts w:ascii="Arial" w:hAnsi="Arial" w:cs="Arial"/>
          <w:color w:val="222222"/>
          <w:sz w:val="24"/>
          <w:szCs w:val="24"/>
        </w:rPr>
        <w:t>Kubler, R. E., 1969., On death and dying.</w:t>
      </w:r>
    </w:p>
    <w:p w:rsidR="005D7D58" w:rsidRDefault="005D7D58" w:rsidP="005D7D58">
      <w:pPr>
        <w:rPr>
          <w:rFonts w:ascii="Arial" w:hAnsi="Arial" w:cs="Arial"/>
          <w:color w:val="222222"/>
          <w:sz w:val="24"/>
          <w:szCs w:val="24"/>
        </w:rPr>
      </w:pPr>
      <w:r>
        <w:rPr>
          <w:rFonts w:ascii="Arial" w:hAnsi="Arial" w:cs="Arial"/>
          <w:color w:val="222222"/>
          <w:sz w:val="24"/>
          <w:szCs w:val="24"/>
          <w:shd w:val="clear" w:color="auto" w:fill="FFFFFF"/>
        </w:rPr>
        <w:t>Ryckebosch-Dayez, A. S., Zech, E., Mac Cord, J., &amp; Taverne, C. (2016). Daily life stressors and coping strategies during widowhood: a diary study after one year of bereavement. </w:t>
      </w:r>
      <w:r>
        <w:rPr>
          <w:i/>
          <w:iCs/>
        </w:rPr>
        <w:t>Death studies</w:t>
      </w:r>
      <w:r>
        <w:t>, </w:t>
      </w:r>
      <w:r>
        <w:rPr>
          <w:i/>
          <w:iCs/>
        </w:rPr>
        <w:t>40</w:t>
      </w:r>
      <w:r>
        <w:t>(8), 461-478.</w:t>
      </w:r>
    </w:p>
    <w:p w:rsidR="005D7D58" w:rsidRDefault="005D7D58" w:rsidP="005D7D58">
      <w:pPr>
        <w:rPr>
          <w:rFonts w:ascii="Arial" w:hAnsi="Arial" w:cs="Arial"/>
          <w:color w:val="222222"/>
          <w:sz w:val="24"/>
          <w:szCs w:val="24"/>
          <w:shd w:val="clear" w:color="auto" w:fill="FFFFFF"/>
        </w:rPr>
      </w:pPr>
      <w:r>
        <w:rPr>
          <w:rFonts w:ascii="Arial" w:hAnsi="Arial" w:cs="Arial"/>
          <w:color w:val="222222"/>
          <w:sz w:val="24"/>
          <w:szCs w:val="24"/>
          <w:shd w:val="clear" w:color="auto" w:fill="FFFFFF"/>
        </w:rPr>
        <w:t>Stroebe, M. S. (2002). Paving the way: From early attachment theory to contemporary bereavement research. </w:t>
      </w:r>
      <w:r>
        <w:rPr>
          <w:rFonts w:ascii="Arial" w:hAnsi="Arial" w:cs="Arial"/>
          <w:i/>
          <w:iCs/>
          <w:color w:val="222222"/>
          <w:sz w:val="24"/>
          <w:szCs w:val="24"/>
          <w:shd w:val="clear" w:color="auto" w:fill="FFFFFF"/>
        </w:rPr>
        <w:t>Mortality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7</w:t>
      </w:r>
      <w:r>
        <w:rPr>
          <w:rFonts w:ascii="Arial" w:hAnsi="Arial" w:cs="Arial"/>
          <w:color w:val="222222"/>
          <w:sz w:val="24"/>
          <w:szCs w:val="24"/>
          <w:shd w:val="clear" w:color="auto" w:fill="FFFFFF"/>
        </w:rPr>
        <w:t>(2), 127-138.</w:t>
      </w:r>
    </w:p>
    <w:p w:rsidR="005D7D58" w:rsidRDefault="005D7D58" w:rsidP="005D7D58">
      <w:pPr>
        <w:rPr>
          <w:rFonts w:ascii="Arial" w:hAnsi="Arial" w:cs="Arial"/>
          <w:color w:val="222222"/>
          <w:sz w:val="24"/>
          <w:szCs w:val="24"/>
        </w:rPr>
      </w:pPr>
      <w:r>
        <w:rPr>
          <w:rFonts w:ascii="Arial" w:hAnsi="Arial" w:cs="Arial"/>
          <w:color w:val="222222"/>
          <w:sz w:val="24"/>
          <w:szCs w:val="24"/>
        </w:rPr>
        <w:t xml:space="preserve">Stroebe, M. S., Boerner, K., &amp; Schut, H. A. W. (2017). Grief. </w:t>
      </w:r>
      <w:r>
        <w:rPr>
          <w:rFonts w:ascii="Arial" w:hAnsi="Arial" w:cs="Arial"/>
          <w:i/>
          <w:iCs/>
          <w:color w:val="222222"/>
          <w:sz w:val="24"/>
          <w:szCs w:val="24"/>
        </w:rPr>
        <w:t>Encyclopedia of Personaility and Individual Differences</w:t>
      </w:r>
      <w:r>
        <w:rPr>
          <w:rFonts w:ascii="Arial" w:hAnsi="Arial" w:cs="Arial"/>
          <w:color w:val="222222"/>
          <w:sz w:val="24"/>
          <w:szCs w:val="24"/>
        </w:rPr>
        <w:t xml:space="preserve">, </w:t>
      </w:r>
      <w:r>
        <w:rPr>
          <w:rFonts w:ascii="Arial" w:hAnsi="Arial" w:cs="Arial"/>
          <w:i/>
          <w:iCs/>
          <w:color w:val="222222"/>
          <w:sz w:val="24"/>
          <w:szCs w:val="24"/>
        </w:rPr>
        <w:t>2</w:t>
      </w:r>
      <w:r>
        <w:rPr>
          <w:rFonts w:ascii="Arial" w:hAnsi="Arial" w:cs="Arial"/>
          <w:color w:val="222222"/>
          <w:sz w:val="24"/>
          <w:szCs w:val="24"/>
        </w:rPr>
        <w:t>.</w:t>
      </w:r>
    </w:p>
    <w:p w:rsidR="00BF7DE4" w:rsidRDefault="00BF7DE4" w:rsidP="005D7D58">
      <w:pPr>
        <w:rPr>
          <w:rFonts w:ascii="Arial" w:hAnsi="Arial" w:cs="Arial"/>
          <w:color w:val="222222"/>
          <w:sz w:val="24"/>
          <w:szCs w:val="24"/>
        </w:rPr>
      </w:pPr>
    </w:p>
    <w:p w:rsidR="00BF7DE4" w:rsidRPr="00BF7DE4" w:rsidRDefault="00BF7DE4" w:rsidP="005D7D58">
      <w:pPr>
        <w:rPr>
          <w:rFonts w:ascii="Arial" w:hAnsi="Arial" w:cs="Arial"/>
          <w:color w:val="222222"/>
          <w:sz w:val="24"/>
          <w:szCs w:val="24"/>
          <w:shd w:val="clear" w:color="auto" w:fill="FFFFFF"/>
        </w:rPr>
      </w:pPr>
      <w:r w:rsidRPr="00BF7DE4">
        <w:rPr>
          <w:rFonts w:ascii="Arial" w:hAnsi="Arial" w:cs="Arial"/>
          <w:color w:val="222222"/>
          <w:sz w:val="24"/>
          <w:szCs w:val="24"/>
          <w:shd w:val="clear" w:color="auto" w:fill="FFFFFF"/>
        </w:rPr>
        <w:lastRenderedPageBreak/>
        <w:t>Stroebe, M., &amp; Schut, H. (1999). The dual process model of coping with bereavement: rationale and description. </w:t>
      </w:r>
      <w:r w:rsidRPr="00BF7DE4">
        <w:rPr>
          <w:rFonts w:ascii="Arial" w:hAnsi="Arial" w:cs="Arial"/>
          <w:i/>
          <w:iCs/>
          <w:color w:val="222222"/>
          <w:sz w:val="24"/>
          <w:szCs w:val="24"/>
          <w:shd w:val="clear" w:color="auto" w:fill="FFFFFF"/>
        </w:rPr>
        <w:t>Death studies</w:t>
      </w:r>
      <w:r w:rsidRPr="00BF7DE4">
        <w:rPr>
          <w:rFonts w:ascii="Arial" w:hAnsi="Arial" w:cs="Arial"/>
          <w:color w:val="222222"/>
          <w:sz w:val="24"/>
          <w:szCs w:val="24"/>
          <w:shd w:val="clear" w:color="auto" w:fill="FFFFFF"/>
        </w:rPr>
        <w:t>, </w:t>
      </w:r>
      <w:r w:rsidRPr="00BF7DE4">
        <w:rPr>
          <w:rFonts w:ascii="Arial" w:hAnsi="Arial" w:cs="Arial"/>
          <w:i/>
          <w:iCs/>
          <w:color w:val="222222"/>
          <w:sz w:val="24"/>
          <w:szCs w:val="24"/>
          <w:shd w:val="clear" w:color="auto" w:fill="FFFFFF"/>
        </w:rPr>
        <w:t>23</w:t>
      </w:r>
      <w:r w:rsidRPr="00BF7DE4">
        <w:rPr>
          <w:rFonts w:ascii="Arial" w:hAnsi="Arial" w:cs="Arial"/>
          <w:color w:val="222222"/>
          <w:sz w:val="24"/>
          <w:szCs w:val="24"/>
          <w:shd w:val="clear" w:color="auto" w:fill="FFFFFF"/>
        </w:rPr>
        <w:t>(3), 197-224.</w:t>
      </w:r>
    </w:p>
    <w:p w:rsidR="005D7D58" w:rsidRDefault="005D7D58" w:rsidP="005D7D58">
      <w:pPr>
        <w:rPr>
          <w:rFonts w:ascii="Arial" w:hAnsi="Arial" w:cs="Arial"/>
          <w:color w:val="222222"/>
          <w:sz w:val="24"/>
          <w:szCs w:val="24"/>
        </w:rPr>
      </w:pPr>
      <w:r>
        <w:rPr>
          <w:rFonts w:ascii="Arial" w:hAnsi="Arial" w:cs="Arial"/>
          <w:color w:val="222222"/>
          <w:sz w:val="24"/>
          <w:szCs w:val="24"/>
          <w:highlight w:val="lightGray"/>
        </w:rPr>
        <w:t xml:space="preserve">Stroebe, M., &amp; Schut, H. (2015). Family matters in bereavement: Toward an integrative intra-interpersonal coping model. </w:t>
      </w:r>
      <w:r>
        <w:rPr>
          <w:rFonts w:ascii="Arial" w:hAnsi="Arial" w:cs="Arial"/>
          <w:i/>
          <w:iCs/>
          <w:color w:val="222222"/>
          <w:sz w:val="24"/>
          <w:szCs w:val="24"/>
          <w:highlight w:val="lightGray"/>
        </w:rPr>
        <w:t>Perspectives on Psychological Science</w:t>
      </w:r>
      <w:r>
        <w:rPr>
          <w:rFonts w:ascii="Arial" w:hAnsi="Arial" w:cs="Arial"/>
          <w:color w:val="222222"/>
          <w:sz w:val="24"/>
          <w:szCs w:val="24"/>
          <w:highlight w:val="lightGray"/>
        </w:rPr>
        <w:t xml:space="preserve">, </w:t>
      </w:r>
      <w:r>
        <w:rPr>
          <w:rFonts w:ascii="Arial" w:hAnsi="Arial" w:cs="Arial"/>
          <w:i/>
          <w:iCs/>
          <w:color w:val="222222"/>
          <w:sz w:val="24"/>
          <w:szCs w:val="24"/>
          <w:highlight w:val="lightGray"/>
        </w:rPr>
        <w:t>10</w:t>
      </w:r>
      <w:r>
        <w:rPr>
          <w:rFonts w:ascii="Arial" w:hAnsi="Arial" w:cs="Arial"/>
          <w:color w:val="222222"/>
          <w:sz w:val="24"/>
          <w:szCs w:val="24"/>
          <w:highlight w:val="lightGray"/>
        </w:rPr>
        <w:t>(6), 873-879.</w:t>
      </w:r>
    </w:p>
    <w:p w:rsidR="005D7D58" w:rsidRDefault="005D7D58" w:rsidP="005D7D58">
      <w:pPr>
        <w:rPr>
          <w:rFonts w:ascii="Arial" w:hAnsi="Arial" w:cs="Arial"/>
          <w:color w:val="222222"/>
          <w:sz w:val="24"/>
          <w:szCs w:val="24"/>
        </w:rPr>
      </w:pPr>
      <w:r>
        <w:rPr>
          <w:rFonts w:ascii="Arial" w:hAnsi="Arial" w:cs="Arial"/>
          <w:color w:val="222222"/>
          <w:sz w:val="24"/>
          <w:szCs w:val="24"/>
          <w:shd w:val="clear" w:color="auto" w:fill="FFFFFF"/>
        </w:rPr>
        <w:t>Stroebe, M., &amp; Schut, H. (2016). Overload: A missing link in the dual process model?. </w:t>
      </w:r>
      <w:r>
        <w:rPr>
          <w:i/>
          <w:iCs/>
        </w:rPr>
        <w:t>OMEGA-Journal of Death and Dying</w:t>
      </w:r>
      <w:r>
        <w:t>, </w:t>
      </w:r>
      <w:r>
        <w:rPr>
          <w:i/>
          <w:iCs/>
        </w:rPr>
        <w:t>74</w:t>
      </w:r>
      <w:r>
        <w:t>(1), 96-109.</w:t>
      </w:r>
    </w:p>
    <w:p w:rsidR="005D7D58" w:rsidRDefault="005D7D58" w:rsidP="005D7D58">
      <w:pPr>
        <w:rPr>
          <w:rFonts w:ascii="Arial" w:hAnsi="Arial" w:cs="Arial"/>
          <w:color w:val="222222"/>
          <w:sz w:val="24"/>
          <w:szCs w:val="24"/>
        </w:rPr>
      </w:pPr>
      <w:r>
        <w:rPr>
          <w:rFonts w:ascii="Arial" w:hAnsi="Arial" w:cs="Arial"/>
          <w:color w:val="222222"/>
          <w:sz w:val="24"/>
          <w:szCs w:val="24"/>
        </w:rPr>
        <w:t xml:space="preserve">Wittenberg-Lyles, E., Washington, K., Oliver, D. P., Shaunfield, S., Gage, L. A., Mooney, M., &amp; Lewis, A. (2015). “It is the ‘starting over’part that is so hard”: Using an online group to support hospice bereavement. </w:t>
      </w:r>
      <w:r>
        <w:rPr>
          <w:rFonts w:ascii="Arial" w:hAnsi="Arial" w:cs="Arial"/>
          <w:i/>
          <w:iCs/>
          <w:color w:val="222222"/>
          <w:sz w:val="24"/>
          <w:szCs w:val="24"/>
        </w:rPr>
        <w:t>Palliative &amp; supportive care</w:t>
      </w:r>
      <w:r>
        <w:rPr>
          <w:rFonts w:ascii="Arial" w:hAnsi="Arial" w:cs="Arial"/>
          <w:color w:val="222222"/>
          <w:sz w:val="24"/>
          <w:szCs w:val="24"/>
        </w:rPr>
        <w:t xml:space="preserve">, </w:t>
      </w:r>
      <w:r>
        <w:rPr>
          <w:rFonts w:ascii="Arial" w:hAnsi="Arial" w:cs="Arial"/>
          <w:i/>
          <w:iCs/>
          <w:color w:val="222222"/>
          <w:sz w:val="24"/>
          <w:szCs w:val="24"/>
        </w:rPr>
        <w:t>13</w:t>
      </w:r>
      <w:r>
        <w:rPr>
          <w:rFonts w:ascii="Arial" w:hAnsi="Arial" w:cs="Arial"/>
          <w:color w:val="222222"/>
          <w:sz w:val="24"/>
          <w:szCs w:val="24"/>
        </w:rPr>
        <w:t>(2), 351-357.</w:t>
      </w:r>
    </w:p>
    <w:p w:rsidR="00301089" w:rsidRDefault="00301089" w:rsidP="00550BD6">
      <w:pPr>
        <w:spacing w:after="0" w:line="240" w:lineRule="auto"/>
        <w:rPr>
          <w:color w:val="EC44CC"/>
          <w:sz w:val="40"/>
          <w:szCs w:val="40"/>
        </w:rPr>
      </w:pPr>
    </w:p>
    <w:p w:rsidR="00A677F9" w:rsidRDefault="00A677F9" w:rsidP="00550BD6">
      <w:pPr>
        <w:spacing w:after="0" w:line="240" w:lineRule="auto"/>
        <w:rPr>
          <w:color w:val="000000" w:themeColor="text1"/>
          <w:sz w:val="40"/>
          <w:szCs w:val="40"/>
        </w:rPr>
      </w:pPr>
      <w:r w:rsidRPr="00A677F9">
        <w:rPr>
          <w:color w:val="000000" w:themeColor="text1"/>
          <w:sz w:val="40"/>
          <w:szCs w:val="40"/>
        </w:rPr>
        <w:t>Campaign poster</w:t>
      </w:r>
    </w:p>
    <w:p w:rsidR="00A677F9" w:rsidRDefault="00A677F9" w:rsidP="00550BD6">
      <w:pPr>
        <w:spacing w:after="0" w:line="240" w:lineRule="auto"/>
        <w:rPr>
          <w:color w:val="000000" w:themeColor="text1"/>
          <w:sz w:val="40"/>
          <w:szCs w:val="40"/>
        </w:rPr>
      </w:pPr>
    </w:p>
    <w:p w:rsidR="00A677F9" w:rsidRPr="00A677F9" w:rsidRDefault="00A677F9" w:rsidP="00550BD6">
      <w:pPr>
        <w:spacing w:after="0" w:line="240" w:lineRule="auto"/>
        <w:rPr>
          <w:color w:val="000000" w:themeColor="text1"/>
          <w:sz w:val="40"/>
          <w:szCs w:val="40"/>
        </w:rPr>
      </w:pPr>
      <w:r>
        <w:rPr>
          <w:noProof/>
          <w:color w:val="000000" w:themeColor="text1"/>
          <w:sz w:val="40"/>
          <w:szCs w:val="40"/>
          <w:lang w:eastAsia="en-GB"/>
        </w:rPr>
        <w:drawing>
          <wp:inline distT="0" distB="0" distL="0" distR="0">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5516.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301089" w:rsidRDefault="00301089" w:rsidP="00724E3F">
      <w:pPr>
        <w:pStyle w:val="ListBullet"/>
        <w:numPr>
          <w:ilvl w:val="0"/>
          <w:numId w:val="0"/>
        </w:numPr>
        <w:ind w:left="426" w:hanging="426"/>
      </w:pPr>
    </w:p>
    <w:p w:rsidR="00301089" w:rsidRDefault="00301089" w:rsidP="00550BD6">
      <w:pPr>
        <w:spacing w:after="0" w:line="240" w:lineRule="auto"/>
        <w:rPr>
          <w:color w:val="EC44CC"/>
          <w:sz w:val="40"/>
          <w:szCs w:val="40"/>
        </w:rPr>
      </w:pPr>
    </w:p>
    <w:p w:rsidR="00301089" w:rsidRDefault="00301089" w:rsidP="00550BD6">
      <w:pPr>
        <w:spacing w:after="0" w:line="240" w:lineRule="auto"/>
        <w:rPr>
          <w:color w:val="EC44CC"/>
          <w:sz w:val="40"/>
          <w:szCs w:val="40"/>
        </w:rPr>
      </w:pPr>
    </w:p>
    <w:p w:rsidR="00301089" w:rsidRDefault="00301089" w:rsidP="00550BD6">
      <w:pPr>
        <w:spacing w:after="0" w:line="240" w:lineRule="auto"/>
        <w:rPr>
          <w:sz w:val="28"/>
          <w:szCs w:val="28"/>
        </w:rPr>
      </w:pPr>
    </w:p>
    <w:p w:rsidR="00A677F9" w:rsidRDefault="00A677F9" w:rsidP="00550BD6">
      <w:pPr>
        <w:spacing w:after="0" w:line="240" w:lineRule="auto"/>
        <w:rPr>
          <w:sz w:val="28"/>
          <w:szCs w:val="28"/>
        </w:rPr>
      </w:pPr>
    </w:p>
    <w:p w:rsidR="00A677F9" w:rsidRDefault="00A677F9" w:rsidP="00550BD6">
      <w:pPr>
        <w:spacing w:after="0" w:line="240" w:lineRule="auto"/>
        <w:rPr>
          <w:sz w:val="28"/>
          <w:szCs w:val="28"/>
        </w:rPr>
      </w:pPr>
    </w:p>
    <w:p w:rsidR="00A677F9" w:rsidRPr="006552F2" w:rsidRDefault="00A677F9" w:rsidP="00A677F9">
      <w:pPr>
        <w:pStyle w:val="NormalWeb"/>
        <w:spacing w:before="0" w:beforeAutospacing="0" w:after="0" w:afterAutospacing="0"/>
        <w:jc w:val="center"/>
      </w:pPr>
      <w:r w:rsidRPr="006552F2">
        <w:rPr>
          <w:rFonts w:asciiTheme="minorHAnsi" w:eastAsiaTheme="minorEastAsia" w:hAnsi="Trebuchet MS" w:cstheme="minorBidi"/>
          <w:color w:val="000000" w:themeColor="dark1"/>
          <w:kern w:val="24"/>
        </w:rPr>
        <w:t xml:space="preserve">Unfortunately, as we get older, we are more likely to experience bereavement, the death of a loved one can be heart breaking for those left behind (Stroebe &amp; Schut, 2015). At times you may feel consumed with emotions such as sadness and yearning (Ghesquiere, 2014) and others you may feel resilient and adjusting to the change (Bellamy et al., 2014). </w:t>
      </w:r>
    </w:p>
    <w:p w:rsidR="00A677F9" w:rsidRPr="006552F2" w:rsidRDefault="00A677F9" w:rsidP="00A677F9">
      <w:pPr>
        <w:pStyle w:val="NormalWeb"/>
        <w:spacing w:before="0" w:beforeAutospacing="0" w:after="0" w:afterAutospacing="0"/>
        <w:jc w:val="center"/>
      </w:pPr>
      <w:r w:rsidRPr="006552F2">
        <w:rPr>
          <w:rFonts w:asciiTheme="minorHAnsi" w:eastAsiaTheme="minorEastAsia" w:hAnsi="Trebuchet MS" w:cstheme="minorBidi"/>
          <w:color w:val="000000" w:themeColor="dark1"/>
          <w:kern w:val="24"/>
        </w:rPr>
        <w:t>When you lose a loved one, everyday life changes, you may now find yourself having to deal with tasks you didn</w:t>
      </w:r>
      <w:r w:rsidRPr="006552F2">
        <w:rPr>
          <w:rFonts w:asciiTheme="minorHAnsi" w:eastAsiaTheme="minorEastAsia" w:hAnsi="Trebuchet MS" w:cstheme="minorBidi"/>
          <w:color w:val="000000" w:themeColor="dark1"/>
          <w:kern w:val="24"/>
        </w:rPr>
        <w:t>’</w:t>
      </w:r>
      <w:r w:rsidRPr="006552F2">
        <w:rPr>
          <w:rFonts w:asciiTheme="minorHAnsi" w:eastAsiaTheme="minorEastAsia" w:hAnsi="Trebuchet MS" w:cstheme="minorBidi"/>
          <w:color w:val="000000" w:themeColor="dark1"/>
          <w:kern w:val="24"/>
        </w:rPr>
        <w:t xml:space="preserve">t need to do before (Bratt, Stenstrom and Rennemark, 2015). You may need to learn new skills or take on a new role (Naef et al., 2013). </w:t>
      </w:r>
    </w:p>
    <w:p w:rsidR="00A677F9" w:rsidRPr="006552F2" w:rsidRDefault="00A677F9" w:rsidP="00A677F9">
      <w:pPr>
        <w:pStyle w:val="NormalWeb"/>
        <w:spacing w:before="0" w:beforeAutospacing="0" w:after="0" w:afterAutospacing="0"/>
        <w:jc w:val="center"/>
      </w:pPr>
      <w:r w:rsidRPr="006552F2">
        <w:rPr>
          <w:rFonts w:asciiTheme="minorHAnsi" w:eastAsiaTheme="minorEastAsia" w:hAnsi="Trebuchet MS" w:cstheme="minorBidi"/>
          <w:color w:val="000000" w:themeColor="dark1"/>
          <w:kern w:val="24"/>
        </w:rPr>
        <w:t>This poster aims to inform you with the details of the dual process model (Stroebe &amp; Schut, 1999) a model designed to support coping during bereavement.</w:t>
      </w:r>
    </w:p>
    <w:p w:rsidR="00A677F9" w:rsidRDefault="00A677F9" w:rsidP="00A677F9">
      <w:pPr>
        <w:pStyle w:val="NormalWeb"/>
        <w:spacing w:before="0" w:beforeAutospacing="0" w:after="0" w:afterAutospacing="0"/>
        <w:rPr>
          <w:rFonts w:asciiTheme="minorHAnsi" w:eastAsiaTheme="minorEastAsia" w:hAnsi="Trebuchet MS" w:cstheme="minorBidi"/>
          <w:color w:val="000000" w:themeColor="text1"/>
          <w:kern w:val="24"/>
        </w:rPr>
      </w:pPr>
    </w:p>
    <w:p w:rsidR="00A677F9" w:rsidRDefault="00A677F9" w:rsidP="00A677F9">
      <w:pPr>
        <w:pStyle w:val="NormalWeb"/>
        <w:spacing w:before="0" w:beforeAutospacing="0" w:after="0" w:afterAutospacing="0"/>
        <w:jc w:val="center"/>
        <w:rPr>
          <w:rFonts w:asciiTheme="minorHAnsi" w:eastAsiaTheme="minorEastAsia" w:hAnsi="Trebuchet MS" w:cstheme="minorBidi"/>
          <w:color w:val="000000" w:themeColor="text1"/>
          <w:kern w:val="24"/>
        </w:rPr>
      </w:pPr>
      <w:r w:rsidRPr="006552F2">
        <w:rPr>
          <w:rFonts w:asciiTheme="minorHAnsi" w:eastAsiaTheme="minorEastAsia" w:hAnsi="Trebuchet MS" w:cstheme="minorBidi"/>
          <w:color w:val="000000" w:themeColor="text1"/>
          <w:kern w:val="24"/>
        </w:rPr>
        <w:t xml:space="preserve">The dual process model of bereavement (DPM) (Stroebe &amp; Schut, 1999) is a model which takes into account the individual differences of people during bereavement, it acknowledges that people cope with bereavement at their own pace, in different ways and at different times (Stroebe &amp; Schut, 2010). These factors make this model ideal for older adults as well as the fact that it offers frameworks to guide interventions to support with the coping of bereavement (Hall, 2017). This model of bereavement suggests that there are two types of coping behaviours during bereavement, these are loss-orientated processes and restoration-orientated processes (Stroebe &amp; Schut, 1999). Switching (oscillating) between the both processes is the best way to cope with bereavement (Stroebe &amp; Schut, 1999) The way this is done is highlighted below. </w:t>
      </w:r>
    </w:p>
    <w:p w:rsidR="00A677F9" w:rsidRDefault="00A677F9" w:rsidP="00A677F9">
      <w:pPr>
        <w:pStyle w:val="NormalWeb"/>
        <w:spacing w:before="0" w:beforeAutospacing="0" w:after="0" w:afterAutospacing="0"/>
        <w:jc w:val="center"/>
        <w:rPr>
          <w:rFonts w:asciiTheme="minorHAnsi" w:eastAsiaTheme="minorEastAsia" w:hAnsi="Trebuchet MS" w:cstheme="minorBidi"/>
          <w:color w:val="000000" w:themeColor="text1"/>
          <w:kern w:val="24"/>
        </w:rPr>
      </w:pPr>
    </w:p>
    <w:p w:rsidR="00A677F9" w:rsidRPr="006552F2" w:rsidRDefault="00A677F9" w:rsidP="00A677F9">
      <w:pPr>
        <w:spacing w:after="0" w:line="240" w:lineRule="auto"/>
        <w:jc w:val="center"/>
        <w:rPr>
          <w:rFonts w:ascii="Times New Roman" w:eastAsia="Times New Roman" w:hAnsi="Times New Roman" w:cs="Times New Roman"/>
          <w:sz w:val="24"/>
          <w:szCs w:val="24"/>
          <w:lang w:eastAsia="en-GB"/>
        </w:rPr>
      </w:pPr>
      <w:r w:rsidRPr="006552F2">
        <w:rPr>
          <w:rFonts w:eastAsiaTheme="minorEastAsia" w:hAnsi="Trebuchet MS"/>
          <w:color w:val="FC8208"/>
          <w:kern w:val="24"/>
          <w:sz w:val="24"/>
          <w:szCs w:val="24"/>
          <w:lang w:eastAsia="en-GB"/>
        </w:rPr>
        <w:t>Loss-oriented processes</w:t>
      </w:r>
    </w:p>
    <w:p w:rsidR="00A677F9" w:rsidRPr="006552F2" w:rsidRDefault="00A677F9" w:rsidP="00A677F9">
      <w:pPr>
        <w:spacing w:after="0" w:line="240" w:lineRule="auto"/>
        <w:jc w:val="center"/>
        <w:rPr>
          <w:rFonts w:ascii="Times New Roman" w:eastAsia="Times New Roman" w:hAnsi="Times New Roman" w:cs="Times New Roman"/>
          <w:sz w:val="24"/>
          <w:szCs w:val="24"/>
          <w:lang w:eastAsia="en-GB"/>
        </w:rPr>
      </w:pPr>
      <w:r w:rsidRPr="006552F2">
        <w:rPr>
          <w:rFonts w:eastAsiaTheme="minorEastAsia" w:hAnsi="Trebuchet MS"/>
          <w:color w:val="FC8208"/>
          <w:kern w:val="24"/>
          <w:sz w:val="24"/>
          <w:szCs w:val="24"/>
          <w:lang w:eastAsia="en-GB"/>
        </w:rPr>
        <w:t>(Stroebe &amp; Schut,1999)</w:t>
      </w:r>
    </w:p>
    <w:p w:rsidR="006552F2" w:rsidRPr="006552F2" w:rsidRDefault="00DD35F4" w:rsidP="00A677F9">
      <w:pPr>
        <w:numPr>
          <w:ilvl w:val="0"/>
          <w:numId w:val="2"/>
        </w:numPr>
        <w:spacing w:after="0" w:line="240" w:lineRule="auto"/>
        <w:ind w:left="1267"/>
        <w:contextualSpacing/>
        <w:rPr>
          <w:rFonts w:ascii="Times New Roman" w:eastAsia="Times New Roman" w:hAnsi="Times New Roman" w:cs="Times New Roman"/>
          <w:sz w:val="24"/>
          <w:szCs w:val="24"/>
          <w:lang w:eastAsia="en-GB"/>
        </w:rPr>
      </w:pPr>
      <w:r w:rsidRPr="006552F2">
        <w:rPr>
          <w:rFonts w:eastAsiaTheme="minorEastAsia" w:hAnsi="Trebuchet MS"/>
          <w:b/>
          <w:bCs/>
          <w:color w:val="538135" w:themeColor="accent6" w:themeShade="BF"/>
          <w:kern w:val="24"/>
          <w:sz w:val="24"/>
          <w:szCs w:val="24"/>
          <w:lang w:eastAsia="en-GB"/>
        </w:rPr>
        <w:t xml:space="preserve">Grief work - </w:t>
      </w:r>
      <w:r w:rsidRPr="006552F2">
        <w:rPr>
          <w:rFonts w:eastAsiaTheme="minorEastAsia" w:hAnsi="Trebuchet MS"/>
          <w:color w:val="000000" w:themeColor="text1"/>
          <w:kern w:val="24"/>
          <w:sz w:val="24"/>
          <w:szCs w:val="24"/>
          <w:lang w:eastAsia="en-GB"/>
        </w:rPr>
        <w:t xml:space="preserve">Looking at old photographs, thinking of the absent spouse (Wittenberg-Lyles et al., 2015) </w:t>
      </w:r>
    </w:p>
    <w:p w:rsidR="006552F2" w:rsidRPr="006552F2" w:rsidRDefault="00DD35F4" w:rsidP="00A677F9">
      <w:pPr>
        <w:numPr>
          <w:ilvl w:val="0"/>
          <w:numId w:val="2"/>
        </w:numPr>
        <w:spacing w:after="0" w:line="240" w:lineRule="auto"/>
        <w:ind w:left="1267"/>
        <w:contextualSpacing/>
        <w:rPr>
          <w:rFonts w:ascii="Times New Roman" w:eastAsia="Times New Roman" w:hAnsi="Times New Roman" w:cs="Times New Roman"/>
          <w:sz w:val="24"/>
          <w:szCs w:val="24"/>
          <w:lang w:eastAsia="en-GB"/>
        </w:rPr>
      </w:pPr>
      <w:r w:rsidRPr="006552F2">
        <w:rPr>
          <w:rFonts w:eastAsiaTheme="minorEastAsia" w:hAnsi="Trebuchet MS"/>
          <w:b/>
          <w:bCs/>
          <w:color w:val="538135" w:themeColor="accent6" w:themeShade="BF"/>
          <w:kern w:val="24"/>
          <w:sz w:val="24"/>
          <w:szCs w:val="24"/>
          <w:lang w:eastAsia="en-GB"/>
        </w:rPr>
        <w:t>Distu</w:t>
      </w:r>
      <w:r w:rsidRPr="006552F2">
        <w:rPr>
          <w:rFonts w:eastAsiaTheme="minorEastAsia" w:hAnsi="Trebuchet MS"/>
          <w:b/>
          <w:bCs/>
          <w:color w:val="538135" w:themeColor="accent6" w:themeShade="BF"/>
          <w:kern w:val="24"/>
          <w:sz w:val="24"/>
          <w:szCs w:val="24"/>
          <w:lang w:eastAsia="en-GB"/>
        </w:rPr>
        <w:t xml:space="preserve">rbance of grief </w:t>
      </w:r>
      <w:r w:rsidRPr="006552F2">
        <w:rPr>
          <w:rFonts w:eastAsiaTheme="minorEastAsia" w:hAnsi="Trebuchet MS"/>
          <w:b/>
          <w:bCs/>
          <w:color w:val="538135" w:themeColor="accent6" w:themeShade="BF"/>
          <w:kern w:val="24"/>
          <w:sz w:val="24"/>
          <w:szCs w:val="24"/>
          <w:lang w:eastAsia="en-GB"/>
        </w:rPr>
        <w:t>–</w:t>
      </w:r>
      <w:r w:rsidRPr="006552F2">
        <w:rPr>
          <w:rFonts w:eastAsiaTheme="minorEastAsia" w:hAnsi="Trebuchet MS"/>
          <w:b/>
          <w:bCs/>
          <w:color w:val="538135" w:themeColor="accent6" w:themeShade="BF"/>
          <w:kern w:val="24"/>
          <w:sz w:val="24"/>
          <w:szCs w:val="24"/>
          <w:lang w:eastAsia="en-GB"/>
        </w:rPr>
        <w:t xml:space="preserve"> </w:t>
      </w:r>
      <w:r w:rsidRPr="006552F2">
        <w:rPr>
          <w:rFonts w:eastAsiaTheme="minorEastAsia" w:hAnsi="Trebuchet MS"/>
          <w:color w:val="000000" w:themeColor="text1"/>
          <w:kern w:val="24"/>
          <w:sz w:val="24"/>
          <w:szCs w:val="24"/>
          <w:lang w:eastAsia="en-GB"/>
        </w:rPr>
        <w:t xml:space="preserve">For example, dealing with painful memories (Hall, 2017).  </w:t>
      </w:r>
    </w:p>
    <w:p w:rsidR="006552F2" w:rsidRPr="006552F2" w:rsidRDefault="00DD35F4" w:rsidP="00A677F9">
      <w:pPr>
        <w:numPr>
          <w:ilvl w:val="0"/>
          <w:numId w:val="2"/>
        </w:numPr>
        <w:spacing w:after="0" w:line="240" w:lineRule="auto"/>
        <w:ind w:left="1267"/>
        <w:contextualSpacing/>
        <w:rPr>
          <w:rFonts w:ascii="Times New Roman" w:eastAsia="Times New Roman" w:hAnsi="Times New Roman" w:cs="Times New Roman"/>
          <w:sz w:val="24"/>
          <w:szCs w:val="24"/>
          <w:lang w:eastAsia="en-GB"/>
        </w:rPr>
      </w:pPr>
      <w:r w:rsidRPr="006552F2">
        <w:rPr>
          <w:rFonts w:eastAsiaTheme="minorEastAsia" w:hAnsi="Trebuchet MS"/>
          <w:b/>
          <w:bCs/>
          <w:color w:val="538135" w:themeColor="accent6" w:themeShade="BF"/>
          <w:kern w:val="24"/>
          <w:sz w:val="24"/>
          <w:szCs w:val="24"/>
          <w:lang w:eastAsia="en-GB"/>
        </w:rPr>
        <w:t>Denial and avoidanc</w:t>
      </w:r>
      <w:r w:rsidRPr="006552F2">
        <w:rPr>
          <w:rFonts w:eastAsiaTheme="minorEastAsia" w:hAnsi="Trebuchet MS"/>
          <w:b/>
          <w:bCs/>
          <w:color w:val="538135" w:themeColor="accent6" w:themeShade="BF"/>
          <w:kern w:val="24"/>
          <w:sz w:val="24"/>
          <w:szCs w:val="24"/>
          <w:lang w:eastAsia="en-GB"/>
        </w:rPr>
        <w:t>e of restoration changes.</w:t>
      </w:r>
    </w:p>
    <w:p w:rsidR="006552F2" w:rsidRPr="006552F2" w:rsidRDefault="00DD35F4" w:rsidP="00A677F9">
      <w:pPr>
        <w:numPr>
          <w:ilvl w:val="0"/>
          <w:numId w:val="2"/>
        </w:numPr>
        <w:spacing w:after="0" w:line="240" w:lineRule="auto"/>
        <w:ind w:left="1267"/>
        <w:contextualSpacing/>
        <w:rPr>
          <w:rFonts w:ascii="Times New Roman" w:eastAsia="Times New Roman" w:hAnsi="Times New Roman" w:cs="Times New Roman"/>
          <w:sz w:val="24"/>
          <w:szCs w:val="24"/>
          <w:lang w:eastAsia="en-GB"/>
        </w:rPr>
      </w:pPr>
      <w:r w:rsidRPr="006552F2">
        <w:rPr>
          <w:rFonts w:eastAsiaTheme="minorEastAsia" w:hAnsi="Trebuchet MS"/>
          <w:b/>
          <w:bCs/>
          <w:color w:val="538135" w:themeColor="accent6" w:themeShade="BF"/>
          <w:kern w:val="24"/>
          <w:sz w:val="24"/>
          <w:szCs w:val="24"/>
          <w:lang w:eastAsia="en-GB"/>
        </w:rPr>
        <w:t>Breaking bonds and ties.</w:t>
      </w:r>
    </w:p>
    <w:p w:rsidR="00A677F9" w:rsidRDefault="00A677F9" w:rsidP="00A677F9">
      <w:pPr>
        <w:pStyle w:val="NormalWeb"/>
        <w:spacing w:before="0" w:beforeAutospacing="0" w:after="0" w:afterAutospacing="0"/>
        <w:jc w:val="center"/>
      </w:pPr>
    </w:p>
    <w:p w:rsidR="00A677F9" w:rsidRDefault="00A677F9" w:rsidP="00A677F9">
      <w:pPr>
        <w:pStyle w:val="NormalWeb"/>
        <w:spacing w:before="0" w:beforeAutospacing="0" w:after="0" w:afterAutospacing="0"/>
        <w:jc w:val="center"/>
      </w:pPr>
    </w:p>
    <w:p w:rsidR="00A677F9" w:rsidRPr="006552F2" w:rsidRDefault="00A677F9" w:rsidP="00A677F9">
      <w:pPr>
        <w:spacing w:after="0" w:line="240" w:lineRule="auto"/>
        <w:jc w:val="center"/>
        <w:rPr>
          <w:rFonts w:ascii="Times New Roman" w:eastAsia="Times New Roman" w:hAnsi="Times New Roman" w:cs="Times New Roman"/>
          <w:sz w:val="24"/>
          <w:szCs w:val="24"/>
          <w:lang w:eastAsia="en-GB"/>
        </w:rPr>
      </w:pPr>
      <w:r w:rsidRPr="006552F2">
        <w:rPr>
          <w:rFonts w:eastAsiaTheme="minorEastAsia" w:hAnsi="Trebuchet MS"/>
          <w:color w:val="FC8208"/>
          <w:kern w:val="24"/>
          <w:sz w:val="24"/>
          <w:szCs w:val="24"/>
          <w:lang w:eastAsia="en-GB"/>
        </w:rPr>
        <w:t>Restoration-oriented processes</w:t>
      </w:r>
    </w:p>
    <w:p w:rsidR="00A677F9" w:rsidRPr="006552F2" w:rsidRDefault="00A677F9" w:rsidP="00A677F9">
      <w:pPr>
        <w:spacing w:after="0" w:line="240" w:lineRule="auto"/>
        <w:jc w:val="center"/>
        <w:rPr>
          <w:rFonts w:ascii="Times New Roman" w:eastAsia="Times New Roman" w:hAnsi="Times New Roman" w:cs="Times New Roman"/>
          <w:sz w:val="24"/>
          <w:szCs w:val="24"/>
          <w:lang w:eastAsia="en-GB"/>
        </w:rPr>
      </w:pPr>
      <w:r w:rsidRPr="006552F2">
        <w:rPr>
          <w:rFonts w:eastAsiaTheme="minorEastAsia" w:hAnsi="Trebuchet MS"/>
          <w:color w:val="FC8208"/>
          <w:kern w:val="24"/>
          <w:sz w:val="24"/>
          <w:szCs w:val="24"/>
          <w:lang w:eastAsia="en-GB"/>
        </w:rPr>
        <w:t>(Wittenberg-Lyles et al., 2015)</w:t>
      </w:r>
    </w:p>
    <w:p w:rsidR="00A677F9" w:rsidRPr="006552F2" w:rsidRDefault="00A677F9" w:rsidP="00A677F9">
      <w:pPr>
        <w:spacing w:after="0" w:line="240" w:lineRule="auto"/>
        <w:rPr>
          <w:rFonts w:ascii="Times New Roman" w:eastAsia="Times New Roman" w:hAnsi="Times New Roman" w:cs="Times New Roman"/>
          <w:sz w:val="24"/>
          <w:szCs w:val="24"/>
          <w:lang w:eastAsia="en-GB"/>
        </w:rPr>
      </w:pPr>
      <w:r w:rsidRPr="006552F2">
        <w:rPr>
          <w:rFonts w:eastAsiaTheme="minorEastAsia" w:hAnsi="Trebuchet MS"/>
          <w:b/>
          <w:bCs/>
          <w:color w:val="538135" w:themeColor="accent6" w:themeShade="BF"/>
          <w:kern w:val="24"/>
          <w:sz w:val="24"/>
          <w:szCs w:val="24"/>
          <w:lang w:eastAsia="en-GB"/>
        </w:rPr>
        <w:t xml:space="preserve">Attend to life changes </w:t>
      </w:r>
      <w:r w:rsidRPr="006552F2">
        <w:rPr>
          <w:rFonts w:eastAsiaTheme="minorEastAsia" w:hAnsi="Trebuchet MS"/>
          <w:b/>
          <w:bCs/>
          <w:color w:val="538135" w:themeColor="accent6" w:themeShade="BF"/>
          <w:kern w:val="24"/>
          <w:sz w:val="24"/>
          <w:szCs w:val="24"/>
          <w:lang w:eastAsia="en-GB"/>
        </w:rPr>
        <w:t>–</w:t>
      </w:r>
      <w:r w:rsidRPr="006552F2">
        <w:rPr>
          <w:rFonts w:eastAsiaTheme="minorEastAsia" w:hAnsi="Trebuchet MS"/>
          <w:b/>
          <w:bCs/>
          <w:color w:val="538135" w:themeColor="accent6" w:themeShade="BF"/>
          <w:kern w:val="24"/>
          <w:sz w:val="24"/>
          <w:szCs w:val="24"/>
          <w:lang w:eastAsia="en-GB"/>
        </w:rPr>
        <w:t xml:space="preserve"> </w:t>
      </w:r>
      <w:r w:rsidRPr="006552F2">
        <w:rPr>
          <w:rFonts w:eastAsiaTheme="minorEastAsia" w:hAnsi="Trebuchet MS"/>
          <w:color w:val="000000" w:themeColor="text1"/>
          <w:kern w:val="24"/>
          <w:sz w:val="24"/>
          <w:szCs w:val="24"/>
          <w:lang w:eastAsia="en-GB"/>
        </w:rPr>
        <w:t>Maybe this means you will need to take over finances or the cooking of meals.</w:t>
      </w:r>
    </w:p>
    <w:p w:rsidR="00A677F9" w:rsidRPr="006552F2" w:rsidRDefault="00A677F9" w:rsidP="00A677F9">
      <w:pPr>
        <w:spacing w:after="0" w:line="240" w:lineRule="auto"/>
        <w:rPr>
          <w:rFonts w:ascii="Times New Roman" w:eastAsia="Times New Roman" w:hAnsi="Times New Roman" w:cs="Times New Roman"/>
          <w:sz w:val="24"/>
          <w:szCs w:val="24"/>
          <w:lang w:eastAsia="en-GB"/>
        </w:rPr>
      </w:pPr>
      <w:r w:rsidRPr="006552F2">
        <w:rPr>
          <w:rFonts w:eastAsiaTheme="minorEastAsia" w:hAnsi="Trebuchet MS"/>
          <w:b/>
          <w:bCs/>
          <w:color w:val="538135" w:themeColor="accent6" w:themeShade="BF"/>
          <w:kern w:val="24"/>
          <w:sz w:val="24"/>
          <w:szCs w:val="24"/>
          <w:lang w:eastAsia="en-GB"/>
        </w:rPr>
        <w:t xml:space="preserve">Do new things   </w:t>
      </w:r>
    </w:p>
    <w:p w:rsidR="00A677F9" w:rsidRPr="006552F2" w:rsidRDefault="00A677F9" w:rsidP="00A677F9">
      <w:pPr>
        <w:spacing w:after="0" w:line="240" w:lineRule="auto"/>
        <w:rPr>
          <w:rFonts w:ascii="Times New Roman" w:eastAsia="Times New Roman" w:hAnsi="Times New Roman" w:cs="Times New Roman"/>
          <w:sz w:val="24"/>
          <w:szCs w:val="24"/>
          <w:lang w:eastAsia="en-GB"/>
        </w:rPr>
      </w:pPr>
      <w:r w:rsidRPr="006552F2">
        <w:rPr>
          <w:rFonts w:eastAsiaTheme="minorEastAsia" w:hAnsi="Trebuchet MS"/>
          <w:b/>
          <w:bCs/>
          <w:color w:val="538135" w:themeColor="accent6" w:themeShade="BF"/>
          <w:kern w:val="24"/>
          <w:sz w:val="24"/>
          <w:szCs w:val="24"/>
          <w:lang w:eastAsia="en-GB"/>
        </w:rPr>
        <w:t>Distract yourself from grief</w:t>
      </w:r>
    </w:p>
    <w:p w:rsidR="00A677F9" w:rsidRDefault="00A677F9" w:rsidP="00A677F9">
      <w:pPr>
        <w:spacing w:after="0" w:line="240" w:lineRule="auto"/>
        <w:rPr>
          <w:rFonts w:eastAsiaTheme="minorEastAsia" w:hAnsi="Trebuchet MS"/>
          <w:b/>
          <w:bCs/>
          <w:color w:val="538135" w:themeColor="accent6" w:themeShade="BF"/>
          <w:kern w:val="24"/>
          <w:sz w:val="24"/>
          <w:szCs w:val="24"/>
          <w:lang w:eastAsia="en-GB"/>
        </w:rPr>
      </w:pPr>
      <w:r w:rsidRPr="006552F2">
        <w:rPr>
          <w:rFonts w:eastAsiaTheme="minorEastAsia" w:hAnsi="Trebuchet MS"/>
          <w:b/>
          <w:bCs/>
          <w:color w:val="538135" w:themeColor="accent6" w:themeShade="BF"/>
          <w:kern w:val="24"/>
          <w:sz w:val="24"/>
          <w:szCs w:val="24"/>
          <w:lang w:eastAsia="en-GB"/>
        </w:rPr>
        <w:t>Establish your new roles, relationships and identities.</w:t>
      </w:r>
    </w:p>
    <w:p w:rsidR="00A677F9" w:rsidRDefault="00A677F9" w:rsidP="00A677F9">
      <w:pPr>
        <w:spacing w:after="0" w:line="240" w:lineRule="auto"/>
        <w:rPr>
          <w:rFonts w:eastAsiaTheme="minorEastAsia" w:hAnsi="Trebuchet MS"/>
          <w:b/>
          <w:bCs/>
          <w:color w:val="538135" w:themeColor="accent6" w:themeShade="BF"/>
          <w:kern w:val="24"/>
          <w:sz w:val="24"/>
          <w:szCs w:val="24"/>
          <w:lang w:eastAsia="en-GB"/>
        </w:rPr>
      </w:pPr>
    </w:p>
    <w:p w:rsidR="00A677F9" w:rsidRDefault="00A677F9" w:rsidP="00A677F9">
      <w:pPr>
        <w:spacing w:after="0" w:line="240" w:lineRule="auto"/>
        <w:rPr>
          <w:rFonts w:eastAsiaTheme="minorEastAsia" w:hAnsi="Trebuchet MS"/>
          <w:b/>
          <w:bCs/>
          <w:color w:val="000000" w:themeColor="text1"/>
          <w:kern w:val="24"/>
          <w:sz w:val="24"/>
          <w:szCs w:val="24"/>
          <w:lang w:eastAsia="en-GB"/>
        </w:rPr>
      </w:pPr>
    </w:p>
    <w:p w:rsidR="00A677F9" w:rsidRDefault="00A677F9" w:rsidP="00A677F9">
      <w:pPr>
        <w:spacing w:after="0" w:line="240" w:lineRule="auto"/>
        <w:rPr>
          <w:rFonts w:eastAsiaTheme="minorEastAsia" w:hAnsi="Trebuchet MS"/>
          <w:b/>
          <w:bCs/>
          <w:color w:val="000000" w:themeColor="text1"/>
          <w:kern w:val="24"/>
          <w:sz w:val="24"/>
          <w:szCs w:val="24"/>
          <w:lang w:eastAsia="en-GB"/>
        </w:rPr>
      </w:pPr>
    </w:p>
    <w:p w:rsidR="00A677F9" w:rsidRDefault="00A677F9" w:rsidP="00A677F9">
      <w:pPr>
        <w:spacing w:after="0" w:line="240" w:lineRule="auto"/>
        <w:rPr>
          <w:rFonts w:eastAsiaTheme="minorEastAsia" w:hAnsi="Trebuchet MS"/>
          <w:b/>
          <w:bCs/>
          <w:color w:val="000000" w:themeColor="text1"/>
          <w:kern w:val="24"/>
          <w:sz w:val="24"/>
          <w:szCs w:val="24"/>
          <w:lang w:eastAsia="en-GB"/>
        </w:rPr>
      </w:pPr>
    </w:p>
    <w:p w:rsidR="00A677F9" w:rsidRDefault="00A677F9" w:rsidP="00A677F9">
      <w:pPr>
        <w:spacing w:after="0" w:line="240" w:lineRule="auto"/>
        <w:rPr>
          <w:rFonts w:eastAsiaTheme="minorEastAsia" w:hAnsi="Trebuchet MS"/>
          <w:b/>
          <w:bCs/>
          <w:color w:val="000000" w:themeColor="text1"/>
          <w:kern w:val="24"/>
          <w:sz w:val="24"/>
          <w:szCs w:val="24"/>
          <w:lang w:eastAsia="en-GB"/>
        </w:rPr>
      </w:pPr>
    </w:p>
    <w:p w:rsidR="00A677F9" w:rsidRDefault="00A677F9" w:rsidP="00A677F9">
      <w:pPr>
        <w:spacing w:after="0" w:line="240" w:lineRule="auto"/>
        <w:rPr>
          <w:rFonts w:eastAsiaTheme="minorEastAsia" w:hAnsi="Trebuchet MS"/>
          <w:b/>
          <w:bCs/>
          <w:color w:val="000000" w:themeColor="text1"/>
          <w:kern w:val="24"/>
          <w:sz w:val="24"/>
          <w:szCs w:val="24"/>
          <w:lang w:eastAsia="en-GB"/>
        </w:rPr>
      </w:pPr>
    </w:p>
    <w:p w:rsidR="00A677F9" w:rsidRPr="00D155BC" w:rsidRDefault="00A677F9" w:rsidP="00A677F9">
      <w:pPr>
        <w:spacing w:after="0" w:line="240" w:lineRule="auto"/>
        <w:rPr>
          <w:rFonts w:ascii="Arial" w:hAnsi="Arial" w:cs="Arial"/>
          <w:color w:val="222222"/>
          <w:sz w:val="24"/>
          <w:szCs w:val="24"/>
          <w:shd w:val="clear" w:color="auto" w:fill="FFFFFF"/>
        </w:rPr>
      </w:pPr>
    </w:p>
    <w:p w:rsidR="00A677F9" w:rsidRPr="00D155BC" w:rsidRDefault="00A677F9" w:rsidP="00A677F9">
      <w:pPr>
        <w:spacing w:after="0" w:line="240" w:lineRule="auto"/>
        <w:rPr>
          <w:rFonts w:ascii="Arial" w:hAnsi="Arial" w:cs="Arial"/>
          <w:color w:val="222222"/>
          <w:sz w:val="24"/>
          <w:szCs w:val="24"/>
          <w:shd w:val="clear" w:color="auto" w:fill="FFFFFF"/>
        </w:rPr>
      </w:pPr>
    </w:p>
    <w:p w:rsidR="00A677F9" w:rsidRPr="00D155BC" w:rsidRDefault="00A677F9" w:rsidP="00A677F9">
      <w:pPr>
        <w:spacing w:after="0" w:line="240" w:lineRule="auto"/>
        <w:rPr>
          <w:rFonts w:ascii="Arial" w:hAnsi="Arial" w:cs="Arial"/>
          <w:color w:val="222222"/>
          <w:sz w:val="24"/>
          <w:szCs w:val="24"/>
          <w:shd w:val="clear" w:color="auto" w:fill="FFFFFF"/>
        </w:rPr>
      </w:pPr>
    </w:p>
    <w:p w:rsidR="00A677F9" w:rsidRPr="006552F2" w:rsidRDefault="00A677F9" w:rsidP="00A677F9">
      <w:pPr>
        <w:spacing w:after="0" w:line="240" w:lineRule="auto"/>
        <w:rPr>
          <w:rFonts w:ascii="Times New Roman" w:eastAsia="Times New Roman" w:hAnsi="Times New Roman" w:cs="Times New Roman"/>
          <w:color w:val="000000" w:themeColor="text1"/>
          <w:sz w:val="24"/>
          <w:szCs w:val="24"/>
          <w:lang w:eastAsia="en-GB"/>
        </w:rPr>
      </w:pPr>
    </w:p>
    <w:p w:rsidR="00A677F9" w:rsidRDefault="00A677F9" w:rsidP="00A677F9">
      <w:pPr>
        <w:rPr>
          <w:sz w:val="24"/>
          <w:szCs w:val="24"/>
        </w:rPr>
      </w:pPr>
      <w:r>
        <w:rPr>
          <w:sz w:val="24"/>
          <w:szCs w:val="24"/>
        </w:rPr>
        <w:t>Reference list</w:t>
      </w:r>
    </w:p>
    <w:p w:rsidR="00A677F9" w:rsidRPr="00D155BC" w:rsidRDefault="0087212C" w:rsidP="00A677F9">
      <w:pPr>
        <w:rPr>
          <w:sz w:val="24"/>
          <w:szCs w:val="24"/>
        </w:rPr>
      </w:pPr>
      <w:r>
        <w:rPr>
          <w:sz w:val="24"/>
          <w:szCs w:val="24"/>
        </w:rPr>
        <w:t>All images sourced</w:t>
      </w:r>
      <w:r w:rsidR="00A677F9">
        <w:rPr>
          <w:sz w:val="24"/>
          <w:szCs w:val="24"/>
        </w:rPr>
        <w:t xml:space="preserve"> from google scholar</w:t>
      </w:r>
    </w:p>
    <w:p w:rsidR="00A677F9" w:rsidRPr="00D155BC" w:rsidRDefault="00A677F9" w:rsidP="00A677F9">
      <w:pPr>
        <w:spacing w:after="0" w:line="240" w:lineRule="auto"/>
        <w:rPr>
          <w:rFonts w:ascii="Arial" w:hAnsi="Arial" w:cs="Arial"/>
          <w:color w:val="222222"/>
          <w:sz w:val="24"/>
          <w:szCs w:val="24"/>
          <w:shd w:val="clear" w:color="auto" w:fill="FFFFFF"/>
        </w:rPr>
      </w:pPr>
      <w:r w:rsidRPr="00D155BC">
        <w:rPr>
          <w:rFonts w:ascii="Arial" w:hAnsi="Arial" w:cs="Arial"/>
          <w:color w:val="222222"/>
          <w:sz w:val="24"/>
          <w:szCs w:val="24"/>
          <w:shd w:val="clear" w:color="auto" w:fill="FFFFFF"/>
        </w:rPr>
        <w:t>Bellamy, G., Gott, M., Waterworth, S., McLean, C., &amp; Kerse, N. (2014). ‘But I do believe you've got to accept that that's what life's about’: older adults living in N ew Z ealand talk about their experiences of loss and bereavement support. </w:t>
      </w:r>
      <w:r w:rsidRPr="00D155BC">
        <w:rPr>
          <w:rFonts w:ascii="Arial" w:hAnsi="Arial" w:cs="Arial"/>
          <w:i/>
          <w:iCs/>
          <w:color w:val="222222"/>
          <w:sz w:val="24"/>
          <w:szCs w:val="24"/>
          <w:shd w:val="clear" w:color="auto" w:fill="FFFFFF"/>
        </w:rPr>
        <w:t>Health &amp; social care in the community</w:t>
      </w:r>
      <w:r w:rsidRPr="00D155BC">
        <w:rPr>
          <w:rFonts w:ascii="Arial" w:hAnsi="Arial" w:cs="Arial"/>
          <w:color w:val="222222"/>
          <w:sz w:val="24"/>
          <w:szCs w:val="24"/>
          <w:shd w:val="clear" w:color="auto" w:fill="FFFFFF"/>
        </w:rPr>
        <w:t>, </w:t>
      </w:r>
      <w:r w:rsidRPr="00D155BC">
        <w:rPr>
          <w:rFonts w:ascii="Arial" w:hAnsi="Arial" w:cs="Arial"/>
          <w:i/>
          <w:iCs/>
          <w:color w:val="222222"/>
          <w:sz w:val="24"/>
          <w:szCs w:val="24"/>
          <w:shd w:val="clear" w:color="auto" w:fill="FFFFFF"/>
        </w:rPr>
        <w:t>22</w:t>
      </w:r>
      <w:r w:rsidRPr="00D155BC">
        <w:rPr>
          <w:rFonts w:ascii="Arial" w:hAnsi="Arial" w:cs="Arial"/>
          <w:color w:val="222222"/>
          <w:sz w:val="24"/>
          <w:szCs w:val="24"/>
          <w:shd w:val="clear" w:color="auto" w:fill="FFFFFF"/>
        </w:rPr>
        <w:t>(1), 96-103.</w:t>
      </w:r>
    </w:p>
    <w:p w:rsidR="00A677F9" w:rsidRDefault="00A677F9" w:rsidP="00A677F9">
      <w:pPr>
        <w:spacing w:after="0" w:line="240" w:lineRule="auto"/>
        <w:rPr>
          <w:rFonts w:ascii="Arial" w:hAnsi="Arial" w:cs="Arial"/>
          <w:color w:val="222222"/>
          <w:sz w:val="24"/>
          <w:szCs w:val="24"/>
          <w:shd w:val="clear" w:color="auto" w:fill="FFFFFF"/>
        </w:rPr>
      </w:pPr>
    </w:p>
    <w:p w:rsidR="00A677F9" w:rsidRPr="00D155BC" w:rsidRDefault="00A677F9" w:rsidP="00A677F9">
      <w:pPr>
        <w:spacing w:after="0" w:line="240" w:lineRule="auto"/>
        <w:rPr>
          <w:rFonts w:ascii="Arial" w:hAnsi="Arial" w:cs="Arial"/>
          <w:color w:val="222222"/>
          <w:sz w:val="24"/>
          <w:szCs w:val="24"/>
          <w:shd w:val="clear" w:color="auto" w:fill="FFFFFF"/>
        </w:rPr>
      </w:pPr>
      <w:r w:rsidRPr="00D155BC">
        <w:rPr>
          <w:rFonts w:ascii="Arial" w:hAnsi="Arial" w:cs="Arial"/>
          <w:color w:val="222222"/>
          <w:sz w:val="24"/>
          <w:szCs w:val="24"/>
          <w:shd w:val="clear" w:color="auto" w:fill="FFFFFF"/>
        </w:rPr>
        <w:t>Bratt, A. S., Stenström, U., &amp; Rennemark, M. (2016). The role of neuroticism and conscientiousness on mortality risk in older adults after child and spouse bereavement. </w:t>
      </w:r>
      <w:r w:rsidRPr="00D155BC">
        <w:rPr>
          <w:rFonts w:ascii="Arial" w:hAnsi="Arial" w:cs="Arial"/>
          <w:i/>
          <w:iCs/>
          <w:color w:val="222222"/>
          <w:sz w:val="24"/>
          <w:szCs w:val="24"/>
          <w:shd w:val="clear" w:color="auto" w:fill="FFFFFF"/>
        </w:rPr>
        <w:t>Aging &amp; mental health</w:t>
      </w:r>
      <w:r w:rsidRPr="00D155BC">
        <w:rPr>
          <w:rFonts w:ascii="Arial" w:hAnsi="Arial" w:cs="Arial"/>
          <w:color w:val="222222"/>
          <w:sz w:val="24"/>
          <w:szCs w:val="24"/>
          <w:shd w:val="clear" w:color="auto" w:fill="FFFFFF"/>
        </w:rPr>
        <w:t>, </w:t>
      </w:r>
      <w:r w:rsidRPr="00D155BC">
        <w:rPr>
          <w:rFonts w:ascii="Arial" w:hAnsi="Arial" w:cs="Arial"/>
          <w:i/>
          <w:iCs/>
          <w:color w:val="222222"/>
          <w:sz w:val="24"/>
          <w:szCs w:val="24"/>
          <w:shd w:val="clear" w:color="auto" w:fill="FFFFFF"/>
        </w:rPr>
        <w:t>20</w:t>
      </w:r>
      <w:r w:rsidRPr="00D155BC">
        <w:rPr>
          <w:rFonts w:ascii="Arial" w:hAnsi="Arial" w:cs="Arial"/>
          <w:color w:val="222222"/>
          <w:sz w:val="24"/>
          <w:szCs w:val="24"/>
          <w:shd w:val="clear" w:color="auto" w:fill="FFFFFF"/>
        </w:rPr>
        <w:t>(6), 559-566.</w:t>
      </w:r>
    </w:p>
    <w:p w:rsidR="00A677F9" w:rsidRDefault="00A677F9" w:rsidP="00A677F9">
      <w:pPr>
        <w:spacing w:after="0" w:line="240" w:lineRule="auto"/>
        <w:rPr>
          <w:rFonts w:ascii="Arial" w:hAnsi="Arial" w:cs="Arial"/>
          <w:color w:val="222222"/>
          <w:sz w:val="24"/>
          <w:szCs w:val="24"/>
          <w:shd w:val="clear" w:color="auto" w:fill="FFFFFF"/>
        </w:rPr>
      </w:pPr>
    </w:p>
    <w:p w:rsidR="00A677F9" w:rsidRPr="00D155BC" w:rsidRDefault="00A677F9" w:rsidP="00A677F9">
      <w:pPr>
        <w:spacing w:after="0" w:line="240" w:lineRule="auto"/>
        <w:rPr>
          <w:rFonts w:ascii="Arial" w:hAnsi="Arial" w:cs="Arial"/>
          <w:color w:val="222222"/>
          <w:sz w:val="24"/>
          <w:szCs w:val="24"/>
          <w:shd w:val="clear" w:color="auto" w:fill="FFFFFF"/>
        </w:rPr>
      </w:pPr>
      <w:r w:rsidRPr="00D155BC">
        <w:rPr>
          <w:rFonts w:ascii="Arial" w:hAnsi="Arial" w:cs="Arial"/>
          <w:color w:val="222222"/>
          <w:sz w:val="24"/>
          <w:szCs w:val="24"/>
          <w:shd w:val="clear" w:color="auto" w:fill="FFFFFF"/>
        </w:rPr>
        <w:t>Ghesquiere, A. R., Patel, S. R., Kaplan, D. B., &amp; Bruce, M. L. (2014). Primary care providers' bereavement care practices: recommendations for research directions. </w:t>
      </w:r>
      <w:r w:rsidRPr="00D155BC">
        <w:rPr>
          <w:rFonts w:ascii="Arial" w:hAnsi="Arial" w:cs="Arial"/>
          <w:i/>
          <w:iCs/>
          <w:color w:val="222222"/>
          <w:sz w:val="24"/>
          <w:szCs w:val="24"/>
          <w:shd w:val="clear" w:color="auto" w:fill="FFFFFF"/>
        </w:rPr>
        <w:t>International journal of geriatric psychiatry</w:t>
      </w:r>
      <w:r w:rsidRPr="00D155BC">
        <w:rPr>
          <w:rFonts w:ascii="Arial" w:hAnsi="Arial" w:cs="Arial"/>
          <w:color w:val="222222"/>
          <w:sz w:val="24"/>
          <w:szCs w:val="24"/>
          <w:shd w:val="clear" w:color="auto" w:fill="FFFFFF"/>
        </w:rPr>
        <w:t>, </w:t>
      </w:r>
      <w:r w:rsidRPr="00D155BC">
        <w:rPr>
          <w:rFonts w:ascii="Arial" w:hAnsi="Arial" w:cs="Arial"/>
          <w:i/>
          <w:iCs/>
          <w:color w:val="222222"/>
          <w:sz w:val="24"/>
          <w:szCs w:val="24"/>
          <w:shd w:val="clear" w:color="auto" w:fill="FFFFFF"/>
        </w:rPr>
        <w:t>29</w:t>
      </w:r>
      <w:r w:rsidRPr="00D155BC">
        <w:rPr>
          <w:rFonts w:ascii="Arial" w:hAnsi="Arial" w:cs="Arial"/>
          <w:color w:val="222222"/>
          <w:sz w:val="24"/>
          <w:szCs w:val="24"/>
          <w:shd w:val="clear" w:color="auto" w:fill="FFFFFF"/>
        </w:rPr>
        <w:t>(12), 1221-1229.</w:t>
      </w:r>
    </w:p>
    <w:p w:rsidR="00A677F9" w:rsidRDefault="00A677F9" w:rsidP="00A677F9">
      <w:pPr>
        <w:spacing w:after="0" w:line="240" w:lineRule="auto"/>
        <w:rPr>
          <w:rFonts w:ascii="Arial" w:hAnsi="Arial" w:cs="Arial"/>
          <w:color w:val="222222"/>
          <w:sz w:val="24"/>
          <w:szCs w:val="24"/>
          <w:shd w:val="clear" w:color="auto" w:fill="FFFFFF"/>
        </w:rPr>
      </w:pPr>
    </w:p>
    <w:p w:rsidR="00A677F9" w:rsidRPr="00D155BC" w:rsidRDefault="00A677F9" w:rsidP="00A677F9">
      <w:pPr>
        <w:spacing w:after="0" w:line="240" w:lineRule="auto"/>
        <w:rPr>
          <w:rFonts w:ascii="Arial" w:hAnsi="Arial" w:cs="Arial"/>
          <w:color w:val="222222"/>
          <w:sz w:val="24"/>
          <w:szCs w:val="24"/>
          <w:shd w:val="clear" w:color="auto" w:fill="FFFFFF"/>
        </w:rPr>
      </w:pPr>
      <w:r w:rsidRPr="00D155BC">
        <w:rPr>
          <w:rFonts w:ascii="Arial" w:hAnsi="Arial" w:cs="Arial"/>
          <w:color w:val="222222"/>
          <w:sz w:val="24"/>
          <w:szCs w:val="24"/>
          <w:shd w:val="clear" w:color="auto" w:fill="FFFFFF"/>
        </w:rPr>
        <w:t>Naef, R., Ward, R., Mahrer-Imhof, R., &amp; Grande, G. (2013). Characteristics of the bereavement experience of older persons after spousal loss: An integrative review. </w:t>
      </w:r>
      <w:r w:rsidRPr="00D155BC">
        <w:rPr>
          <w:rFonts w:ascii="Arial" w:hAnsi="Arial" w:cs="Arial"/>
          <w:i/>
          <w:iCs/>
          <w:color w:val="222222"/>
          <w:sz w:val="24"/>
          <w:szCs w:val="24"/>
          <w:shd w:val="clear" w:color="auto" w:fill="FFFFFF"/>
        </w:rPr>
        <w:t>International journal of nursing studies</w:t>
      </w:r>
      <w:r w:rsidRPr="00D155BC">
        <w:rPr>
          <w:rFonts w:ascii="Arial" w:hAnsi="Arial" w:cs="Arial"/>
          <w:color w:val="222222"/>
          <w:sz w:val="24"/>
          <w:szCs w:val="24"/>
          <w:shd w:val="clear" w:color="auto" w:fill="FFFFFF"/>
        </w:rPr>
        <w:t>, </w:t>
      </w:r>
      <w:r w:rsidRPr="00D155BC">
        <w:rPr>
          <w:rFonts w:ascii="Arial" w:hAnsi="Arial" w:cs="Arial"/>
          <w:i/>
          <w:iCs/>
          <w:color w:val="222222"/>
          <w:sz w:val="24"/>
          <w:szCs w:val="24"/>
          <w:shd w:val="clear" w:color="auto" w:fill="FFFFFF"/>
        </w:rPr>
        <w:t>50</w:t>
      </w:r>
      <w:r w:rsidRPr="00D155BC">
        <w:rPr>
          <w:rFonts w:ascii="Arial" w:hAnsi="Arial" w:cs="Arial"/>
          <w:color w:val="222222"/>
          <w:sz w:val="24"/>
          <w:szCs w:val="24"/>
          <w:shd w:val="clear" w:color="auto" w:fill="FFFFFF"/>
        </w:rPr>
        <w:t>(8), 1108-1121.</w:t>
      </w:r>
    </w:p>
    <w:p w:rsidR="00A677F9" w:rsidRDefault="00A677F9" w:rsidP="00A677F9">
      <w:pPr>
        <w:rPr>
          <w:rFonts w:ascii="Arial" w:hAnsi="Arial" w:cs="Arial"/>
          <w:color w:val="222222"/>
          <w:sz w:val="24"/>
          <w:szCs w:val="24"/>
          <w:shd w:val="clear" w:color="auto" w:fill="FFFFFF"/>
        </w:rPr>
      </w:pPr>
    </w:p>
    <w:p w:rsidR="00A677F9" w:rsidRPr="00D155BC" w:rsidRDefault="00A677F9" w:rsidP="00A677F9">
      <w:pPr>
        <w:rPr>
          <w:rFonts w:ascii="Arial" w:hAnsi="Arial" w:cs="Arial"/>
          <w:color w:val="222222"/>
          <w:sz w:val="24"/>
          <w:szCs w:val="24"/>
          <w:shd w:val="clear" w:color="auto" w:fill="FFFFFF"/>
        </w:rPr>
      </w:pPr>
      <w:r w:rsidRPr="00D155BC">
        <w:rPr>
          <w:rFonts w:ascii="Arial" w:hAnsi="Arial" w:cs="Arial"/>
          <w:color w:val="222222"/>
          <w:sz w:val="24"/>
          <w:szCs w:val="24"/>
          <w:shd w:val="clear" w:color="auto" w:fill="FFFFFF"/>
        </w:rPr>
        <w:t>Stroebe, M., &amp; Schut, H. (1999). The dual process model of coping with bereavement: rationale and description. </w:t>
      </w:r>
      <w:r w:rsidRPr="00D155BC">
        <w:rPr>
          <w:rFonts w:ascii="Arial" w:hAnsi="Arial" w:cs="Arial"/>
          <w:i/>
          <w:iCs/>
          <w:color w:val="222222"/>
          <w:sz w:val="24"/>
          <w:szCs w:val="24"/>
          <w:shd w:val="clear" w:color="auto" w:fill="FFFFFF"/>
        </w:rPr>
        <w:t>Death studies</w:t>
      </w:r>
      <w:r w:rsidRPr="00D155BC">
        <w:rPr>
          <w:rFonts w:ascii="Arial" w:hAnsi="Arial" w:cs="Arial"/>
          <w:color w:val="222222"/>
          <w:sz w:val="24"/>
          <w:szCs w:val="24"/>
          <w:shd w:val="clear" w:color="auto" w:fill="FFFFFF"/>
        </w:rPr>
        <w:t>, </w:t>
      </w:r>
      <w:r w:rsidRPr="00D155BC">
        <w:rPr>
          <w:rFonts w:ascii="Arial" w:hAnsi="Arial" w:cs="Arial"/>
          <w:i/>
          <w:iCs/>
          <w:color w:val="222222"/>
          <w:sz w:val="24"/>
          <w:szCs w:val="24"/>
          <w:shd w:val="clear" w:color="auto" w:fill="FFFFFF"/>
        </w:rPr>
        <w:t>23</w:t>
      </w:r>
      <w:r w:rsidRPr="00D155BC">
        <w:rPr>
          <w:rFonts w:ascii="Arial" w:hAnsi="Arial" w:cs="Arial"/>
          <w:color w:val="222222"/>
          <w:sz w:val="24"/>
          <w:szCs w:val="24"/>
          <w:shd w:val="clear" w:color="auto" w:fill="FFFFFF"/>
        </w:rPr>
        <w:t>(3), 197-224.</w:t>
      </w:r>
    </w:p>
    <w:p w:rsidR="00A677F9" w:rsidRPr="00D155BC" w:rsidRDefault="00A677F9" w:rsidP="00A677F9">
      <w:pPr>
        <w:spacing w:after="0" w:line="240" w:lineRule="auto"/>
        <w:rPr>
          <w:rFonts w:ascii="Arial" w:hAnsi="Arial" w:cs="Arial"/>
          <w:color w:val="222222"/>
          <w:sz w:val="24"/>
          <w:szCs w:val="24"/>
          <w:shd w:val="clear" w:color="auto" w:fill="FFFFFF"/>
        </w:rPr>
      </w:pPr>
      <w:r w:rsidRPr="00D155BC">
        <w:rPr>
          <w:rFonts w:ascii="Arial" w:hAnsi="Arial" w:cs="Arial"/>
          <w:color w:val="222222"/>
          <w:sz w:val="24"/>
          <w:szCs w:val="24"/>
          <w:shd w:val="clear" w:color="auto" w:fill="FFFFFF"/>
        </w:rPr>
        <w:t>Stroebe, M., &amp; Schut, H. (2010). The dual process model of coping with bereavement: A decade on. </w:t>
      </w:r>
      <w:r w:rsidRPr="00D155BC">
        <w:rPr>
          <w:rFonts w:ascii="Arial" w:hAnsi="Arial" w:cs="Arial"/>
          <w:i/>
          <w:iCs/>
          <w:color w:val="222222"/>
          <w:sz w:val="24"/>
          <w:szCs w:val="24"/>
          <w:shd w:val="clear" w:color="auto" w:fill="FFFFFF"/>
        </w:rPr>
        <w:t>OMEGA-Journal of Death and Dying</w:t>
      </w:r>
      <w:r w:rsidRPr="00D155BC">
        <w:rPr>
          <w:rFonts w:ascii="Arial" w:hAnsi="Arial" w:cs="Arial"/>
          <w:color w:val="222222"/>
          <w:sz w:val="24"/>
          <w:szCs w:val="24"/>
          <w:shd w:val="clear" w:color="auto" w:fill="FFFFFF"/>
        </w:rPr>
        <w:t>, </w:t>
      </w:r>
      <w:r w:rsidRPr="00D155BC">
        <w:rPr>
          <w:rFonts w:ascii="Arial" w:hAnsi="Arial" w:cs="Arial"/>
          <w:i/>
          <w:iCs/>
          <w:color w:val="222222"/>
          <w:sz w:val="24"/>
          <w:szCs w:val="24"/>
          <w:shd w:val="clear" w:color="auto" w:fill="FFFFFF"/>
        </w:rPr>
        <w:t>61</w:t>
      </w:r>
      <w:r w:rsidRPr="00D155BC">
        <w:rPr>
          <w:rFonts w:ascii="Arial" w:hAnsi="Arial" w:cs="Arial"/>
          <w:color w:val="222222"/>
          <w:sz w:val="24"/>
          <w:szCs w:val="24"/>
          <w:shd w:val="clear" w:color="auto" w:fill="FFFFFF"/>
        </w:rPr>
        <w:t>(4), 273-289.</w:t>
      </w:r>
    </w:p>
    <w:p w:rsidR="00A677F9" w:rsidRDefault="00A677F9" w:rsidP="00A677F9">
      <w:pPr>
        <w:rPr>
          <w:rFonts w:ascii="Arial" w:hAnsi="Arial" w:cs="Arial"/>
          <w:color w:val="222222"/>
          <w:sz w:val="24"/>
          <w:szCs w:val="24"/>
        </w:rPr>
      </w:pPr>
    </w:p>
    <w:p w:rsidR="00A677F9" w:rsidRPr="00D155BC" w:rsidRDefault="00A677F9" w:rsidP="00A677F9">
      <w:pPr>
        <w:rPr>
          <w:rFonts w:ascii="Arial" w:hAnsi="Arial" w:cs="Arial"/>
          <w:color w:val="222222"/>
          <w:sz w:val="24"/>
          <w:szCs w:val="24"/>
        </w:rPr>
      </w:pPr>
      <w:r w:rsidRPr="00D155BC">
        <w:rPr>
          <w:rFonts w:ascii="Arial" w:hAnsi="Arial" w:cs="Arial"/>
          <w:color w:val="222222"/>
          <w:sz w:val="24"/>
          <w:szCs w:val="24"/>
        </w:rPr>
        <w:t xml:space="preserve">Wittenberg-Lyles, E., Washington, K., Oliver, D. P., Shaunfield, S., Gage, L. A., Mooney, M., &amp; Lewis, A. (2015). “It is the ‘starting over’part that is so hard”: Using an online group to support hospice bereavement. </w:t>
      </w:r>
      <w:r w:rsidRPr="00D155BC">
        <w:rPr>
          <w:rFonts w:ascii="Arial" w:hAnsi="Arial" w:cs="Arial"/>
          <w:i/>
          <w:iCs/>
          <w:color w:val="222222"/>
          <w:sz w:val="24"/>
          <w:szCs w:val="24"/>
        </w:rPr>
        <w:t>Palliative &amp; supportive care</w:t>
      </w:r>
      <w:r w:rsidRPr="00D155BC">
        <w:rPr>
          <w:rFonts w:ascii="Arial" w:hAnsi="Arial" w:cs="Arial"/>
          <w:color w:val="222222"/>
          <w:sz w:val="24"/>
          <w:szCs w:val="24"/>
        </w:rPr>
        <w:t xml:space="preserve">, </w:t>
      </w:r>
      <w:r w:rsidRPr="00D155BC">
        <w:rPr>
          <w:rFonts w:ascii="Arial" w:hAnsi="Arial" w:cs="Arial"/>
          <w:i/>
          <w:iCs/>
          <w:color w:val="222222"/>
          <w:sz w:val="24"/>
          <w:szCs w:val="24"/>
        </w:rPr>
        <w:t>13</w:t>
      </w:r>
      <w:r w:rsidRPr="00D155BC">
        <w:rPr>
          <w:rFonts w:ascii="Arial" w:hAnsi="Arial" w:cs="Arial"/>
          <w:color w:val="222222"/>
          <w:sz w:val="24"/>
          <w:szCs w:val="24"/>
        </w:rPr>
        <w:t>(2), 351-357.</w:t>
      </w:r>
    </w:p>
    <w:p w:rsidR="00A677F9" w:rsidRPr="006552F2" w:rsidRDefault="00A677F9" w:rsidP="00A677F9">
      <w:pPr>
        <w:rPr>
          <w:sz w:val="24"/>
          <w:szCs w:val="24"/>
        </w:rPr>
      </w:pPr>
    </w:p>
    <w:p w:rsidR="00A677F9" w:rsidRDefault="00A677F9" w:rsidP="00550BD6">
      <w:pPr>
        <w:spacing w:after="0" w:line="240" w:lineRule="auto"/>
        <w:rPr>
          <w:sz w:val="28"/>
          <w:szCs w:val="28"/>
        </w:rPr>
      </w:pPr>
    </w:p>
    <w:p w:rsidR="00845F04" w:rsidRDefault="00845F04" w:rsidP="00550BD6">
      <w:pPr>
        <w:spacing w:after="0" w:line="240" w:lineRule="auto"/>
        <w:rPr>
          <w:sz w:val="28"/>
          <w:szCs w:val="28"/>
        </w:rPr>
      </w:pPr>
    </w:p>
    <w:p w:rsidR="006D6594" w:rsidRDefault="006D6594" w:rsidP="00550BD6">
      <w:pPr>
        <w:spacing w:after="0" w:line="240" w:lineRule="auto"/>
        <w:rPr>
          <w:sz w:val="28"/>
          <w:szCs w:val="28"/>
        </w:rPr>
      </w:pPr>
    </w:p>
    <w:p w:rsidR="003E17DC" w:rsidRDefault="003E17DC" w:rsidP="00550BD6">
      <w:pPr>
        <w:spacing w:after="0" w:line="240" w:lineRule="auto"/>
        <w:rPr>
          <w:sz w:val="28"/>
          <w:szCs w:val="28"/>
        </w:rPr>
      </w:pPr>
      <w:r>
        <w:rPr>
          <w:sz w:val="28"/>
          <w:szCs w:val="28"/>
        </w:rPr>
        <w:t xml:space="preserve"> </w:t>
      </w:r>
    </w:p>
    <w:p w:rsidR="00550BD6" w:rsidRDefault="00550BD6" w:rsidP="00550BD6">
      <w:pPr>
        <w:spacing w:after="0" w:line="240" w:lineRule="auto"/>
        <w:rPr>
          <w:sz w:val="28"/>
          <w:szCs w:val="28"/>
        </w:rPr>
      </w:pPr>
    </w:p>
    <w:p w:rsidR="00CF6B80" w:rsidRPr="0079304F" w:rsidRDefault="00CF6B80" w:rsidP="0079304F">
      <w:pPr>
        <w:spacing w:after="0" w:line="240" w:lineRule="auto"/>
        <w:jc w:val="center"/>
        <w:rPr>
          <w:sz w:val="28"/>
          <w:szCs w:val="28"/>
        </w:rPr>
      </w:pPr>
    </w:p>
    <w:p w:rsidR="00CF6B80" w:rsidRDefault="00CF6B80" w:rsidP="00CF6B80">
      <w:pPr>
        <w:jc w:val="center"/>
        <w:rPr>
          <w:sz w:val="28"/>
          <w:szCs w:val="28"/>
        </w:rPr>
      </w:pPr>
    </w:p>
    <w:p w:rsidR="00CF6B80" w:rsidRDefault="00CF6B80" w:rsidP="00CF6B80">
      <w:pPr>
        <w:jc w:val="center"/>
        <w:rPr>
          <w:sz w:val="28"/>
          <w:szCs w:val="28"/>
        </w:rPr>
      </w:pPr>
    </w:p>
    <w:p w:rsidR="00CF6B80" w:rsidRDefault="00CF6B80" w:rsidP="00CF6B80">
      <w:pPr>
        <w:jc w:val="center"/>
        <w:rPr>
          <w:sz w:val="28"/>
          <w:szCs w:val="28"/>
        </w:rPr>
      </w:pPr>
    </w:p>
    <w:p w:rsidR="00CF6B80" w:rsidRDefault="00CF6B80" w:rsidP="00CF6B80">
      <w:pPr>
        <w:jc w:val="center"/>
        <w:rPr>
          <w:sz w:val="28"/>
          <w:szCs w:val="28"/>
        </w:rPr>
      </w:pPr>
    </w:p>
    <w:p w:rsidR="00CF6B80" w:rsidRPr="00CF6B80" w:rsidRDefault="00CF6B80" w:rsidP="00CF6B80">
      <w:pPr>
        <w:rPr>
          <w:sz w:val="28"/>
          <w:szCs w:val="28"/>
        </w:rPr>
      </w:pPr>
    </w:p>
    <w:p w:rsidR="00CF6B80" w:rsidRPr="000C0A50" w:rsidRDefault="00CF6B80" w:rsidP="00CB1F66">
      <w:pPr>
        <w:rPr>
          <w:sz w:val="28"/>
          <w:szCs w:val="28"/>
          <w:lang w:val="en-US"/>
        </w:rPr>
      </w:pPr>
    </w:p>
    <w:p w:rsidR="00190C01" w:rsidRPr="000C0A50" w:rsidRDefault="00190C01">
      <w:pPr>
        <w:rPr>
          <w:sz w:val="28"/>
          <w:szCs w:val="28"/>
        </w:rPr>
      </w:pPr>
    </w:p>
    <w:sectPr w:rsidR="00190C01" w:rsidRPr="000C0A50" w:rsidSect="00204B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5F04" w:rsidRDefault="00845F04" w:rsidP="00845F04">
      <w:pPr>
        <w:spacing w:after="0" w:line="240" w:lineRule="auto"/>
      </w:pPr>
      <w:r>
        <w:separator/>
      </w:r>
    </w:p>
  </w:endnote>
  <w:endnote w:type="continuationSeparator" w:id="0">
    <w:p w:rsidR="00845F04" w:rsidRDefault="00845F04" w:rsidP="00845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Franklin Gothic Medium Cond">
    <w:panose1 w:val="020B06060304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AdvTT5843c571">
    <w:panose1 w:val="00000000000000000000"/>
    <w:charset w:val="00"/>
    <w:family w:val="roman"/>
    <w:notTrueType/>
    <w:pitch w:val="default"/>
    <w:sig w:usb0="00000003" w:usb1="00000000" w:usb2="00000000" w:usb3="00000000" w:csb0="00000001" w:csb1="00000000"/>
  </w:font>
  <w:font w:name="AdvTT5843c571+fb">
    <w:panose1 w:val="00000000000000000000"/>
    <w:charset w:val="00"/>
    <w:family w:val="auto"/>
    <w:notTrueType/>
    <w:pitch w:val="default"/>
    <w:sig w:usb0="00000003" w:usb1="00000000" w:usb2="00000000" w:usb3="00000000" w:csb0="00000001" w:csb1="00000000"/>
  </w:font>
  <w:font w:name="AdvTT5843c571+20">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5F04" w:rsidRDefault="00845F04" w:rsidP="00845F04">
      <w:pPr>
        <w:spacing w:after="0" w:line="240" w:lineRule="auto"/>
      </w:pPr>
      <w:r>
        <w:separator/>
      </w:r>
    </w:p>
  </w:footnote>
  <w:footnote w:type="continuationSeparator" w:id="0">
    <w:p w:rsidR="00845F04" w:rsidRDefault="00845F04" w:rsidP="00845F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86C5F0D"/>
    <w:multiLevelType w:val="hybridMultilevel"/>
    <w:tmpl w:val="7176154E"/>
    <w:lvl w:ilvl="0" w:tplc="B65EDDB8">
      <w:start w:val="1"/>
      <w:numFmt w:val="bullet"/>
      <w:lvlText w:val=""/>
      <w:lvlJc w:val="left"/>
      <w:pPr>
        <w:tabs>
          <w:tab w:val="num" w:pos="720"/>
        </w:tabs>
        <w:ind w:left="720" w:hanging="360"/>
      </w:pPr>
      <w:rPr>
        <w:rFonts w:ascii="Wingdings" w:hAnsi="Wingdings" w:hint="default"/>
      </w:rPr>
    </w:lvl>
    <w:lvl w:ilvl="1" w:tplc="953C9414" w:tentative="1">
      <w:start w:val="1"/>
      <w:numFmt w:val="bullet"/>
      <w:lvlText w:val=""/>
      <w:lvlJc w:val="left"/>
      <w:pPr>
        <w:tabs>
          <w:tab w:val="num" w:pos="1440"/>
        </w:tabs>
        <w:ind w:left="1440" w:hanging="360"/>
      </w:pPr>
      <w:rPr>
        <w:rFonts w:ascii="Wingdings" w:hAnsi="Wingdings" w:hint="default"/>
      </w:rPr>
    </w:lvl>
    <w:lvl w:ilvl="2" w:tplc="60343B28" w:tentative="1">
      <w:start w:val="1"/>
      <w:numFmt w:val="bullet"/>
      <w:lvlText w:val=""/>
      <w:lvlJc w:val="left"/>
      <w:pPr>
        <w:tabs>
          <w:tab w:val="num" w:pos="2160"/>
        </w:tabs>
        <w:ind w:left="2160" w:hanging="360"/>
      </w:pPr>
      <w:rPr>
        <w:rFonts w:ascii="Wingdings" w:hAnsi="Wingdings" w:hint="default"/>
      </w:rPr>
    </w:lvl>
    <w:lvl w:ilvl="3" w:tplc="EB384944" w:tentative="1">
      <w:start w:val="1"/>
      <w:numFmt w:val="bullet"/>
      <w:lvlText w:val=""/>
      <w:lvlJc w:val="left"/>
      <w:pPr>
        <w:tabs>
          <w:tab w:val="num" w:pos="2880"/>
        </w:tabs>
        <w:ind w:left="2880" w:hanging="360"/>
      </w:pPr>
      <w:rPr>
        <w:rFonts w:ascii="Wingdings" w:hAnsi="Wingdings" w:hint="default"/>
      </w:rPr>
    </w:lvl>
    <w:lvl w:ilvl="4" w:tplc="30A0F25E" w:tentative="1">
      <w:start w:val="1"/>
      <w:numFmt w:val="bullet"/>
      <w:lvlText w:val=""/>
      <w:lvlJc w:val="left"/>
      <w:pPr>
        <w:tabs>
          <w:tab w:val="num" w:pos="3600"/>
        </w:tabs>
        <w:ind w:left="3600" w:hanging="360"/>
      </w:pPr>
      <w:rPr>
        <w:rFonts w:ascii="Wingdings" w:hAnsi="Wingdings" w:hint="default"/>
      </w:rPr>
    </w:lvl>
    <w:lvl w:ilvl="5" w:tplc="A7308BF0" w:tentative="1">
      <w:start w:val="1"/>
      <w:numFmt w:val="bullet"/>
      <w:lvlText w:val=""/>
      <w:lvlJc w:val="left"/>
      <w:pPr>
        <w:tabs>
          <w:tab w:val="num" w:pos="4320"/>
        </w:tabs>
        <w:ind w:left="4320" w:hanging="360"/>
      </w:pPr>
      <w:rPr>
        <w:rFonts w:ascii="Wingdings" w:hAnsi="Wingdings" w:hint="default"/>
      </w:rPr>
    </w:lvl>
    <w:lvl w:ilvl="6" w:tplc="DDAE0632" w:tentative="1">
      <w:start w:val="1"/>
      <w:numFmt w:val="bullet"/>
      <w:lvlText w:val=""/>
      <w:lvlJc w:val="left"/>
      <w:pPr>
        <w:tabs>
          <w:tab w:val="num" w:pos="5040"/>
        </w:tabs>
        <w:ind w:left="5040" w:hanging="360"/>
      </w:pPr>
      <w:rPr>
        <w:rFonts w:ascii="Wingdings" w:hAnsi="Wingdings" w:hint="default"/>
      </w:rPr>
    </w:lvl>
    <w:lvl w:ilvl="7" w:tplc="ECE49E3C" w:tentative="1">
      <w:start w:val="1"/>
      <w:numFmt w:val="bullet"/>
      <w:lvlText w:val=""/>
      <w:lvlJc w:val="left"/>
      <w:pPr>
        <w:tabs>
          <w:tab w:val="num" w:pos="5760"/>
        </w:tabs>
        <w:ind w:left="5760" w:hanging="360"/>
      </w:pPr>
      <w:rPr>
        <w:rFonts w:ascii="Wingdings" w:hAnsi="Wingdings" w:hint="default"/>
      </w:rPr>
    </w:lvl>
    <w:lvl w:ilvl="8" w:tplc="DB2249C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8BC342A"/>
    <w:multiLevelType w:val="hybridMultilevel"/>
    <w:tmpl w:val="9DF07A7C"/>
    <w:lvl w:ilvl="0" w:tplc="4EC2BDEE">
      <w:start w:val="1"/>
      <w:numFmt w:val="bullet"/>
      <w:pStyle w:val="ListBullet"/>
      <w:lvlText w:val="►"/>
      <w:lvlJc w:val="left"/>
      <w:pPr>
        <w:ind w:left="720" w:hanging="360"/>
      </w:pPr>
      <w:rPr>
        <w:rFonts w:ascii="Franklin Gothic Medium Cond" w:hAnsi="Franklin Gothic Medium Cond" w:hint="default"/>
        <w:color w:val="5B9BD5"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0492"/>
    <w:rsid w:val="000357C4"/>
    <w:rsid w:val="00047A08"/>
    <w:rsid w:val="00065943"/>
    <w:rsid w:val="000C0A50"/>
    <w:rsid w:val="00142330"/>
    <w:rsid w:val="00155817"/>
    <w:rsid w:val="0016657C"/>
    <w:rsid w:val="00190C01"/>
    <w:rsid w:val="001F7D1A"/>
    <w:rsid w:val="00204B54"/>
    <w:rsid w:val="00232226"/>
    <w:rsid w:val="002500FB"/>
    <w:rsid w:val="002E0C3A"/>
    <w:rsid w:val="002F40B0"/>
    <w:rsid w:val="00301089"/>
    <w:rsid w:val="00325D8B"/>
    <w:rsid w:val="003A5C16"/>
    <w:rsid w:val="003E17DC"/>
    <w:rsid w:val="004A2F73"/>
    <w:rsid w:val="0052050D"/>
    <w:rsid w:val="00550BD6"/>
    <w:rsid w:val="005673EF"/>
    <w:rsid w:val="00581C93"/>
    <w:rsid w:val="005D7D58"/>
    <w:rsid w:val="005E0195"/>
    <w:rsid w:val="00635EF7"/>
    <w:rsid w:val="00686DBC"/>
    <w:rsid w:val="006C769E"/>
    <w:rsid w:val="006D4952"/>
    <w:rsid w:val="006D58A6"/>
    <w:rsid w:val="006D6594"/>
    <w:rsid w:val="006F22E5"/>
    <w:rsid w:val="007038A5"/>
    <w:rsid w:val="00710E71"/>
    <w:rsid w:val="00724E3F"/>
    <w:rsid w:val="007378DF"/>
    <w:rsid w:val="0079304F"/>
    <w:rsid w:val="007A0D0D"/>
    <w:rsid w:val="00845A52"/>
    <w:rsid w:val="00845F04"/>
    <w:rsid w:val="00867D22"/>
    <w:rsid w:val="0087212C"/>
    <w:rsid w:val="009432A5"/>
    <w:rsid w:val="00974AEC"/>
    <w:rsid w:val="009A33F3"/>
    <w:rsid w:val="009B5E53"/>
    <w:rsid w:val="00A345FF"/>
    <w:rsid w:val="00A677F9"/>
    <w:rsid w:val="00A83D20"/>
    <w:rsid w:val="00AB38E0"/>
    <w:rsid w:val="00B15BB9"/>
    <w:rsid w:val="00B163B8"/>
    <w:rsid w:val="00B50738"/>
    <w:rsid w:val="00B72045"/>
    <w:rsid w:val="00B738CB"/>
    <w:rsid w:val="00B948D0"/>
    <w:rsid w:val="00BF7DE4"/>
    <w:rsid w:val="00C17D1A"/>
    <w:rsid w:val="00C62109"/>
    <w:rsid w:val="00CB1F66"/>
    <w:rsid w:val="00CF6B80"/>
    <w:rsid w:val="00D324CE"/>
    <w:rsid w:val="00D80A5E"/>
    <w:rsid w:val="00D8592E"/>
    <w:rsid w:val="00DA17B1"/>
    <w:rsid w:val="00DA401D"/>
    <w:rsid w:val="00DD35F4"/>
    <w:rsid w:val="00DF1E0F"/>
    <w:rsid w:val="00DF4D9E"/>
    <w:rsid w:val="00E30A24"/>
    <w:rsid w:val="00F30C95"/>
    <w:rsid w:val="00F40492"/>
    <w:rsid w:val="00FA4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F00C2"/>
  <w15:chartTrackingRefBased/>
  <w15:docId w15:val="{96DAEF2D-80A1-4ED7-A4FE-6A100F9CD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04B54"/>
    <w:pPr>
      <w:keepNext/>
      <w:keepLines/>
      <w:outlineLvl w:val="0"/>
    </w:pPr>
    <w:rPr>
      <w:rFonts w:asciiTheme="majorHAnsi" w:eastAsiaTheme="majorEastAsia" w:hAnsiTheme="majorHAnsi" w:cstheme="majorBidi"/>
      <w:b/>
      <w:color w:val="5B9BD5" w:themeColor="accent1"/>
      <w:sz w:val="40"/>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04B5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04B5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04B5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04B54"/>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204B54"/>
    <w:rPr>
      <w:rFonts w:asciiTheme="majorHAnsi" w:eastAsiaTheme="majorEastAsia" w:hAnsiTheme="majorHAnsi" w:cstheme="majorBidi"/>
      <w:b/>
      <w:color w:val="5B9BD5" w:themeColor="accent1"/>
      <w:sz w:val="40"/>
      <w:szCs w:val="32"/>
      <w:lang w:val="en-US"/>
    </w:rPr>
  </w:style>
  <w:style w:type="paragraph" w:customStyle="1" w:styleId="QuoteOpen">
    <w:name w:val="Quote Open"/>
    <w:basedOn w:val="Normal"/>
    <w:next w:val="Normal"/>
    <w:link w:val="QuoteOpenChar"/>
    <w:uiPriority w:val="29"/>
    <w:qFormat/>
    <w:rsid w:val="00204B54"/>
    <w:pPr>
      <w:spacing w:after="0" w:line="192" w:lineRule="auto"/>
      <w:jc w:val="right"/>
    </w:pPr>
    <w:rPr>
      <w:rFonts w:asciiTheme="majorHAnsi" w:hAnsiTheme="majorHAnsi"/>
      <w:i/>
      <w:iCs/>
      <w:noProof/>
      <w:color w:val="5B9BD5" w:themeColor="accent1"/>
      <w:sz w:val="240"/>
      <w:szCs w:val="240"/>
      <w:lang w:val="en-US"/>
    </w:rPr>
  </w:style>
  <w:style w:type="character" w:customStyle="1" w:styleId="QuoteOpenChar">
    <w:name w:val="Quote Open Char"/>
    <w:basedOn w:val="DefaultParagraphFont"/>
    <w:link w:val="QuoteOpen"/>
    <w:uiPriority w:val="29"/>
    <w:rsid w:val="00204B54"/>
    <w:rPr>
      <w:rFonts w:asciiTheme="majorHAnsi" w:hAnsiTheme="majorHAnsi"/>
      <w:i/>
      <w:iCs/>
      <w:noProof/>
      <w:color w:val="5B9BD5" w:themeColor="accent1"/>
      <w:sz w:val="240"/>
      <w:szCs w:val="240"/>
      <w:lang w:val="en-US"/>
    </w:rPr>
  </w:style>
  <w:style w:type="paragraph" w:customStyle="1" w:styleId="Quote2">
    <w:name w:val="Quote 2"/>
    <w:basedOn w:val="Normal"/>
    <w:next w:val="Normal"/>
    <w:link w:val="Quote2Char"/>
    <w:uiPriority w:val="29"/>
    <w:qFormat/>
    <w:rsid w:val="00CB1F66"/>
    <w:pPr>
      <w:tabs>
        <w:tab w:val="left" w:pos="5812"/>
      </w:tabs>
      <w:spacing w:after="0"/>
      <w:ind w:left="709" w:right="766"/>
      <w:jc w:val="center"/>
    </w:pPr>
    <w:rPr>
      <w:i/>
      <w:iCs/>
      <w:color w:val="FFFFFF" w:themeColor="background1"/>
      <w:sz w:val="36"/>
      <w:szCs w:val="36"/>
      <w:lang w:val="en-US"/>
    </w:rPr>
  </w:style>
  <w:style w:type="character" w:customStyle="1" w:styleId="Quote2Char">
    <w:name w:val="Quote 2 Char"/>
    <w:basedOn w:val="DefaultParagraphFont"/>
    <w:link w:val="Quote2"/>
    <w:uiPriority w:val="29"/>
    <w:rsid w:val="00CB1F66"/>
    <w:rPr>
      <w:i/>
      <w:iCs/>
      <w:color w:val="FFFFFF" w:themeColor="background1"/>
      <w:sz w:val="36"/>
      <w:szCs w:val="36"/>
      <w:lang w:val="en-US"/>
    </w:rPr>
  </w:style>
  <w:style w:type="paragraph" w:styleId="ListBullet">
    <w:name w:val="List Bullet"/>
    <w:basedOn w:val="ListParagraph"/>
    <w:uiPriority w:val="99"/>
    <w:qFormat/>
    <w:rsid w:val="00CF6B80"/>
    <w:pPr>
      <w:numPr>
        <w:numId w:val="1"/>
      </w:numPr>
      <w:tabs>
        <w:tab w:val="num" w:pos="360"/>
      </w:tabs>
      <w:ind w:left="426" w:hanging="426"/>
    </w:pPr>
    <w:rPr>
      <w:color w:val="595959" w:themeColor="text1" w:themeTint="A6"/>
      <w:lang w:val="en-US"/>
    </w:rPr>
  </w:style>
  <w:style w:type="paragraph" w:styleId="ListParagraph">
    <w:name w:val="List Paragraph"/>
    <w:basedOn w:val="Normal"/>
    <w:uiPriority w:val="34"/>
    <w:qFormat/>
    <w:rsid w:val="00CF6B80"/>
    <w:pPr>
      <w:ind w:left="720"/>
      <w:contextualSpacing/>
    </w:pPr>
  </w:style>
  <w:style w:type="table" w:styleId="TableGrid">
    <w:name w:val="Table Grid"/>
    <w:basedOn w:val="TableNormal"/>
    <w:uiPriority w:val="39"/>
    <w:rsid w:val="00845F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677F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5816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rgbClr val="FF33CC"/>
                </a:solidFill>
              </a:rPr>
              <a:t>Percentage of widows (Elliot &amp; Simmons, 2011)</a:t>
            </a:r>
            <a:r>
              <a:rPr lang="en-GB" baseline="0">
                <a:solidFill>
                  <a:srgbClr val="FF33CC"/>
                </a:solidFill>
              </a:rPr>
              <a:t> </a:t>
            </a:r>
            <a:endParaRPr lang="en-GB">
              <a:solidFill>
                <a:srgbClr val="FF33CC"/>
              </a:solidFill>
            </a:endParaRPr>
          </a:p>
        </c:rich>
      </c:tx>
      <c:layout>
        <c:manualLayout>
          <c:xMode val="edge"/>
          <c:yMode val="edge"/>
          <c:x val="0.18108064078197125"/>
          <c:y val="2.721088435374149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Men</c:v>
                </c:pt>
              </c:strCache>
            </c:strRef>
          </c:tx>
          <c:spPr>
            <a:solidFill>
              <a:schemeClr val="accent1"/>
            </a:solidFill>
            <a:ln>
              <a:noFill/>
            </a:ln>
            <a:effectLst/>
          </c:spPr>
          <c:invertIfNegative val="0"/>
          <c:cat>
            <c:strRef>
              <c:f>Sheet1!$A$2:$A$5</c:f>
              <c:strCache>
                <c:ptCount val="1"/>
                <c:pt idx="0">
                  <c:v>Category 1</c:v>
                </c:pt>
              </c:strCache>
            </c:strRef>
          </c:cat>
          <c:val>
            <c:numRef>
              <c:f>Sheet1!$B$2:$B$5</c:f>
              <c:numCache>
                <c:formatCode>General</c:formatCode>
                <c:ptCount val="4"/>
                <c:pt idx="0">
                  <c:v>15</c:v>
                </c:pt>
              </c:numCache>
            </c:numRef>
          </c:val>
          <c:extLst>
            <c:ext xmlns:c16="http://schemas.microsoft.com/office/drawing/2014/chart" uri="{C3380CC4-5D6E-409C-BE32-E72D297353CC}">
              <c16:uniqueId val="{00000000-09B8-4908-97B9-8D847118BE25}"/>
            </c:ext>
          </c:extLst>
        </c:ser>
        <c:ser>
          <c:idx val="1"/>
          <c:order val="1"/>
          <c:tx>
            <c:strRef>
              <c:f>Sheet1!$C$1</c:f>
              <c:strCache>
                <c:ptCount val="1"/>
                <c:pt idx="0">
                  <c:v>Women</c:v>
                </c:pt>
              </c:strCache>
            </c:strRef>
          </c:tx>
          <c:spPr>
            <a:solidFill>
              <a:schemeClr val="accent2"/>
            </a:solidFill>
            <a:ln>
              <a:noFill/>
            </a:ln>
            <a:effectLst/>
          </c:spPr>
          <c:invertIfNegative val="0"/>
          <c:cat>
            <c:strRef>
              <c:f>Sheet1!$A$2:$A$5</c:f>
              <c:strCache>
                <c:ptCount val="1"/>
                <c:pt idx="0">
                  <c:v>Category 1</c:v>
                </c:pt>
              </c:strCache>
            </c:strRef>
          </c:cat>
          <c:val>
            <c:numRef>
              <c:f>Sheet1!$C$2:$C$5</c:f>
              <c:numCache>
                <c:formatCode>General</c:formatCode>
                <c:ptCount val="4"/>
                <c:pt idx="0">
                  <c:v>40</c:v>
                </c:pt>
              </c:numCache>
            </c:numRef>
          </c:val>
          <c:extLst>
            <c:ext xmlns:c16="http://schemas.microsoft.com/office/drawing/2014/chart" uri="{C3380CC4-5D6E-409C-BE32-E72D297353CC}">
              <c16:uniqueId val="{00000001-09B8-4908-97B9-8D847118BE25}"/>
            </c:ext>
          </c:extLst>
        </c:ser>
        <c:dLbls>
          <c:showLegendKey val="0"/>
          <c:showVal val="0"/>
          <c:showCatName val="0"/>
          <c:showSerName val="0"/>
          <c:showPercent val="0"/>
          <c:showBubbleSize val="0"/>
        </c:dLbls>
        <c:gapWidth val="219"/>
        <c:overlap val="-27"/>
        <c:axId val="1192314528"/>
        <c:axId val="1192316168"/>
      </c:barChart>
      <c:catAx>
        <c:axId val="1192314528"/>
        <c:scaling>
          <c:orientation val="minMax"/>
        </c:scaling>
        <c:delete val="1"/>
        <c:axPos val="b"/>
        <c:numFmt formatCode="General" sourceLinked="1"/>
        <c:majorTickMark val="none"/>
        <c:minorTickMark val="none"/>
        <c:tickLblPos val="nextTo"/>
        <c:crossAx val="1192316168"/>
        <c:crosses val="autoZero"/>
        <c:auto val="1"/>
        <c:lblAlgn val="ctr"/>
        <c:lblOffset val="100"/>
        <c:noMultiLvlLbl val="0"/>
      </c:catAx>
      <c:valAx>
        <c:axId val="1192316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231452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briefing report to highlight theories which provide bereavement coping strategies for older aged adults.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2282</Words>
  <Characters>13010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Theories of Bereavement</vt:lpstr>
    </vt:vector>
  </TitlesOfParts>
  <Company>University of Wales Trinity Saint David</Company>
  <LinksUpToDate>false</LinksUpToDate>
  <CharactersWithSpaces>15262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Theories of Bereavement</dc:title>
  <dc:subject/>
  <dc:creator>UWTSD</dc:creator>
  <cp:keywords/>
  <dc:description/>
  <cp:lastModifiedBy>UWTSD</cp:lastModifiedBy>
  <cp:revision>6</cp:revision>
  <dcterms:created xsi:type="dcterms:W3CDTF">2019-12-13T23:31:00Z</dcterms:created>
  <dcterms:modified xsi:type="dcterms:W3CDTF">2019-12-13T23:56:00Z</dcterms:modified>
</cp:coreProperties>
</file>