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F35C1" w14:textId="62B5D1BC" w:rsidR="000D1CBD" w:rsidRDefault="000D1CBD" w:rsidP="00325536">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A critical analysis of material evidence from Roman Palmyra and </w:t>
      </w:r>
      <w:r w:rsidR="00B775C4">
        <w:rPr>
          <w:rFonts w:ascii="Times New Roman" w:hAnsi="Times New Roman" w:cs="Times New Roman"/>
          <w:b/>
          <w:sz w:val="24"/>
          <w:szCs w:val="24"/>
          <w:u w:val="single"/>
        </w:rPr>
        <w:t xml:space="preserve">a discussion of </w:t>
      </w:r>
      <w:r>
        <w:rPr>
          <w:rFonts w:ascii="Times New Roman" w:hAnsi="Times New Roman" w:cs="Times New Roman"/>
          <w:b/>
          <w:sz w:val="24"/>
          <w:szCs w:val="24"/>
          <w:u w:val="single"/>
        </w:rPr>
        <w:t xml:space="preserve">why I consider it to be a key source of understanding of religious change in </w:t>
      </w:r>
      <w:r w:rsidR="002F193E">
        <w:rPr>
          <w:rFonts w:ascii="Times New Roman" w:hAnsi="Times New Roman" w:cs="Times New Roman"/>
          <w:b/>
          <w:sz w:val="24"/>
          <w:szCs w:val="24"/>
          <w:u w:val="single"/>
        </w:rPr>
        <w:t>the province of Syria</w:t>
      </w:r>
      <w:r>
        <w:rPr>
          <w:rFonts w:ascii="Times New Roman" w:hAnsi="Times New Roman" w:cs="Times New Roman"/>
          <w:b/>
          <w:sz w:val="24"/>
          <w:szCs w:val="24"/>
          <w:u w:val="single"/>
        </w:rPr>
        <w:t xml:space="preserve"> in the Roman empire.</w:t>
      </w:r>
    </w:p>
    <w:p w14:paraId="3ACD552A" w14:textId="77777777" w:rsidR="0031357D" w:rsidRDefault="0031357D" w:rsidP="0031357D">
      <w:pPr>
        <w:keepNext/>
        <w:spacing w:line="480" w:lineRule="auto"/>
        <w:jc w:val="center"/>
      </w:pPr>
      <w:r>
        <w:rPr>
          <w:noProof/>
        </w:rPr>
        <w:drawing>
          <wp:inline distT="0" distB="0" distL="0" distR="0" wp14:anchorId="4E5D452B" wp14:editId="6B33733C">
            <wp:extent cx="5731510" cy="2971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71800"/>
                    </a:xfrm>
                    <a:prstGeom prst="rect">
                      <a:avLst/>
                    </a:prstGeom>
                  </pic:spPr>
                </pic:pic>
              </a:graphicData>
            </a:graphic>
          </wp:inline>
        </w:drawing>
      </w:r>
    </w:p>
    <w:p w14:paraId="7248F4A3" w14:textId="55E6A16F" w:rsidR="00FE401F" w:rsidRDefault="0031357D" w:rsidP="0031357D">
      <w:pPr>
        <w:pStyle w:val="Caption"/>
        <w:jc w:val="center"/>
        <w:rPr>
          <w:rFonts w:ascii="Times New Roman" w:hAnsi="Times New Roman" w:cs="Times New Roman"/>
          <w:b/>
          <w:sz w:val="24"/>
          <w:szCs w:val="24"/>
          <w:u w:val="single"/>
        </w:rPr>
      </w:pPr>
      <w:r>
        <w:t xml:space="preserve">Figure </w:t>
      </w:r>
      <w:fldSimple w:instr=" SEQ Figure \* ARABIC ">
        <w:r w:rsidR="002C712D">
          <w:rPr>
            <w:noProof/>
          </w:rPr>
          <w:t>1</w:t>
        </w:r>
      </w:fldSimple>
      <w:r w:rsidR="00986AEC">
        <w:t xml:space="preserve">: </w:t>
      </w:r>
      <w:proofErr w:type="spellStart"/>
      <w:r w:rsidR="00986AEC">
        <w:t>Dien</w:t>
      </w:r>
      <w:proofErr w:type="spellEnd"/>
      <w:r w:rsidR="00986AEC">
        <w:t xml:space="preserve"> 2004</w:t>
      </w:r>
    </w:p>
    <w:p w14:paraId="73DDFCE2" w14:textId="264345C6" w:rsidR="00FE401F" w:rsidRDefault="00FE401F" w:rsidP="00FE401F">
      <w:pPr>
        <w:spacing w:line="480" w:lineRule="auto"/>
        <w:rPr>
          <w:rFonts w:ascii="Times New Roman" w:hAnsi="Times New Roman" w:cs="Times New Roman"/>
          <w:sz w:val="24"/>
          <w:szCs w:val="24"/>
        </w:rPr>
      </w:pPr>
      <w:r>
        <w:rPr>
          <w:rFonts w:ascii="Times New Roman" w:hAnsi="Times New Roman" w:cs="Times New Roman"/>
          <w:sz w:val="24"/>
          <w:szCs w:val="24"/>
        </w:rPr>
        <w:t>Palmyra was a thriving city in the Syrian desert</w:t>
      </w:r>
      <w:r w:rsidR="0031357D">
        <w:rPr>
          <w:rFonts w:ascii="Times New Roman" w:hAnsi="Times New Roman" w:cs="Times New Roman"/>
          <w:sz w:val="24"/>
          <w:szCs w:val="24"/>
        </w:rPr>
        <w:t xml:space="preserve"> (see Figure1)</w:t>
      </w:r>
      <w:r>
        <w:rPr>
          <w:rFonts w:ascii="Times New Roman" w:hAnsi="Times New Roman" w:cs="Times New Roman"/>
          <w:sz w:val="24"/>
          <w:szCs w:val="24"/>
        </w:rPr>
        <w:t xml:space="preserve">, falling in prime location to be a part of the facilitation of an extensive trade network stretching from the </w:t>
      </w:r>
      <w:r w:rsidR="00693275">
        <w:rPr>
          <w:rFonts w:ascii="Times New Roman" w:hAnsi="Times New Roman" w:cs="Times New Roman"/>
          <w:sz w:val="24"/>
          <w:szCs w:val="24"/>
        </w:rPr>
        <w:t>Mediterranean Sea</w:t>
      </w:r>
      <w:r>
        <w:rPr>
          <w:rFonts w:ascii="Times New Roman" w:hAnsi="Times New Roman" w:cs="Times New Roman"/>
          <w:sz w:val="24"/>
          <w:szCs w:val="24"/>
        </w:rPr>
        <w:t xml:space="preserve"> to the Gulf, </w:t>
      </w:r>
      <w:r w:rsidR="00693275">
        <w:rPr>
          <w:rFonts w:ascii="Times New Roman" w:hAnsi="Times New Roman" w:cs="Times New Roman"/>
          <w:sz w:val="24"/>
          <w:szCs w:val="24"/>
        </w:rPr>
        <w:t xml:space="preserve">along the Euphrates, </w:t>
      </w:r>
      <w:r>
        <w:rPr>
          <w:rFonts w:ascii="Times New Roman" w:hAnsi="Times New Roman" w:cs="Times New Roman"/>
          <w:sz w:val="24"/>
          <w:szCs w:val="24"/>
        </w:rPr>
        <w:t xml:space="preserve">and beyond to the ‘Oriental East’ of India and China, from the Hellenistic period to the end of Roman. </w:t>
      </w:r>
      <w:r w:rsidR="00693275">
        <w:rPr>
          <w:rFonts w:ascii="Times New Roman" w:hAnsi="Times New Roman" w:cs="Times New Roman"/>
          <w:sz w:val="24"/>
          <w:szCs w:val="24"/>
        </w:rPr>
        <w:t>Palmyra relied heavily on the trade as a source of income and consequently forged connections with many other groups in the surrounding areas: the Palmyrenes travelled outwards from the city and received travellers from Greece, Rome</w:t>
      </w:r>
      <w:r w:rsidR="00623B49">
        <w:rPr>
          <w:rFonts w:ascii="Times New Roman" w:hAnsi="Times New Roman" w:cs="Times New Roman"/>
          <w:sz w:val="24"/>
          <w:szCs w:val="24"/>
        </w:rPr>
        <w:t>, and other cities around the Mediterranean.</w:t>
      </w:r>
      <w:r w:rsidR="00623B49">
        <w:rPr>
          <w:rStyle w:val="FootnoteReference"/>
          <w:rFonts w:ascii="Times New Roman" w:hAnsi="Times New Roman" w:cs="Times New Roman"/>
          <w:sz w:val="24"/>
          <w:szCs w:val="24"/>
        </w:rPr>
        <w:footnoteReference w:id="1"/>
      </w:r>
      <w:r w:rsidR="00623B49">
        <w:rPr>
          <w:rFonts w:ascii="Times New Roman" w:hAnsi="Times New Roman" w:cs="Times New Roman"/>
          <w:sz w:val="24"/>
          <w:szCs w:val="24"/>
        </w:rPr>
        <w:t xml:space="preserve"> This is evident from a selection of the numerous inscriptions found around Palmyra, which consist</w:t>
      </w:r>
      <w:r w:rsidR="00F34C9A">
        <w:rPr>
          <w:rFonts w:ascii="Times New Roman" w:hAnsi="Times New Roman" w:cs="Times New Roman"/>
          <w:sz w:val="24"/>
          <w:szCs w:val="24"/>
        </w:rPr>
        <w:t>, among others,</w:t>
      </w:r>
      <w:r w:rsidR="00623B49">
        <w:rPr>
          <w:rFonts w:ascii="Times New Roman" w:hAnsi="Times New Roman" w:cs="Times New Roman"/>
          <w:sz w:val="24"/>
          <w:szCs w:val="24"/>
        </w:rPr>
        <w:t xml:space="preserve"> of dedications to local people </w:t>
      </w:r>
      <w:r w:rsidR="00F34C9A">
        <w:rPr>
          <w:rFonts w:ascii="Times New Roman" w:hAnsi="Times New Roman" w:cs="Times New Roman"/>
          <w:sz w:val="24"/>
          <w:szCs w:val="24"/>
        </w:rPr>
        <w:t>living or working in other cities, dedications to local people by others from outside the city, and the fact that all of the inscriptions are written bilingually in the local variation of Aramaic and Greek</w:t>
      </w:r>
      <w:r w:rsidR="00AF45C9">
        <w:rPr>
          <w:rFonts w:ascii="Times New Roman" w:hAnsi="Times New Roman" w:cs="Times New Roman"/>
          <w:sz w:val="24"/>
          <w:szCs w:val="24"/>
        </w:rPr>
        <w:t xml:space="preserve">, showing that there was enough Greek speaking peoples </w:t>
      </w:r>
      <w:r w:rsidR="00AF45C9">
        <w:rPr>
          <w:rFonts w:ascii="Times New Roman" w:hAnsi="Times New Roman" w:cs="Times New Roman"/>
          <w:sz w:val="24"/>
          <w:szCs w:val="24"/>
        </w:rPr>
        <w:lastRenderedPageBreak/>
        <w:t xml:space="preserve">passing through to warrant </w:t>
      </w:r>
      <w:r w:rsidR="00C74665">
        <w:rPr>
          <w:rFonts w:ascii="Times New Roman" w:hAnsi="Times New Roman" w:cs="Times New Roman"/>
          <w:sz w:val="24"/>
          <w:szCs w:val="24"/>
        </w:rPr>
        <w:t>communicating the honours of local citizens in</w:t>
      </w:r>
      <w:r w:rsidR="00AF45C9">
        <w:rPr>
          <w:rFonts w:ascii="Times New Roman" w:hAnsi="Times New Roman" w:cs="Times New Roman"/>
          <w:sz w:val="24"/>
          <w:szCs w:val="24"/>
        </w:rPr>
        <w:t xml:space="preserve"> texts </w:t>
      </w:r>
      <w:r w:rsidR="00C74665">
        <w:rPr>
          <w:rFonts w:ascii="Times New Roman" w:hAnsi="Times New Roman" w:cs="Times New Roman"/>
          <w:sz w:val="24"/>
          <w:szCs w:val="24"/>
        </w:rPr>
        <w:t>that they could read</w:t>
      </w:r>
      <w:r w:rsidR="00F34C9A">
        <w:rPr>
          <w:rFonts w:ascii="Times New Roman" w:hAnsi="Times New Roman" w:cs="Times New Roman"/>
          <w:sz w:val="24"/>
          <w:szCs w:val="24"/>
        </w:rPr>
        <w:t>.</w:t>
      </w:r>
      <w:r w:rsidR="00AF45C9">
        <w:rPr>
          <w:rFonts w:ascii="Times New Roman" w:hAnsi="Times New Roman" w:cs="Times New Roman"/>
          <w:sz w:val="24"/>
          <w:szCs w:val="24"/>
        </w:rPr>
        <w:t xml:space="preserve"> </w:t>
      </w:r>
      <w:bookmarkStart w:id="0" w:name="_GoBack"/>
      <w:bookmarkEnd w:id="0"/>
      <w:r w:rsidR="00AF45C9">
        <w:rPr>
          <w:rFonts w:ascii="Times New Roman" w:hAnsi="Times New Roman" w:cs="Times New Roman"/>
          <w:sz w:val="24"/>
          <w:szCs w:val="24"/>
        </w:rPr>
        <w:t xml:space="preserve"> </w:t>
      </w:r>
    </w:p>
    <w:p w14:paraId="22466D05" w14:textId="02D11164" w:rsidR="000B103F" w:rsidRDefault="000B103F" w:rsidP="00FE401F">
      <w:pPr>
        <w:spacing w:line="480" w:lineRule="auto"/>
        <w:rPr>
          <w:rFonts w:ascii="Times New Roman" w:hAnsi="Times New Roman" w:cs="Times New Roman"/>
          <w:sz w:val="24"/>
          <w:szCs w:val="24"/>
        </w:rPr>
      </w:pPr>
    </w:p>
    <w:p w14:paraId="2994E220" w14:textId="59ADE2F5" w:rsidR="000B103F" w:rsidRDefault="000B103F" w:rsidP="00FE401F">
      <w:pPr>
        <w:spacing w:line="480" w:lineRule="auto"/>
        <w:rPr>
          <w:rFonts w:ascii="Times New Roman" w:hAnsi="Times New Roman" w:cs="Times New Roman"/>
          <w:sz w:val="24"/>
          <w:szCs w:val="24"/>
        </w:rPr>
      </w:pPr>
      <w:r>
        <w:rPr>
          <w:rFonts w:ascii="Times New Roman" w:hAnsi="Times New Roman" w:cs="Times New Roman"/>
          <w:sz w:val="24"/>
          <w:szCs w:val="24"/>
        </w:rPr>
        <w:t>The Seleucid territory of Syria became a province of Rome in 64 BC when Pompey was initiated to settle the eastern lands.</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r w:rsidR="00001996">
        <w:rPr>
          <w:rFonts w:ascii="Times New Roman" w:hAnsi="Times New Roman" w:cs="Times New Roman"/>
          <w:sz w:val="24"/>
          <w:szCs w:val="24"/>
        </w:rPr>
        <w:t xml:space="preserve">The arrival of the Romans was largely one of ease: the Seleucids couldn’t exert any substantial form of resistance, allowing the Romans to </w:t>
      </w:r>
      <w:r w:rsidR="00DC7B40">
        <w:rPr>
          <w:rFonts w:ascii="Times New Roman" w:hAnsi="Times New Roman" w:cs="Times New Roman"/>
          <w:sz w:val="24"/>
          <w:szCs w:val="24"/>
        </w:rPr>
        <w:t>seize Antioch, and the Roman occupation held hope for “greater political and economic stability” than had been the case in recent time under the Seleucids.</w:t>
      </w:r>
      <w:r w:rsidR="00DC7B40">
        <w:rPr>
          <w:rStyle w:val="FootnoteReference"/>
          <w:rFonts w:ascii="Times New Roman" w:hAnsi="Times New Roman" w:cs="Times New Roman"/>
          <w:sz w:val="24"/>
          <w:szCs w:val="24"/>
        </w:rPr>
        <w:footnoteReference w:id="3"/>
      </w:r>
      <w:r w:rsidR="009C1AE1">
        <w:rPr>
          <w:rFonts w:ascii="Times New Roman" w:hAnsi="Times New Roman" w:cs="Times New Roman"/>
          <w:sz w:val="24"/>
          <w:szCs w:val="24"/>
        </w:rPr>
        <w:t xml:space="preserve"> Palmyra itself, amongst other cities and peoples, was left to be largely independent (a precedent started by Pompey upon his conquering of Syria and one that remained until the reign of Tiberius, when Germanicus enacted reforms in 18-19 AD, though even then “Roman control over Palmyra was no more than nominal”.</w:t>
      </w:r>
      <w:r w:rsidR="009C1AE1">
        <w:rPr>
          <w:rStyle w:val="FootnoteReference"/>
          <w:rFonts w:ascii="Times New Roman" w:hAnsi="Times New Roman" w:cs="Times New Roman"/>
          <w:sz w:val="24"/>
          <w:szCs w:val="24"/>
        </w:rPr>
        <w:footnoteReference w:id="4"/>
      </w:r>
      <w:r w:rsidR="009C1AE1">
        <w:rPr>
          <w:rFonts w:ascii="Times New Roman" w:hAnsi="Times New Roman" w:cs="Times New Roman"/>
          <w:sz w:val="24"/>
          <w:szCs w:val="24"/>
        </w:rPr>
        <w:t>), though it certainly enjoyed privileged status in the Roman imperial period and associations with Rome.</w:t>
      </w:r>
      <w:r w:rsidR="009C1AE1">
        <w:rPr>
          <w:rStyle w:val="FootnoteReference"/>
          <w:rFonts w:ascii="Times New Roman" w:hAnsi="Times New Roman" w:cs="Times New Roman"/>
          <w:sz w:val="24"/>
          <w:szCs w:val="24"/>
        </w:rPr>
        <w:footnoteReference w:id="5"/>
      </w:r>
      <w:r w:rsidR="009C1AE1">
        <w:rPr>
          <w:rFonts w:ascii="Times New Roman" w:hAnsi="Times New Roman" w:cs="Times New Roman"/>
          <w:sz w:val="24"/>
          <w:szCs w:val="24"/>
        </w:rPr>
        <w:t xml:space="preserve"> Both retired soldiers and local peoples were settled in pre-existing or newly constructed cities around the Syrian province</w:t>
      </w:r>
      <w:r w:rsidR="00595F70">
        <w:rPr>
          <w:rFonts w:ascii="Times New Roman" w:hAnsi="Times New Roman" w:cs="Times New Roman"/>
          <w:sz w:val="24"/>
          <w:szCs w:val="24"/>
        </w:rPr>
        <w:t>, a process which aided the spread of Roman culture, including religiou</w:t>
      </w:r>
      <w:r w:rsidR="00240E78">
        <w:rPr>
          <w:rFonts w:ascii="Times New Roman" w:hAnsi="Times New Roman" w:cs="Times New Roman"/>
          <w:sz w:val="24"/>
          <w:szCs w:val="24"/>
        </w:rPr>
        <w:t xml:space="preserve">s culture. </w:t>
      </w:r>
    </w:p>
    <w:p w14:paraId="7E21AB26" w14:textId="2D8AE727" w:rsidR="00C249A0" w:rsidRDefault="00C249A0" w:rsidP="00FE401F">
      <w:pPr>
        <w:spacing w:line="480" w:lineRule="auto"/>
        <w:rPr>
          <w:rFonts w:ascii="Times New Roman" w:hAnsi="Times New Roman" w:cs="Times New Roman"/>
          <w:sz w:val="24"/>
          <w:szCs w:val="24"/>
        </w:rPr>
      </w:pPr>
    </w:p>
    <w:p w14:paraId="44D27CCA" w14:textId="719CF9AE" w:rsidR="00C249A0" w:rsidRDefault="00C249A0"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situation of Palmyra as a major trading hub resulted in the extensive mixing of people, their cultures, and their customs. Scholars acknowledge </w:t>
      </w:r>
      <w:r w:rsidR="001604DE">
        <w:rPr>
          <w:rFonts w:ascii="Times New Roman" w:hAnsi="Times New Roman" w:cs="Times New Roman"/>
          <w:sz w:val="24"/>
          <w:szCs w:val="24"/>
        </w:rPr>
        <w:t>the uniquely ‘Palmyrene’ identity that resulted from not only the commercial and political situation it was in, but also from drawing on the “more or less remote and often legendary past”</w:t>
      </w:r>
      <w:r w:rsidR="001604DE">
        <w:rPr>
          <w:rStyle w:val="FootnoteReference"/>
          <w:rFonts w:ascii="Times New Roman" w:hAnsi="Times New Roman" w:cs="Times New Roman"/>
          <w:sz w:val="24"/>
          <w:szCs w:val="24"/>
        </w:rPr>
        <w:footnoteReference w:id="6"/>
      </w:r>
      <w:r w:rsidR="001604DE">
        <w:rPr>
          <w:rFonts w:ascii="Times New Roman" w:hAnsi="Times New Roman" w:cs="Times New Roman"/>
          <w:sz w:val="24"/>
          <w:szCs w:val="24"/>
        </w:rPr>
        <w:t xml:space="preserve"> which stretched back far beyond the foundation of the city to the time before the urbanisation of the nomads that </w:t>
      </w:r>
      <w:r w:rsidR="001604DE">
        <w:rPr>
          <w:rFonts w:ascii="Times New Roman" w:hAnsi="Times New Roman" w:cs="Times New Roman"/>
          <w:sz w:val="24"/>
          <w:szCs w:val="24"/>
        </w:rPr>
        <w:lastRenderedPageBreak/>
        <w:t xml:space="preserve">would eventually settle Palmyra. </w:t>
      </w:r>
      <w:r w:rsidR="009C1AE1">
        <w:rPr>
          <w:rFonts w:ascii="Times New Roman" w:hAnsi="Times New Roman" w:cs="Times New Roman"/>
          <w:sz w:val="24"/>
          <w:szCs w:val="24"/>
        </w:rPr>
        <w:t>The influence of Rome certainly aided this process of cultural mixing with its patronage and strengthening of the trade routes and road systems that allowed the network to flourish under its control.</w:t>
      </w:r>
      <w:r w:rsidR="009C1AE1">
        <w:rPr>
          <w:rStyle w:val="FootnoteReference"/>
          <w:rFonts w:ascii="Times New Roman" w:hAnsi="Times New Roman" w:cs="Times New Roman"/>
          <w:sz w:val="24"/>
          <w:szCs w:val="24"/>
        </w:rPr>
        <w:footnoteReference w:id="7"/>
      </w:r>
      <w:r w:rsidR="009C1AE1">
        <w:rPr>
          <w:rFonts w:ascii="Times New Roman" w:hAnsi="Times New Roman" w:cs="Times New Roman"/>
          <w:sz w:val="24"/>
          <w:szCs w:val="24"/>
        </w:rPr>
        <w:t xml:space="preserve"> </w:t>
      </w:r>
      <w:r w:rsidR="001604DE">
        <w:rPr>
          <w:rFonts w:ascii="Times New Roman" w:hAnsi="Times New Roman" w:cs="Times New Roman"/>
          <w:sz w:val="24"/>
          <w:szCs w:val="24"/>
        </w:rPr>
        <w:t xml:space="preserve">Ted Kaizer in his 2008 article </w:t>
      </w:r>
      <w:r w:rsidR="001604DE">
        <w:rPr>
          <w:rFonts w:ascii="Times New Roman" w:hAnsi="Times New Roman" w:cs="Times New Roman"/>
          <w:i/>
          <w:sz w:val="24"/>
          <w:szCs w:val="24"/>
        </w:rPr>
        <w:t>Man and God at Palmyra</w:t>
      </w:r>
      <w:r w:rsidR="001604DE">
        <w:rPr>
          <w:rFonts w:ascii="Times New Roman" w:hAnsi="Times New Roman" w:cs="Times New Roman"/>
          <w:sz w:val="24"/>
          <w:szCs w:val="24"/>
        </w:rPr>
        <w:t xml:space="preserve"> outlines some of the aspects of Palmyrene culture, specifically those relating to the religious life of the city, that demonstrates the “typically ‘Palmyrene’ identity” mentioned above: the iconographic material, showing “a high degree of individuality and certain connections with the so-called ‘Parthian’ art”</w:t>
      </w:r>
      <w:r w:rsidR="00BA659A">
        <w:rPr>
          <w:rFonts w:ascii="Times New Roman" w:hAnsi="Times New Roman" w:cs="Times New Roman"/>
          <w:sz w:val="24"/>
          <w:szCs w:val="24"/>
        </w:rPr>
        <w:t xml:space="preserve"> and the “unique language situation” (the bilingual inscriptions) being two parts of a ‘complicated’ system that was the result of the coming together of “various cultural backgrounds”.</w:t>
      </w:r>
      <w:r w:rsidR="00BA659A">
        <w:rPr>
          <w:rStyle w:val="FootnoteReference"/>
          <w:rFonts w:ascii="Times New Roman" w:hAnsi="Times New Roman" w:cs="Times New Roman"/>
          <w:sz w:val="24"/>
          <w:szCs w:val="24"/>
        </w:rPr>
        <w:footnoteReference w:id="8"/>
      </w:r>
      <w:r w:rsidR="00BA659A">
        <w:rPr>
          <w:rFonts w:ascii="Times New Roman" w:hAnsi="Times New Roman" w:cs="Times New Roman"/>
          <w:sz w:val="24"/>
          <w:szCs w:val="24"/>
        </w:rPr>
        <w:t xml:space="preserve"> Kaizer also mentions the effect the long-term and persistent</w:t>
      </w:r>
      <w:r w:rsidR="00355FE2">
        <w:rPr>
          <w:rFonts w:ascii="Times New Roman" w:hAnsi="Times New Roman" w:cs="Times New Roman"/>
          <w:sz w:val="24"/>
          <w:szCs w:val="24"/>
        </w:rPr>
        <w:t xml:space="preserve"> interactions between Palmyra and the wider world </w:t>
      </w:r>
      <w:r w:rsidR="002D7AAE">
        <w:rPr>
          <w:rFonts w:ascii="Times New Roman" w:hAnsi="Times New Roman" w:cs="Times New Roman"/>
          <w:sz w:val="24"/>
          <w:szCs w:val="24"/>
        </w:rPr>
        <w:t>had on the development of Palmyrene culture, “with the indigenous substratum being transformed, or ‘renegotiated’.</w:t>
      </w:r>
      <w:r w:rsidR="002D7AAE">
        <w:rPr>
          <w:rStyle w:val="FootnoteReference"/>
          <w:rFonts w:ascii="Times New Roman" w:hAnsi="Times New Roman" w:cs="Times New Roman"/>
          <w:sz w:val="24"/>
          <w:szCs w:val="24"/>
        </w:rPr>
        <w:footnoteReference w:id="9"/>
      </w:r>
      <w:r w:rsidR="002D7AAE">
        <w:rPr>
          <w:rFonts w:ascii="Times New Roman" w:hAnsi="Times New Roman" w:cs="Times New Roman"/>
          <w:sz w:val="24"/>
          <w:szCs w:val="24"/>
        </w:rPr>
        <w:t xml:space="preserve"> </w:t>
      </w:r>
    </w:p>
    <w:p w14:paraId="2E281437" w14:textId="529C5586" w:rsidR="002D7AAE" w:rsidRDefault="002D7AAE" w:rsidP="00FE401F">
      <w:pPr>
        <w:spacing w:line="480" w:lineRule="auto"/>
        <w:rPr>
          <w:rFonts w:ascii="Times New Roman" w:hAnsi="Times New Roman" w:cs="Times New Roman"/>
          <w:sz w:val="24"/>
          <w:szCs w:val="24"/>
        </w:rPr>
      </w:pPr>
    </w:p>
    <w:p w14:paraId="5289E3D3" w14:textId="6BC0AD0B" w:rsidR="002D7AAE" w:rsidRDefault="002D7AAE" w:rsidP="00FE401F">
      <w:pPr>
        <w:spacing w:line="480" w:lineRule="auto"/>
        <w:rPr>
          <w:rFonts w:ascii="Times New Roman" w:hAnsi="Times New Roman" w:cs="Times New Roman"/>
          <w:sz w:val="24"/>
          <w:szCs w:val="24"/>
        </w:rPr>
      </w:pPr>
      <w:r>
        <w:rPr>
          <w:rFonts w:ascii="Times New Roman" w:hAnsi="Times New Roman" w:cs="Times New Roman"/>
          <w:sz w:val="24"/>
          <w:szCs w:val="24"/>
        </w:rPr>
        <w:t>The religious life of Palmyra followed much the same pattern as that described above with the overall culture of the city</w:t>
      </w:r>
      <w:r w:rsidR="00912912">
        <w:rPr>
          <w:rFonts w:ascii="Times New Roman" w:hAnsi="Times New Roman" w:cs="Times New Roman"/>
          <w:sz w:val="24"/>
          <w:szCs w:val="24"/>
        </w:rPr>
        <w:t>, it being a ‘necessarily heterogenous</w:t>
      </w:r>
      <w:r w:rsidR="00D65E7F">
        <w:rPr>
          <w:rFonts w:ascii="Times New Roman" w:hAnsi="Times New Roman" w:cs="Times New Roman"/>
          <w:sz w:val="24"/>
          <w:szCs w:val="24"/>
        </w:rPr>
        <w:t xml:space="preserve"> [diverse]</w:t>
      </w:r>
      <w:r w:rsidR="00912912">
        <w:rPr>
          <w:rFonts w:ascii="Times New Roman" w:hAnsi="Times New Roman" w:cs="Times New Roman"/>
          <w:sz w:val="24"/>
          <w:szCs w:val="24"/>
        </w:rPr>
        <w:t xml:space="preserve"> religious society’.</w:t>
      </w:r>
      <w:r w:rsidR="00912912">
        <w:rPr>
          <w:rStyle w:val="FootnoteReference"/>
          <w:rFonts w:ascii="Times New Roman" w:hAnsi="Times New Roman" w:cs="Times New Roman"/>
          <w:sz w:val="24"/>
          <w:szCs w:val="24"/>
        </w:rPr>
        <w:footnoteReference w:id="10"/>
      </w:r>
      <w:r w:rsidR="00912912">
        <w:rPr>
          <w:rFonts w:ascii="Times New Roman" w:hAnsi="Times New Roman" w:cs="Times New Roman"/>
          <w:sz w:val="24"/>
          <w:szCs w:val="24"/>
        </w:rPr>
        <w:t xml:space="preserve"> </w:t>
      </w:r>
      <w:r w:rsidR="008A1DE3">
        <w:rPr>
          <w:rFonts w:ascii="Times New Roman" w:hAnsi="Times New Roman" w:cs="Times New Roman"/>
          <w:sz w:val="24"/>
          <w:szCs w:val="24"/>
        </w:rPr>
        <w:t xml:space="preserve">It is interesting to note </w:t>
      </w:r>
      <w:proofErr w:type="spellStart"/>
      <w:r w:rsidR="008A1DE3">
        <w:rPr>
          <w:rFonts w:ascii="Times New Roman" w:hAnsi="Times New Roman" w:cs="Times New Roman"/>
          <w:sz w:val="24"/>
          <w:szCs w:val="24"/>
        </w:rPr>
        <w:t>Kaizer’s</w:t>
      </w:r>
      <w:proofErr w:type="spellEnd"/>
      <w:r w:rsidR="008A1DE3">
        <w:rPr>
          <w:rFonts w:ascii="Times New Roman" w:hAnsi="Times New Roman" w:cs="Times New Roman"/>
          <w:sz w:val="24"/>
          <w:szCs w:val="24"/>
        </w:rPr>
        <w:t xml:space="preserve"> </w:t>
      </w:r>
      <w:r w:rsidR="00DD4292">
        <w:rPr>
          <w:rFonts w:ascii="Times New Roman" w:hAnsi="Times New Roman" w:cs="Times New Roman"/>
          <w:sz w:val="24"/>
          <w:szCs w:val="24"/>
        </w:rPr>
        <w:t xml:space="preserve">use of the word ‘necessarily’, as this emphasises the acknowledgement of the extent to which the mixing of people truly </w:t>
      </w:r>
      <w:r w:rsidR="002B6F27">
        <w:rPr>
          <w:rFonts w:ascii="Times New Roman" w:hAnsi="Times New Roman" w:cs="Times New Roman"/>
          <w:sz w:val="24"/>
          <w:szCs w:val="24"/>
        </w:rPr>
        <w:t xml:space="preserve">impacted the culture and religion of the city. </w:t>
      </w:r>
      <w:r w:rsidR="00355FE2">
        <w:rPr>
          <w:rFonts w:ascii="Times New Roman" w:hAnsi="Times New Roman" w:cs="Times New Roman"/>
          <w:sz w:val="24"/>
          <w:szCs w:val="24"/>
        </w:rPr>
        <w:t xml:space="preserve">The divine world in Palmyra serves as an example of </w:t>
      </w:r>
      <w:r w:rsidR="000D58D4">
        <w:rPr>
          <w:rFonts w:ascii="Times New Roman" w:hAnsi="Times New Roman" w:cs="Times New Roman"/>
          <w:sz w:val="24"/>
          <w:szCs w:val="24"/>
        </w:rPr>
        <w:t xml:space="preserve">interactions on many levels coming together to form a unique religious culture. This world was inhabited by </w:t>
      </w:r>
      <w:r w:rsidR="000B103F">
        <w:rPr>
          <w:rFonts w:ascii="Times New Roman" w:hAnsi="Times New Roman" w:cs="Times New Roman"/>
          <w:sz w:val="24"/>
          <w:szCs w:val="24"/>
        </w:rPr>
        <w:t>“a large variety of indigenous and other ‘Oriental’ deities, with any relation to a ‘Greek counterpart’ in the bilingual inscriptions is “usually seen as of secondary importance”.</w:t>
      </w:r>
      <w:r w:rsidR="000B103F">
        <w:rPr>
          <w:rStyle w:val="FootnoteReference"/>
          <w:rFonts w:ascii="Times New Roman" w:hAnsi="Times New Roman" w:cs="Times New Roman"/>
          <w:sz w:val="24"/>
          <w:szCs w:val="24"/>
        </w:rPr>
        <w:footnoteReference w:id="11"/>
      </w:r>
      <w:r w:rsidR="000B103F">
        <w:rPr>
          <w:rFonts w:ascii="Times New Roman" w:hAnsi="Times New Roman" w:cs="Times New Roman"/>
          <w:sz w:val="24"/>
          <w:szCs w:val="24"/>
        </w:rPr>
        <w:t xml:space="preserve"> </w:t>
      </w:r>
      <w:r w:rsidR="00BA3C64">
        <w:rPr>
          <w:rFonts w:ascii="Times New Roman" w:hAnsi="Times New Roman" w:cs="Times New Roman"/>
          <w:sz w:val="24"/>
          <w:szCs w:val="24"/>
        </w:rPr>
        <w:t xml:space="preserve">Palmyra also seemed to </w:t>
      </w:r>
      <w:r w:rsidR="00867D30">
        <w:rPr>
          <w:rFonts w:ascii="Times New Roman" w:hAnsi="Times New Roman" w:cs="Times New Roman"/>
          <w:sz w:val="24"/>
          <w:szCs w:val="24"/>
        </w:rPr>
        <w:t xml:space="preserve">conform to “general patterns of religious culture” under the Romans, </w:t>
      </w:r>
      <w:r w:rsidR="00867D30">
        <w:rPr>
          <w:rFonts w:ascii="Times New Roman" w:hAnsi="Times New Roman" w:cs="Times New Roman"/>
          <w:sz w:val="24"/>
          <w:szCs w:val="24"/>
        </w:rPr>
        <w:lastRenderedPageBreak/>
        <w:t>following various Classical frameworks, including the “symbolic language of the phenomenon known as ‘euergetism’”</w:t>
      </w:r>
      <w:r w:rsidR="00E548EF" w:rsidRPr="00E548EF">
        <w:rPr>
          <w:rStyle w:val="FootnoteReference"/>
          <w:rFonts w:ascii="Times New Roman" w:hAnsi="Times New Roman" w:cs="Times New Roman"/>
          <w:sz w:val="24"/>
          <w:szCs w:val="24"/>
        </w:rPr>
        <w:t xml:space="preserve"> </w:t>
      </w:r>
      <w:r w:rsidR="00E548EF">
        <w:rPr>
          <w:rStyle w:val="FootnoteReference"/>
          <w:rFonts w:ascii="Times New Roman" w:hAnsi="Times New Roman" w:cs="Times New Roman"/>
          <w:sz w:val="24"/>
          <w:szCs w:val="24"/>
        </w:rPr>
        <w:footnoteReference w:id="12"/>
      </w:r>
      <w:r w:rsidR="00867D30">
        <w:rPr>
          <w:rFonts w:ascii="Times New Roman" w:hAnsi="Times New Roman" w:cs="Times New Roman"/>
          <w:sz w:val="24"/>
          <w:szCs w:val="24"/>
        </w:rPr>
        <w:t xml:space="preserve">, a practice which is accounted for in the dedicatory inscriptions, including two for contributions towards the construction of the temple of Bel as </w:t>
      </w:r>
      <w:r w:rsidR="002C712D">
        <w:rPr>
          <w:noProof/>
        </w:rPr>
        <mc:AlternateContent>
          <mc:Choice Requires="wps">
            <w:drawing>
              <wp:anchor distT="0" distB="0" distL="114300" distR="114300" simplePos="0" relativeHeight="251660288" behindDoc="0" locked="0" layoutInCell="1" allowOverlap="1" wp14:anchorId="475C124B" wp14:editId="10865FF1">
                <wp:simplePos x="0" y="0"/>
                <wp:positionH relativeFrom="margin">
                  <wp:align>center</wp:align>
                </wp:positionH>
                <wp:positionV relativeFrom="paragraph">
                  <wp:posOffset>4741473</wp:posOffset>
                </wp:positionV>
                <wp:extent cx="4486275" cy="635"/>
                <wp:effectExtent l="0" t="0" r="9525" b="0"/>
                <wp:wrapTopAndBottom/>
                <wp:docPr id="3" name="Text Box 3"/>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6C991644" w14:textId="13B885D4" w:rsidR="00397486" w:rsidRPr="00E10F85" w:rsidRDefault="00397486" w:rsidP="002C712D">
                            <w:pPr>
                              <w:pStyle w:val="Caption"/>
                              <w:jc w:val="center"/>
                              <w:rPr>
                                <w:rFonts w:ascii="Times New Roman" w:hAnsi="Times New Roman" w:cs="Times New Roman"/>
                                <w:sz w:val="24"/>
                                <w:szCs w:val="24"/>
                              </w:rPr>
                            </w:pPr>
                            <w:r>
                              <w:t xml:space="preserve">Figure </w:t>
                            </w:r>
                            <w:fldSimple w:instr=" SEQ Figure \* ARABIC ">
                              <w:r w:rsidR="002C712D">
                                <w:rPr>
                                  <w:noProof/>
                                </w:rPr>
                                <w:t>2</w:t>
                              </w:r>
                            </w:fldSimple>
                            <w:r>
                              <w:t>: adapted from Sear 1982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5C124B" id="_x0000_t202" coordsize="21600,21600" o:spt="202" path="m,l,21600r21600,l21600,xe">
                <v:stroke joinstyle="miter"/>
                <v:path gradientshapeok="t" o:connecttype="rect"/>
              </v:shapetype>
              <v:shape id="Text Box 3" o:spid="_x0000_s1026" type="#_x0000_t202" style="position:absolute;margin-left:0;margin-top:373.35pt;width:353.2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" stroked="f">
                <v:textbox style="mso-fit-shape-to-text:t" inset="0,0,0,0">
                  <w:txbxContent>
                    <w:p w14:paraId="6C991644" w14:textId="13B885D4" w:rsidR="00397486" w:rsidRPr="00E10F85" w:rsidRDefault="00397486" w:rsidP="002C712D">
                      <w:pPr>
                        <w:pStyle w:val="Caption"/>
                        <w:jc w:val="center"/>
                        <w:rPr>
                          <w:rFonts w:ascii="Times New Roman" w:hAnsi="Times New Roman" w:cs="Times New Roman"/>
                          <w:sz w:val="24"/>
                          <w:szCs w:val="24"/>
                        </w:rPr>
                      </w:pPr>
                      <w:r>
                        <w:t xml:space="preserve">Figure </w:t>
                      </w:r>
                      <w:fldSimple w:instr=" SEQ Figure \* ARABIC ">
                        <w:r w:rsidR="002C712D">
                          <w:rPr>
                            <w:noProof/>
                          </w:rPr>
                          <w:t>2</w:t>
                        </w:r>
                      </w:fldSimple>
                      <w:r>
                        <w:t>: adapted from Sear 1982</w:t>
                      </w:r>
                    </w:p>
                  </w:txbxContent>
                </v:textbox>
                <w10:wrap type="topAndBottom" anchorx="margin"/>
              </v:shape>
            </w:pict>
          </mc:Fallback>
        </mc:AlternateContent>
      </w:r>
      <w:r w:rsidR="002C712D">
        <w:rPr>
          <w:rFonts w:ascii="Times New Roman" w:hAnsi="Times New Roman" w:cs="Times New Roman"/>
          <w:noProof/>
          <w:sz w:val="24"/>
          <w:szCs w:val="24"/>
        </w:rPr>
        <w:drawing>
          <wp:anchor distT="0" distB="0" distL="114300" distR="114300" simplePos="0" relativeHeight="251658240" behindDoc="0" locked="0" layoutInCell="1" allowOverlap="1" wp14:anchorId="46D79C6E" wp14:editId="32C37927">
            <wp:simplePos x="0" y="0"/>
            <wp:positionH relativeFrom="margin">
              <wp:align>center</wp:align>
            </wp:positionH>
            <wp:positionV relativeFrom="paragraph">
              <wp:posOffset>1764281</wp:posOffset>
            </wp:positionV>
            <wp:extent cx="4146550" cy="3010535"/>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9684" t="7330" r="2607" b="3142"/>
                    <a:stretch/>
                  </pic:blipFill>
                  <pic:spPr bwMode="auto">
                    <a:xfrm>
                      <a:off x="0" y="0"/>
                      <a:ext cx="4146550" cy="30105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7D30">
        <w:rPr>
          <w:rFonts w:ascii="Times New Roman" w:hAnsi="Times New Roman" w:cs="Times New Roman"/>
          <w:sz w:val="24"/>
          <w:szCs w:val="24"/>
        </w:rPr>
        <w:t xml:space="preserve">well as contributions towards </w:t>
      </w:r>
      <w:r w:rsidR="00A219EB">
        <w:rPr>
          <w:rFonts w:ascii="Times New Roman" w:hAnsi="Times New Roman" w:cs="Times New Roman"/>
          <w:sz w:val="24"/>
          <w:szCs w:val="24"/>
        </w:rPr>
        <w:t>the protection and facilitation of the caravan trade</w:t>
      </w:r>
      <w:r w:rsidR="00867D30">
        <w:rPr>
          <w:rFonts w:ascii="Times New Roman" w:hAnsi="Times New Roman" w:cs="Times New Roman"/>
          <w:sz w:val="24"/>
          <w:szCs w:val="24"/>
        </w:rPr>
        <w:t xml:space="preserve">. </w:t>
      </w:r>
    </w:p>
    <w:p w14:paraId="0EA1E376" w14:textId="77777777" w:rsidR="002C712D" w:rsidRDefault="002A4DD4"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I will be focusing my discussion on the temple of Bel, and a selection of iconographic and material evidence that has been associated with it. </w:t>
      </w:r>
      <w:r w:rsidR="008073F6">
        <w:rPr>
          <w:rFonts w:ascii="Times New Roman" w:hAnsi="Times New Roman" w:cs="Times New Roman"/>
          <w:sz w:val="24"/>
          <w:szCs w:val="24"/>
        </w:rPr>
        <w:t xml:space="preserve">The temple was </w:t>
      </w:r>
      <w:r w:rsidR="00BA7038">
        <w:rPr>
          <w:rFonts w:ascii="Times New Roman" w:hAnsi="Times New Roman" w:cs="Times New Roman"/>
          <w:sz w:val="24"/>
          <w:szCs w:val="24"/>
        </w:rPr>
        <w:t>dedicated</w:t>
      </w:r>
      <w:r w:rsidR="008073F6">
        <w:rPr>
          <w:rFonts w:ascii="Times New Roman" w:hAnsi="Times New Roman" w:cs="Times New Roman"/>
          <w:sz w:val="24"/>
          <w:szCs w:val="24"/>
        </w:rPr>
        <w:t xml:space="preserve"> in 32 AD</w:t>
      </w:r>
      <w:r w:rsidR="00F01EBF">
        <w:rPr>
          <w:rStyle w:val="FootnoteReference"/>
          <w:rFonts w:ascii="Times New Roman" w:hAnsi="Times New Roman" w:cs="Times New Roman"/>
          <w:sz w:val="24"/>
          <w:szCs w:val="24"/>
        </w:rPr>
        <w:footnoteReference w:id="13"/>
      </w:r>
      <w:r w:rsidR="008073F6">
        <w:rPr>
          <w:rFonts w:ascii="Times New Roman" w:hAnsi="Times New Roman" w:cs="Times New Roman"/>
          <w:sz w:val="24"/>
          <w:szCs w:val="24"/>
        </w:rPr>
        <w:t xml:space="preserve">, with construction having started a number of years before hand: the earliest inscription that we possess today is dated to 19 AD with a dedication to </w:t>
      </w:r>
      <w:proofErr w:type="spellStart"/>
      <w:r w:rsidR="008073F6">
        <w:rPr>
          <w:rFonts w:ascii="Times New Roman" w:hAnsi="Times New Roman" w:cs="Times New Roman"/>
          <w:sz w:val="24"/>
          <w:szCs w:val="24"/>
        </w:rPr>
        <w:t>Iedeibēlos</w:t>
      </w:r>
      <w:proofErr w:type="spellEnd"/>
      <w:r w:rsidR="008073F6">
        <w:rPr>
          <w:rFonts w:ascii="Times New Roman" w:hAnsi="Times New Roman" w:cs="Times New Roman"/>
          <w:sz w:val="24"/>
          <w:szCs w:val="24"/>
        </w:rPr>
        <w:t xml:space="preserve"> [Greek]/</w:t>
      </w:r>
      <w:proofErr w:type="spellStart"/>
      <w:r w:rsidR="008073F6">
        <w:rPr>
          <w:rFonts w:ascii="Times New Roman" w:hAnsi="Times New Roman" w:cs="Times New Roman"/>
          <w:sz w:val="24"/>
          <w:szCs w:val="24"/>
        </w:rPr>
        <w:t>Yedī’ebel</w:t>
      </w:r>
      <w:proofErr w:type="spellEnd"/>
      <w:r w:rsidR="008073F6">
        <w:rPr>
          <w:rFonts w:ascii="Times New Roman" w:hAnsi="Times New Roman" w:cs="Times New Roman"/>
          <w:sz w:val="24"/>
          <w:szCs w:val="24"/>
        </w:rPr>
        <w:t xml:space="preserve"> [Palmyrene] on behalf of the ‘Palmyrene and Greek merchants’ </w:t>
      </w:r>
      <w:r w:rsidR="0016462C">
        <w:rPr>
          <w:rFonts w:ascii="Times New Roman" w:hAnsi="Times New Roman" w:cs="Times New Roman"/>
          <w:sz w:val="24"/>
          <w:szCs w:val="24"/>
        </w:rPr>
        <w:t xml:space="preserve">for his substantial contributions towards the </w:t>
      </w:r>
      <w:r w:rsidR="00933A62">
        <w:rPr>
          <w:rFonts w:ascii="Times New Roman" w:hAnsi="Times New Roman" w:cs="Times New Roman"/>
          <w:sz w:val="24"/>
          <w:szCs w:val="24"/>
        </w:rPr>
        <w:t>construction of the temple.</w:t>
      </w:r>
      <w:r w:rsidR="000D621A">
        <w:rPr>
          <w:rStyle w:val="FootnoteReference"/>
          <w:rFonts w:ascii="Times New Roman" w:hAnsi="Times New Roman" w:cs="Times New Roman"/>
          <w:sz w:val="24"/>
          <w:szCs w:val="24"/>
        </w:rPr>
        <w:footnoteReference w:id="14"/>
      </w:r>
      <w:r w:rsidR="00933A62">
        <w:rPr>
          <w:rFonts w:ascii="Times New Roman" w:hAnsi="Times New Roman" w:cs="Times New Roman"/>
          <w:sz w:val="24"/>
          <w:szCs w:val="24"/>
        </w:rPr>
        <w:t xml:space="preserve"> </w:t>
      </w:r>
      <w:r w:rsidR="00A53793">
        <w:rPr>
          <w:rFonts w:ascii="Times New Roman" w:hAnsi="Times New Roman" w:cs="Times New Roman"/>
          <w:sz w:val="24"/>
          <w:szCs w:val="24"/>
        </w:rPr>
        <w:t xml:space="preserve">Bel was a Semitic god that was worshipped in Palmyra </w:t>
      </w:r>
      <w:r w:rsidR="009F1D4F">
        <w:rPr>
          <w:rFonts w:ascii="Times New Roman" w:hAnsi="Times New Roman" w:cs="Times New Roman"/>
          <w:sz w:val="24"/>
          <w:szCs w:val="24"/>
        </w:rPr>
        <w:t xml:space="preserve">prior to the arrival of the Romans, and it seems that the temple was built on a pre-existing cult site as it sits on an axis that does not line up with the great </w:t>
      </w:r>
    </w:p>
    <w:p w14:paraId="44CA6995" w14:textId="27FDDA4D" w:rsidR="00135646" w:rsidRDefault="002C712D" w:rsidP="00FE401F">
      <w:pPr>
        <w:spacing w:line="480" w:lineRule="auto"/>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3360" behindDoc="0" locked="0" layoutInCell="1" allowOverlap="1" wp14:anchorId="5AD2F26F" wp14:editId="1697FBF0">
                <wp:simplePos x="0" y="0"/>
                <wp:positionH relativeFrom="column">
                  <wp:posOffset>513080</wp:posOffset>
                </wp:positionH>
                <wp:positionV relativeFrom="paragraph">
                  <wp:posOffset>3933825</wp:posOffset>
                </wp:positionV>
                <wp:extent cx="470535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59A2AEE2" w14:textId="48F88203" w:rsidR="002C712D" w:rsidRPr="00EF3F98" w:rsidRDefault="002C712D" w:rsidP="002C712D">
                            <w:pPr>
                              <w:pStyle w:val="Caption"/>
                              <w:jc w:val="center"/>
                              <w:rPr>
                                <w:noProof/>
                              </w:rPr>
                            </w:pPr>
                            <w:r>
                              <w:t xml:space="preserve">Figure </w:t>
                            </w:r>
                            <w:fldSimple w:instr=" SEQ Figure \* ARABIC ">
                              <w:r>
                                <w:rPr>
                                  <w:noProof/>
                                </w:rPr>
                                <w:t>3</w:t>
                              </w:r>
                            </w:fldSimple>
                            <w:r>
                              <w:t>: Gates 2003 - Temple of Bel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2F26F" id="Text Box 6" o:spid="_x0000_s1027" type="#_x0000_t202" style="position:absolute;margin-left:40.4pt;margin-top:309.75pt;width:37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coDLQIAAGQEAAAOAAAAZHJzL2Uyb0RvYy54bWysVMFu2zAMvQ/YPwi6L07aJS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" stroked="f">
                <v:textbox style="mso-fit-shape-to-text:t" inset="0,0,0,0">
                  <w:txbxContent>
                    <w:p w14:paraId="59A2AEE2" w14:textId="48F88203" w:rsidR="002C712D" w:rsidRPr="00EF3F98" w:rsidRDefault="002C712D" w:rsidP="002C712D">
                      <w:pPr>
                        <w:pStyle w:val="Caption"/>
                        <w:jc w:val="center"/>
                        <w:rPr>
                          <w:noProof/>
                        </w:rPr>
                      </w:pPr>
                      <w:r>
                        <w:t xml:space="preserve">Figure </w:t>
                      </w:r>
                      <w:fldSimple w:instr=" SEQ Figure \* ARABIC ">
                        <w:r>
                          <w:rPr>
                            <w:noProof/>
                          </w:rPr>
                          <w:t>3</w:t>
                        </w:r>
                      </w:fldSimple>
                      <w:r>
                        <w:t>: Gates 2003 - Temple of Bel plan</w:t>
                      </w:r>
                    </w:p>
                  </w:txbxContent>
                </v:textbox>
                <w10:wrap type="topAndBottom"/>
              </v:shape>
            </w:pict>
          </mc:Fallback>
        </mc:AlternateContent>
      </w:r>
      <w:r>
        <w:rPr>
          <w:noProof/>
        </w:rPr>
        <w:drawing>
          <wp:anchor distT="0" distB="0" distL="114300" distR="114300" simplePos="0" relativeHeight="251661312" behindDoc="0" locked="0" layoutInCell="1" allowOverlap="1" wp14:anchorId="03CB2E30" wp14:editId="7ABAF0A2">
            <wp:simplePos x="0" y="0"/>
            <wp:positionH relativeFrom="margin">
              <wp:align>center</wp:align>
            </wp:positionH>
            <wp:positionV relativeFrom="paragraph">
              <wp:posOffset>277</wp:posOffset>
            </wp:positionV>
            <wp:extent cx="4705350" cy="38766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05350" cy="3876675"/>
                    </a:xfrm>
                    <a:prstGeom prst="rect">
                      <a:avLst/>
                    </a:prstGeom>
                  </pic:spPr>
                </pic:pic>
              </a:graphicData>
            </a:graphic>
          </wp:anchor>
        </w:drawing>
      </w:r>
      <w:r w:rsidR="009F1D4F">
        <w:rPr>
          <w:rFonts w:ascii="Times New Roman" w:hAnsi="Times New Roman" w:cs="Times New Roman"/>
          <w:sz w:val="24"/>
          <w:szCs w:val="24"/>
        </w:rPr>
        <w:t>colonnaded street or other town-planning.</w:t>
      </w:r>
      <w:r w:rsidR="009F1D4F">
        <w:rPr>
          <w:rStyle w:val="FootnoteReference"/>
          <w:rFonts w:ascii="Times New Roman" w:hAnsi="Times New Roman" w:cs="Times New Roman"/>
          <w:sz w:val="24"/>
          <w:szCs w:val="24"/>
        </w:rPr>
        <w:footnoteReference w:id="15"/>
      </w:r>
      <w:r w:rsidR="009F1D4F">
        <w:rPr>
          <w:rFonts w:ascii="Times New Roman" w:hAnsi="Times New Roman" w:cs="Times New Roman"/>
          <w:sz w:val="24"/>
          <w:szCs w:val="24"/>
        </w:rPr>
        <w:t xml:space="preserve"> The architecture of the temple is a key example of the indigenous peoples ‘modifying’ Greco-Roman structures in order to fulfil their needs and conform more closely to their own </w:t>
      </w:r>
      <w:r w:rsidR="0070651B">
        <w:rPr>
          <w:rFonts w:ascii="Times New Roman" w:hAnsi="Times New Roman" w:cs="Times New Roman"/>
          <w:sz w:val="24"/>
          <w:szCs w:val="24"/>
        </w:rPr>
        <w:t>customs and traditions</w:t>
      </w:r>
      <w:r w:rsidR="00900778">
        <w:rPr>
          <w:rFonts w:ascii="Times New Roman" w:hAnsi="Times New Roman" w:cs="Times New Roman"/>
          <w:sz w:val="24"/>
          <w:szCs w:val="24"/>
        </w:rPr>
        <w:t>; while the theatre, colonnaded street and arched gateway, for example, are constructed in forms found throughout the Roman world, serving more of a functional rather than personal or tradition-based role, the temples and tombs “reflect local practices”.</w:t>
      </w:r>
      <w:r w:rsidR="00900778">
        <w:rPr>
          <w:rStyle w:val="FootnoteReference"/>
          <w:rFonts w:ascii="Times New Roman" w:hAnsi="Times New Roman" w:cs="Times New Roman"/>
          <w:sz w:val="24"/>
          <w:szCs w:val="24"/>
        </w:rPr>
        <w:footnoteReference w:id="16"/>
      </w:r>
      <w:r w:rsidR="00E56126">
        <w:rPr>
          <w:rFonts w:ascii="Times New Roman" w:hAnsi="Times New Roman" w:cs="Times New Roman"/>
          <w:sz w:val="24"/>
          <w:szCs w:val="24"/>
        </w:rPr>
        <w:t xml:space="preserve"> </w:t>
      </w:r>
      <w:r w:rsidR="00486B97">
        <w:rPr>
          <w:rFonts w:ascii="Times New Roman" w:hAnsi="Times New Roman" w:cs="Times New Roman"/>
          <w:sz w:val="24"/>
          <w:szCs w:val="24"/>
        </w:rPr>
        <w:t>The features of the temple which follow Graeco-Roman tradition are described by Charles Gates: the large precinct lined by porticoes, the rectangular shape, the north-south orientatio</w:t>
      </w:r>
      <w:r w:rsidR="005A0A37">
        <w:rPr>
          <w:rFonts w:ascii="Times New Roman" w:hAnsi="Times New Roman" w:cs="Times New Roman"/>
          <w:sz w:val="24"/>
          <w:szCs w:val="24"/>
        </w:rPr>
        <w:t>n, a typical Roman-style colonnade, and a cella decorated with Ionic columns.</w:t>
      </w:r>
      <w:r w:rsidR="005A0A37">
        <w:rPr>
          <w:rStyle w:val="FootnoteReference"/>
          <w:rFonts w:ascii="Times New Roman" w:hAnsi="Times New Roman" w:cs="Times New Roman"/>
          <w:sz w:val="24"/>
          <w:szCs w:val="24"/>
        </w:rPr>
        <w:footnoteReference w:id="17"/>
      </w:r>
      <w:r w:rsidR="005A0A37">
        <w:rPr>
          <w:rFonts w:ascii="Times New Roman" w:hAnsi="Times New Roman" w:cs="Times New Roman"/>
          <w:sz w:val="24"/>
          <w:szCs w:val="24"/>
        </w:rPr>
        <w:t xml:space="preserve"> </w:t>
      </w:r>
      <w:r w:rsidR="00557150">
        <w:rPr>
          <w:rFonts w:ascii="Times New Roman" w:hAnsi="Times New Roman" w:cs="Times New Roman"/>
          <w:sz w:val="24"/>
          <w:szCs w:val="24"/>
        </w:rPr>
        <w:t xml:space="preserve">These features give the temple a Classical appearance, but </w:t>
      </w:r>
      <w:r w:rsidR="005B72C1">
        <w:rPr>
          <w:rFonts w:ascii="Times New Roman" w:hAnsi="Times New Roman" w:cs="Times New Roman"/>
          <w:sz w:val="24"/>
          <w:szCs w:val="24"/>
        </w:rPr>
        <w:t>altogether the temple is far from typical, also including a large number of Eastern features and stylistic qualities</w:t>
      </w:r>
      <w:r w:rsidR="004C74F8">
        <w:rPr>
          <w:rFonts w:ascii="Times New Roman" w:hAnsi="Times New Roman" w:cs="Times New Roman"/>
          <w:sz w:val="24"/>
          <w:szCs w:val="24"/>
        </w:rPr>
        <w:t xml:space="preserve">. </w:t>
      </w:r>
      <w:r w:rsidR="00F37262">
        <w:rPr>
          <w:rFonts w:ascii="Times New Roman" w:hAnsi="Times New Roman" w:cs="Times New Roman"/>
          <w:sz w:val="24"/>
          <w:szCs w:val="24"/>
        </w:rPr>
        <w:t xml:space="preserve">There are many differences that deviate a great deal from the common </w:t>
      </w:r>
      <w:r w:rsidR="00F37262">
        <w:rPr>
          <w:rFonts w:ascii="Times New Roman" w:hAnsi="Times New Roman" w:cs="Times New Roman"/>
          <w:sz w:val="24"/>
          <w:szCs w:val="24"/>
        </w:rPr>
        <w:lastRenderedPageBreak/>
        <w:t>Classical temple, one of which being that the entrance doorway</w:t>
      </w:r>
      <w:r w:rsidR="00AD7499">
        <w:rPr>
          <w:rFonts w:ascii="Times New Roman" w:hAnsi="Times New Roman" w:cs="Times New Roman"/>
          <w:sz w:val="24"/>
          <w:szCs w:val="24"/>
        </w:rPr>
        <w:t>, elaborate in style,</w:t>
      </w:r>
      <w:r w:rsidR="00F37262">
        <w:rPr>
          <w:rFonts w:ascii="Times New Roman" w:hAnsi="Times New Roman" w:cs="Times New Roman"/>
          <w:sz w:val="24"/>
          <w:szCs w:val="24"/>
        </w:rPr>
        <w:t xml:space="preserve"> to the </w:t>
      </w:r>
      <w:r w:rsidR="005D6703">
        <w:rPr>
          <w:rFonts w:ascii="Times New Roman" w:hAnsi="Times New Roman" w:cs="Times New Roman"/>
          <w:sz w:val="24"/>
          <w:szCs w:val="24"/>
        </w:rPr>
        <w:t>temple is situated on the long edge of the temple, rather than the narrow edge</w:t>
      </w:r>
      <w:r w:rsidR="00AD7499">
        <w:rPr>
          <w:rFonts w:ascii="Times New Roman" w:hAnsi="Times New Roman" w:cs="Times New Roman"/>
          <w:sz w:val="24"/>
          <w:szCs w:val="24"/>
        </w:rPr>
        <w:t xml:space="preserve"> (the pronaos) which</w:t>
      </w:r>
      <w:r w:rsidR="005D6703">
        <w:rPr>
          <w:rFonts w:ascii="Times New Roman" w:hAnsi="Times New Roman" w:cs="Times New Roman"/>
          <w:sz w:val="24"/>
          <w:szCs w:val="24"/>
        </w:rPr>
        <w:t xml:space="preserve"> is a typical feature in Graeco-Roman temples.</w:t>
      </w:r>
      <w:r w:rsidR="00AD7499">
        <w:rPr>
          <w:rStyle w:val="FootnoteReference"/>
          <w:rFonts w:ascii="Times New Roman" w:hAnsi="Times New Roman" w:cs="Times New Roman"/>
          <w:sz w:val="24"/>
          <w:szCs w:val="24"/>
        </w:rPr>
        <w:footnoteReference w:id="18"/>
      </w:r>
      <w:r w:rsidR="005D6703">
        <w:rPr>
          <w:rFonts w:ascii="Times New Roman" w:hAnsi="Times New Roman" w:cs="Times New Roman"/>
          <w:sz w:val="24"/>
          <w:szCs w:val="24"/>
        </w:rPr>
        <w:t xml:space="preserve"> </w:t>
      </w:r>
      <w:r w:rsidR="00AD7499">
        <w:rPr>
          <w:rFonts w:ascii="Times New Roman" w:hAnsi="Times New Roman" w:cs="Times New Roman"/>
          <w:sz w:val="24"/>
          <w:szCs w:val="24"/>
        </w:rPr>
        <w:t xml:space="preserve">This is likely due to layout of the inside of the temple, inside which are two </w:t>
      </w:r>
      <w:proofErr w:type="spellStart"/>
      <w:r w:rsidR="00AD7499">
        <w:rPr>
          <w:rFonts w:ascii="Times New Roman" w:hAnsi="Times New Roman" w:cs="Times New Roman"/>
          <w:i/>
          <w:sz w:val="24"/>
          <w:szCs w:val="24"/>
        </w:rPr>
        <w:t>thalamoi</w:t>
      </w:r>
      <w:proofErr w:type="spellEnd"/>
      <w:r w:rsidR="00AD7499">
        <w:rPr>
          <w:rFonts w:ascii="Times New Roman" w:hAnsi="Times New Roman" w:cs="Times New Roman"/>
          <w:sz w:val="24"/>
          <w:szCs w:val="24"/>
        </w:rPr>
        <w:t xml:space="preserve"> (chambers) where a typical Graeco-Roman temple would have only had one.</w:t>
      </w:r>
      <w:r w:rsidR="00AD7499">
        <w:rPr>
          <w:rStyle w:val="FootnoteReference"/>
          <w:rFonts w:ascii="Times New Roman" w:hAnsi="Times New Roman" w:cs="Times New Roman"/>
          <w:sz w:val="24"/>
          <w:szCs w:val="24"/>
        </w:rPr>
        <w:footnoteReference w:id="19"/>
      </w:r>
      <w:r w:rsidR="00AD7499">
        <w:rPr>
          <w:rFonts w:ascii="Times New Roman" w:hAnsi="Times New Roman" w:cs="Times New Roman"/>
          <w:sz w:val="24"/>
          <w:szCs w:val="24"/>
        </w:rPr>
        <w:t xml:space="preserve"> These </w:t>
      </w:r>
      <w:proofErr w:type="spellStart"/>
      <w:r w:rsidR="00AD7499">
        <w:rPr>
          <w:rFonts w:ascii="Times New Roman" w:hAnsi="Times New Roman" w:cs="Times New Roman"/>
          <w:i/>
          <w:sz w:val="24"/>
          <w:szCs w:val="24"/>
        </w:rPr>
        <w:t>thalamoi</w:t>
      </w:r>
      <w:proofErr w:type="spellEnd"/>
      <w:r w:rsidR="00AD7499">
        <w:rPr>
          <w:rFonts w:ascii="Times New Roman" w:hAnsi="Times New Roman" w:cs="Times New Roman"/>
          <w:sz w:val="24"/>
          <w:szCs w:val="24"/>
        </w:rPr>
        <w:t xml:space="preserve"> were positioned either side of the door inside the temple. </w:t>
      </w:r>
      <w:r w:rsidR="002E759A">
        <w:rPr>
          <w:rFonts w:ascii="Times New Roman" w:hAnsi="Times New Roman" w:cs="Times New Roman"/>
          <w:sz w:val="24"/>
          <w:szCs w:val="24"/>
        </w:rPr>
        <w:t>On the outside of the temple, the cornice is surmounted by ‘acanthus-clad crowstep merlons’ which are triangle stone placed point-upwards along the upper edge of the temple.</w:t>
      </w:r>
      <w:r w:rsidR="009C2CB6">
        <w:rPr>
          <w:rStyle w:val="FootnoteReference"/>
          <w:rFonts w:ascii="Times New Roman" w:hAnsi="Times New Roman" w:cs="Times New Roman"/>
          <w:sz w:val="24"/>
          <w:szCs w:val="24"/>
        </w:rPr>
        <w:footnoteReference w:id="20"/>
      </w:r>
      <w:r w:rsidR="009C2CB6">
        <w:rPr>
          <w:rFonts w:ascii="Times New Roman" w:hAnsi="Times New Roman" w:cs="Times New Roman"/>
          <w:sz w:val="24"/>
          <w:szCs w:val="24"/>
        </w:rPr>
        <w:t xml:space="preserve"> Another major difference found in this temple is the stairs that lead up to the roof. I will discuss this feature further below when I will cover the use of incense, libations and sacrifice conducted at the temple. </w:t>
      </w:r>
    </w:p>
    <w:p w14:paraId="50AC7F69" w14:textId="04A0B069" w:rsidR="002C712D" w:rsidRDefault="002C712D" w:rsidP="00FE401F">
      <w:pPr>
        <w:spacing w:line="480" w:lineRule="auto"/>
        <w:rPr>
          <w:rFonts w:ascii="Times New Roman" w:hAnsi="Times New Roman" w:cs="Times New Roman"/>
          <w:sz w:val="24"/>
          <w:szCs w:val="24"/>
        </w:rPr>
      </w:pPr>
    </w:p>
    <w:p w14:paraId="239C4C11" w14:textId="25354B2E" w:rsidR="002C712D" w:rsidRDefault="002C712D"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Temples were sites of different types of ritual worship, including incense, libations, and dining. Ted Kaizer discussed all three of these aspects, and Rubina Raja discusses in depth the ‘dining tokens’ that have been found in numerous temples in Palmyra and what they can tell us about the nature of deity worship in the city. </w:t>
      </w:r>
      <w:r w:rsidR="00397C02">
        <w:rPr>
          <w:rFonts w:ascii="Times New Roman" w:hAnsi="Times New Roman" w:cs="Times New Roman"/>
          <w:sz w:val="24"/>
          <w:szCs w:val="24"/>
        </w:rPr>
        <w:t xml:space="preserve">A lot of our evidence about the ritual activities come from iconographic sources, </w:t>
      </w:r>
      <w:r w:rsidR="00EB28A8">
        <w:rPr>
          <w:rFonts w:ascii="Times New Roman" w:hAnsi="Times New Roman" w:cs="Times New Roman"/>
          <w:sz w:val="24"/>
          <w:szCs w:val="24"/>
        </w:rPr>
        <w:t>showing worshippers performing the various rites.</w:t>
      </w:r>
      <w:r w:rsidR="00EB28A8">
        <w:rPr>
          <w:rStyle w:val="FootnoteReference"/>
          <w:rFonts w:ascii="Times New Roman" w:hAnsi="Times New Roman" w:cs="Times New Roman"/>
          <w:sz w:val="24"/>
          <w:szCs w:val="24"/>
        </w:rPr>
        <w:footnoteReference w:id="21"/>
      </w:r>
      <w:r w:rsidR="00EB28A8">
        <w:rPr>
          <w:rFonts w:ascii="Times New Roman" w:hAnsi="Times New Roman" w:cs="Times New Roman"/>
          <w:sz w:val="24"/>
          <w:szCs w:val="24"/>
        </w:rPr>
        <w:t xml:space="preserve"> </w:t>
      </w:r>
      <w:r w:rsidR="00A36C9C">
        <w:rPr>
          <w:rFonts w:ascii="Times New Roman" w:hAnsi="Times New Roman" w:cs="Times New Roman"/>
          <w:sz w:val="24"/>
          <w:szCs w:val="24"/>
        </w:rPr>
        <w:t xml:space="preserve">We cannot be sure as to the exact role that </w:t>
      </w:r>
      <w:r w:rsidR="009910BC">
        <w:rPr>
          <w:rFonts w:ascii="Times New Roman" w:hAnsi="Times New Roman" w:cs="Times New Roman"/>
          <w:sz w:val="24"/>
          <w:szCs w:val="24"/>
        </w:rPr>
        <w:t xml:space="preserve">incense, libations and sacrifice played in the Palmyrene’s worship, but we can </w:t>
      </w:r>
      <w:r w:rsidR="002F3510">
        <w:rPr>
          <w:rFonts w:ascii="Times New Roman" w:hAnsi="Times New Roman" w:cs="Times New Roman"/>
          <w:sz w:val="24"/>
          <w:szCs w:val="24"/>
        </w:rPr>
        <w:t>theorise from the evidence at Palmyra and from elsewhere in the Roman Near East its role in the worship. The reliefs in the temple show that incense was the most common act performed in Palmyrene worship, and we know that elsewhere in the Near East that incense was often offered to frame the burnt offerings</w:t>
      </w:r>
      <w:r w:rsidR="000D1B5A">
        <w:rPr>
          <w:rFonts w:ascii="Times New Roman" w:hAnsi="Times New Roman" w:cs="Times New Roman"/>
          <w:sz w:val="24"/>
          <w:szCs w:val="24"/>
        </w:rPr>
        <w:t>: can a similar conclusion be drawn for Palmyra?</w:t>
      </w:r>
      <w:r w:rsidR="001878F5">
        <w:rPr>
          <w:rStyle w:val="FootnoteReference"/>
          <w:rFonts w:ascii="Times New Roman" w:hAnsi="Times New Roman" w:cs="Times New Roman"/>
          <w:sz w:val="24"/>
          <w:szCs w:val="24"/>
        </w:rPr>
        <w:footnoteReference w:id="22"/>
      </w:r>
      <w:r w:rsidR="001878F5">
        <w:rPr>
          <w:rFonts w:ascii="Times New Roman" w:hAnsi="Times New Roman" w:cs="Times New Roman"/>
          <w:sz w:val="24"/>
          <w:szCs w:val="24"/>
        </w:rPr>
        <w:t xml:space="preserve"> </w:t>
      </w:r>
      <w:r w:rsidR="00F42E9F">
        <w:rPr>
          <w:rFonts w:ascii="Times New Roman" w:hAnsi="Times New Roman" w:cs="Times New Roman"/>
          <w:sz w:val="24"/>
          <w:szCs w:val="24"/>
        </w:rPr>
        <w:t xml:space="preserve">What we can be sure of is that the reliefs suggest </w:t>
      </w:r>
      <w:r w:rsidR="00F42E9F">
        <w:rPr>
          <w:rFonts w:ascii="Times New Roman" w:hAnsi="Times New Roman" w:cs="Times New Roman"/>
          <w:sz w:val="24"/>
          <w:szCs w:val="24"/>
        </w:rPr>
        <w:lastRenderedPageBreak/>
        <w:t xml:space="preserve">that the incense was popular outside of its relative cheapness, and so </w:t>
      </w:r>
      <w:r w:rsidR="006969AA">
        <w:rPr>
          <w:rFonts w:ascii="Times New Roman" w:hAnsi="Times New Roman" w:cs="Times New Roman"/>
          <w:sz w:val="24"/>
          <w:szCs w:val="24"/>
        </w:rPr>
        <w:t>must have formed part of the Palmyrene religious identity.</w:t>
      </w:r>
      <w:r w:rsidR="006969AA">
        <w:rPr>
          <w:rStyle w:val="FootnoteReference"/>
          <w:rFonts w:ascii="Times New Roman" w:hAnsi="Times New Roman" w:cs="Times New Roman"/>
          <w:sz w:val="24"/>
          <w:szCs w:val="24"/>
        </w:rPr>
        <w:footnoteReference w:id="23"/>
      </w:r>
      <w:r w:rsidR="006969AA">
        <w:rPr>
          <w:rFonts w:ascii="Times New Roman" w:hAnsi="Times New Roman" w:cs="Times New Roman"/>
          <w:sz w:val="24"/>
          <w:szCs w:val="24"/>
        </w:rPr>
        <w:t xml:space="preserve"> </w:t>
      </w:r>
    </w:p>
    <w:p w14:paraId="0891E5E0" w14:textId="602C84C3" w:rsidR="00790619" w:rsidRDefault="00790619" w:rsidP="00FE401F">
      <w:pPr>
        <w:spacing w:line="480" w:lineRule="auto"/>
        <w:rPr>
          <w:rFonts w:ascii="Times New Roman" w:hAnsi="Times New Roman" w:cs="Times New Roman"/>
          <w:sz w:val="24"/>
          <w:szCs w:val="24"/>
        </w:rPr>
      </w:pPr>
    </w:p>
    <w:p w14:paraId="26EE0422" w14:textId="5F9F15FF" w:rsidR="00790619" w:rsidRDefault="00790619" w:rsidP="00FE401F">
      <w:pPr>
        <w:spacing w:line="480" w:lineRule="auto"/>
        <w:rPr>
          <w:rFonts w:ascii="Times New Roman" w:hAnsi="Times New Roman" w:cs="Times New Roman"/>
          <w:sz w:val="24"/>
          <w:szCs w:val="24"/>
        </w:rPr>
      </w:pPr>
      <w:r>
        <w:rPr>
          <w:rFonts w:ascii="Times New Roman" w:hAnsi="Times New Roman" w:cs="Times New Roman"/>
          <w:sz w:val="24"/>
          <w:szCs w:val="24"/>
        </w:rPr>
        <w:t>We can assume that the sacrifice of both large and small animals took place in Palmyra, though it is only at the temple of Bel that there was appropriate provisions for the sacrifice of large animals such as bulls, as seen on a relief on a sarcophagi.</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w:t>
      </w:r>
      <w:r w:rsidR="005C2E29">
        <w:rPr>
          <w:rFonts w:ascii="Times New Roman" w:hAnsi="Times New Roman" w:cs="Times New Roman"/>
          <w:sz w:val="24"/>
          <w:szCs w:val="24"/>
        </w:rPr>
        <w:t xml:space="preserve">There is also evidence that sacrifice of small animals took place on the roof of the temple of Bel, of which access to was by way of three narrow staircases, which is an architectural feature and thus religious practice that was not common in the Roman world. </w:t>
      </w:r>
      <w:r w:rsidR="009761F6">
        <w:rPr>
          <w:rFonts w:ascii="Times New Roman" w:hAnsi="Times New Roman" w:cs="Times New Roman"/>
          <w:sz w:val="24"/>
          <w:szCs w:val="24"/>
        </w:rPr>
        <w:t xml:space="preserve">It also seems that the sacrificed meat </w:t>
      </w:r>
      <w:r w:rsidR="00796CC5">
        <w:rPr>
          <w:rFonts w:ascii="Times New Roman" w:hAnsi="Times New Roman" w:cs="Times New Roman"/>
          <w:sz w:val="24"/>
          <w:szCs w:val="24"/>
        </w:rPr>
        <w:t xml:space="preserve">was burnt in order to consume it (as well as being burnt entirely), but not, it seems, in great public feasts which was a common tradition in Rome and much of the empire. </w:t>
      </w:r>
      <w:r w:rsidR="00B87089">
        <w:rPr>
          <w:rFonts w:ascii="Times New Roman" w:hAnsi="Times New Roman" w:cs="Times New Roman"/>
          <w:sz w:val="24"/>
          <w:szCs w:val="24"/>
        </w:rPr>
        <w:t>There were dining halls associated with the temple complexes, but none of them could accommodate even a large proportion of the populous, which along with the dining tokens, suggests that the consumption of the meat not set aside for the deity them self was consumed in a more intimate setting than one might expect in Roman tradition.</w:t>
      </w:r>
      <w:r w:rsidR="00B87089">
        <w:rPr>
          <w:rStyle w:val="FootnoteReference"/>
          <w:rFonts w:ascii="Times New Roman" w:hAnsi="Times New Roman" w:cs="Times New Roman"/>
          <w:sz w:val="24"/>
          <w:szCs w:val="24"/>
        </w:rPr>
        <w:footnoteReference w:id="25"/>
      </w:r>
      <w:r w:rsidR="00B87089">
        <w:rPr>
          <w:rFonts w:ascii="Times New Roman" w:hAnsi="Times New Roman" w:cs="Times New Roman"/>
          <w:sz w:val="24"/>
          <w:szCs w:val="24"/>
        </w:rPr>
        <w:t xml:space="preserve"> </w:t>
      </w:r>
    </w:p>
    <w:p w14:paraId="751BCA34" w14:textId="46291351" w:rsidR="00E401F6" w:rsidRDefault="00E401F6" w:rsidP="00FE401F">
      <w:pPr>
        <w:spacing w:line="480" w:lineRule="auto"/>
        <w:rPr>
          <w:rFonts w:ascii="Times New Roman" w:hAnsi="Times New Roman" w:cs="Times New Roman"/>
          <w:sz w:val="24"/>
          <w:szCs w:val="24"/>
        </w:rPr>
      </w:pPr>
    </w:p>
    <w:p w14:paraId="30D6EFF4" w14:textId="21A5CB0E" w:rsidR="00E401F6" w:rsidRDefault="00E401F6" w:rsidP="00FE401F">
      <w:pPr>
        <w:spacing w:line="480" w:lineRule="auto"/>
        <w:rPr>
          <w:rFonts w:ascii="Times New Roman" w:hAnsi="Times New Roman" w:cs="Times New Roman"/>
          <w:sz w:val="24"/>
          <w:szCs w:val="24"/>
        </w:rPr>
      </w:pPr>
      <w:r>
        <w:rPr>
          <w:rFonts w:ascii="Times New Roman" w:hAnsi="Times New Roman" w:cs="Times New Roman"/>
          <w:sz w:val="24"/>
          <w:szCs w:val="24"/>
        </w:rPr>
        <w:t>The dining tokens, of which there has been more than 1,500 found, are an invaluable source of information on the religious life, including its organisation, in Palmyra.</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To link to the point above, they can help us to better understand the role of sharing out the sacrificial meat. </w:t>
      </w:r>
      <w:r w:rsidR="007A3C18">
        <w:rPr>
          <w:rFonts w:ascii="Times New Roman" w:hAnsi="Times New Roman" w:cs="Times New Roman"/>
          <w:sz w:val="24"/>
          <w:szCs w:val="24"/>
        </w:rPr>
        <w:t>These tesserae were found “</w:t>
      </w:r>
      <w:r w:rsidR="004E3FF7">
        <w:rPr>
          <w:rFonts w:ascii="Times New Roman" w:hAnsi="Times New Roman" w:cs="Times New Roman"/>
          <w:sz w:val="24"/>
          <w:szCs w:val="24"/>
        </w:rPr>
        <w:t xml:space="preserve">mainly in and around the banqueting hall in the Sanctuary of </w:t>
      </w:r>
      <w:r w:rsidR="004E3FF7">
        <w:rPr>
          <w:rFonts w:ascii="Times New Roman" w:hAnsi="Times New Roman" w:cs="Times New Roman"/>
          <w:sz w:val="24"/>
          <w:szCs w:val="24"/>
        </w:rPr>
        <w:lastRenderedPageBreak/>
        <w:t>Bel”, though the deities depicted on them vary meaning that these dining acts were not reserved just for the deity in whose temple they took part in.</w:t>
      </w:r>
      <w:r w:rsidR="004E3FF7">
        <w:rPr>
          <w:rStyle w:val="FootnoteReference"/>
          <w:rFonts w:ascii="Times New Roman" w:hAnsi="Times New Roman" w:cs="Times New Roman"/>
          <w:sz w:val="24"/>
          <w:szCs w:val="24"/>
        </w:rPr>
        <w:footnoteReference w:id="27"/>
      </w:r>
    </w:p>
    <w:p w14:paraId="706B9B4B" w14:textId="6B3189D3" w:rsidR="004E3FF7" w:rsidRDefault="004E3FF7" w:rsidP="00FE401F">
      <w:pPr>
        <w:spacing w:line="480" w:lineRule="auto"/>
        <w:rPr>
          <w:rFonts w:ascii="Times New Roman" w:hAnsi="Times New Roman" w:cs="Times New Roman"/>
          <w:sz w:val="24"/>
          <w:szCs w:val="24"/>
        </w:rPr>
      </w:pPr>
    </w:p>
    <w:p w14:paraId="573BBA9E" w14:textId="12263B0E" w:rsidR="00AE6B2D" w:rsidRDefault="004E3FF7"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Palmyra was to some extent amalgamated into the Roman empire in 64 </w:t>
      </w:r>
      <w:proofErr w:type="gramStart"/>
      <w:r>
        <w:rPr>
          <w:rFonts w:ascii="Times New Roman" w:hAnsi="Times New Roman" w:cs="Times New Roman"/>
          <w:sz w:val="24"/>
          <w:szCs w:val="24"/>
        </w:rPr>
        <w:t>AD</w:t>
      </w:r>
      <w:proofErr w:type="gramEnd"/>
      <w:r w:rsidR="00DE09FB">
        <w:rPr>
          <w:rFonts w:ascii="Times New Roman" w:hAnsi="Times New Roman" w:cs="Times New Roman"/>
          <w:sz w:val="24"/>
          <w:szCs w:val="24"/>
        </w:rPr>
        <w:t xml:space="preserve"> when Syria was conquered by Pompey</w:t>
      </w:r>
      <w:r w:rsidR="00450494">
        <w:rPr>
          <w:rFonts w:ascii="Times New Roman" w:hAnsi="Times New Roman" w:cs="Times New Roman"/>
          <w:sz w:val="24"/>
          <w:szCs w:val="24"/>
        </w:rPr>
        <w:t xml:space="preserve">, though maintained a high degree of independence from </w:t>
      </w:r>
      <w:r w:rsidR="0072058A">
        <w:rPr>
          <w:rFonts w:ascii="Times New Roman" w:hAnsi="Times New Roman" w:cs="Times New Roman"/>
          <w:sz w:val="24"/>
          <w:szCs w:val="24"/>
        </w:rPr>
        <w:t>Rome</w:t>
      </w:r>
      <w:r w:rsidR="00450494">
        <w:rPr>
          <w:rFonts w:ascii="Times New Roman" w:hAnsi="Times New Roman" w:cs="Times New Roman"/>
          <w:sz w:val="24"/>
          <w:szCs w:val="24"/>
        </w:rPr>
        <w:t xml:space="preserve">. </w:t>
      </w:r>
      <w:r w:rsidR="00945F45">
        <w:rPr>
          <w:rFonts w:ascii="Times New Roman" w:hAnsi="Times New Roman" w:cs="Times New Roman"/>
          <w:sz w:val="24"/>
          <w:szCs w:val="24"/>
        </w:rPr>
        <w:t xml:space="preserve">Palmyra was </w:t>
      </w:r>
      <w:r w:rsidR="00B330F1">
        <w:rPr>
          <w:rFonts w:ascii="Times New Roman" w:hAnsi="Times New Roman" w:cs="Times New Roman"/>
          <w:sz w:val="24"/>
          <w:szCs w:val="24"/>
        </w:rPr>
        <w:t>a centre of caravan trade, having merchants from the Far East (China, India for example) and the Mediterranean world pass through the city</w:t>
      </w:r>
      <w:r w:rsidR="00B94E00">
        <w:rPr>
          <w:rFonts w:ascii="Times New Roman" w:hAnsi="Times New Roman" w:cs="Times New Roman"/>
          <w:sz w:val="24"/>
          <w:szCs w:val="24"/>
        </w:rPr>
        <w:t xml:space="preserve"> or using it as a trading point. </w:t>
      </w:r>
      <w:r w:rsidR="00DA6D7A">
        <w:rPr>
          <w:rFonts w:ascii="Times New Roman" w:hAnsi="Times New Roman" w:cs="Times New Roman"/>
          <w:sz w:val="24"/>
          <w:szCs w:val="24"/>
        </w:rPr>
        <w:t xml:space="preserve">The Palmyrene people also spread out through the Near East. </w:t>
      </w:r>
      <w:r w:rsidR="00475D32">
        <w:rPr>
          <w:rFonts w:ascii="Times New Roman" w:hAnsi="Times New Roman" w:cs="Times New Roman"/>
          <w:sz w:val="24"/>
          <w:szCs w:val="24"/>
        </w:rPr>
        <w:t xml:space="preserve">This resulted in a high level of communication between and mixing of peoples of different cultures throughout the entire Roman world and beyond. Palmyra was also a border city between the </w:t>
      </w:r>
      <w:r w:rsidR="00DD1C93">
        <w:rPr>
          <w:rFonts w:ascii="Times New Roman" w:hAnsi="Times New Roman" w:cs="Times New Roman"/>
          <w:sz w:val="24"/>
          <w:szCs w:val="24"/>
        </w:rPr>
        <w:t xml:space="preserve">generally hostile Roman and Parthian empires, though it maintained positive relations with both due to being a part of the Roman empire but also </w:t>
      </w:r>
      <w:r w:rsidR="00A42EB7">
        <w:rPr>
          <w:rFonts w:ascii="Times New Roman" w:hAnsi="Times New Roman" w:cs="Times New Roman"/>
          <w:sz w:val="24"/>
          <w:szCs w:val="24"/>
        </w:rPr>
        <w:t xml:space="preserve">being </w:t>
      </w:r>
      <w:r w:rsidR="00DD1C93">
        <w:rPr>
          <w:rFonts w:ascii="Times New Roman" w:hAnsi="Times New Roman" w:cs="Times New Roman"/>
          <w:sz w:val="24"/>
          <w:szCs w:val="24"/>
        </w:rPr>
        <w:t>of Semitic heritage, thus enamouring themselves to both parties.</w:t>
      </w:r>
      <w:r w:rsidR="00DD1C93">
        <w:rPr>
          <w:rStyle w:val="FootnoteReference"/>
          <w:rFonts w:ascii="Times New Roman" w:hAnsi="Times New Roman" w:cs="Times New Roman"/>
          <w:sz w:val="24"/>
          <w:szCs w:val="24"/>
        </w:rPr>
        <w:footnoteReference w:id="28"/>
      </w:r>
      <w:r w:rsidR="00DD1C93">
        <w:rPr>
          <w:rFonts w:ascii="Times New Roman" w:hAnsi="Times New Roman" w:cs="Times New Roman"/>
          <w:sz w:val="24"/>
          <w:szCs w:val="24"/>
        </w:rPr>
        <w:t xml:space="preserve"> </w:t>
      </w:r>
      <w:r w:rsidR="00A42EB7">
        <w:rPr>
          <w:rFonts w:ascii="Times New Roman" w:hAnsi="Times New Roman" w:cs="Times New Roman"/>
          <w:sz w:val="24"/>
          <w:szCs w:val="24"/>
        </w:rPr>
        <w:t xml:space="preserve">This long history, for a large part under the Romans, led to a unique Palmyrene culture and identity, including in terms of their religious life. </w:t>
      </w:r>
      <w:r w:rsidR="00EF171A">
        <w:rPr>
          <w:rFonts w:ascii="Times New Roman" w:hAnsi="Times New Roman" w:cs="Times New Roman"/>
          <w:sz w:val="24"/>
          <w:szCs w:val="24"/>
        </w:rPr>
        <w:t xml:space="preserve">Palmyrene religion adopted and followed some traditional Roman practices, generally following a Classical framework, though they certainly adapted them to work within their own cultural heritage framework at the same time. The temple of Bel is a good example of this, with a lot of the architectural features and construction following Roman tradition, but with its two </w:t>
      </w:r>
      <w:proofErr w:type="spellStart"/>
      <w:r w:rsidR="00EF171A">
        <w:rPr>
          <w:rFonts w:ascii="Times New Roman" w:hAnsi="Times New Roman" w:cs="Times New Roman"/>
          <w:i/>
          <w:sz w:val="24"/>
          <w:szCs w:val="24"/>
        </w:rPr>
        <w:t>thalamoi</w:t>
      </w:r>
      <w:proofErr w:type="spellEnd"/>
      <w:r w:rsidR="00EF171A">
        <w:rPr>
          <w:rFonts w:ascii="Times New Roman" w:hAnsi="Times New Roman" w:cs="Times New Roman"/>
          <w:i/>
          <w:sz w:val="24"/>
          <w:szCs w:val="24"/>
        </w:rPr>
        <w:t xml:space="preserve"> </w:t>
      </w:r>
      <w:r w:rsidR="00EF171A">
        <w:rPr>
          <w:rFonts w:ascii="Times New Roman" w:hAnsi="Times New Roman" w:cs="Times New Roman"/>
          <w:sz w:val="24"/>
          <w:szCs w:val="24"/>
        </w:rPr>
        <w:t xml:space="preserve">and accessible roof, it shows the result of the cultural amalgamation that shaped Palmyra for hundreds of years. </w:t>
      </w:r>
    </w:p>
    <w:p w14:paraId="5FB442C1" w14:textId="77777777" w:rsidR="00AE6B2D" w:rsidRDefault="00AE6B2D">
      <w:pPr>
        <w:rPr>
          <w:rFonts w:ascii="Times New Roman" w:hAnsi="Times New Roman" w:cs="Times New Roman"/>
          <w:sz w:val="24"/>
          <w:szCs w:val="24"/>
        </w:rPr>
      </w:pPr>
      <w:r>
        <w:rPr>
          <w:rFonts w:ascii="Times New Roman" w:hAnsi="Times New Roman" w:cs="Times New Roman"/>
          <w:sz w:val="24"/>
          <w:szCs w:val="24"/>
        </w:rPr>
        <w:br w:type="page"/>
      </w:r>
    </w:p>
    <w:p w14:paraId="7F41960C" w14:textId="0E915508" w:rsidR="004E3FF7" w:rsidRDefault="00AE6B2D" w:rsidP="00FE401F">
      <w:pPr>
        <w:spacing w:line="480" w:lineRule="auto"/>
        <w:rPr>
          <w:rFonts w:ascii="Times New Roman" w:hAnsi="Times New Roman" w:cs="Times New Roman"/>
          <w:sz w:val="24"/>
          <w:szCs w:val="24"/>
          <w:u w:val="single"/>
        </w:rPr>
      </w:pPr>
      <w:r>
        <w:rPr>
          <w:rFonts w:ascii="Times New Roman" w:hAnsi="Times New Roman" w:cs="Times New Roman"/>
          <w:b/>
          <w:sz w:val="24"/>
          <w:szCs w:val="24"/>
          <w:u w:val="single"/>
        </w:rPr>
        <w:lastRenderedPageBreak/>
        <w:t>Bibliography</w:t>
      </w:r>
    </w:p>
    <w:p w14:paraId="5C936C45" w14:textId="77777777" w:rsidR="00D66279"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Bryce, T. (2014) </w:t>
      </w:r>
      <w:r>
        <w:rPr>
          <w:rFonts w:ascii="Times New Roman" w:hAnsi="Times New Roman" w:cs="Times New Roman"/>
          <w:i/>
          <w:sz w:val="24"/>
          <w:szCs w:val="24"/>
        </w:rPr>
        <w:t>Ancient Syria. A Three Thousand Year History</w:t>
      </w:r>
      <w:r>
        <w:rPr>
          <w:rFonts w:ascii="Times New Roman" w:hAnsi="Times New Roman" w:cs="Times New Roman"/>
          <w:sz w:val="24"/>
          <w:szCs w:val="24"/>
        </w:rPr>
        <w:t>. Oxford: Oxford University Press.</w:t>
      </w:r>
    </w:p>
    <w:p w14:paraId="1EAD67AA" w14:textId="77777777" w:rsidR="00D66279"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Gates, C. (2004) </w:t>
      </w:r>
      <w:r>
        <w:rPr>
          <w:rFonts w:ascii="Times New Roman" w:hAnsi="Times New Roman" w:cs="Times New Roman"/>
          <w:i/>
          <w:sz w:val="24"/>
          <w:szCs w:val="24"/>
        </w:rPr>
        <w:t>Ancient Cities. The archaeology of urban life in the Ancient Near East and Egypt, Greece, and Rome</w:t>
      </w:r>
      <w:r>
        <w:rPr>
          <w:rFonts w:ascii="Times New Roman" w:hAnsi="Times New Roman" w:cs="Times New Roman"/>
          <w:sz w:val="24"/>
          <w:szCs w:val="24"/>
        </w:rPr>
        <w:t>. Oxon: Routledge.</w:t>
      </w:r>
    </w:p>
    <w:p w14:paraId="7D6E9B01" w14:textId="77777777" w:rsidR="00D66279" w:rsidRDefault="00D66279" w:rsidP="00FE401F">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Gawlikowski</w:t>
      </w:r>
      <w:proofErr w:type="spellEnd"/>
      <w:r>
        <w:rPr>
          <w:rFonts w:ascii="Times New Roman" w:hAnsi="Times New Roman" w:cs="Times New Roman"/>
          <w:sz w:val="24"/>
          <w:szCs w:val="24"/>
        </w:rPr>
        <w:t xml:space="preserve">, M. (1994) ‘Palmyra as a Trading Centre’, </w:t>
      </w:r>
      <w:r>
        <w:rPr>
          <w:rFonts w:ascii="Times New Roman" w:hAnsi="Times New Roman" w:cs="Times New Roman"/>
          <w:i/>
          <w:sz w:val="24"/>
          <w:szCs w:val="24"/>
        </w:rPr>
        <w:t>Iraq</w:t>
      </w:r>
      <w:r>
        <w:rPr>
          <w:rFonts w:ascii="Times New Roman" w:hAnsi="Times New Roman" w:cs="Times New Roman"/>
          <w:sz w:val="24"/>
          <w:szCs w:val="24"/>
        </w:rPr>
        <w:t xml:space="preserve">, 56, pp. 27-33. </w:t>
      </w:r>
    </w:p>
    <w:p w14:paraId="173D62B0" w14:textId="77777777" w:rsidR="00D66279"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Kaizer, T. (2008) ‘Man and God at Palmyra: Sacrifice, </w:t>
      </w:r>
      <w:proofErr w:type="spellStart"/>
      <w:r>
        <w:rPr>
          <w:rFonts w:ascii="Times New Roman" w:hAnsi="Times New Roman" w:cs="Times New Roman"/>
          <w:i/>
          <w:sz w:val="24"/>
          <w:szCs w:val="24"/>
        </w:rPr>
        <w:t>Lectisternia</w:t>
      </w:r>
      <w:proofErr w:type="spellEnd"/>
      <w:r>
        <w:rPr>
          <w:rFonts w:ascii="Times New Roman" w:hAnsi="Times New Roman" w:cs="Times New Roman"/>
          <w:sz w:val="24"/>
          <w:szCs w:val="24"/>
        </w:rPr>
        <w:t xml:space="preserve"> and Banquets’, </w:t>
      </w:r>
      <w:r>
        <w:rPr>
          <w:rFonts w:ascii="Times New Roman" w:hAnsi="Times New Roman" w:cs="Times New Roman"/>
          <w:i/>
          <w:sz w:val="24"/>
          <w:szCs w:val="24"/>
        </w:rPr>
        <w:t>Religions in the Graeco-Roman World</w:t>
      </w:r>
      <w:r>
        <w:rPr>
          <w:rFonts w:ascii="Times New Roman" w:hAnsi="Times New Roman" w:cs="Times New Roman"/>
          <w:sz w:val="24"/>
          <w:szCs w:val="24"/>
        </w:rPr>
        <w:t>, 164, pp. 179-191.</w:t>
      </w:r>
    </w:p>
    <w:p w14:paraId="28FFAE04" w14:textId="77777777" w:rsidR="00D66279" w:rsidRPr="00986541"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Millar, F. (1993) </w:t>
      </w:r>
      <w:r>
        <w:rPr>
          <w:rFonts w:ascii="Times New Roman" w:hAnsi="Times New Roman" w:cs="Times New Roman"/>
          <w:i/>
          <w:sz w:val="24"/>
          <w:szCs w:val="24"/>
        </w:rPr>
        <w:t>The Roman Near East. 31 BC – AD 337</w:t>
      </w:r>
      <w:r>
        <w:rPr>
          <w:rFonts w:ascii="Times New Roman" w:hAnsi="Times New Roman" w:cs="Times New Roman"/>
          <w:sz w:val="24"/>
          <w:szCs w:val="24"/>
        </w:rPr>
        <w:t xml:space="preserve">. United States of America: Harvard University Press. </w:t>
      </w:r>
    </w:p>
    <w:p w14:paraId="73C38C24" w14:textId="77777777" w:rsidR="00D66279"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Raja, R. (2015) ‘Staging “private” religion in Roman “public” Palmyra. The role of the religious dining tickets (banqueting </w:t>
      </w:r>
      <w:r>
        <w:rPr>
          <w:rFonts w:ascii="Times New Roman" w:hAnsi="Times New Roman" w:cs="Times New Roman"/>
          <w:i/>
          <w:sz w:val="24"/>
          <w:szCs w:val="24"/>
        </w:rPr>
        <w:t>tesserae</w:t>
      </w:r>
      <w:r>
        <w:rPr>
          <w:rFonts w:ascii="Times New Roman" w:hAnsi="Times New Roman" w:cs="Times New Roman"/>
          <w:sz w:val="24"/>
          <w:szCs w:val="24"/>
        </w:rPr>
        <w:t xml:space="preserve">)’, in Clifford, A. and </w:t>
      </w:r>
      <w:proofErr w:type="spellStart"/>
      <w:r>
        <w:rPr>
          <w:rFonts w:ascii="Times New Roman" w:hAnsi="Times New Roman" w:cs="Times New Roman"/>
          <w:sz w:val="24"/>
          <w:szCs w:val="24"/>
        </w:rPr>
        <w:t>Rüpke</w:t>
      </w:r>
      <w:proofErr w:type="spellEnd"/>
      <w:r>
        <w:rPr>
          <w:rFonts w:ascii="Times New Roman" w:hAnsi="Times New Roman" w:cs="Times New Roman"/>
          <w:sz w:val="24"/>
          <w:szCs w:val="24"/>
        </w:rPr>
        <w:t xml:space="preserve">, J. (eds.) </w:t>
      </w:r>
      <w:r>
        <w:rPr>
          <w:rFonts w:ascii="Times New Roman" w:hAnsi="Times New Roman" w:cs="Times New Roman"/>
          <w:i/>
          <w:sz w:val="24"/>
          <w:szCs w:val="24"/>
        </w:rPr>
        <w:t>Public and Private in Ancient Mediterranean Law and Religion</w:t>
      </w:r>
      <w:r>
        <w:rPr>
          <w:rFonts w:ascii="Times New Roman" w:hAnsi="Times New Roman" w:cs="Times New Roman"/>
          <w:sz w:val="24"/>
          <w:szCs w:val="24"/>
        </w:rPr>
        <w:t>. Berlin: de Gruyter.</w:t>
      </w:r>
    </w:p>
    <w:p w14:paraId="2FE4463A" w14:textId="77777777" w:rsidR="00D66279" w:rsidRDefault="00D66279" w:rsidP="00FE401F">
      <w:pPr>
        <w:spacing w:line="480" w:lineRule="auto"/>
        <w:rPr>
          <w:rFonts w:ascii="Times New Roman" w:hAnsi="Times New Roman" w:cs="Times New Roman"/>
          <w:sz w:val="24"/>
          <w:szCs w:val="24"/>
        </w:rPr>
      </w:pPr>
      <w:r>
        <w:rPr>
          <w:rFonts w:ascii="Times New Roman" w:hAnsi="Times New Roman" w:cs="Times New Roman"/>
          <w:sz w:val="24"/>
          <w:szCs w:val="24"/>
        </w:rPr>
        <w:t xml:space="preserve">Sear, F. (1982) </w:t>
      </w:r>
      <w:r>
        <w:rPr>
          <w:rFonts w:ascii="Times New Roman" w:hAnsi="Times New Roman" w:cs="Times New Roman"/>
          <w:i/>
          <w:sz w:val="24"/>
          <w:szCs w:val="24"/>
        </w:rPr>
        <w:t>Roman Architecture</w:t>
      </w:r>
      <w:r>
        <w:rPr>
          <w:rFonts w:ascii="Times New Roman" w:hAnsi="Times New Roman" w:cs="Times New Roman"/>
          <w:sz w:val="24"/>
          <w:szCs w:val="24"/>
        </w:rPr>
        <w:t xml:space="preserve">. London: </w:t>
      </w:r>
      <w:proofErr w:type="spellStart"/>
      <w:r>
        <w:rPr>
          <w:rFonts w:ascii="Times New Roman" w:hAnsi="Times New Roman" w:cs="Times New Roman"/>
          <w:sz w:val="24"/>
          <w:szCs w:val="24"/>
        </w:rPr>
        <w:t>Batsford</w:t>
      </w:r>
      <w:proofErr w:type="spellEnd"/>
      <w:r>
        <w:rPr>
          <w:rFonts w:ascii="Times New Roman" w:hAnsi="Times New Roman" w:cs="Times New Roman"/>
          <w:sz w:val="24"/>
          <w:szCs w:val="24"/>
        </w:rPr>
        <w:t xml:space="preserve"> Academic and Educational Limited. </w:t>
      </w:r>
    </w:p>
    <w:sectPr w:rsidR="00D6627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6A1167" w14:textId="77777777" w:rsidR="00CF0232" w:rsidRDefault="00CF0232" w:rsidP="00325536">
      <w:pPr>
        <w:spacing w:after="0" w:line="240" w:lineRule="auto"/>
      </w:pPr>
      <w:r>
        <w:separator/>
      </w:r>
    </w:p>
  </w:endnote>
  <w:endnote w:type="continuationSeparator" w:id="0">
    <w:p w14:paraId="6BD6B5D8" w14:textId="77777777" w:rsidR="00CF0232" w:rsidRDefault="00CF0232" w:rsidP="00325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382902"/>
      <w:docPartObj>
        <w:docPartGallery w:val="Page Numbers (Bottom of Page)"/>
        <w:docPartUnique/>
      </w:docPartObj>
    </w:sdtPr>
    <w:sdtEndPr>
      <w:rPr>
        <w:noProof/>
      </w:rPr>
    </w:sdtEndPr>
    <w:sdtContent>
      <w:p w14:paraId="73BF9396" w14:textId="77777777" w:rsidR="00325536" w:rsidRDefault="003255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8DD76F" w14:textId="77777777" w:rsidR="00325536" w:rsidRDefault="00325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A6081" w14:textId="77777777" w:rsidR="00CF0232" w:rsidRDefault="00CF0232" w:rsidP="00325536">
      <w:pPr>
        <w:spacing w:after="0" w:line="240" w:lineRule="auto"/>
      </w:pPr>
      <w:r>
        <w:separator/>
      </w:r>
    </w:p>
  </w:footnote>
  <w:footnote w:type="continuationSeparator" w:id="0">
    <w:p w14:paraId="3738598C" w14:textId="77777777" w:rsidR="00CF0232" w:rsidRDefault="00CF0232" w:rsidP="00325536">
      <w:pPr>
        <w:spacing w:after="0" w:line="240" w:lineRule="auto"/>
      </w:pPr>
      <w:r>
        <w:continuationSeparator/>
      </w:r>
    </w:p>
  </w:footnote>
  <w:footnote w:id="1">
    <w:p w14:paraId="73198E86" w14:textId="247EA162" w:rsidR="00623B49" w:rsidRPr="00623B49" w:rsidRDefault="00623B49">
      <w:pPr>
        <w:pStyle w:val="FootnoteText"/>
        <w:rPr>
          <w:rFonts w:ascii="Times New Roman" w:hAnsi="Times New Roman" w:cs="Times New Roman"/>
        </w:rPr>
      </w:pPr>
      <w:r w:rsidRPr="00623B49">
        <w:rPr>
          <w:rStyle w:val="FootnoteReference"/>
          <w:rFonts w:ascii="Times New Roman" w:hAnsi="Times New Roman" w:cs="Times New Roman"/>
        </w:rPr>
        <w:footnoteRef/>
      </w:r>
      <w:r w:rsidRPr="00623B49">
        <w:rPr>
          <w:rFonts w:ascii="Times New Roman" w:hAnsi="Times New Roman" w:cs="Times New Roman"/>
        </w:rPr>
        <w:t xml:space="preserve">  </w:t>
      </w:r>
      <w:r>
        <w:rPr>
          <w:rFonts w:ascii="Times New Roman" w:hAnsi="Times New Roman" w:cs="Times New Roman"/>
        </w:rPr>
        <w:t>Sear 1982: 248</w:t>
      </w:r>
      <w:r w:rsidR="00C67D9D">
        <w:rPr>
          <w:rFonts w:ascii="Times New Roman" w:hAnsi="Times New Roman" w:cs="Times New Roman"/>
        </w:rPr>
        <w:t xml:space="preserve">, </w:t>
      </w:r>
      <w:proofErr w:type="spellStart"/>
      <w:r w:rsidR="00C67D9D">
        <w:rPr>
          <w:rFonts w:ascii="Times New Roman" w:hAnsi="Times New Roman" w:cs="Times New Roman"/>
        </w:rPr>
        <w:t>Gawlikowski</w:t>
      </w:r>
      <w:proofErr w:type="spellEnd"/>
      <w:r w:rsidR="00C67D9D">
        <w:rPr>
          <w:rFonts w:ascii="Times New Roman" w:hAnsi="Times New Roman" w:cs="Times New Roman"/>
        </w:rPr>
        <w:t xml:space="preserve"> 1994: 27</w:t>
      </w:r>
    </w:p>
  </w:footnote>
  <w:footnote w:id="2">
    <w:p w14:paraId="1D8F3BCF" w14:textId="3D032FE2" w:rsidR="000B103F" w:rsidRDefault="000B103F">
      <w:pPr>
        <w:pStyle w:val="FootnoteText"/>
      </w:pPr>
      <w:r>
        <w:rPr>
          <w:rStyle w:val="FootnoteReference"/>
        </w:rPr>
        <w:footnoteRef/>
      </w:r>
      <w:r>
        <w:t xml:space="preserve"> Bryce 2014: 221</w:t>
      </w:r>
    </w:p>
  </w:footnote>
  <w:footnote w:id="3">
    <w:p w14:paraId="1A199447" w14:textId="7283BBF4" w:rsidR="00DC7B40" w:rsidRDefault="00DC7B40">
      <w:pPr>
        <w:pStyle w:val="FootnoteText"/>
      </w:pPr>
      <w:r>
        <w:rPr>
          <w:rStyle w:val="FootnoteReference"/>
        </w:rPr>
        <w:footnoteRef/>
      </w:r>
      <w:r>
        <w:t xml:space="preserve"> Bryce 2014: 221</w:t>
      </w:r>
    </w:p>
  </w:footnote>
  <w:footnote w:id="4">
    <w:p w14:paraId="5B03A185" w14:textId="27675221" w:rsidR="009C1AE1" w:rsidRDefault="009C1AE1">
      <w:pPr>
        <w:pStyle w:val="FootnoteText"/>
      </w:pPr>
      <w:r>
        <w:rPr>
          <w:rStyle w:val="FootnoteReference"/>
        </w:rPr>
        <w:footnoteRef/>
      </w:r>
      <w:r>
        <w:t xml:space="preserve"> Bryce 2014: 278</w:t>
      </w:r>
    </w:p>
  </w:footnote>
  <w:footnote w:id="5">
    <w:p w14:paraId="34920823" w14:textId="387F205E" w:rsidR="009C1AE1" w:rsidRDefault="009C1AE1">
      <w:pPr>
        <w:pStyle w:val="FootnoteText"/>
      </w:pPr>
      <w:r>
        <w:rPr>
          <w:rStyle w:val="FootnoteReference"/>
        </w:rPr>
        <w:footnoteRef/>
      </w:r>
      <w:r>
        <w:t xml:space="preserve"> Bryce 2014: 278</w:t>
      </w:r>
    </w:p>
  </w:footnote>
  <w:footnote w:id="6">
    <w:p w14:paraId="3515A3BC" w14:textId="45F71DF6" w:rsidR="001604DE" w:rsidRDefault="001604DE">
      <w:pPr>
        <w:pStyle w:val="FootnoteText"/>
      </w:pPr>
      <w:r>
        <w:rPr>
          <w:rStyle w:val="FootnoteReference"/>
        </w:rPr>
        <w:footnoteRef/>
      </w:r>
      <w:r>
        <w:t xml:space="preserve"> Kaizer 2008: 180</w:t>
      </w:r>
    </w:p>
  </w:footnote>
  <w:footnote w:id="7">
    <w:p w14:paraId="784B03ED" w14:textId="6242CBB2" w:rsidR="009C1AE1" w:rsidRDefault="009C1AE1">
      <w:pPr>
        <w:pStyle w:val="FootnoteText"/>
      </w:pPr>
      <w:r>
        <w:rPr>
          <w:rStyle w:val="FootnoteReference"/>
        </w:rPr>
        <w:footnoteRef/>
      </w:r>
      <w:r>
        <w:t xml:space="preserve"> Bryce 2014: </w:t>
      </w:r>
      <w:r w:rsidR="00882FA5">
        <w:t xml:space="preserve">224, </w:t>
      </w:r>
      <w:r>
        <w:t>278</w:t>
      </w:r>
    </w:p>
  </w:footnote>
  <w:footnote w:id="8">
    <w:p w14:paraId="6FC8FE6E" w14:textId="13D0BB53" w:rsidR="00BA659A" w:rsidRDefault="00BA659A">
      <w:pPr>
        <w:pStyle w:val="FootnoteText"/>
      </w:pPr>
      <w:r>
        <w:rPr>
          <w:rStyle w:val="FootnoteReference"/>
        </w:rPr>
        <w:footnoteRef/>
      </w:r>
      <w:r>
        <w:t xml:space="preserve"> Kaizer 2008: 179</w:t>
      </w:r>
    </w:p>
  </w:footnote>
  <w:footnote w:id="9">
    <w:p w14:paraId="760791A1" w14:textId="732814C3" w:rsidR="002D7AAE" w:rsidRDefault="002D7AAE">
      <w:pPr>
        <w:pStyle w:val="FootnoteText"/>
      </w:pPr>
      <w:r>
        <w:rPr>
          <w:rStyle w:val="FootnoteReference"/>
        </w:rPr>
        <w:footnoteRef/>
      </w:r>
      <w:r>
        <w:t xml:space="preserve"> Kaizer 2008: 179</w:t>
      </w:r>
    </w:p>
  </w:footnote>
  <w:footnote w:id="10">
    <w:p w14:paraId="3A568678" w14:textId="7908AC16" w:rsidR="00912912" w:rsidRDefault="00912912">
      <w:pPr>
        <w:pStyle w:val="FootnoteText"/>
      </w:pPr>
      <w:r>
        <w:rPr>
          <w:rStyle w:val="FootnoteReference"/>
        </w:rPr>
        <w:footnoteRef/>
      </w:r>
      <w:r>
        <w:t xml:space="preserve"> Kaizer 2008: 180</w:t>
      </w:r>
    </w:p>
  </w:footnote>
  <w:footnote w:id="11">
    <w:p w14:paraId="49D2FB47" w14:textId="01D50AB8" w:rsidR="000B103F" w:rsidRDefault="000B103F">
      <w:pPr>
        <w:pStyle w:val="FootnoteText"/>
      </w:pPr>
      <w:r>
        <w:rPr>
          <w:rStyle w:val="FootnoteReference"/>
        </w:rPr>
        <w:footnoteRef/>
      </w:r>
      <w:r>
        <w:t xml:space="preserve"> Kaizer 2008: 180</w:t>
      </w:r>
    </w:p>
  </w:footnote>
  <w:footnote w:id="12">
    <w:p w14:paraId="40E0E169" w14:textId="77777777" w:rsidR="00E548EF" w:rsidRDefault="00E548EF" w:rsidP="00E548EF">
      <w:pPr>
        <w:pStyle w:val="FootnoteText"/>
      </w:pPr>
      <w:r>
        <w:rPr>
          <w:rStyle w:val="FootnoteReference"/>
        </w:rPr>
        <w:footnoteRef/>
      </w:r>
      <w:r>
        <w:t xml:space="preserve"> Kaizer 2008: 180</w:t>
      </w:r>
    </w:p>
  </w:footnote>
  <w:footnote w:id="13">
    <w:p w14:paraId="0F226A36" w14:textId="6A8A75C5" w:rsidR="00F01EBF" w:rsidRDefault="00F01EBF">
      <w:pPr>
        <w:pStyle w:val="FootnoteText"/>
      </w:pPr>
      <w:r>
        <w:rPr>
          <w:rStyle w:val="FootnoteReference"/>
        </w:rPr>
        <w:footnoteRef/>
      </w:r>
      <w:r>
        <w:t xml:space="preserve"> Gates 2003: 390</w:t>
      </w:r>
    </w:p>
  </w:footnote>
  <w:footnote w:id="14">
    <w:p w14:paraId="1BAE32E4" w14:textId="43B76884" w:rsidR="000D621A" w:rsidRDefault="000D621A">
      <w:pPr>
        <w:pStyle w:val="FootnoteText"/>
      </w:pPr>
      <w:r>
        <w:rPr>
          <w:rStyle w:val="FootnoteReference"/>
        </w:rPr>
        <w:footnoteRef/>
      </w:r>
      <w:r>
        <w:t xml:space="preserve"> CIS 3924</w:t>
      </w:r>
    </w:p>
  </w:footnote>
  <w:footnote w:id="15">
    <w:p w14:paraId="2325A201" w14:textId="0F73854F" w:rsidR="009F1D4F" w:rsidRDefault="009F1D4F">
      <w:pPr>
        <w:pStyle w:val="FootnoteText"/>
      </w:pPr>
      <w:r>
        <w:rPr>
          <w:rStyle w:val="FootnoteReference"/>
        </w:rPr>
        <w:footnoteRef/>
      </w:r>
      <w:r>
        <w:t xml:space="preserve"> Gates 2003: 390</w:t>
      </w:r>
    </w:p>
  </w:footnote>
  <w:footnote w:id="16">
    <w:p w14:paraId="4D56827F" w14:textId="57ED1806" w:rsidR="00900778" w:rsidRDefault="00900778">
      <w:pPr>
        <w:pStyle w:val="FootnoteText"/>
      </w:pPr>
      <w:r>
        <w:rPr>
          <w:rStyle w:val="FootnoteReference"/>
        </w:rPr>
        <w:footnoteRef/>
      </w:r>
      <w:r>
        <w:t xml:space="preserve"> Gates 2003: 390</w:t>
      </w:r>
    </w:p>
  </w:footnote>
  <w:footnote w:id="17">
    <w:p w14:paraId="3CF2BFD6" w14:textId="4E3B64DA" w:rsidR="005A0A37" w:rsidRDefault="005A0A37">
      <w:pPr>
        <w:pStyle w:val="FootnoteText"/>
      </w:pPr>
      <w:r>
        <w:rPr>
          <w:rStyle w:val="FootnoteReference"/>
        </w:rPr>
        <w:footnoteRef/>
      </w:r>
      <w:r>
        <w:t xml:space="preserve"> Gates 2003: 390</w:t>
      </w:r>
    </w:p>
  </w:footnote>
  <w:footnote w:id="18">
    <w:p w14:paraId="2B6CB710" w14:textId="166FDA97" w:rsidR="00AD7499" w:rsidRDefault="00AD7499">
      <w:pPr>
        <w:pStyle w:val="FootnoteText"/>
      </w:pPr>
      <w:r>
        <w:rPr>
          <w:rStyle w:val="FootnoteReference"/>
        </w:rPr>
        <w:footnoteRef/>
      </w:r>
      <w:r>
        <w:t xml:space="preserve"> Sear 1982: 249</w:t>
      </w:r>
    </w:p>
  </w:footnote>
  <w:footnote w:id="19">
    <w:p w14:paraId="2F32BFE5" w14:textId="1A955FE9" w:rsidR="00AD7499" w:rsidRDefault="00AD7499">
      <w:pPr>
        <w:pStyle w:val="FootnoteText"/>
      </w:pPr>
      <w:r>
        <w:rPr>
          <w:rStyle w:val="FootnoteReference"/>
        </w:rPr>
        <w:footnoteRef/>
      </w:r>
      <w:r>
        <w:t xml:space="preserve"> Sear 1982: 249</w:t>
      </w:r>
    </w:p>
  </w:footnote>
  <w:footnote w:id="20">
    <w:p w14:paraId="29F70EE8" w14:textId="0F8E33FF" w:rsidR="009C2CB6" w:rsidRDefault="009C2CB6">
      <w:pPr>
        <w:pStyle w:val="FootnoteText"/>
      </w:pPr>
      <w:r>
        <w:rPr>
          <w:rStyle w:val="FootnoteReference"/>
        </w:rPr>
        <w:footnoteRef/>
      </w:r>
      <w:r>
        <w:t xml:space="preserve"> Sear 1982: 249</w:t>
      </w:r>
    </w:p>
  </w:footnote>
  <w:footnote w:id="21">
    <w:p w14:paraId="30C6860C" w14:textId="0837814E" w:rsidR="00EB28A8" w:rsidRDefault="00EB28A8">
      <w:pPr>
        <w:pStyle w:val="FootnoteText"/>
      </w:pPr>
      <w:r>
        <w:rPr>
          <w:rStyle w:val="FootnoteReference"/>
        </w:rPr>
        <w:footnoteRef/>
      </w:r>
      <w:r>
        <w:t xml:space="preserve"> Kaizer 2008: 180</w:t>
      </w:r>
    </w:p>
  </w:footnote>
  <w:footnote w:id="22">
    <w:p w14:paraId="0197781F" w14:textId="02BD2461" w:rsidR="001878F5" w:rsidRDefault="001878F5">
      <w:pPr>
        <w:pStyle w:val="FootnoteText"/>
      </w:pPr>
      <w:r>
        <w:rPr>
          <w:rStyle w:val="FootnoteReference"/>
        </w:rPr>
        <w:footnoteRef/>
      </w:r>
      <w:r>
        <w:t xml:space="preserve"> Kaizer 2008: 182</w:t>
      </w:r>
    </w:p>
  </w:footnote>
  <w:footnote w:id="23">
    <w:p w14:paraId="51EE4850" w14:textId="1B9D9BED" w:rsidR="006969AA" w:rsidRDefault="006969AA">
      <w:pPr>
        <w:pStyle w:val="FootnoteText"/>
      </w:pPr>
      <w:r>
        <w:rPr>
          <w:rStyle w:val="FootnoteReference"/>
        </w:rPr>
        <w:footnoteRef/>
      </w:r>
      <w:r>
        <w:t xml:space="preserve"> Kaizer 2008: 182</w:t>
      </w:r>
    </w:p>
  </w:footnote>
  <w:footnote w:id="24">
    <w:p w14:paraId="38BBDCDC" w14:textId="7FC4713F" w:rsidR="00790619" w:rsidRDefault="00790619">
      <w:pPr>
        <w:pStyle w:val="FootnoteText"/>
      </w:pPr>
      <w:r>
        <w:rPr>
          <w:rStyle w:val="FootnoteReference"/>
        </w:rPr>
        <w:footnoteRef/>
      </w:r>
      <w:r>
        <w:t xml:space="preserve"> Kaizer 2008: 184</w:t>
      </w:r>
    </w:p>
  </w:footnote>
  <w:footnote w:id="25">
    <w:p w14:paraId="78797A0B" w14:textId="78C249A0" w:rsidR="00B87089" w:rsidRDefault="00B87089">
      <w:pPr>
        <w:pStyle w:val="FootnoteText"/>
      </w:pPr>
      <w:r>
        <w:rPr>
          <w:rStyle w:val="FootnoteReference"/>
        </w:rPr>
        <w:footnoteRef/>
      </w:r>
      <w:r>
        <w:t xml:space="preserve"> Kaizer 2008: 185</w:t>
      </w:r>
    </w:p>
  </w:footnote>
  <w:footnote w:id="26">
    <w:p w14:paraId="59FB3809" w14:textId="7E44BF44" w:rsidR="00E401F6" w:rsidRDefault="00E401F6">
      <w:pPr>
        <w:pStyle w:val="FootnoteText"/>
      </w:pPr>
      <w:r>
        <w:rPr>
          <w:rStyle w:val="FootnoteReference"/>
        </w:rPr>
        <w:footnoteRef/>
      </w:r>
      <w:r>
        <w:t xml:space="preserve"> Raja 2015: 165</w:t>
      </w:r>
    </w:p>
  </w:footnote>
  <w:footnote w:id="27">
    <w:p w14:paraId="207689EC" w14:textId="2C53B079" w:rsidR="004E3FF7" w:rsidRDefault="004E3FF7">
      <w:pPr>
        <w:pStyle w:val="FootnoteText"/>
      </w:pPr>
      <w:r>
        <w:rPr>
          <w:rStyle w:val="FootnoteReference"/>
        </w:rPr>
        <w:footnoteRef/>
      </w:r>
      <w:r>
        <w:t xml:space="preserve"> Raja 2015: 168</w:t>
      </w:r>
    </w:p>
  </w:footnote>
  <w:footnote w:id="28">
    <w:p w14:paraId="4A84CCEE" w14:textId="2F0C4A23" w:rsidR="00DD1C93" w:rsidRDefault="00DD1C93">
      <w:pPr>
        <w:pStyle w:val="FootnoteText"/>
      </w:pPr>
      <w:r>
        <w:rPr>
          <w:rStyle w:val="FootnoteReference"/>
        </w:rPr>
        <w:footnoteRef/>
      </w:r>
      <w:r>
        <w:t xml:space="preserve"> Raja 2015: 165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CD2CE" w14:textId="77777777" w:rsidR="00325536" w:rsidRPr="00325536" w:rsidRDefault="00325536">
    <w:pPr>
      <w:pStyle w:val="Header"/>
      <w:rPr>
        <w:rFonts w:ascii="Times New Roman" w:hAnsi="Times New Roman" w:cs="Times New Roman"/>
        <w:sz w:val="20"/>
        <w:szCs w:val="20"/>
      </w:rPr>
    </w:pPr>
    <w:r>
      <w:rPr>
        <w:rFonts w:ascii="Times New Roman" w:hAnsi="Times New Roman" w:cs="Times New Roman"/>
        <w:sz w:val="20"/>
        <w:szCs w:val="20"/>
      </w:rPr>
      <w:t>CLAH7017</w:t>
    </w:r>
    <w:r w:rsidRPr="00325536">
      <w:rPr>
        <w:rFonts w:ascii="Times New Roman" w:hAnsi="Times New Roman" w:cs="Times New Roman"/>
        <w:sz w:val="20"/>
        <w:szCs w:val="20"/>
      </w:rPr>
      <w:ptab w:relativeTo="margin" w:alignment="center" w:leader="none"/>
    </w:r>
    <w:r w:rsidRPr="00325536">
      <w:rPr>
        <w:rFonts w:ascii="Times New Roman" w:hAnsi="Times New Roman" w:cs="Times New Roman"/>
        <w:sz w:val="20"/>
        <w:szCs w:val="20"/>
      </w:rPr>
      <w:ptab w:relativeTo="margin" w:alignment="right" w:leader="none"/>
    </w:r>
    <w:r>
      <w:rPr>
        <w:rFonts w:ascii="Times New Roman" w:hAnsi="Times New Roman" w:cs="Times New Roman"/>
        <w:sz w:val="20"/>
        <w:szCs w:val="20"/>
      </w:rPr>
      <w:t>Eleanor Travers 1500674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536"/>
    <w:rsid w:val="00001996"/>
    <w:rsid w:val="000B103F"/>
    <w:rsid w:val="000D1B5A"/>
    <w:rsid w:val="000D1CBD"/>
    <w:rsid w:val="000D58D4"/>
    <w:rsid w:val="000D621A"/>
    <w:rsid w:val="00135646"/>
    <w:rsid w:val="001604DE"/>
    <w:rsid w:val="0016462C"/>
    <w:rsid w:val="001878F5"/>
    <w:rsid w:val="001C42A8"/>
    <w:rsid w:val="00240E78"/>
    <w:rsid w:val="002A4DD4"/>
    <w:rsid w:val="002B6F27"/>
    <w:rsid w:val="002C712D"/>
    <w:rsid w:val="002D7AAE"/>
    <w:rsid w:val="002E759A"/>
    <w:rsid w:val="002F193E"/>
    <w:rsid w:val="002F23BB"/>
    <w:rsid w:val="002F3510"/>
    <w:rsid w:val="0031357D"/>
    <w:rsid w:val="00325536"/>
    <w:rsid w:val="00355FE2"/>
    <w:rsid w:val="00397486"/>
    <w:rsid w:val="00397C02"/>
    <w:rsid w:val="00450494"/>
    <w:rsid w:val="004529BA"/>
    <w:rsid w:val="00475D32"/>
    <w:rsid w:val="00486B97"/>
    <w:rsid w:val="004C08F0"/>
    <w:rsid w:val="004C74F8"/>
    <w:rsid w:val="004E3FF7"/>
    <w:rsid w:val="00510B24"/>
    <w:rsid w:val="00557150"/>
    <w:rsid w:val="00595F70"/>
    <w:rsid w:val="005A0A37"/>
    <w:rsid w:val="005B72C1"/>
    <w:rsid w:val="005C2E29"/>
    <w:rsid w:val="005D6703"/>
    <w:rsid w:val="005E39DF"/>
    <w:rsid w:val="00623B49"/>
    <w:rsid w:val="00625915"/>
    <w:rsid w:val="00671445"/>
    <w:rsid w:val="00693275"/>
    <w:rsid w:val="006969AA"/>
    <w:rsid w:val="0070651B"/>
    <w:rsid w:val="0072058A"/>
    <w:rsid w:val="00790619"/>
    <w:rsid w:val="00796CC5"/>
    <w:rsid w:val="007A3C18"/>
    <w:rsid w:val="008073F6"/>
    <w:rsid w:val="008107B2"/>
    <w:rsid w:val="00867D30"/>
    <w:rsid w:val="00882FA5"/>
    <w:rsid w:val="008A1DE3"/>
    <w:rsid w:val="008B7880"/>
    <w:rsid w:val="008D0A96"/>
    <w:rsid w:val="00900778"/>
    <w:rsid w:val="00912912"/>
    <w:rsid w:val="00933A62"/>
    <w:rsid w:val="00945F45"/>
    <w:rsid w:val="009761F6"/>
    <w:rsid w:val="00986541"/>
    <w:rsid w:val="00986AEC"/>
    <w:rsid w:val="009910BC"/>
    <w:rsid w:val="009C1AE1"/>
    <w:rsid w:val="009C2CB6"/>
    <w:rsid w:val="009F1D4F"/>
    <w:rsid w:val="00A219EB"/>
    <w:rsid w:val="00A27A03"/>
    <w:rsid w:val="00A36C9C"/>
    <w:rsid w:val="00A42EB7"/>
    <w:rsid w:val="00A53793"/>
    <w:rsid w:val="00AD7499"/>
    <w:rsid w:val="00AE6B2D"/>
    <w:rsid w:val="00AF45C9"/>
    <w:rsid w:val="00B330F1"/>
    <w:rsid w:val="00B775C4"/>
    <w:rsid w:val="00B87089"/>
    <w:rsid w:val="00B90F59"/>
    <w:rsid w:val="00B94E00"/>
    <w:rsid w:val="00BA3C64"/>
    <w:rsid w:val="00BA659A"/>
    <w:rsid w:val="00BA7038"/>
    <w:rsid w:val="00BF145E"/>
    <w:rsid w:val="00C249A0"/>
    <w:rsid w:val="00C31E52"/>
    <w:rsid w:val="00C67D9D"/>
    <w:rsid w:val="00C74665"/>
    <w:rsid w:val="00CF0232"/>
    <w:rsid w:val="00D12E8A"/>
    <w:rsid w:val="00D65E7F"/>
    <w:rsid w:val="00D66279"/>
    <w:rsid w:val="00D723B9"/>
    <w:rsid w:val="00DA6D7A"/>
    <w:rsid w:val="00DC7B40"/>
    <w:rsid w:val="00DD1C93"/>
    <w:rsid w:val="00DD4292"/>
    <w:rsid w:val="00DE09FB"/>
    <w:rsid w:val="00E401F6"/>
    <w:rsid w:val="00E548EF"/>
    <w:rsid w:val="00E56126"/>
    <w:rsid w:val="00EB28A8"/>
    <w:rsid w:val="00EF171A"/>
    <w:rsid w:val="00F01EBF"/>
    <w:rsid w:val="00F34C9A"/>
    <w:rsid w:val="00F37262"/>
    <w:rsid w:val="00F42E9F"/>
    <w:rsid w:val="00FE4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0CD2B"/>
  <w15:chartTrackingRefBased/>
  <w15:docId w15:val="{A39E9454-A2D7-4DB9-858F-9B8F8B6C2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536"/>
  </w:style>
  <w:style w:type="paragraph" w:styleId="Footer">
    <w:name w:val="footer"/>
    <w:basedOn w:val="Normal"/>
    <w:link w:val="FooterChar"/>
    <w:uiPriority w:val="99"/>
    <w:unhideWhenUsed/>
    <w:rsid w:val="00325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536"/>
  </w:style>
  <w:style w:type="paragraph" w:styleId="FootnoteText">
    <w:name w:val="footnote text"/>
    <w:basedOn w:val="Normal"/>
    <w:link w:val="FootnoteTextChar"/>
    <w:uiPriority w:val="99"/>
    <w:semiHidden/>
    <w:unhideWhenUsed/>
    <w:rsid w:val="00FE40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01F"/>
    <w:rPr>
      <w:sz w:val="20"/>
      <w:szCs w:val="20"/>
    </w:rPr>
  </w:style>
  <w:style w:type="character" w:styleId="FootnoteReference">
    <w:name w:val="footnote reference"/>
    <w:basedOn w:val="DefaultParagraphFont"/>
    <w:uiPriority w:val="99"/>
    <w:semiHidden/>
    <w:unhideWhenUsed/>
    <w:rsid w:val="00FE401F"/>
    <w:rPr>
      <w:vertAlign w:val="superscript"/>
    </w:rPr>
  </w:style>
  <w:style w:type="character" w:styleId="CommentReference">
    <w:name w:val="annotation reference"/>
    <w:basedOn w:val="DefaultParagraphFont"/>
    <w:uiPriority w:val="99"/>
    <w:semiHidden/>
    <w:unhideWhenUsed/>
    <w:rsid w:val="00FE401F"/>
    <w:rPr>
      <w:sz w:val="16"/>
      <w:szCs w:val="16"/>
    </w:rPr>
  </w:style>
  <w:style w:type="paragraph" w:styleId="CommentText">
    <w:name w:val="annotation text"/>
    <w:basedOn w:val="Normal"/>
    <w:link w:val="CommentTextChar"/>
    <w:uiPriority w:val="99"/>
    <w:semiHidden/>
    <w:unhideWhenUsed/>
    <w:rsid w:val="00FE401F"/>
    <w:pPr>
      <w:spacing w:line="240" w:lineRule="auto"/>
    </w:pPr>
    <w:rPr>
      <w:sz w:val="20"/>
      <w:szCs w:val="20"/>
    </w:rPr>
  </w:style>
  <w:style w:type="character" w:customStyle="1" w:styleId="CommentTextChar">
    <w:name w:val="Comment Text Char"/>
    <w:basedOn w:val="DefaultParagraphFont"/>
    <w:link w:val="CommentText"/>
    <w:uiPriority w:val="99"/>
    <w:semiHidden/>
    <w:rsid w:val="00FE401F"/>
    <w:rPr>
      <w:sz w:val="20"/>
      <w:szCs w:val="20"/>
    </w:rPr>
  </w:style>
  <w:style w:type="paragraph" w:styleId="CommentSubject">
    <w:name w:val="annotation subject"/>
    <w:basedOn w:val="CommentText"/>
    <w:next w:val="CommentText"/>
    <w:link w:val="CommentSubjectChar"/>
    <w:uiPriority w:val="99"/>
    <w:semiHidden/>
    <w:unhideWhenUsed/>
    <w:rsid w:val="00FE401F"/>
    <w:rPr>
      <w:b/>
      <w:bCs/>
    </w:rPr>
  </w:style>
  <w:style w:type="character" w:customStyle="1" w:styleId="CommentSubjectChar">
    <w:name w:val="Comment Subject Char"/>
    <w:basedOn w:val="CommentTextChar"/>
    <w:link w:val="CommentSubject"/>
    <w:uiPriority w:val="99"/>
    <w:semiHidden/>
    <w:rsid w:val="00FE401F"/>
    <w:rPr>
      <w:b/>
      <w:bCs/>
      <w:sz w:val="20"/>
      <w:szCs w:val="20"/>
    </w:rPr>
  </w:style>
  <w:style w:type="paragraph" w:styleId="BalloonText">
    <w:name w:val="Balloon Text"/>
    <w:basedOn w:val="Normal"/>
    <w:link w:val="BalloonTextChar"/>
    <w:uiPriority w:val="99"/>
    <w:semiHidden/>
    <w:unhideWhenUsed/>
    <w:rsid w:val="00FE40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401F"/>
    <w:rPr>
      <w:rFonts w:ascii="Segoe UI" w:hAnsi="Segoe UI" w:cs="Segoe UI"/>
      <w:sz w:val="18"/>
      <w:szCs w:val="18"/>
    </w:rPr>
  </w:style>
  <w:style w:type="paragraph" w:styleId="Caption">
    <w:name w:val="caption"/>
    <w:basedOn w:val="Normal"/>
    <w:next w:val="Normal"/>
    <w:uiPriority w:val="35"/>
    <w:unhideWhenUsed/>
    <w:qFormat/>
    <w:rsid w:val="0031357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4BFA9-E013-4D90-9854-745E7F6F1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9</Pages>
  <Words>1896</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Travers (1500674)</cp:lastModifiedBy>
  <cp:revision>79</cp:revision>
  <dcterms:created xsi:type="dcterms:W3CDTF">2019-12-20T09:54:00Z</dcterms:created>
  <dcterms:modified xsi:type="dcterms:W3CDTF">2019-12-20T20:29:00Z</dcterms:modified>
</cp:coreProperties>
</file>