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5CFBC" w14:textId="772014A9" w:rsidR="008B2159" w:rsidRDefault="008B2159"/>
    <w:p w14:paraId="1B8602F0" w14:textId="24C588C3" w:rsidR="00B30B39" w:rsidRPr="00B30B39" w:rsidRDefault="00B30B39" w:rsidP="00B30B39">
      <w:r>
        <w:rPr>
          <w:noProof/>
        </w:rPr>
        <w:drawing>
          <wp:anchor distT="0" distB="0" distL="114300" distR="114300" simplePos="0" relativeHeight="251659264" behindDoc="1" locked="0" layoutInCell="1" allowOverlap="1" wp14:anchorId="4BAC770A" wp14:editId="491C73EF">
            <wp:simplePos x="0" y="0"/>
            <wp:positionH relativeFrom="margin">
              <wp:align>center</wp:align>
            </wp:positionH>
            <wp:positionV relativeFrom="paragraph">
              <wp:posOffset>115570</wp:posOffset>
            </wp:positionV>
            <wp:extent cx="3793490" cy="1512570"/>
            <wp:effectExtent l="0" t="0" r="0" b="0"/>
            <wp:wrapTight wrapText="bothSides">
              <wp:wrapPolygon edited="0">
                <wp:start x="108" y="1360"/>
                <wp:lineTo x="217" y="10882"/>
                <wp:lineTo x="976" y="14962"/>
                <wp:lineTo x="976" y="17683"/>
                <wp:lineTo x="3688" y="19043"/>
                <wp:lineTo x="9003" y="19587"/>
                <wp:lineTo x="9654" y="19587"/>
                <wp:lineTo x="17355" y="18771"/>
                <wp:lineTo x="17572" y="15778"/>
                <wp:lineTo x="21477" y="14690"/>
                <wp:lineTo x="21369" y="10882"/>
                <wp:lineTo x="5640" y="10610"/>
                <wp:lineTo x="18440" y="9249"/>
                <wp:lineTo x="18440" y="6529"/>
                <wp:lineTo x="19091" y="6257"/>
                <wp:lineTo x="19416" y="2448"/>
                <wp:lineTo x="14969" y="1360"/>
                <wp:lineTo x="108" y="1360"/>
              </wp:wrapPolygon>
            </wp:wrapTight>
            <wp:docPr id="6" name="Picture 5" descr="Text&#10;&#10;Description automatically generated with medium confidence">
              <a:extLst xmlns:a="http://schemas.openxmlformats.org/drawingml/2006/main">
                <a:ext uri="{FF2B5EF4-FFF2-40B4-BE49-F238E27FC236}">
                  <a16:creationId xmlns:a16="http://schemas.microsoft.com/office/drawing/2014/main" id="{D16E4965-E7F0-48D9-91B0-30F3F6BE3B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a:extLst>
                        <a:ext uri="{FF2B5EF4-FFF2-40B4-BE49-F238E27FC236}">
                          <a16:creationId xmlns:a16="http://schemas.microsoft.com/office/drawing/2014/main" id="{D16E4965-E7F0-48D9-91B0-30F3F6BE3B7F}"/>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793490" cy="1512570"/>
                    </a:xfrm>
                    <a:prstGeom prst="rect">
                      <a:avLst/>
                    </a:prstGeom>
                  </pic:spPr>
                </pic:pic>
              </a:graphicData>
            </a:graphic>
          </wp:anchor>
        </w:drawing>
      </w:r>
    </w:p>
    <w:p w14:paraId="4142A297" w14:textId="77777777" w:rsidR="00B30B39" w:rsidRPr="00B30B39" w:rsidRDefault="00B30B39" w:rsidP="00B30B39"/>
    <w:p w14:paraId="0845C003" w14:textId="77777777" w:rsidR="00B30B39" w:rsidRPr="00B30B39" w:rsidRDefault="00B30B39" w:rsidP="00B30B39"/>
    <w:p w14:paraId="206196BB" w14:textId="77777777" w:rsidR="00B30B39" w:rsidRPr="00B30B39" w:rsidRDefault="00B30B39" w:rsidP="00B30B39"/>
    <w:p w14:paraId="66A389D9" w14:textId="77777777" w:rsidR="00B30B39" w:rsidRPr="00B30B39" w:rsidRDefault="00B30B39" w:rsidP="00B30B39"/>
    <w:p w14:paraId="4500D707" w14:textId="77777777" w:rsidR="00B30B39" w:rsidRPr="00B30B39" w:rsidRDefault="00B30B39" w:rsidP="00B30B39"/>
    <w:p w14:paraId="36CC45F6" w14:textId="77777777" w:rsidR="00B30B39" w:rsidRPr="00B30B39" w:rsidRDefault="00B30B39" w:rsidP="00B30B39"/>
    <w:p w14:paraId="2C70B8A3" w14:textId="77777777" w:rsidR="00B30B39" w:rsidRPr="00B30B39" w:rsidRDefault="00B30B39" w:rsidP="00B30B39"/>
    <w:p w14:paraId="38A445BB" w14:textId="77777777" w:rsidR="00B30B39" w:rsidRPr="00B30B39" w:rsidRDefault="00B30B39" w:rsidP="00B30B39"/>
    <w:p w14:paraId="6C626DCC" w14:textId="77777777" w:rsidR="00B30B39" w:rsidRDefault="00B30B39" w:rsidP="00B30B39">
      <w:pPr>
        <w:tabs>
          <w:tab w:val="left" w:pos="2693"/>
        </w:tabs>
        <w:jc w:val="center"/>
        <w:rPr>
          <w:rFonts w:ascii="Arial" w:hAnsi="Arial" w:cs="Arial"/>
          <w:b/>
          <w:bCs/>
          <w:sz w:val="28"/>
          <w:szCs w:val="28"/>
        </w:rPr>
      </w:pPr>
    </w:p>
    <w:p w14:paraId="171B1A88" w14:textId="77777777" w:rsidR="00B30B39" w:rsidRPr="004D2E13" w:rsidRDefault="00B30B39" w:rsidP="00B30B39">
      <w:pPr>
        <w:tabs>
          <w:tab w:val="left" w:pos="2693"/>
        </w:tabs>
        <w:jc w:val="center"/>
        <w:rPr>
          <w:rFonts w:ascii="Arial" w:hAnsi="Arial" w:cs="Arial"/>
          <w:b/>
          <w:bCs/>
          <w:sz w:val="28"/>
          <w:szCs w:val="28"/>
        </w:rPr>
      </w:pPr>
      <w:r w:rsidRPr="004D2E13">
        <w:rPr>
          <w:rFonts w:ascii="Arial" w:hAnsi="Arial" w:cs="Arial"/>
          <w:b/>
          <w:bCs/>
          <w:sz w:val="28"/>
          <w:szCs w:val="28"/>
        </w:rPr>
        <w:t>BA (Hons) Leadership and Management Skills for the workplace</w:t>
      </w:r>
    </w:p>
    <w:p w14:paraId="05D58AC8" w14:textId="36C1E788" w:rsidR="00B30B39" w:rsidRDefault="00B30B39" w:rsidP="00B30B39">
      <w:pPr>
        <w:tabs>
          <w:tab w:val="left" w:pos="2693"/>
        </w:tabs>
        <w:jc w:val="center"/>
        <w:rPr>
          <w:rFonts w:ascii="Arial" w:hAnsi="Arial" w:cs="Arial"/>
          <w:sz w:val="28"/>
          <w:szCs w:val="28"/>
        </w:rPr>
      </w:pPr>
      <w:r w:rsidRPr="004D2E13">
        <w:rPr>
          <w:rFonts w:ascii="Arial" w:hAnsi="Arial" w:cs="Arial"/>
          <w:b/>
          <w:bCs/>
          <w:sz w:val="28"/>
          <w:szCs w:val="28"/>
        </w:rPr>
        <w:t>Module:</w:t>
      </w:r>
      <w:r>
        <w:rPr>
          <w:rFonts w:ascii="Arial" w:hAnsi="Arial" w:cs="Arial"/>
          <w:sz w:val="28"/>
          <w:szCs w:val="28"/>
        </w:rPr>
        <w:t xml:space="preserve"> </w:t>
      </w:r>
      <w:r w:rsidR="00AC5735">
        <w:rPr>
          <w:rFonts w:ascii="Arial" w:hAnsi="Arial" w:cs="Arial"/>
          <w:sz w:val="28"/>
          <w:szCs w:val="28"/>
        </w:rPr>
        <w:t xml:space="preserve">Workplace Culture and its impact on Organisational </w:t>
      </w:r>
      <w:r w:rsidR="00877A1C">
        <w:rPr>
          <w:rFonts w:ascii="Arial" w:hAnsi="Arial" w:cs="Arial"/>
          <w:sz w:val="28"/>
          <w:szCs w:val="28"/>
        </w:rPr>
        <w:t>Efficiency</w:t>
      </w:r>
    </w:p>
    <w:p w14:paraId="6C39D70C" w14:textId="0C1DA590" w:rsidR="00B30B39" w:rsidRPr="0052087D" w:rsidRDefault="00B30B39" w:rsidP="00B30B39">
      <w:pPr>
        <w:tabs>
          <w:tab w:val="left" w:pos="2693"/>
        </w:tabs>
        <w:jc w:val="center"/>
        <w:rPr>
          <w:rFonts w:ascii="Arial" w:hAnsi="Arial" w:cs="Arial"/>
          <w:color w:val="000000" w:themeColor="text1"/>
          <w:sz w:val="28"/>
          <w:szCs w:val="28"/>
        </w:rPr>
      </w:pPr>
      <w:r w:rsidRPr="004D2E13">
        <w:rPr>
          <w:rFonts w:ascii="Arial" w:hAnsi="Arial" w:cs="Arial"/>
          <w:b/>
          <w:bCs/>
          <w:sz w:val="28"/>
          <w:szCs w:val="28"/>
        </w:rPr>
        <w:t xml:space="preserve">Module code: </w:t>
      </w:r>
      <w:r w:rsidR="0052087D">
        <w:rPr>
          <w:rFonts w:ascii="Arial" w:hAnsi="Arial" w:cs="Arial"/>
          <w:color w:val="000000" w:themeColor="text1"/>
          <w:sz w:val="28"/>
          <w:szCs w:val="28"/>
        </w:rPr>
        <w:t>BMSW</w:t>
      </w:r>
      <w:r w:rsidR="003F70D0">
        <w:rPr>
          <w:rFonts w:ascii="Arial" w:hAnsi="Arial" w:cs="Arial"/>
          <w:color w:val="000000" w:themeColor="text1"/>
          <w:sz w:val="28"/>
          <w:szCs w:val="28"/>
        </w:rPr>
        <w:t>5105</w:t>
      </w:r>
    </w:p>
    <w:p w14:paraId="01FBD0A3" w14:textId="4E6D353E" w:rsidR="00B30B39" w:rsidRDefault="00B30B39" w:rsidP="00B30B39">
      <w:pPr>
        <w:tabs>
          <w:tab w:val="left" w:pos="2693"/>
        </w:tabs>
        <w:jc w:val="center"/>
        <w:rPr>
          <w:rFonts w:ascii="Arial" w:hAnsi="Arial" w:cs="Arial"/>
          <w:sz w:val="28"/>
          <w:szCs w:val="28"/>
        </w:rPr>
      </w:pPr>
      <w:r w:rsidRPr="004D2E13">
        <w:rPr>
          <w:rFonts w:ascii="Arial" w:hAnsi="Arial" w:cs="Arial"/>
          <w:b/>
          <w:bCs/>
          <w:sz w:val="28"/>
          <w:szCs w:val="28"/>
        </w:rPr>
        <w:t>Lecturer:</w:t>
      </w:r>
      <w:r>
        <w:rPr>
          <w:rFonts w:ascii="Arial" w:hAnsi="Arial" w:cs="Arial"/>
          <w:sz w:val="28"/>
          <w:szCs w:val="28"/>
        </w:rPr>
        <w:t xml:space="preserve"> </w:t>
      </w:r>
      <w:r w:rsidR="003C021A">
        <w:rPr>
          <w:rFonts w:ascii="Arial" w:hAnsi="Arial" w:cs="Arial"/>
          <w:sz w:val="28"/>
          <w:szCs w:val="28"/>
        </w:rPr>
        <w:t>Nadeem Mirza</w:t>
      </w:r>
    </w:p>
    <w:p w14:paraId="347FB8A2" w14:textId="50EC29F4" w:rsidR="00B30B39" w:rsidRDefault="00B30B39" w:rsidP="00B30B39">
      <w:pPr>
        <w:tabs>
          <w:tab w:val="left" w:pos="2693"/>
        </w:tabs>
        <w:jc w:val="center"/>
        <w:rPr>
          <w:rFonts w:ascii="Arial" w:hAnsi="Arial" w:cs="Arial"/>
          <w:color w:val="000000" w:themeColor="text1"/>
          <w:sz w:val="28"/>
          <w:szCs w:val="28"/>
        </w:rPr>
      </w:pPr>
      <w:r w:rsidRPr="004D2E13">
        <w:rPr>
          <w:rFonts w:ascii="Arial" w:hAnsi="Arial" w:cs="Arial"/>
          <w:b/>
          <w:bCs/>
          <w:sz w:val="28"/>
          <w:szCs w:val="28"/>
        </w:rPr>
        <w:t>Assignment title:</w:t>
      </w:r>
      <w:r w:rsidR="003C021A">
        <w:rPr>
          <w:rFonts w:ascii="Arial" w:hAnsi="Arial" w:cs="Arial"/>
          <w:b/>
          <w:bCs/>
          <w:sz w:val="28"/>
          <w:szCs w:val="28"/>
        </w:rPr>
        <w:t xml:space="preserve"> </w:t>
      </w:r>
      <w:r w:rsidR="0052087D">
        <w:rPr>
          <w:rFonts w:ascii="Arial" w:hAnsi="Arial" w:cs="Arial"/>
          <w:color w:val="000000" w:themeColor="text1"/>
          <w:sz w:val="28"/>
          <w:szCs w:val="28"/>
        </w:rPr>
        <w:t>Workplace Culture and its impact on Organisational Efficiency</w:t>
      </w:r>
    </w:p>
    <w:p w14:paraId="5FB55903" w14:textId="27950368" w:rsidR="003C021A" w:rsidRPr="003C021A" w:rsidRDefault="003C021A" w:rsidP="0052087D">
      <w:pPr>
        <w:tabs>
          <w:tab w:val="left" w:pos="3694"/>
        </w:tabs>
      </w:pPr>
    </w:p>
    <w:p w14:paraId="5B3C0CE7" w14:textId="77777777" w:rsidR="003C021A" w:rsidRDefault="003C021A" w:rsidP="003C021A"/>
    <w:p w14:paraId="7C59CD2E" w14:textId="77777777" w:rsidR="003C021A" w:rsidRDefault="003C021A" w:rsidP="003C021A">
      <w:pPr>
        <w:tabs>
          <w:tab w:val="left" w:pos="3643"/>
        </w:tabs>
        <w:jc w:val="center"/>
        <w:rPr>
          <w:rFonts w:ascii="Arial" w:hAnsi="Arial" w:cs="Arial"/>
          <w:sz w:val="28"/>
          <w:szCs w:val="28"/>
        </w:rPr>
      </w:pPr>
    </w:p>
    <w:p w14:paraId="1C215586" w14:textId="77777777" w:rsidR="003C021A" w:rsidRPr="004D2E13" w:rsidRDefault="003C021A" w:rsidP="003C021A">
      <w:pPr>
        <w:tabs>
          <w:tab w:val="left" w:pos="2693"/>
        </w:tabs>
        <w:jc w:val="center"/>
        <w:rPr>
          <w:rFonts w:ascii="Arial" w:hAnsi="Arial" w:cs="Arial"/>
          <w:sz w:val="28"/>
          <w:szCs w:val="28"/>
        </w:rPr>
      </w:pPr>
      <w:r w:rsidRPr="004D2E13">
        <w:rPr>
          <w:rFonts w:ascii="Arial" w:hAnsi="Arial" w:cs="Arial"/>
          <w:b/>
          <w:bCs/>
          <w:sz w:val="28"/>
          <w:szCs w:val="28"/>
        </w:rPr>
        <w:t>Name of student:</w:t>
      </w:r>
      <w:r>
        <w:rPr>
          <w:rFonts w:ascii="Arial" w:hAnsi="Arial" w:cs="Arial"/>
          <w:b/>
          <w:bCs/>
          <w:sz w:val="28"/>
          <w:szCs w:val="28"/>
        </w:rPr>
        <w:t xml:space="preserve"> </w:t>
      </w:r>
      <w:r>
        <w:rPr>
          <w:rFonts w:ascii="Arial" w:hAnsi="Arial" w:cs="Arial"/>
          <w:sz w:val="28"/>
          <w:szCs w:val="28"/>
        </w:rPr>
        <w:t>Stefani Petrova</w:t>
      </w:r>
    </w:p>
    <w:p w14:paraId="45DABA3D" w14:textId="235E3B7F" w:rsidR="003C021A" w:rsidRDefault="003C021A" w:rsidP="003C021A">
      <w:pPr>
        <w:tabs>
          <w:tab w:val="left" w:pos="2693"/>
        </w:tabs>
        <w:jc w:val="center"/>
        <w:rPr>
          <w:rFonts w:ascii="Arial" w:hAnsi="Arial" w:cs="Arial"/>
          <w:sz w:val="28"/>
          <w:szCs w:val="28"/>
        </w:rPr>
      </w:pPr>
      <w:r w:rsidRPr="004D2E13">
        <w:rPr>
          <w:rFonts w:ascii="Arial" w:hAnsi="Arial" w:cs="Arial"/>
          <w:b/>
          <w:bCs/>
          <w:sz w:val="28"/>
          <w:szCs w:val="28"/>
        </w:rPr>
        <w:t xml:space="preserve">ID number: </w:t>
      </w:r>
      <w:r>
        <w:rPr>
          <w:rFonts w:ascii="Arial" w:hAnsi="Arial" w:cs="Arial"/>
          <w:sz w:val="28"/>
          <w:szCs w:val="28"/>
        </w:rPr>
        <w:t>1914907</w:t>
      </w:r>
    </w:p>
    <w:p w14:paraId="711D40F0" w14:textId="0A51342C" w:rsidR="0052087D" w:rsidRDefault="0052087D" w:rsidP="003C021A">
      <w:pPr>
        <w:tabs>
          <w:tab w:val="left" w:pos="2693"/>
        </w:tabs>
        <w:jc w:val="center"/>
        <w:rPr>
          <w:rFonts w:ascii="Arial" w:hAnsi="Arial" w:cs="Arial"/>
          <w:sz w:val="28"/>
          <w:szCs w:val="28"/>
        </w:rPr>
      </w:pPr>
    </w:p>
    <w:p w14:paraId="684B2E8F" w14:textId="27461518" w:rsidR="0052087D" w:rsidRDefault="0052087D" w:rsidP="003C021A">
      <w:pPr>
        <w:tabs>
          <w:tab w:val="left" w:pos="2693"/>
        </w:tabs>
        <w:jc w:val="center"/>
        <w:rPr>
          <w:rFonts w:ascii="Arial" w:hAnsi="Arial" w:cs="Arial"/>
          <w:sz w:val="28"/>
          <w:szCs w:val="28"/>
        </w:rPr>
      </w:pPr>
    </w:p>
    <w:p w14:paraId="46A3F7D6" w14:textId="1B679679" w:rsidR="0052087D" w:rsidRDefault="0052087D" w:rsidP="003C021A">
      <w:pPr>
        <w:tabs>
          <w:tab w:val="left" w:pos="2693"/>
        </w:tabs>
        <w:jc w:val="center"/>
        <w:rPr>
          <w:rFonts w:ascii="Arial" w:hAnsi="Arial" w:cs="Arial"/>
          <w:sz w:val="28"/>
          <w:szCs w:val="28"/>
        </w:rPr>
      </w:pPr>
    </w:p>
    <w:p w14:paraId="70046F9A" w14:textId="753A6A5E" w:rsidR="0052087D" w:rsidRDefault="0052087D" w:rsidP="003C021A">
      <w:pPr>
        <w:tabs>
          <w:tab w:val="left" w:pos="2693"/>
        </w:tabs>
        <w:jc w:val="center"/>
        <w:rPr>
          <w:rFonts w:ascii="Arial" w:hAnsi="Arial" w:cs="Arial"/>
          <w:sz w:val="28"/>
          <w:szCs w:val="28"/>
        </w:rPr>
      </w:pPr>
    </w:p>
    <w:p w14:paraId="5D0F8910" w14:textId="380A20D3" w:rsidR="0052087D" w:rsidRDefault="0052087D" w:rsidP="003C021A">
      <w:pPr>
        <w:tabs>
          <w:tab w:val="left" w:pos="2693"/>
        </w:tabs>
        <w:jc w:val="center"/>
        <w:rPr>
          <w:rFonts w:ascii="Arial" w:hAnsi="Arial" w:cs="Arial"/>
          <w:sz w:val="28"/>
          <w:szCs w:val="28"/>
        </w:rPr>
      </w:pPr>
    </w:p>
    <w:p w14:paraId="779A1BB6" w14:textId="6E2605E2" w:rsidR="0052087D" w:rsidRDefault="0052087D" w:rsidP="003C021A">
      <w:pPr>
        <w:tabs>
          <w:tab w:val="left" w:pos="2693"/>
        </w:tabs>
        <w:jc w:val="center"/>
        <w:rPr>
          <w:rFonts w:ascii="Arial" w:hAnsi="Arial" w:cs="Arial"/>
          <w:sz w:val="28"/>
          <w:szCs w:val="28"/>
        </w:rPr>
      </w:pPr>
    </w:p>
    <w:p w14:paraId="39CB61CC" w14:textId="12D02C8F" w:rsidR="0052087D" w:rsidRDefault="0052087D" w:rsidP="003C021A">
      <w:pPr>
        <w:tabs>
          <w:tab w:val="left" w:pos="2693"/>
        </w:tabs>
        <w:jc w:val="center"/>
        <w:rPr>
          <w:rFonts w:ascii="Arial" w:hAnsi="Arial" w:cs="Arial"/>
          <w:sz w:val="28"/>
          <w:szCs w:val="28"/>
        </w:rPr>
      </w:pPr>
    </w:p>
    <w:p w14:paraId="65AB56BA" w14:textId="77777777" w:rsidR="005F376D" w:rsidRPr="005F376D" w:rsidRDefault="005F376D" w:rsidP="005F376D">
      <w:pPr>
        <w:spacing w:line="480" w:lineRule="auto"/>
        <w:rPr>
          <w:rFonts w:ascii="Arial" w:hAnsi="Arial" w:cs="Arial"/>
          <w:b/>
          <w:sz w:val="24"/>
        </w:rPr>
      </w:pPr>
      <w:r w:rsidRPr="005F376D">
        <w:rPr>
          <w:rFonts w:ascii="Arial" w:hAnsi="Arial" w:cs="Arial"/>
          <w:b/>
          <w:sz w:val="24"/>
        </w:rPr>
        <w:lastRenderedPageBreak/>
        <w:t>Executive Summary</w:t>
      </w:r>
    </w:p>
    <w:p w14:paraId="792AFA1B" w14:textId="77777777" w:rsidR="005F376D" w:rsidRPr="005F376D" w:rsidRDefault="005F376D" w:rsidP="005F376D">
      <w:pPr>
        <w:spacing w:line="480" w:lineRule="auto"/>
        <w:rPr>
          <w:rFonts w:ascii="Arial" w:hAnsi="Arial" w:cs="Arial"/>
          <w:sz w:val="24"/>
        </w:rPr>
      </w:pPr>
      <w:r w:rsidRPr="005F376D">
        <w:rPr>
          <w:rFonts w:ascii="Arial" w:hAnsi="Arial" w:cs="Arial"/>
          <w:sz w:val="24"/>
        </w:rPr>
        <w:t>Understanding the workplace culture and its impact on organisational efficiency is critical. An organisational culture entails the unwritten beliefs, behaviours and customs which determine the power, structure and organisational decision making. The culture of an organisation is based on the traditions of the organisation, its shared history and the existing leadership values. Culture determines how the functions within the organisation will be carried out. The survival tactics of an organisation facilitate personal success and organisational efficiency. The report gives an eagle's eye to the workplace culture of DHL company and how it influences its success. DHL is one of the largest logistics companies in the world, having been established in 1969. Its global presence makes it an interesting study topic considering that it is affected by different cultures in different parts of the world. According to a survey, it is among the best companies to work for. Porter's Five Forces model and the PESTEL analysis framework have been adopted to better understand the organisation. The second part of this report contains a reflection of the entire course. Gibb's model has been utilised in reflecting how the past ten weeks of learning this course have been.</w:t>
      </w:r>
      <w:r w:rsidRPr="005F376D">
        <w:rPr>
          <w:rFonts w:ascii="Arial" w:hAnsi="Arial" w:cs="Arial"/>
          <w:sz w:val="24"/>
        </w:rPr>
        <w:br w:type="page"/>
      </w:r>
    </w:p>
    <w:sdt>
      <w:sdtPr>
        <w:rPr>
          <w:rFonts w:ascii="Arial" w:hAnsi="Arial" w:cs="Arial"/>
          <w:sz w:val="24"/>
        </w:rPr>
        <w:id w:val="-2118985972"/>
        <w:docPartObj>
          <w:docPartGallery w:val="Table of Contents"/>
          <w:docPartUnique/>
        </w:docPartObj>
      </w:sdtPr>
      <w:sdtEndPr>
        <w:rPr>
          <w:b/>
          <w:bCs/>
          <w:noProof/>
        </w:rPr>
      </w:sdtEndPr>
      <w:sdtContent>
        <w:p w14:paraId="00C9DB2B" w14:textId="77777777" w:rsidR="005F376D" w:rsidRPr="005F376D" w:rsidRDefault="005F376D" w:rsidP="005F376D">
          <w:pPr>
            <w:keepNext/>
            <w:keepLines/>
            <w:spacing w:before="240" w:after="0" w:line="276" w:lineRule="auto"/>
            <w:rPr>
              <w:rFonts w:ascii="Arial" w:eastAsiaTheme="majorEastAsia" w:hAnsi="Arial" w:cs="Arial"/>
              <w:color w:val="2F5496" w:themeColor="accent1" w:themeShade="BF"/>
              <w:sz w:val="32"/>
              <w:szCs w:val="32"/>
              <w:lang w:val="en-US"/>
            </w:rPr>
          </w:pPr>
          <w:r w:rsidRPr="005F376D">
            <w:rPr>
              <w:rFonts w:ascii="Arial" w:eastAsiaTheme="majorEastAsia" w:hAnsi="Arial" w:cs="Arial"/>
              <w:color w:val="2F5496" w:themeColor="accent1" w:themeShade="BF"/>
              <w:sz w:val="32"/>
              <w:szCs w:val="32"/>
              <w:lang w:val="en-US"/>
            </w:rPr>
            <w:t>Table of Contents</w:t>
          </w:r>
        </w:p>
        <w:p w14:paraId="5AE9AFC0" w14:textId="77777777" w:rsidR="005F376D" w:rsidRPr="005F376D" w:rsidRDefault="005F376D" w:rsidP="005F376D">
          <w:pPr>
            <w:tabs>
              <w:tab w:val="left" w:pos="480"/>
              <w:tab w:val="right" w:leader="dot" w:pos="9350"/>
            </w:tabs>
            <w:spacing w:after="100"/>
            <w:rPr>
              <w:rFonts w:eastAsiaTheme="minorEastAsia"/>
              <w:noProof/>
              <w:lang w:val="en-US"/>
            </w:rPr>
          </w:pPr>
          <w:r w:rsidRPr="005F376D">
            <w:rPr>
              <w:rFonts w:ascii="Arial" w:hAnsi="Arial" w:cs="Arial"/>
              <w:sz w:val="24"/>
            </w:rPr>
            <w:fldChar w:fldCharType="begin"/>
          </w:r>
          <w:r w:rsidRPr="005F376D">
            <w:rPr>
              <w:rFonts w:ascii="Arial" w:hAnsi="Arial" w:cs="Arial"/>
              <w:sz w:val="24"/>
            </w:rPr>
            <w:instrText xml:space="preserve"> TOC \o "1-3" \h \z \u </w:instrText>
          </w:r>
          <w:r w:rsidRPr="005F376D">
            <w:rPr>
              <w:rFonts w:ascii="Arial" w:hAnsi="Arial" w:cs="Arial"/>
              <w:sz w:val="24"/>
            </w:rPr>
            <w:fldChar w:fldCharType="separate"/>
          </w:r>
          <w:hyperlink w:anchor="_Toc103378697" w:history="1">
            <w:r w:rsidRPr="005F376D">
              <w:rPr>
                <w:rFonts w:ascii="Arial" w:hAnsi="Arial" w:cs="Arial"/>
                <w:noProof/>
                <w:color w:val="0563C1" w:themeColor="hyperlink"/>
                <w:sz w:val="24"/>
                <w:u w:val="single"/>
              </w:rPr>
              <w:t>1.</w:t>
            </w:r>
            <w:r w:rsidRPr="005F376D">
              <w:rPr>
                <w:rFonts w:eastAsiaTheme="minorEastAsia"/>
                <w:noProof/>
                <w:lang w:val="en-US"/>
              </w:rPr>
              <w:tab/>
            </w:r>
            <w:r w:rsidRPr="005F376D">
              <w:rPr>
                <w:rFonts w:ascii="Arial" w:hAnsi="Arial" w:cs="Arial"/>
                <w:noProof/>
                <w:color w:val="0563C1" w:themeColor="hyperlink"/>
                <w:sz w:val="24"/>
                <w:u w:val="single"/>
              </w:rPr>
              <w:t>Introduction</w:t>
            </w:r>
            <w:r w:rsidRPr="005F376D">
              <w:rPr>
                <w:rFonts w:ascii="Times New Roman" w:hAnsi="Times New Roman"/>
                <w:noProof/>
                <w:webHidden/>
                <w:sz w:val="24"/>
              </w:rPr>
              <w:tab/>
            </w:r>
            <w:r w:rsidRPr="005F376D">
              <w:rPr>
                <w:rFonts w:ascii="Times New Roman" w:hAnsi="Times New Roman"/>
                <w:noProof/>
                <w:webHidden/>
                <w:sz w:val="24"/>
              </w:rPr>
              <w:fldChar w:fldCharType="begin"/>
            </w:r>
            <w:r w:rsidRPr="005F376D">
              <w:rPr>
                <w:rFonts w:ascii="Times New Roman" w:hAnsi="Times New Roman"/>
                <w:noProof/>
                <w:webHidden/>
                <w:sz w:val="24"/>
              </w:rPr>
              <w:instrText xml:space="preserve"> PAGEREF _Toc103378697 \h </w:instrText>
            </w:r>
            <w:r w:rsidRPr="005F376D">
              <w:rPr>
                <w:rFonts w:ascii="Times New Roman" w:hAnsi="Times New Roman"/>
                <w:noProof/>
                <w:webHidden/>
                <w:sz w:val="24"/>
              </w:rPr>
            </w:r>
            <w:r w:rsidRPr="005F376D">
              <w:rPr>
                <w:rFonts w:ascii="Times New Roman" w:hAnsi="Times New Roman"/>
                <w:noProof/>
                <w:webHidden/>
                <w:sz w:val="24"/>
              </w:rPr>
              <w:fldChar w:fldCharType="separate"/>
            </w:r>
            <w:r w:rsidRPr="005F376D">
              <w:rPr>
                <w:rFonts w:ascii="Times New Roman" w:hAnsi="Times New Roman"/>
                <w:noProof/>
                <w:webHidden/>
                <w:sz w:val="24"/>
              </w:rPr>
              <w:t>5</w:t>
            </w:r>
            <w:r w:rsidRPr="005F376D">
              <w:rPr>
                <w:rFonts w:ascii="Times New Roman" w:hAnsi="Times New Roman"/>
                <w:noProof/>
                <w:webHidden/>
                <w:sz w:val="24"/>
              </w:rPr>
              <w:fldChar w:fldCharType="end"/>
            </w:r>
          </w:hyperlink>
        </w:p>
        <w:p w14:paraId="52083C41" w14:textId="77777777" w:rsidR="005F376D" w:rsidRPr="005F376D" w:rsidRDefault="006231F3" w:rsidP="005F376D">
          <w:pPr>
            <w:tabs>
              <w:tab w:val="left" w:pos="880"/>
              <w:tab w:val="right" w:leader="dot" w:pos="9350"/>
            </w:tabs>
            <w:spacing w:after="100"/>
            <w:ind w:left="240"/>
            <w:rPr>
              <w:rFonts w:eastAsiaTheme="minorEastAsia"/>
              <w:noProof/>
              <w:lang w:val="en-US"/>
            </w:rPr>
          </w:pPr>
          <w:hyperlink w:anchor="_Toc103378698" w:history="1">
            <w:r w:rsidR="005F376D" w:rsidRPr="005F376D">
              <w:rPr>
                <w:rFonts w:ascii="Arial" w:hAnsi="Arial" w:cs="Arial"/>
                <w:noProof/>
                <w:color w:val="0563C1" w:themeColor="hyperlink"/>
                <w:sz w:val="24"/>
                <w:u w:val="single"/>
              </w:rPr>
              <w:t>1.1.</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PESTEL Analysis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_Toc103378698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5</w:t>
            </w:r>
            <w:r w:rsidR="005F376D" w:rsidRPr="005F376D">
              <w:rPr>
                <w:rFonts w:ascii="Times New Roman" w:hAnsi="Times New Roman"/>
                <w:noProof/>
                <w:webHidden/>
                <w:sz w:val="24"/>
              </w:rPr>
              <w:fldChar w:fldCharType="end"/>
            </w:r>
          </w:hyperlink>
        </w:p>
        <w:p w14:paraId="20FC774F"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699" w:history="1">
            <w:r w:rsidR="005F376D" w:rsidRPr="005F376D">
              <w:rPr>
                <w:rFonts w:ascii="Arial" w:hAnsi="Arial" w:cs="Arial"/>
                <w:noProof/>
                <w:color w:val="0563C1" w:themeColor="hyperlink"/>
                <w:sz w:val="24"/>
                <w:u w:val="single"/>
              </w:rPr>
              <w:t>1.1.1.</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Economic Environment</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_Toc103378699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6</w:t>
            </w:r>
            <w:r w:rsidR="005F376D" w:rsidRPr="005F376D">
              <w:rPr>
                <w:rFonts w:ascii="Times New Roman" w:hAnsi="Times New Roman"/>
                <w:noProof/>
                <w:webHidden/>
                <w:sz w:val="24"/>
              </w:rPr>
              <w:fldChar w:fldCharType="end"/>
            </w:r>
          </w:hyperlink>
        </w:p>
        <w:p w14:paraId="1079E88B"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0" w:history="1">
            <w:r w:rsidR="005F376D" w:rsidRPr="005F376D">
              <w:rPr>
                <w:rFonts w:ascii="Arial" w:hAnsi="Arial" w:cs="Arial"/>
                <w:noProof/>
                <w:color w:val="0563C1" w:themeColor="hyperlink"/>
                <w:sz w:val="24"/>
                <w:u w:val="single"/>
              </w:rPr>
              <w:t>1.1.2.</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Social Factors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_Toc103378700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6</w:t>
            </w:r>
            <w:r w:rsidR="005F376D" w:rsidRPr="005F376D">
              <w:rPr>
                <w:rFonts w:ascii="Times New Roman" w:hAnsi="Times New Roman"/>
                <w:noProof/>
                <w:webHidden/>
                <w:sz w:val="24"/>
              </w:rPr>
              <w:fldChar w:fldCharType="end"/>
            </w:r>
          </w:hyperlink>
        </w:p>
        <w:p w14:paraId="2FDAE3FB"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1" w:history="1">
            <w:r w:rsidR="005F376D" w:rsidRPr="005F376D">
              <w:rPr>
                <w:rFonts w:ascii="Arial" w:hAnsi="Arial" w:cs="Arial"/>
                <w:noProof/>
                <w:color w:val="0563C1" w:themeColor="hyperlink"/>
                <w:sz w:val="24"/>
                <w:u w:val="single"/>
              </w:rPr>
              <w:t>1.1.3.</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Technological factors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_Toc103378701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6</w:t>
            </w:r>
            <w:r w:rsidR="005F376D" w:rsidRPr="005F376D">
              <w:rPr>
                <w:rFonts w:ascii="Times New Roman" w:hAnsi="Times New Roman"/>
                <w:noProof/>
                <w:webHidden/>
                <w:sz w:val="24"/>
              </w:rPr>
              <w:fldChar w:fldCharType="end"/>
            </w:r>
          </w:hyperlink>
        </w:p>
        <w:p w14:paraId="7B68D298"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2" w:history="1">
            <w:r w:rsidR="005F376D" w:rsidRPr="005F376D">
              <w:rPr>
                <w:rFonts w:ascii="Arial" w:hAnsi="Arial" w:cs="Arial"/>
                <w:noProof/>
                <w:color w:val="0563C1" w:themeColor="hyperlink"/>
                <w:sz w:val="24"/>
                <w:u w:val="single"/>
              </w:rPr>
              <w:t>1.1.4.</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Legal Factors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_Toc103378702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6</w:t>
            </w:r>
            <w:r w:rsidR="005F376D" w:rsidRPr="005F376D">
              <w:rPr>
                <w:rFonts w:ascii="Times New Roman" w:hAnsi="Times New Roman"/>
                <w:noProof/>
                <w:webHidden/>
                <w:sz w:val="24"/>
              </w:rPr>
              <w:fldChar w:fldCharType="end"/>
            </w:r>
          </w:hyperlink>
        </w:p>
        <w:p w14:paraId="7F641D2E"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3" w:history="1">
            <w:r w:rsidR="005F376D" w:rsidRPr="005F376D">
              <w:rPr>
                <w:rFonts w:ascii="Arial" w:hAnsi="Arial" w:cs="Arial"/>
                <w:noProof/>
                <w:color w:val="0563C1" w:themeColor="hyperlink"/>
                <w:sz w:val="24"/>
                <w:u w:val="single"/>
              </w:rPr>
              <w:t>1.1.5.</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Environmental Factors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_Toc103378703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6</w:t>
            </w:r>
            <w:r w:rsidR="005F376D" w:rsidRPr="005F376D">
              <w:rPr>
                <w:rFonts w:ascii="Times New Roman" w:hAnsi="Times New Roman"/>
                <w:noProof/>
                <w:webHidden/>
                <w:sz w:val="24"/>
              </w:rPr>
              <w:fldChar w:fldCharType="end"/>
            </w:r>
          </w:hyperlink>
        </w:p>
        <w:p w14:paraId="3EC0799A" w14:textId="77777777" w:rsidR="005F376D" w:rsidRPr="005F376D" w:rsidRDefault="006231F3" w:rsidP="005F376D">
          <w:pPr>
            <w:tabs>
              <w:tab w:val="left" w:pos="880"/>
              <w:tab w:val="right" w:leader="dot" w:pos="9350"/>
            </w:tabs>
            <w:spacing w:after="100"/>
            <w:ind w:left="240"/>
            <w:rPr>
              <w:rFonts w:eastAsiaTheme="minorEastAsia"/>
              <w:noProof/>
              <w:lang w:val="en-US"/>
            </w:rPr>
          </w:pPr>
          <w:hyperlink w:anchor="_Toc103378704" w:history="1">
            <w:r w:rsidR="005F376D" w:rsidRPr="005F376D">
              <w:rPr>
                <w:rFonts w:ascii="Arial" w:hAnsi="Arial" w:cs="Arial"/>
                <w:noProof/>
                <w:color w:val="0563C1" w:themeColor="hyperlink"/>
                <w:sz w:val="24"/>
                <w:u w:val="single"/>
              </w:rPr>
              <w:t>1.2.</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Porter’s Five Forces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_Toc103378704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7</w:t>
            </w:r>
            <w:r w:rsidR="005F376D" w:rsidRPr="005F376D">
              <w:rPr>
                <w:rFonts w:ascii="Times New Roman" w:hAnsi="Times New Roman"/>
                <w:noProof/>
                <w:webHidden/>
                <w:sz w:val="24"/>
              </w:rPr>
              <w:fldChar w:fldCharType="end"/>
            </w:r>
          </w:hyperlink>
        </w:p>
        <w:p w14:paraId="7905E794"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5" w:history="1">
            <w:r w:rsidR="005F376D" w:rsidRPr="005F376D">
              <w:rPr>
                <w:rFonts w:ascii="Arial" w:hAnsi="Arial" w:cs="Arial"/>
                <w:noProof/>
                <w:color w:val="0563C1" w:themeColor="hyperlink"/>
                <w:sz w:val="24"/>
                <w:u w:val="single"/>
              </w:rPr>
              <w:t>1.2.1.</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The threat of new entrants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_Toc103378705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8</w:t>
            </w:r>
            <w:r w:rsidR="005F376D" w:rsidRPr="005F376D">
              <w:rPr>
                <w:rFonts w:ascii="Times New Roman" w:hAnsi="Times New Roman"/>
                <w:noProof/>
                <w:webHidden/>
                <w:sz w:val="24"/>
              </w:rPr>
              <w:fldChar w:fldCharType="end"/>
            </w:r>
          </w:hyperlink>
        </w:p>
        <w:p w14:paraId="72920269"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6" w:history="1">
            <w:r w:rsidR="005F376D" w:rsidRPr="005F376D">
              <w:rPr>
                <w:rFonts w:ascii="Arial" w:hAnsi="Arial" w:cs="Arial"/>
                <w:noProof/>
                <w:color w:val="0563C1" w:themeColor="hyperlink"/>
                <w:sz w:val="24"/>
                <w:u w:val="single"/>
              </w:rPr>
              <w:t>1.2.2.</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Bargaining power of suppliers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_Toc103378706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8</w:t>
            </w:r>
            <w:r w:rsidR="005F376D" w:rsidRPr="005F376D">
              <w:rPr>
                <w:rFonts w:ascii="Times New Roman" w:hAnsi="Times New Roman"/>
                <w:noProof/>
                <w:webHidden/>
                <w:sz w:val="24"/>
              </w:rPr>
              <w:fldChar w:fldCharType="end"/>
            </w:r>
          </w:hyperlink>
        </w:p>
        <w:p w14:paraId="66737AD7"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7" w:history="1">
            <w:r w:rsidR="005F376D" w:rsidRPr="005F376D">
              <w:rPr>
                <w:rFonts w:ascii="Arial" w:hAnsi="Arial" w:cs="Arial"/>
                <w:noProof/>
                <w:color w:val="0563C1" w:themeColor="hyperlink"/>
                <w:sz w:val="24"/>
                <w:u w:val="single"/>
              </w:rPr>
              <w:t>1.2.3.</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Bargaining power of buyers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_Toc103378707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8</w:t>
            </w:r>
            <w:r w:rsidR="005F376D" w:rsidRPr="005F376D">
              <w:rPr>
                <w:rFonts w:ascii="Times New Roman" w:hAnsi="Times New Roman"/>
                <w:noProof/>
                <w:webHidden/>
                <w:sz w:val="24"/>
              </w:rPr>
              <w:fldChar w:fldCharType="end"/>
            </w:r>
          </w:hyperlink>
        </w:p>
        <w:p w14:paraId="773C7E51"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8" w:history="1">
            <w:r w:rsidR="005F376D" w:rsidRPr="005F376D">
              <w:rPr>
                <w:rFonts w:ascii="Arial" w:hAnsi="Arial" w:cs="Arial"/>
                <w:noProof/>
                <w:color w:val="0563C1" w:themeColor="hyperlink"/>
                <w:sz w:val="24"/>
                <w:u w:val="single"/>
              </w:rPr>
              <w:t>1.2.4.</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The threat of substitute products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_Toc103378708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9</w:t>
            </w:r>
            <w:r w:rsidR="005F376D" w:rsidRPr="005F376D">
              <w:rPr>
                <w:rFonts w:ascii="Times New Roman" w:hAnsi="Times New Roman"/>
                <w:noProof/>
                <w:webHidden/>
                <w:sz w:val="24"/>
              </w:rPr>
              <w:fldChar w:fldCharType="end"/>
            </w:r>
          </w:hyperlink>
        </w:p>
        <w:p w14:paraId="66C6DF10"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09" w:history="1">
            <w:r w:rsidR="005F376D" w:rsidRPr="005F376D">
              <w:rPr>
                <w:rFonts w:ascii="Arial" w:hAnsi="Arial" w:cs="Arial"/>
                <w:noProof/>
                <w:color w:val="0563C1" w:themeColor="hyperlink"/>
                <w:sz w:val="24"/>
                <w:u w:val="single"/>
              </w:rPr>
              <w:t>1.2.5.</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Rivalry among existing firms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_Toc103378709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9</w:t>
            </w:r>
            <w:r w:rsidR="005F376D" w:rsidRPr="005F376D">
              <w:rPr>
                <w:rFonts w:ascii="Times New Roman" w:hAnsi="Times New Roman"/>
                <w:noProof/>
                <w:webHidden/>
                <w:sz w:val="24"/>
              </w:rPr>
              <w:fldChar w:fldCharType="end"/>
            </w:r>
          </w:hyperlink>
        </w:p>
        <w:p w14:paraId="7668498B"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10" w:history="1">
            <w:r w:rsidR="005F376D" w:rsidRPr="005F376D">
              <w:rPr>
                <w:rFonts w:ascii="Arial" w:hAnsi="Arial" w:cs="Arial"/>
                <w:noProof/>
                <w:color w:val="0563C1" w:themeColor="hyperlink"/>
                <w:sz w:val="24"/>
                <w:u w:val="single"/>
              </w:rPr>
              <w:t>1.2.6.</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Implications of Porter Five Forces Model on DHL</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_Toc103378710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10</w:t>
            </w:r>
            <w:r w:rsidR="005F376D" w:rsidRPr="005F376D">
              <w:rPr>
                <w:rFonts w:ascii="Times New Roman" w:hAnsi="Times New Roman"/>
                <w:noProof/>
                <w:webHidden/>
                <w:sz w:val="24"/>
              </w:rPr>
              <w:fldChar w:fldCharType="end"/>
            </w:r>
          </w:hyperlink>
        </w:p>
        <w:p w14:paraId="19DA4672"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11" w:history="1">
            <w:r w:rsidR="005F376D" w:rsidRPr="005F376D">
              <w:rPr>
                <w:rFonts w:ascii="Arial" w:hAnsi="Arial" w:cs="Arial"/>
                <w:noProof/>
                <w:color w:val="0563C1" w:themeColor="hyperlink"/>
                <w:sz w:val="24"/>
                <w:u w:val="single"/>
              </w:rPr>
              <w:t>2.</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Effects of Covid-19 on Quality System</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_Toc103378711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10</w:t>
            </w:r>
            <w:r w:rsidR="005F376D" w:rsidRPr="005F376D">
              <w:rPr>
                <w:rFonts w:ascii="Times New Roman" w:hAnsi="Times New Roman"/>
                <w:noProof/>
                <w:webHidden/>
                <w:sz w:val="24"/>
              </w:rPr>
              <w:fldChar w:fldCharType="end"/>
            </w:r>
          </w:hyperlink>
        </w:p>
        <w:p w14:paraId="65CD3B15"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12" w:history="1">
            <w:r w:rsidR="005F376D" w:rsidRPr="005F376D">
              <w:rPr>
                <w:rFonts w:ascii="Arial" w:hAnsi="Arial" w:cs="Arial"/>
                <w:noProof/>
                <w:color w:val="0563C1" w:themeColor="hyperlink"/>
                <w:sz w:val="24"/>
                <w:u w:val="single"/>
              </w:rPr>
              <w:t>3.</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Workplace Culture of DHL</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_Toc103378712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11</w:t>
            </w:r>
            <w:r w:rsidR="005F376D" w:rsidRPr="005F376D">
              <w:rPr>
                <w:rFonts w:ascii="Times New Roman" w:hAnsi="Times New Roman"/>
                <w:noProof/>
                <w:webHidden/>
                <w:sz w:val="24"/>
              </w:rPr>
              <w:fldChar w:fldCharType="end"/>
            </w:r>
          </w:hyperlink>
        </w:p>
        <w:p w14:paraId="0D609343"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13" w:history="1">
            <w:r w:rsidR="005F376D" w:rsidRPr="005F376D">
              <w:rPr>
                <w:rFonts w:ascii="Arial" w:hAnsi="Arial" w:cs="Arial"/>
                <w:noProof/>
                <w:color w:val="0563C1" w:themeColor="hyperlink"/>
                <w:sz w:val="24"/>
                <w:u w:val="single"/>
              </w:rPr>
              <w:t>4.</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DHL Organisational Culture and its Efficiency</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_Toc103378713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13</w:t>
            </w:r>
            <w:r w:rsidR="005F376D" w:rsidRPr="005F376D">
              <w:rPr>
                <w:rFonts w:ascii="Times New Roman" w:hAnsi="Times New Roman"/>
                <w:noProof/>
                <w:webHidden/>
                <w:sz w:val="24"/>
              </w:rPr>
              <w:fldChar w:fldCharType="end"/>
            </w:r>
          </w:hyperlink>
        </w:p>
        <w:p w14:paraId="4CFE23C4"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14" w:history="1">
            <w:r w:rsidR="005F376D" w:rsidRPr="005F376D">
              <w:rPr>
                <w:rFonts w:ascii="Arial" w:hAnsi="Arial" w:cs="Arial"/>
                <w:noProof/>
                <w:color w:val="0563C1" w:themeColor="hyperlink"/>
                <w:sz w:val="24"/>
                <w:u w:val="single"/>
              </w:rPr>
              <w:t>5.</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Ethical Dilemma</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_Toc103378714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14</w:t>
            </w:r>
            <w:r w:rsidR="005F376D" w:rsidRPr="005F376D">
              <w:rPr>
                <w:rFonts w:ascii="Times New Roman" w:hAnsi="Times New Roman"/>
                <w:noProof/>
                <w:webHidden/>
                <w:sz w:val="24"/>
              </w:rPr>
              <w:fldChar w:fldCharType="end"/>
            </w:r>
          </w:hyperlink>
        </w:p>
        <w:p w14:paraId="4CAEF968"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15" w:history="1">
            <w:r w:rsidR="005F376D" w:rsidRPr="005F376D">
              <w:rPr>
                <w:rFonts w:ascii="Arial" w:hAnsi="Arial" w:cs="Arial"/>
                <w:noProof/>
                <w:color w:val="0563C1" w:themeColor="hyperlink"/>
                <w:sz w:val="24"/>
                <w:u w:val="single"/>
              </w:rPr>
              <w:t>6.</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Conclusion</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_Toc103378715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15</w:t>
            </w:r>
            <w:r w:rsidR="005F376D" w:rsidRPr="005F376D">
              <w:rPr>
                <w:rFonts w:ascii="Times New Roman" w:hAnsi="Times New Roman"/>
                <w:noProof/>
                <w:webHidden/>
                <w:sz w:val="24"/>
              </w:rPr>
              <w:fldChar w:fldCharType="end"/>
            </w:r>
          </w:hyperlink>
        </w:p>
        <w:p w14:paraId="6FA2F780"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16" w:history="1">
            <w:r w:rsidR="005F376D" w:rsidRPr="005F376D">
              <w:rPr>
                <w:rFonts w:ascii="Arial" w:hAnsi="Arial" w:cs="Arial"/>
                <w:noProof/>
                <w:color w:val="0563C1" w:themeColor="hyperlink"/>
                <w:sz w:val="24"/>
                <w:u w:val="single"/>
              </w:rPr>
              <w:t>7.</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Reflection</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_Toc103378716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17</w:t>
            </w:r>
            <w:r w:rsidR="005F376D" w:rsidRPr="005F376D">
              <w:rPr>
                <w:rFonts w:ascii="Times New Roman" w:hAnsi="Times New Roman"/>
                <w:noProof/>
                <w:webHidden/>
                <w:sz w:val="24"/>
              </w:rPr>
              <w:fldChar w:fldCharType="end"/>
            </w:r>
          </w:hyperlink>
        </w:p>
        <w:p w14:paraId="59FDD8D8" w14:textId="77777777" w:rsidR="005F376D" w:rsidRPr="005F376D" w:rsidRDefault="006231F3" w:rsidP="005F376D">
          <w:pPr>
            <w:tabs>
              <w:tab w:val="left" w:pos="880"/>
              <w:tab w:val="right" w:leader="dot" w:pos="9350"/>
            </w:tabs>
            <w:spacing w:after="100"/>
            <w:ind w:left="240"/>
            <w:rPr>
              <w:rFonts w:eastAsiaTheme="minorEastAsia"/>
              <w:noProof/>
              <w:lang w:val="en-US"/>
            </w:rPr>
          </w:pPr>
          <w:hyperlink w:anchor="_Toc103378717" w:history="1">
            <w:r w:rsidR="005F376D" w:rsidRPr="005F376D">
              <w:rPr>
                <w:rFonts w:ascii="Arial" w:hAnsi="Arial" w:cs="Arial"/>
                <w:noProof/>
                <w:color w:val="0563C1" w:themeColor="hyperlink"/>
                <w:sz w:val="24"/>
                <w:u w:val="single"/>
              </w:rPr>
              <w:t>7.1.</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Description</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_Toc103378717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17</w:t>
            </w:r>
            <w:r w:rsidR="005F376D" w:rsidRPr="005F376D">
              <w:rPr>
                <w:rFonts w:ascii="Times New Roman" w:hAnsi="Times New Roman"/>
                <w:noProof/>
                <w:webHidden/>
                <w:sz w:val="24"/>
              </w:rPr>
              <w:fldChar w:fldCharType="end"/>
            </w:r>
          </w:hyperlink>
        </w:p>
        <w:p w14:paraId="7A74AD4F"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18" w:history="1">
            <w:r w:rsidR="005F376D" w:rsidRPr="005F376D">
              <w:rPr>
                <w:rFonts w:ascii="Arial" w:hAnsi="Arial" w:cs="Arial"/>
                <w:noProof/>
                <w:color w:val="0563C1" w:themeColor="hyperlink"/>
                <w:sz w:val="24"/>
                <w:u w:val="single"/>
              </w:rPr>
              <w:t>7.1.1.</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Feelings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_Toc103378718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18</w:t>
            </w:r>
            <w:r w:rsidR="005F376D" w:rsidRPr="005F376D">
              <w:rPr>
                <w:rFonts w:ascii="Times New Roman" w:hAnsi="Times New Roman"/>
                <w:noProof/>
                <w:webHidden/>
                <w:sz w:val="24"/>
              </w:rPr>
              <w:fldChar w:fldCharType="end"/>
            </w:r>
          </w:hyperlink>
        </w:p>
        <w:p w14:paraId="69299D8B"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19" w:history="1">
            <w:r w:rsidR="005F376D" w:rsidRPr="005F376D">
              <w:rPr>
                <w:rFonts w:ascii="Arial" w:hAnsi="Arial" w:cs="Arial"/>
                <w:noProof/>
                <w:color w:val="0563C1" w:themeColor="hyperlink"/>
                <w:sz w:val="24"/>
                <w:u w:val="single"/>
              </w:rPr>
              <w:t>7.1.2.</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Evaluation</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_Toc103378719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18</w:t>
            </w:r>
            <w:r w:rsidR="005F376D" w:rsidRPr="005F376D">
              <w:rPr>
                <w:rFonts w:ascii="Times New Roman" w:hAnsi="Times New Roman"/>
                <w:noProof/>
                <w:webHidden/>
                <w:sz w:val="24"/>
              </w:rPr>
              <w:fldChar w:fldCharType="end"/>
            </w:r>
          </w:hyperlink>
        </w:p>
        <w:p w14:paraId="7C8DC26C"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20" w:history="1">
            <w:r w:rsidR="005F376D" w:rsidRPr="005F376D">
              <w:rPr>
                <w:rFonts w:ascii="Arial" w:hAnsi="Arial" w:cs="Arial"/>
                <w:noProof/>
                <w:color w:val="0563C1" w:themeColor="hyperlink"/>
                <w:sz w:val="24"/>
                <w:u w:val="single"/>
              </w:rPr>
              <w:t>7.1.3.</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Analysis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_Toc103378720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19</w:t>
            </w:r>
            <w:r w:rsidR="005F376D" w:rsidRPr="005F376D">
              <w:rPr>
                <w:rFonts w:ascii="Times New Roman" w:hAnsi="Times New Roman"/>
                <w:noProof/>
                <w:webHidden/>
                <w:sz w:val="24"/>
              </w:rPr>
              <w:fldChar w:fldCharType="end"/>
            </w:r>
          </w:hyperlink>
        </w:p>
        <w:p w14:paraId="65689CC6"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21" w:history="1">
            <w:r w:rsidR="005F376D" w:rsidRPr="005F376D">
              <w:rPr>
                <w:rFonts w:ascii="Arial" w:hAnsi="Arial" w:cs="Arial"/>
                <w:noProof/>
                <w:color w:val="0563C1" w:themeColor="hyperlink"/>
                <w:sz w:val="24"/>
                <w:u w:val="single"/>
              </w:rPr>
              <w:t>7.1.4.</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Conclusion</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_Toc103378721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19</w:t>
            </w:r>
            <w:r w:rsidR="005F376D" w:rsidRPr="005F376D">
              <w:rPr>
                <w:rFonts w:ascii="Times New Roman" w:hAnsi="Times New Roman"/>
                <w:noProof/>
                <w:webHidden/>
                <w:sz w:val="24"/>
              </w:rPr>
              <w:fldChar w:fldCharType="end"/>
            </w:r>
          </w:hyperlink>
        </w:p>
        <w:p w14:paraId="7953355D" w14:textId="77777777" w:rsidR="005F376D" w:rsidRPr="005F376D" w:rsidRDefault="006231F3" w:rsidP="005F376D">
          <w:pPr>
            <w:tabs>
              <w:tab w:val="left" w:pos="1320"/>
              <w:tab w:val="right" w:leader="dot" w:pos="9350"/>
            </w:tabs>
            <w:spacing w:after="100"/>
            <w:ind w:left="480"/>
            <w:rPr>
              <w:rFonts w:eastAsiaTheme="minorEastAsia"/>
              <w:noProof/>
              <w:lang w:val="en-US"/>
            </w:rPr>
          </w:pPr>
          <w:hyperlink w:anchor="_Toc103378722" w:history="1">
            <w:r w:rsidR="005F376D" w:rsidRPr="005F376D">
              <w:rPr>
                <w:rFonts w:ascii="Arial" w:hAnsi="Arial" w:cs="Arial"/>
                <w:noProof/>
                <w:color w:val="0563C1" w:themeColor="hyperlink"/>
                <w:sz w:val="24"/>
                <w:u w:val="single"/>
              </w:rPr>
              <w:t>7.1.5.</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Action plan</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_Toc103378722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20</w:t>
            </w:r>
            <w:r w:rsidR="005F376D" w:rsidRPr="005F376D">
              <w:rPr>
                <w:rFonts w:ascii="Times New Roman" w:hAnsi="Times New Roman"/>
                <w:noProof/>
                <w:webHidden/>
                <w:sz w:val="24"/>
              </w:rPr>
              <w:fldChar w:fldCharType="end"/>
            </w:r>
          </w:hyperlink>
        </w:p>
        <w:p w14:paraId="08331E09"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23" w:history="1">
            <w:r w:rsidR="005F376D" w:rsidRPr="005F376D">
              <w:rPr>
                <w:rFonts w:ascii="Arial" w:hAnsi="Arial" w:cs="Arial"/>
                <w:noProof/>
                <w:color w:val="0563C1" w:themeColor="hyperlink"/>
                <w:sz w:val="24"/>
                <w:u w:val="single"/>
              </w:rPr>
              <w:t>8.</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References</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_Toc103378723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21</w:t>
            </w:r>
            <w:r w:rsidR="005F376D" w:rsidRPr="005F376D">
              <w:rPr>
                <w:rFonts w:ascii="Times New Roman" w:hAnsi="Times New Roman"/>
                <w:noProof/>
                <w:webHidden/>
                <w:sz w:val="24"/>
              </w:rPr>
              <w:fldChar w:fldCharType="end"/>
            </w:r>
          </w:hyperlink>
        </w:p>
        <w:p w14:paraId="2C13EC74" w14:textId="77777777" w:rsidR="005F376D" w:rsidRPr="005F376D" w:rsidRDefault="006231F3" w:rsidP="005F376D">
          <w:pPr>
            <w:tabs>
              <w:tab w:val="left" w:pos="480"/>
              <w:tab w:val="right" w:leader="dot" w:pos="9350"/>
            </w:tabs>
            <w:spacing w:after="100"/>
            <w:rPr>
              <w:rFonts w:eastAsiaTheme="minorEastAsia"/>
              <w:noProof/>
              <w:lang w:val="en-US"/>
            </w:rPr>
          </w:pPr>
          <w:hyperlink w:anchor="_Toc103378724" w:history="1">
            <w:r w:rsidR="005F376D" w:rsidRPr="005F376D">
              <w:rPr>
                <w:rFonts w:ascii="Arial" w:hAnsi="Arial" w:cs="Arial"/>
                <w:noProof/>
                <w:color w:val="0563C1" w:themeColor="hyperlink"/>
                <w:sz w:val="24"/>
                <w:u w:val="single"/>
              </w:rPr>
              <w:t>9.</w:t>
            </w:r>
            <w:r w:rsidR="005F376D" w:rsidRPr="005F376D">
              <w:rPr>
                <w:rFonts w:eastAsiaTheme="minorEastAsia"/>
                <w:noProof/>
                <w:lang w:val="en-US"/>
              </w:rPr>
              <w:tab/>
            </w:r>
            <w:r w:rsidR="005F376D" w:rsidRPr="005F376D">
              <w:rPr>
                <w:rFonts w:ascii="Arial" w:hAnsi="Arial" w:cs="Arial"/>
                <w:noProof/>
                <w:color w:val="0563C1" w:themeColor="hyperlink"/>
                <w:sz w:val="24"/>
                <w:u w:val="single"/>
              </w:rPr>
              <w:t>Appendix</w:t>
            </w:r>
            <w:r w:rsidR="005F376D" w:rsidRPr="005F376D">
              <w:rPr>
                <w:rFonts w:ascii="Times New Roman" w:hAnsi="Times New Roman"/>
                <w:noProof/>
                <w:webHidden/>
                <w:sz w:val="24"/>
              </w:rPr>
              <w:tab/>
            </w:r>
            <w:r w:rsidR="005F376D" w:rsidRPr="005F376D">
              <w:rPr>
                <w:rFonts w:ascii="Times New Roman" w:hAnsi="Times New Roman"/>
                <w:noProof/>
                <w:webHidden/>
                <w:sz w:val="24"/>
              </w:rPr>
              <w:fldChar w:fldCharType="begin"/>
            </w:r>
            <w:r w:rsidR="005F376D" w:rsidRPr="005F376D">
              <w:rPr>
                <w:rFonts w:ascii="Times New Roman" w:hAnsi="Times New Roman"/>
                <w:noProof/>
                <w:webHidden/>
                <w:sz w:val="24"/>
              </w:rPr>
              <w:instrText xml:space="preserve"> PAGEREF _Toc103378724 \h </w:instrText>
            </w:r>
            <w:r w:rsidR="005F376D" w:rsidRPr="005F376D">
              <w:rPr>
                <w:rFonts w:ascii="Times New Roman" w:hAnsi="Times New Roman"/>
                <w:noProof/>
                <w:webHidden/>
                <w:sz w:val="24"/>
              </w:rPr>
            </w:r>
            <w:r w:rsidR="005F376D" w:rsidRPr="005F376D">
              <w:rPr>
                <w:rFonts w:ascii="Times New Roman" w:hAnsi="Times New Roman"/>
                <w:noProof/>
                <w:webHidden/>
                <w:sz w:val="24"/>
              </w:rPr>
              <w:fldChar w:fldCharType="separate"/>
            </w:r>
            <w:r w:rsidR="005F376D" w:rsidRPr="005F376D">
              <w:rPr>
                <w:rFonts w:ascii="Times New Roman" w:hAnsi="Times New Roman"/>
                <w:noProof/>
                <w:webHidden/>
                <w:sz w:val="24"/>
              </w:rPr>
              <w:t>23</w:t>
            </w:r>
            <w:r w:rsidR="005F376D" w:rsidRPr="005F376D">
              <w:rPr>
                <w:rFonts w:ascii="Times New Roman" w:hAnsi="Times New Roman"/>
                <w:noProof/>
                <w:webHidden/>
                <w:sz w:val="24"/>
              </w:rPr>
              <w:fldChar w:fldCharType="end"/>
            </w:r>
          </w:hyperlink>
        </w:p>
        <w:p w14:paraId="1362E5ED" w14:textId="77777777" w:rsidR="005F376D" w:rsidRPr="005F376D" w:rsidRDefault="005F376D" w:rsidP="005F376D">
          <w:pPr>
            <w:spacing w:line="276" w:lineRule="auto"/>
            <w:rPr>
              <w:rFonts w:ascii="Arial" w:hAnsi="Arial" w:cs="Arial"/>
              <w:sz w:val="24"/>
            </w:rPr>
          </w:pPr>
          <w:r w:rsidRPr="005F376D">
            <w:rPr>
              <w:rFonts w:ascii="Arial" w:hAnsi="Arial" w:cs="Arial"/>
              <w:b/>
              <w:bCs/>
              <w:noProof/>
              <w:sz w:val="24"/>
            </w:rPr>
            <w:fldChar w:fldCharType="end"/>
          </w:r>
        </w:p>
      </w:sdtContent>
    </w:sdt>
    <w:p w14:paraId="541B6906" w14:textId="77777777" w:rsidR="005F376D" w:rsidRPr="005F376D" w:rsidRDefault="005F376D" w:rsidP="005F376D">
      <w:pPr>
        <w:rPr>
          <w:rFonts w:ascii="Arial" w:hAnsi="Arial" w:cs="Arial"/>
          <w:b/>
          <w:sz w:val="24"/>
        </w:rPr>
      </w:pPr>
      <w:r w:rsidRPr="005F376D">
        <w:rPr>
          <w:rFonts w:ascii="Arial" w:hAnsi="Arial" w:cs="Arial"/>
          <w:b/>
          <w:sz w:val="24"/>
        </w:rPr>
        <w:br w:type="page"/>
      </w:r>
    </w:p>
    <w:p w14:paraId="3A98E04D" w14:textId="77777777" w:rsidR="005F376D" w:rsidRPr="005F376D" w:rsidRDefault="005F376D" w:rsidP="005F376D">
      <w:pPr>
        <w:tabs>
          <w:tab w:val="right" w:leader="dot" w:pos="9350"/>
        </w:tabs>
        <w:spacing w:after="0" w:line="360" w:lineRule="auto"/>
        <w:rPr>
          <w:rFonts w:ascii="Arial" w:hAnsi="Arial" w:cs="Arial"/>
          <w:b/>
          <w:sz w:val="24"/>
        </w:rPr>
      </w:pPr>
      <w:r w:rsidRPr="005F376D">
        <w:rPr>
          <w:rFonts w:ascii="Arial" w:hAnsi="Arial" w:cs="Arial"/>
          <w:b/>
          <w:sz w:val="24"/>
        </w:rPr>
        <w:lastRenderedPageBreak/>
        <w:t>List of Figures</w:t>
      </w:r>
    </w:p>
    <w:p w14:paraId="15E1AAA3" w14:textId="77777777" w:rsidR="005F376D" w:rsidRPr="005F376D" w:rsidRDefault="005F376D" w:rsidP="005F376D">
      <w:pPr>
        <w:tabs>
          <w:tab w:val="right" w:leader="dot" w:pos="9350"/>
        </w:tabs>
        <w:spacing w:after="0" w:line="360" w:lineRule="auto"/>
        <w:rPr>
          <w:rFonts w:ascii="Arial" w:hAnsi="Arial" w:cs="Arial"/>
          <w:noProof/>
          <w:sz w:val="24"/>
        </w:rPr>
      </w:pPr>
      <w:r w:rsidRPr="005F376D">
        <w:rPr>
          <w:rFonts w:ascii="Arial" w:hAnsi="Arial" w:cs="Arial"/>
          <w:b/>
          <w:sz w:val="24"/>
        </w:rPr>
        <w:fldChar w:fldCharType="begin"/>
      </w:r>
      <w:r w:rsidRPr="005F376D">
        <w:rPr>
          <w:rFonts w:ascii="Arial" w:hAnsi="Arial" w:cs="Arial"/>
          <w:b/>
          <w:sz w:val="24"/>
        </w:rPr>
        <w:instrText xml:space="preserve"> TOC \h \z \c "Figure" </w:instrText>
      </w:r>
      <w:r w:rsidRPr="005F376D">
        <w:rPr>
          <w:rFonts w:ascii="Arial" w:hAnsi="Arial" w:cs="Arial"/>
          <w:b/>
          <w:sz w:val="24"/>
        </w:rPr>
        <w:fldChar w:fldCharType="separate"/>
      </w:r>
      <w:hyperlink w:anchor="_Toc103378378" w:history="1">
        <w:r w:rsidRPr="005F376D">
          <w:rPr>
            <w:rFonts w:ascii="Arial" w:hAnsi="Arial" w:cs="Arial"/>
            <w:noProof/>
            <w:color w:val="0563C1" w:themeColor="hyperlink"/>
            <w:sz w:val="24"/>
            <w:u w:val="single"/>
          </w:rPr>
          <w:t>Figure 1: Porter’s Five Forces Model (Grundy, 2006)</w:t>
        </w:r>
        <w:r w:rsidRPr="005F376D">
          <w:rPr>
            <w:rFonts w:ascii="Arial" w:hAnsi="Arial" w:cs="Arial"/>
            <w:noProof/>
            <w:webHidden/>
            <w:sz w:val="24"/>
          </w:rPr>
          <w:tab/>
        </w:r>
        <w:r w:rsidRPr="005F376D">
          <w:rPr>
            <w:rFonts w:ascii="Arial" w:hAnsi="Arial" w:cs="Arial"/>
            <w:noProof/>
            <w:webHidden/>
            <w:sz w:val="24"/>
          </w:rPr>
          <w:fldChar w:fldCharType="begin"/>
        </w:r>
        <w:r w:rsidRPr="005F376D">
          <w:rPr>
            <w:rFonts w:ascii="Arial" w:hAnsi="Arial" w:cs="Arial"/>
            <w:noProof/>
            <w:webHidden/>
            <w:sz w:val="24"/>
          </w:rPr>
          <w:instrText xml:space="preserve"> PAGEREF _Toc103378378 \h </w:instrText>
        </w:r>
        <w:r w:rsidRPr="005F376D">
          <w:rPr>
            <w:rFonts w:ascii="Arial" w:hAnsi="Arial" w:cs="Arial"/>
            <w:noProof/>
            <w:webHidden/>
            <w:sz w:val="24"/>
          </w:rPr>
        </w:r>
        <w:r w:rsidRPr="005F376D">
          <w:rPr>
            <w:rFonts w:ascii="Arial" w:hAnsi="Arial" w:cs="Arial"/>
            <w:noProof/>
            <w:webHidden/>
            <w:sz w:val="24"/>
          </w:rPr>
          <w:fldChar w:fldCharType="separate"/>
        </w:r>
        <w:r w:rsidRPr="005F376D">
          <w:rPr>
            <w:rFonts w:ascii="Arial" w:hAnsi="Arial" w:cs="Arial"/>
            <w:noProof/>
            <w:webHidden/>
            <w:sz w:val="24"/>
          </w:rPr>
          <w:t>7</w:t>
        </w:r>
        <w:r w:rsidRPr="005F376D">
          <w:rPr>
            <w:rFonts w:ascii="Arial" w:hAnsi="Arial" w:cs="Arial"/>
            <w:noProof/>
            <w:webHidden/>
            <w:sz w:val="24"/>
          </w:rPr>
          <w:fldChar w:fldCharType="end"/>
        </w:r>
      </w:hyperlink>
    </w:p>
    <w:p w14:paraId="0D5BFFB1" w14:textId="77777777" w:rsidR="005F376D" w:rsidRPr="005F376D" w:rsidRDefault="006231F3" w:rsidP="005F376D">
      <w:pPr>
        <w:tabs>
          <w:tab w:val="right" w:leader="dot" w:pos="9350"/>
        </w:tabs>
        <w:spacing w:after="0" w:line="360" w:lineRule="auto"/>
        <w:rPr>
          <w:rFonts w:ascii="Arial" w:hAnsi="Arial" w:cs="Arial"/>
          <w:noProof/>
          <w:sz w:val="24"/>
        </w:rPr>
      </w:pPr>
      <w:hyperlink w:anchor="_Toc103378379" w:history="1">
        <w:r w:rsidR="005F376D" w:rsidRPr="005F376D">
          <w:rPr>
            <w:rFonts w:ascii="Arial" w:hAnsi="Arial" w:cs="Arial"/>
            <w:noProof/>
            <w:color w:val="0563C1" w:themeColor="hyperlink"/>
            <w:sz w:val="24"/>
            <w:u w:val="single"/>
          </w:rPr>
          <w:t>Figure 2: The Culture Web (Freemantle, 2013)</w:t>
        </w:r>
        <w:r w:rsidR="005F376D" w:rsidRPr="005F376D">
          <w:rPr>
            <w:rFonts w:ascii="Arial" w:hAnsi="Arial" w:cs="Arial"/>
            <w:noProof/>
            <w:webHidden/>
            <w:sz w:val="24"/>
          </w:rPr>
          <w:tab/>
        </w:r>
        <w:r w:rsidR="005F376D" w:rsidRPr="005F376D">
          <w:rPr>
            <w:rFonts w:ascii="Arial" w:hAnsi="Arial" w:cs="Arial"/>
            <w:noProof/>
            <w:webHidden/>
            <w:sz w:val="24"/>
          </w:rPr>
          <w:fldChar w:fldCharType="begin"/>
        </w:r>
        <w:r w:rsidR="005F376D" w:rsidRPr="005F376D">
          <w:rPr>
            <w:rFonts w:ascii="Arial" w:hAnsi="Arial" w:cs="Arial"/>
            <w:noProof/>
            <w:webHidden/>
            <w:sz w:val="24"/>
          </w:rPr>
          <w:instrText xml:space="preserve"> PAGEREF _Toc103378379 \h </w:instrText>
        </w:r>
        <w:r w:rsidR="005F376D" w:rsidRPr="005F376D">
          <w:rPr>
            <w:rFonts w:ascii="Arial" w:hAnsi="Arial" w:cs="Arial"/>
            <w:noProof/>
            <w:webHidden/>
            <w:sz w:val="24"/>
          </w:rPr>
        </w:r>
        <w:r w:rsidR="005F376D" w:rsidRPr="005F376D">
          <w:rPr>
            <w:rFonts w:ascii="Arial" w:hAnsi="Arial" w:cs="Arial"/>
            <w:noProof/>
            <w:webHidden/>
            <w:sz w:val="24"/>
          </w:rPr>
          <w:fldChar w:fldCharType="separate"/>
        </w:r>
        <w:r w:rsidR="005F376D" w:rsidRPr="005F376D">
          <w:rPr>
            <w:rFonts w:ascii="Arial" w:hAnsi="Arial" w:cs="Arial"/>
            <w:noProof/>
            <w:webHidden/>
            <w:sz w:val="24"/>
          </w:rPr>
          <w:t>11</w:t>
        </w:r>
        <w:r w:rsidR="005F376D" w:rsidRPr="005F376D">
          <w:rPr>
            <w:rFonts w:ascii="Arial" w:hAnsi="Arial" w:cs="Arial"/>
            <w:noProof/>
            <w:webHidden/>
            <w:sz w:val="24"/>
          </w:rPr>
          <w:fldChar w:fldCharType="end"/>
        </w:r>
      </w:hyperlink>
    </w:p>
    <w:p w14:paraId="1D6CDFED" w14:textId="77777777" w:rsidR="005F376D" w:rsidRPr="005F376D" w:rsidRDefault="006231F3" w:rsidP="005F376D">
      <w:pPr>
        <w:tabs>
          <w:tab w:val="right" w:leader="dot" w:pos="9350"/>
        </w:tabs>
        <w:spacing w:after="0" w:line="360" w:lineRule="auto"/>
        <w:rPr>
          <w:rFonts w:ascii="Arial" w:hAnsi="Arial" w:cs="Arial"/>
          <w:noProof/>
          <w:sz w:val="24"/>
        </w:rPr>
      </w:pPr>
      <w:hyperlink w:anchor="_Toc103378380" w:history="1">
        <w:r w:rsidR="005F376D" w:rsidRPr="005F376D">
          <w:rPr>
            <w:rFonts w:ascii="Arial" w:hAnsi="Arial" w:cs="Arial"/>
            <w:noProof/>
            <w:color w:val="0563C1" w:themeColor="hyperlink"/>
            <w:sz w:val="24"/>
            <w:u w:val="single"/>
          </w:rPr>
          <w:t>Figure 3:Gibbs' Reflective Cycle (Gibbs, 1988)</w:t>
        </w:r>
        <w:r w:rsidR="005F376D" w:rsidRPr="005F376D">
          <w:rPr>
            <w:rFonts w:ascii="Arial" w:hAnsi="Arial" w:cs="Arial"/>
            <w:noProof/>
            <w:webHidden/>
            <w:sz w:val="24"/>
          </w:rPr>
          <w:tab/>
        </w:r>
        <w:r w:rsidR="005F376D" w:rsidRPr="005F376D">
          <w:rPr>
            <w:rFonts w:ascii="Arial" w:hAnsi="Arial" w:cs="Arial"/>
            <w:noProof/>
            <w:webHidden/>
            <w:sz w:val="24"/>
          </w:rPr>
          <w:fldChar w:fldCharType="begin"/>
        </w:r>
        <w:r w:rsidR="005F376D" w:rsidRPr="005F376D">
          <w:rPr>
            <w:rFonts w:ascii="Arial" w:hAnsi="Arial" w:cs="Arial"/>
            <w:noProof/>
            <w:webHidden/>
            <w:sz w:val="24"/>
          </w:rPr>
          <w:instrText xml:space="preserve"> PAGEREF _Toc103378380 \h </w:instrText>
        </w:r>
        <w:r w:rsidR="005F376D" w:rsidRPr="005F376D">
          <w:rPr>
            <w:rFonts w:ascii="Arial" w:hAnsi="Arial" w:cs="Arial"/>
            <w:noProof/>
            <w:webHidden/>
            <w:sz w:val="24"/>
          </w:rPr>
        </w:r>
        <w:r w:rsidR="005F376D" w:rsidRPr="005F376D">
          <w:rPr>
            <w:rFonts w:ascii="Arial" w:hAnsi="Arial" w:cs="Arial"/>
            <w:noProof/>
            <w:webHidden/>
            <w:sz w:val="24"/>
          </w:rPr>
          <w:fldChar w:fldCharType="separate"/>
        </w:r>
        <w:r w:rsidR="005F376D" w:rsidRPr="005F376D">
          <w:rPr>
            <w:rFonts w:ascii="Arial" w:hAnsi="Arial" w:cs="Arial"/>
            <w:noProof/>
            <w:webHidden/>
            <w:sz w:val="24"/>
          </w:rPr>
          <w:t>16</w:t>
        </w:r>
        <w:r w:rsidR="005F376D" w:rsidRPr="005F376D">
          <w:rPr>
            <w:rFonts w:ascii="Arial" w:hAnsi="Arial" w:cs="Arial"/>
            <w:noProof/>
            <w:webHidden/>
            <w:sz w:val="24"/>
          </w:rPr>
          <w:fldChar w:fldCharType="end"/>
        </w:r>
      </w:hyperlink>
    </w:p>
    <w:p w14:paraId="74D74A88" w14:textId="77777777" w:rsidR="005F376D" w:rsidRPr="005F376D" w:rsidRDefault="005F376D" w:rsidP="005F376D">
      <w:pPr>
        <w:spacing w:line="360" w:lineRule="auto"/>
        <w:rPr>
          <w:rFonts w:ascii="Arial" w:hAnsi="Arial" w:cs="Arial"/>
          <w:b/>
          <w:sz w:val="24"/>
        </w:rPr>
      </w:pPr>
      <w:r w:rsidRPr="005F376D">
        <w:rPr>
          <w:rFonts w:ascii="Arial" w:hAnsi="Arial" w:cs="Arial"/>
          <w:b/>
          <w:sz w:val="24"/>
        </w:rPr>
        <w:fldChar w:fldCharType="end"/>
      </w:r>
      <w:r w:rsidRPr="005F376D">
        <w:rPr>
          <w:rFonts w:ascii="Arial" w:hAnsi="Arial" w:cs="Arial"/>
          <w:b/>
          <w:sz w:val="24"/>
        </w:rPr>
        <w:br w:type="page"/>
      </w:r>
    </w:p>
    <w:p w14:paraId="02532F88" w14:textId="77777777" w:rsidR="005F376D" w:rsidRPr="005F376D" w:rsidRDefault="005F376D" w:rsidP="005F376D">
      <w:pPr>
        <w:spacing w:line="360" w:lineRule="auto"/>
        <w:jc w:val="center"/>
        <w:rPr>
          <w:rFonts w:ascii="Arial" w:hAnsi="Arial" w:cs="Arial"/>
          <w:b/>
          <w:sz w:val="24"/>
        </w:rPr>
      </w:pPr>
      <w:r w:rsidRPr="005F376D">
        <w:rPr>
          <w:rFonts w:ascii="Arial" w:hAnsi="Arial" w:cs="Arial"/>
          <w:b/>
          <w:sz w:val="24"/>
        </w:rPr>
        <w:lastRenderedPageBreak/>
        <w:t>Task One</w:t>
      </w:r>
    </w:p>
    <w:p w14:paraId="4C532C14"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0" w:name="_Toc103378697"/>
      <w:r w:rsidRPr="005F376D">
        <w:rPr>
          <w:rFonts w:ascii="Arial" w:eastAsiaTheme="majorEastAsia" w:hAnsi="Arial" w:cs="Arial"/>
          <w:color w:val="2F5496" w:themeColor="accent1" w:themeShade="BF"/>
          <w:sz w:val="32"/>
          <w:szCs w:val="32"/>
        </w:rPr>
        <w:t>Introduction</w:t>
      </w:r>
      <w:bookmarkEnd w:id="0"/>
    </w:p>
    <w:p w14:paraId="2DCED389"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Deutsche Post DHL is a global logistic firm. The company was founded in1969 by three individuals namely: Robert Lynn, Adrian Dalsey and Larry Hillblom. The name of the company was derived from the initials of their name, but arranged in alphabetical order. In 2002, DHL became an entirely owned subsidiary of a Germany's postal service, Deutsche Post AG. They did not anticipate that DHL would evolve to become a large global logistics firm. Over 400,000 employees are working for DHL globally, with operations in 220 nations. The company serves customers who their products to be delivered cheaply and faster. Besides, DHL thrives well because of its global interconnectedness, which moves goods from one country to another. The company has a yellow and red colour scheme which can be seen on its aeroplanes, vans and trucks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n.d.-b)</w:t>
      </w:r>
      <w:r w:rsidRPr="005F376D">
        <w:rPr>
          <w:rFonts w:ascii="Arial" w:hAnsi="Arial" w:cs="Arial"/>
          <w:sz w:val="24"/>
        </w:rPr>
        <w:fldChar w:fldCharType="end"/>
      </w:r>
      <w:r w:rsidRPr="005F376D">
        <w:rPr>
          <w:rFonts w:ascii="Arial" w:hAnsi="Arial" w:cs="Arial"/>
          <w:sz w:val="24"/>
        </w:rPr>
        <w:t>.</w:t>
      </w:r>
    </w:p>
    <w:p w14:paraId="7295F832" w14:textId="77777777" w:rsidR="005F376D" w:rsidRPr="005F376D" w:rsidRDefault="005F376D" w:rsidP="005F376D">
      <w:pPr>
        <w:keepNext/>
        <w:keepLines/>
        <w:numPr>
          <w:ilvl w:val="1"/>
          <w:numId w:val="0"/>
        </w:numPr>
        <w:spacing w:before="40" w:after="0"/>
        <w:ind w:left="720" w:hanging="360"/>
        <w:outlineLvl w:val="1"/>
        <w:rPr>
          <w:rFonts w:ascii="Arial" w:eastAsiaTheme="majorEastAsia" w:hAnsi="Arial" w:cs="Arial"/>
          <w:color w:val="2F5496" w:themeColor="accent1" w:themeShade="BF"/>
          <w:sz w:val="26"/>
          <w:szCs w:val="26"/>
        </w:rPr>
      </w:pPr>
      <w:bookmarkStart w:id="1" w:name="_Toc103378698"/>
      <w:r w:rsidRPr="005F376D">
        <w:rPr>
          <w:rFonts w:ascii="Arial" w:eastAsiaTheme="majorEastAsia" w:hAnsi="Arial" w:cs="Arial"/>
          <w:color w:val="2F5496" w:themeColor="accent1" w:themeShade="BF"/>
          <w:sz w:val="26"/>
          <w:szCs w:val="26"/>
        </w:rPr>
        <w:t>PESTEL Analysis</w:t>
      </w:r>
      <w:bookmarkEnd w:id="1"/>
    </w:p>
    <w:p w14:paraId="7E5F96AA"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framework gives a comprehensive list of influences on strategies' possible failure or success. It analyses political, economic, social, technological, environmental and legal factors. DHL is a global company that operates in several countries </w:t>
      </w:r>
      <w:r w:rsidRPr="005F376D">
        <w:rPr>
          <w:rFonts w:ascii="Arial" w:hAnsi="Arial" w:cs="Arial"/>
          <w:sz w:val="24"/>
        </w:rPr>
        <w:fldChar w:fldCharType="begin" w:fldLock="1"/>
      </w:r>
      <w:r w:rsidRPr="005F376D">
        <w:rPr>
          <w:rFonts w:ascii="Arial" w:hAnsi="Arial" w:cs="Arial"/>
          <w:sz w:val="24"/>
        </w:rPr>
        <w:instrText>ADDIN CSL_CITATION {"citationItems":[{"id":"ITEM-1","itemData":{"DOI":"10.5539/ijbm.v7n24p52","ISSN":"1833-8119","author":[{"dropping-particle":"","family":"Yüksel","given":"Ihsan","non-dropping-particle":"","parse-names":false,"suffix":""}],"container-title":"International Journal of Business and Management","id":"ITEM-1","issue":"24","issued":{"date-parts":[["2012","11","21"]]},"title":"Developing a Multi-Criteria Decision Making Model for PESTEL Analysis","type":"article-journal","volume":"7"},"uris":["http://www.mendeley.com/documents/?uuid=656b3faf-96f1-46f3-ab59-2c4444b6ffb8"]}],"mendeley":{"formattedCitation":"(Yüksel, 2012)","plainTextFormattedCitation":"(Yüksel, 2012)","previouslyFormattedCitation":"(Yüksel, 2012)"},"properties":{"noteIndex":0},"schema":"https://github.com/citation-style-language/schema/raw/master/csl-citation.json"}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(Yüksel, 2012)</w:t>
      </w:r>
      <w:r w:rsidRPr="005F376D">
        <w:rPr>
          <w:rFonts w:ascii="Arial" w:hAnsi="Arial" w:cs="Arial"/>
          <w:sz w:val="24"/>
        </w:rPr>
        <w:fldChar w:fldCharType="end"/>
      </w:r>
      <w:r w:rsidRPr="005F376D">
        <w:rPr>
          <w:rFonts w:ascii="Arial" w:hAnsi="Arial" w:cs="Arial"/>
          <w:sz w:val="24"/>
        </w:rPr>
        <w:t>. As a leading courier, parcels and express mail company internationally, its operations are often affected by external factors. Analysing these factors will give a better understanding of what the company can do.</w:t>
      </w:r>
    </w:p>
    <w:p w14:paraId="3423E561" w14:textId="77777777" w:rsidR="005F376D" w:rsidRPr="005F376D" w:rsidRDefault="005F376D" w:rsidP="005F376D">
      <w:pPr>
        <w:spacing w:line="360" w:lineRule="auto"/>
        <w:rPr>
          <w:rFonts w:ascii="Arial" w:hAnsi="Arial" w:cs="Arial"/>
          <w:sz w:val="24"/>
        </w:rPr>
      </w:pPr>
      <w:bookmarkStart w:id="2" w:name="_Toc102491898"/>
      <w:r w:rsidRPr="005F376D">
        <w:rPr>
          <w:rFonts w:ascii="Arial" w:hAnsi="Arial" w:cs="Arial"/>
          <w:sz w:val="24"/>
        </w:rPr>
        <w:t>Political factors</w:t>
      </w:r>
      <w:bookmarkEnd w:id="2"/>
    </w:p>
    <w:p w14:paraId="60238A2F"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DHL originated in Germany and expanded throughout the rest of the world. The company has to be on the lookout for the political conditions of the region it is in operation. Europe's political structure is often stable with straightforward terms of trade. Therefore, it is easier for organisations such as DHL to gain the market. However, other countries are faced with unstable political environments that potentially affect DHL's operations and might lead to a decline in sales or more costs of operation </w:t>
      </w:r>
      <w:r w:rsidRPr="005F376D">
        <w:rPr>
          <w:rFonts w:ascii="Arial" w:hAnsi="Arial" w:cs="Arial"/>
          <w:sz w:val="24"/>
        </w:rPr>
        <w:fldChar w:fldCharType="begin" w:fldLock="1"/>
      </w:r>
      <w:r w:rsidRPr="005F376D">
        <w:rPr>
          <w:rFonts w:ascii="Arial" w:hAnsi="Arial" w:cs="Arial"/>
          <w:sz w:val="24"/>
        </w:rPr>
        <w:instrText>ADDIN CSL_CITATION {"citationItems":[{"id":"ITEM-1","itemData":{"DOI":"10.2139/ssrn.3280714","ISSN":"1556-5068","author":[{"dropping-particle":"","family":"Rahman","given":"Md. Mazedur","non-dropping-particle":"","parse-names":false,"suffix":""}],"container-title":"SSRN Electronic Journal","id":"ITEM-1","issued":{"date-parts":[["2018"]]},"title":"A Study of Business Analysis of DHL","type":"article-journal"},"uris":["http://www.mendeley.com/documents/?uuid=ba11e56d-0bce-430f-a212-9a756604090c"]}],"mendeley":{"formattedCitation":"(Rahman, 2018)","plainTextFormattedCitation":"(Rahman, 2018)","previouslyFormattedCitation":"(Rahman, 2018)"},"properties":{"noteIndex":0},"schema":"https://github.com/citation-style-language/schema/raw/master/csl-citation.json"}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(Rahman, 2018)</w:t>
      </w:r>
      <w:r w:rsidRPr="005F376D">
        <w:rPr>
          <w:rFonts w:ascii="Arial" w:hAnsi="Arial" w:cs="Arial"/>
          <w:sz w:val="24"/>
        </w:rPr>
        <w:fldChar w:fldCharType="end"/>
      </w:r>
      <w:r w:rsidRPr="005F376D">
        <w:rPr>
          <w:rFonts w:ascii="Arial" w:hAnsi="Arial" w:cs="Arial"/>
          <w:sz w:val="24"/>
        </w:rPr>
        <w:t>. Besides, DHL has to conform to various countries' trade policies, tariffs, and export and import restrictions. For instance, when there are high tariffs, it becomes costlier for DHL to operate in that country.</w:t>
      </w:r>
    </w:p>
    <w:p w14:paraId="4E792602"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3" w:name="_Toc102491899"/>
      <w:bookmarkStart w:id="4" w:name="_Toc103378699"/>
      <w:r w:rsidRPr="005F376D">
        <w:rPr>
          <w:rFonts w:ascii="Arial" w:eastAsiaTheme="majorEastAsia" w:hAnsi="Arial" w:cs="Arial"/>
          <w:color w:val="1F3763" w:themeColor="accent1" w:themeShade="7F"/>
          <w:sz w:val="24"/>
          <w:szCs w:val="24"/>
        </w:rPr>
        <w:lastRenderedPageBreak/>
        <w:t>Economic Environment</w:t>
      </w:r>
      <w:bookmarkEnd w:id="3"/>
      <w:bookmarkEnd w:id="4"/>
    </w:p>
    <w:p w14:paraId="18B3FB03"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DHL can be affected negatively in a global economic crisis, causing financial losses and decreasing its business. In countries experiencing inflation, for instance, the buying power of customers in that country will decline, reducing DHL’s sales. On the other hand, a country with flourishing terms such as growth rate can increase DHL’s business </w:t>
      </w:r>
      <w:r w:rsidRPr="005F376D">
        <w:rPr>
          <w:rFonts w:ascii="Arial" w:hAnsi="Arial" w:cs="Arial"/>
          <w:sz w:val="24"/>
        </w:rPr>
        <w:fldChar w:fldCharType="begin" w:fldLock="1"/>
      </w:r>
      <w:r w:rsidRPr="005F376D">
        <w:rPr>
          <w:rFonts w:ascii="Arial" w:hAnsi="Arial" w:cs="Arial"/>
          <w:sz w:val="24"/>
        </w:rPr>
        <w:instrText>ADDIN CSL_CITATION {"citationItems":[{"id":"ITEM-1","itemData":{"DOI":"10.1007/978-3-030-13823-3_4","author":[{"dropping-particle":"","family":"Kreutzer","given":"Ralf T.","non-dropping-particle":"","parse-names":false,"suffix":""}],"id":"ITEM-1","issued":{"date-parts":[["2019"]]},"page":"89-142","title":"Tools for the Strategic Analysis","type":"chapter"},"uris":["http://www.mendeley.com/documents/?uuid=eb9995ee-8584-42ca-aa57-e90278e1110a"]}],"mendeley":{"formattedCitation":"(Kreutzer, 2019)","plainTextFormattedCitation":"(Kreutzer, 2019)","previouslyFormattedCitation":"(Kreutzer, 2019)"},"properties":{"noteIndex":0},"schema":"https://github.com/citation-style-language/schema/raw/master/csl-citation.json"}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(Kreutzer, 2019)</w:t>
      </w:r>
      <w:r w:rsidRPr="005F376D">
        <w:rPr>
          <w:rFonts w:ascii="Arial" w:hAnsi="Arial" w:cs="Arial"/>
          <w:sz w:val="24"/>
        </w:rPr>
        <w:fldChar w:fldCharType="end"/>
      </w:r>
      <w:r w:rsidRPr="005F376D">
        <w:rPr>
          <w:rFonts w:ascii="Arial" w:hAnsi="Arial" w:cs="Arial"/>
          <w:sz w:val="24"/>
        </w:rPr>
        <w:t xml:space="preserve">. When the company operates globally, exchange rates can help it gain profits or suffer tremendous losses. </w:t>
      </w:r>
    </w:p>
    <w:p w14:paraId="4BB1653A"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5" w:name="_Toc102491900"/>
      <w:bookmarkStart w:id="6" w:name="_Toc103378700"/>
      <w:r w:rsidRPr="005F376D">
        <w:rPr>
          <w:rFonts w:ascii="Arial" w:eastAsiaTheme="majorEastAsia" w:hAnsi="Arial" w:cs="Arial"/>
          <w:color w:val="1F3763" w:themeColor="accent1" w:themeShade="7F"/>
          <w:sz w:val="24"/>
          <w:szCs w:val="24"/>
        </w:rPr>
        <w:t>Social Factors</w:t>
      </w:r>
      <w:bookmarkEnd w:id="5"/>
      <w:bookmarkEnd w:id="6"/>
    </w:p>
    <w:p w14:paraId="6F853251"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attitudes and perceptions of people towards a company can significantly affect DHL sales. For example, when people in a given country prefer using local services or products made within their country, a global company like DHL can suffer huge losses. Similarly, a country with the majority of its population in the lower social class means they can only afford products of low costs. DHL will not succeed in this market because people cannot afford its services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n.d.-b)</w:t>
      </w:r>
      <w:r w:rsidRPr="005F376D">
        <w:rPr>
          <w:rFonts w:ascii="Arial" w:hAnsi="Arial" w:cs="Arial"/>
          <w:sz w:val="24"/>
        </w:rPr>
        <w:fldChar w:fldCharType="end"/>
      </w:r>
      <w:r w:rsidRPr="005F376D">
        <w:rPr>
          <w:rFonts w:ascii="Arial" w:hAnsi="Arial" w:cs="Arial"/>
          <w:sz w:val="24"/>
        </w:rPr>
        <w:t>.</w:t>
      </w:r>
    </w:p>
    <w:p w14:paraId="63E83BDE"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7" w:name="_Toc102491901"/>
      <w:bookmarkStart w:id="8" w:name="_Toc103378701"/>
      <w:r w:rsidRPr="005F376D">
        <w:rPr>
          <w:rFonts w:ascii="Arial" w:eastAsiaTheme="majorEastAsia" w:hAnsi="Arial" w:cs="Arial"/>
          <w:color w:val="1F3763" w:themeColor="accent1" w:themeShade="7F"/>
          <w:sz w:val="24"/>
          <w:szCs w:val="24"/>
        </w:rPr>
        <w:t>Technological factors</w:t>
      </w:r>
      <w:bookmarkEnd w:id="7"/>
      <w:bookmarkEnd w:id="8"/>
    </w:p>
    <w:p w14:paraId="5F4DA9F5"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Technology plays a critical role in the logistics of companies such as DHL. The companies are based on speed and reliability. Such firms must keep up with trends in technology to maintain their brand. A company that understands technological trends is more likely to make profits than one that does not. However, this may come with costs </w:t>
      </w:r>
      <w:r w:rsidRPr="005F376D">
        <w:rPr>
          <w:rFonts w:ascii="Arial" w:hAnsi="Arial" w:cs="Arial"/>
          <w:sz w:val="24"/>
        </w:rPr>
        <w:fldChar w:fldCharType="begin" w:fldLock="1"/>
      </w:r>
      <w:r w:rsidRPr="005F376D">
        <w:rPr>
          <w:rFonts w:ascii="Arial" w:hAnsi="Arial" w:cs="Arial"/>
          <w:sz w:val="24"/>
        </w:rPr>
        <w:instrText>ADDIN CSL_CITATION {"citationItems":[{"id":"ITEM-1","itemData":{"DOI":"10.1007/978-981-13-7064-9_4","author":[{"dropping-particle":"","family":"Dhir","given":"Sanjay","non-dropping-particle":"","parse-names":false,"suffix":""},{"dropping-particle":"","family":"Sushil","given":"","non-dropping-particle":"","parse-names":false,"suffix":""}],"id":"ITEM-1","issued":{"date-parts":[["2019"]]},"page":"55-72","title":"DHL","type":"chapter"},"uris":["http://www.mendeley.com/documents/?uuid=259aed53-914d-4c3c-ad34-6de4bcde3216"]}],"mendeley":{"formattedCitation":"(Dhir &amp; Sushil, 2019)","plainTextFormattedCitation":"(Dhir &amp; Sushil, 2019)","previouslyFormattedCitation":"(Dhir &amp; Sushil, 2019)"},"properties":{"noteIndex":0},"schema":"https://github.com/citation-style-language/schema/raw/master/csl-citation.json"}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(Dhir &amp; Sushil, 2019)</w:t>
      </w:r>
      <w:r w:rsidRPr="005F376D">
        <w:rPr>
          <w:rFonts w:ascii="Arial" w:hAnsi="Arial" w:cs="Arial"/>
          <w:sz w:val="24"/>
        </w:rPr>
        <w:fldChar w:fldCharType="end"/>
      </w:r>
      <w:r w:rsidRPr="005F376D">
        <w:rPr>
          <w:rFonts w:ascii="Arial" w:hAnsi="Arial" w:cs="Arial"/>
          <w:sz w:val="24"/>
        </w:rPr>
        <w:t>. Hence, offering convenience to the customers leads to huge costs but is a source of competitive advantage.</w:t>
      </w:r>
    </w:p>
    <w:p w14:paraId="417E14F0"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9" w:name="_Toc102491902"/>
      <w:bookmarkStart w:id="10" w:name="_Toc103378702"/>
      <w:r w:rsidRPr="005F376D">
        <w:rPr>
          <w:rFonts w:ascii="Arial" w:eastAsiaTheme="majorEastAsia" w:hAnsi="Arial" w:cs="Arial"/>
          <w:color w:val="1F3763" w:themeColor="accent1" w:themeShade="7F"/>
          <w:sz w:val="24"/>
          <w:szCs w:val="24"/>
        </w:rPr>
        <w:t>Legal Factors</w:t>
      </w:r>
      <w:bookmarkEnd w:id="9"/>
      <w:bookmarkEnd w:id="10"/>
    </w:p>
    <w:p w14:paraId="1CF61B79"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Expansion of DHL to other countries requires familiarity with the laws of the land in those countries. DHL has to adhere to the legal requirements of those countries. These laws can include consumer protection laws, copyrights and patents. While some of these requirements can benefit the company, others can come at a cost </w:t>
      </w:r>
      <w:r w:rsidRPr="005F376D">
        <w:rPr>
          <w:rFonts w:ascii="Arial" w:hAnsi="Arial" w:cs="Arial"/>
          <w:sz w:val="24"/>
        </w:rPr>
        <w:fldChar w:fldCharType="begin" w:fldLock="1"/>
      </w:r>
      <w:r w:rsidRPr="005F376D">
        <w:rPr>
          <w:rFonts w:ascii="Arial" w:hAnsi="Arial" w:cs="Arial"/>
          <w:sz w:val="24"/>
        </w:rPr>
        <w:instrText>ADDIN CSL_CITATION {"citationItems":[{"id":"ITEM-1","itemData":{"DOI":"10.1515/9781501507557","ISBN":"9781501507557","author":[{"dropping-particle":"","family":"Chung","given":"Po","non-dropping-particle":"","parse-names":false,"suffix":""},{"dropping-particle":"","family":"Bowie","given":"Roger","non-dropping-particle":"","parse-names":false,"suffix":""}],"id":"ITEM-1","issued":{"date-parts":[["2017","12","4"]]},"publisher":"De Gruyter","title":"DHL","type":"book"},"uris":["http://www.mendeley.com/documents/?uuid=7f0b6a89-ee7f-459a-81ac-5e6bf69eb24c"]}],"mendeley":{"formattedCitation":"(Chung &amp; Bowie, 2017)","plainTextFormattedCitation":"(Chung &amp; Bowie, 2017)","previouslyFormattedCitation":"(Chung &amp; Bowie, 2017)"},"properties":{"noteIndex":0},"schema":"https://github.com/citation-style-language/schema/raw/master/csl-citation.json"}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(Chung &amp; Bowie, 2017)</w:t>
      </w:r>
      <w:r w:rsidRPr="005F376D">
        <w:rPr>
          <w:rFonts w:ascii="Arial" w:hAnsi="Arial" w:cs="Arial"/>
          <w:sz w:val="24"/>
        </w:rPr>
        <w:fldChar w:fldCharType="end"/>
      </w:r>
      <w:r w:rsidRPr="005F376D">
        <w:rPr>
          <w:rFonts w:ascii="Arial" w:hAnsi="Arial" w:cs="Arial"/>
          <w:sz w:val="24"/>
        </w:rPr>
        <w:t>. It is critical for DHL to maintain their brand name as well as save itself from potential future lawsuits.</w:t>
      </w:r>
    </w:p>
    <w:p w14:paraId="2888B418"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11" w:name="_Toc102491903"/>
      <w:bookmarkStart w:id="12" w:name="_Toc103378703"/>
      <w:r w:rsidRPr="005F376D">
        <w:rPr>
          <w:rFonts w:ascii="Arial" w:eastAsiaTheme="majorEastAsia" w:hAnsi="Arial" w:cs="Arial"/>
          <w:color w:val="1F3763" w:themeColor="accent1" w:themeShade="7F"/>
          <w:sz w:val="24"/>
          <w:szCs w:val="24"/>
        </w:rPr>
        <w:t>Environmental Factors</w:t>
      </w:r>
      <w:bookmarkEnd w:id="11"/>
      <w:bookmarkEnd w:id="12"/>
    </w:p>
    <w:p w14:paraId="1F71CCF8"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transportation or logistics sector entails air, water, and land transport, all of which contribute to environmental pollution. In such a case, a company's reputation can be ruined if it contributes a lot to pollution. As a result, companies can lose customers due to this perception. One of the best ways to address such issues </w:t>
      </w:r>
      <w:r w:rsidRPr="005F376D">
        <w:rPr>
          <w:rFonts w:ascii="Arial" w:hAnsi="Arial" w:cs="Arial"/>
          <w:sz w:val="24"/>
        </w:rPr>
        <w:lastRenderedPageBreak/>
        <w:t xml:space="preserve">by companies such as DHL is through corporate social responsibility (CSR) activities that revolve around the management of waste and recycling </w:t>
      </w:r>
      <w:r w:rsidRPr="005F376D">
        <w:rPr>
          <w:rFonts w:ascii="Arial" w:hAnsi="Arial" w:cs="Arial"/>
          <w:sz w:val="24"/>
        </w:rPr>
        <w:fldChar w:fldCharType="begin" w:fldLock="1"/>
      </w:r>
      <w:r w:rsidRPr="005F376D">
        <w:rPr>
          <w:rFonts w:ascii="Arial" w:hAnsi="Arial" w:cs="Arial"/>
          <w:sz w:val="24"/>
        </w:rPr>
        <w:instrText>ADDIN CSL_CITATION {"citationItems":[{"id":"ITEM-1","itemData":{"DOI":"10.1108/TQM-01-2015-0007","ISSN":"1754-2731","author":[{"dropping-particle":"","family":"Cosimato","given":"Silvia","non-dropping-particle":"","parse-names":false,"suffix":""},{"dropping-particle":"","family":"Troisi","given":"Orlando","non-dropping-particle":"","parse-names":false,"suffix":""}],"container-title":"The TQM Journal","editor":[{"dropping-particle":"","family":"Sam Ho, Dr Jacques Martin and Professor Claudio Baccarani","given":"Professor","non-dropping-particle":"","parse-names":false,"suffix":""}],"id":"ITEM-1","issue":"2","issued":{"date-parts":[["2015","3","9"]]},"page":"256-276","title":"Green supply chain management","type":"article-journal","volume":"27"},"uris":["http://www.mendeley.com/documents/?uuid=bbf2e562-5a20-4cd9-b047-4f10f87363e6"]}],"mendeley":{"formattedCitation":"(Cosimato &amp; Troisi, 2015)","plainTextFormattedCitation":"(Cosimato &amp; Troisi, 2015)","previouslyFormattedCitation":"(Cosimato &amp; Troisi, 2015)"},"properties":{"noteIndex":0},"schema":"https://github.com/citation-style-language/schema/raw/master/csl-citation.json"}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(Cosimato &amp; Troisi, 2015)</w:t>
      </w:r>
      <w:r w:rsidRPr="005F376D">
        <w:rPr>
          <w:rFonts w:ascii="Arial" w:hAnsi="Arial" w:cs="Arial"/>
          <w:sz w:val="24"/>
        </w:rPr>
        <w:fldChar w:fldCharType="end"/>
      </w:r>
      <w:r w:rsidRPr="005F376D">
        <w:rPr>
          <w:rFonts w:ascii="Arial" w:hAnsi="Arial" w:cs="Arial"/>
          <w:sz w:val="24"/>
        </w:rPr>
        <w:t xml:space="preserve">. The result is customer trust and profits. </w:t>
      </w:r>
    </w:p>
    <w:p w14:paraId="6BD10E2C" w14:textId="77777777" w:rsidR="005F376D" w:rsidRPr="005F376D" w:rsidRDefault="005F376D" w:rsidP="005F376D">
      <w:pPr>
        <w:keepNext/>
        <w:keepLines/>
        <w:numPr>
          <w:ilvl w:val="1"/>
          <w:numId w:val="0"/>
        </w:numPr>
        <w:spacing w:before="40" w:after="0"/>
        <w:ind w:left="720" w:hanging="360"/>
        <w:outlineLvl w:val="1"/>
        <w:rPr>
          <w:rFonts w:ascii="Arial" w:eastAsiaTheme="majorEastAsia" w:hAnsi="Arial" w:cs="Arial"/>
          <w:color w:val="2F5496" w:themeColor="accent1" w:themeShade="BF"/>
          <w:sz w:val="26"/>
          <w:szCs w:val="26"/>
        </w:rPr>
      </w:pPr>
      <w:bookmarkStart w:id="13" w:name="_Toc103378704"/>
      <w:r w:rsidRPr="005F376D">
        <w:rPr>
          <w:rFonts w:ascii="Arial" w:eastAsiaTheme="majorEastAsia" w:hAnsi="Arial" w:cs="Arial"/>
          <w:color w:val="2F5496" w:themeColor="accent1" w:themeShade="BF"/>
          <w:sz w:val="26"/>
          <w:szCs w:val="26"/>
        </w:rPr>
        <w:t>Porter’s Five Forces</w:t>
      </w:r>
      <w:bookmarkEnd w:id="13"/>
    </w:p>
    <w:p w14:paraId="4E19A425"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Michael E Porter of Harvard Business School developed the Porter’s Five Forces Model to show the competitive position of a company </w:t>
      </w:r>
      <w:r w:rsidRPr="005F376D">
        <w:rPr>
          <w:rFonts w:ascii="Arial" w:hAnsi="Arial" w:cs="Arial"/>
          <w:sz w:val="24"/>
        </w:rPr>
        <w:fldChar w:fldCharType="begin" w:fldLock="1"/>
      </w:r>
      <w:r w:rsidRPr="005F376D">
        <w:rPr>
          <w:rFonts w:ascii="Arial" w:hAnsi="Arial" w:cs="Arial"/>
          <w:sz w:val="24"/>
        </w:rPr>
        <w:instrText>ADDIN CSL_CITATION {"citationItems":[{"id":"ITEM-1","itemData":{"DOI":"10.1002/jsc.764","ISSN":"10861718","author":[{"dropping-particle":"","family":"Grundy","given":"Tony","non-dropping-particle":"","parse-names":false,"suffix":""}],"container-title":"Strategic Change","id":"ITEM-1","issue":"5","issued":{"date-parts":[["2006","8"]]},"page":"213-229","title":"Rethinking and reinventing Michael Porter's five forces model","type":"article-journal","volume":"15"},"uris":["http://www.mendeley.com/documents/?uuid=78140362-8fce-4753-a424-e78510c5a01f"]}],"mendeley":{"formattedCitation":"(Grundy, 2006)","plainTextFormattedCitation":"(Grundy, 2006)","previouslyFormattedCitation":"(Grundy, 2006)"},"properties":{"noteIndex":0},"schema":"https://github.com/citation-style-language/schema/raw/master/csl-citation.json"}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(Grundy, 2006)</w:t>
      </w:r>
      <w:r w:rsidRPr="005F376D">
        <w:rPr>
          <w:rFonts w:ascii="Arial" w:hAnsi="Arial" w:cs="Arial"/>
          <w:sz w:val="24"/>
        </w:rPr>
        <w:fldChar w:fldCharType="end"/>
      </w:r>
      <w:r w:rsidRPr="005F376D">
        <w:rPr>
          <w:rFonts w:ascii="Arial" w:hAnsi="Arial" w:cs="Arial"/>
          <w:sz w:val="24"/>
        </w:rPr>
        <w:t>. It is an important framework that assesses and evaluates the position of an organisation and its competitive strength. The model is founded on the concept that there are five forces that determine the market's appeal and the competitive intensity. This model helps companies identify where there is power in the business setup. Such understanding is useful not only to the competitive position of the organisation but also to its strength to avoid mistakes and improve weaknesses. The model can help DHL to measure its success probability of alternatives. The business management can regard this to deal with emerging issues linked to lowering customers' membership rates.</w:t>
      </w:r>
    </w:p>
    <w:p w14:paraId="48BB0A84" w14:textId="77777777" w:rsidR="005F376D" w:rsidRPr="005F376D" w:rsidRDefault="005F376D" w:rsidP="005F376D">
      <w:pPr>
        <w:keepNext/>
        <w:spacing w:line="360" w:lineRule="auto"/>
        <w:jc w:val="center"/>
        <w:rPr>
          <w:rFonts w:ascii="Arial" w:hAnsi="Arial" w:cs="Arial"/>
          <w:sz w:val="24"/>
        </w:rPr>
      </w:pPr>
      <w:r w:rsidRPr="005F376D">
        <w:rPr>
          <w:rFonts w:ascii="Arial" w:hAnsi="Arial" w:cs="Arial"/>
          <w:noProof/>
          <w:sz w:val="24"/>
        </w:rPr>
        <w:drawing>
          <wp:inline distT="0" distB="0" distL="0" distR="0" wp14:anchorId="4DB0656A" wp14:editId="032F65A2">
            <wp:extent cx="4457700" cy="3251499"/>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60699" cy="3253686"/>
                    </a:xfrm>
                    <a:prstGeom prst="rect">
                      <a:avLst/>
                    </a:prstGeom>
                    <a:noFill/>
                  </pic:spPr>
                </pic:pic>
              </a:graphicData>
            </a:graphic>
          </wp:inline>
        </w:drawing>
      </w:r>
    </w:p>
    <w:p w14:paraId="4A8F3315" w14:textId="77777777" w:rsidR="005F376D" w:rsidRPr="005F376D" w:rsidRDefault="005F376D" w:rsidP="005F376D">
      <w:pPr>
        <w:spacing w:line="360" w:lineRule="auto"/>
        <w:ind w:firstLine="720"/>
        <w:jc w:val="center"/>
        <w:rPr>
          <w:rFonts w:ascii="Arial" w:hAnsi="Arial" w:cs="Arial"/>
          <w:sz w:val="24"/>
        </w:rPr>
      </w:pPr>
      <w:bookmarkStart w:id="14" w:name="_Toc103378378"/>
      <w:r w:rsidRPr="005F376D">
        <w:rPr>
          <w:rFonts w:ascii="Arial" w:hAnsi="Arial" w:cs="Arial"/>
          <w:sz w:val="24"/>
        </w:rPr>
        <w:t xml:space="preserve">Figure </w:t>
      </w:r>
      <w:r w:rsidRPr="005F376D">
        <w:rPr>
          <w:rFonts w:ascii="Arial" w:hAnsi="Arial" w:cs="Arial"/>
          <w:sz w:val="24"/>
        </w:rPr>
        <w:fldChar w:fldCharType="begin"/>
      </w:r>
      <w:r w:rsidRPr="005F376D">
        <w:rPr>
          <w:rFonts w:ascii="Arial" w:hAnsi="Arial" w:cs="Arial"/>
          <w:sz w:val="24"/>
        </w:rPr>
        <w:instrText xml:space="preserve"> SEQ Figure \* ARABIC </w:instrText>
      </w:r>
      <w:r w:rsidRPr="005F376D">
        <w:rPr>
          <w:rFonts w:ascii="Arial" w:hAnsi="Arial" w:cs="Arial"/>
          <w:sz w:val="24"/>
        </w:rPr>
        <w:fldChar w:fldCharType="separate"/>
      </w:r>
      <w:r w:rsidRPr="005F376D">
        <w:rPr>
          <w:rFonts w:ascii="Arial" w:hAnsi="Arial" w:cs="Arial"/>
          <w:sz w:val="24"/>
        </w:rPr>
        <w:t>1</w:t>
      </w:r>
      <w:r w:rsidRPr="005F376D">
        <w:rPr>
          <w:rFonts w:ascii="Arial" w:hAnsi="Arial" w:cs="Arial"/>
          <w:sz w:val="24"/>
        </w:rPr>
        <w:fldChar w:fldCharType="end"/>
      </w:r>
      <w:r w:rsidRPr="005F376D">
        <w:rPr>
          <w:rFonts w:ascii="Arial" w:hAnsi="Arial" w:cs="Arial"/>
          <w:sz w:val="24"/>
        </w:rPr>
        <w:t xml:space="preserve">: Porter’s Five Forces Model </w:t>
      </w:r>
      <w:r w:rsidRPr="005F376D">
        <w:rPr>
          <w:rFonts w:ascii="Arial" w:hAnsi="Arial" w:cs="Arial"/>
          <w:sz w:val="24"/>
        </w:rPr>
        <w:fldChar w:fldCharType="begin" w:fldLock="1"/>
      </w:r>
      <w:r w:rsidRPr="005F376D">
        <w:rPr>
          <w:rFonts w:ascii="Arial" w:hAnsi="Arial" w:cs="Arial"/>
          <w:sz w:val="24"/>
        </w:rPr>
        <w:instrText>ADDIN CSL_CITATION {"citationItems":[{"id":"ITEM-1","itemData":{"DOI":"10.1002/jsc.764","ISSN":"10861718","author":[{"dropping-particle":"","family":"Grundy","given":"Tony","non-dropping-particle":"","parse-names":false,"suffix":""}],"container-title":"Strategic Change","id":"ITEM-1","issue":"5","issued":{"date-parts":[["2006","8"]]},"page":"213-229","title":"Rethinking and reinventing Michael Porter's five forces model","type":"article-journal","volume":"15"},"uris":["http://www.mendeley.com/documents/?uuid=78140362-8fce-4753-a424-e78510c5a01f"]}],"mendeley":{"formattedCitation":"(Grundy, 2006)","plainTextFormattedCitation":"(Grundy, 2006)","previouslyFormattedCitation":"(Grundy, 2006)"},"properties":{"noteIndex":0},"schema":"https://github.com/citation-style-language/schema/raw/master/csl-citation.json"}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sz w:val="24"/>
        </w:rPr>
        <w:t>(Grundy, 2006)</w:t>
      </w:r>
      <w:bookmarkEnd w:id="14"/>
      <w:r w:rsidRPr="005F376D">
        <w:rPr>
          <w:rFonts w:ascii="Arial" w:hAnsi="Arial" w:cs="Arial"/>
          <w:sz w:val="24"/>
        </w:rPr>
        <w:fldChar w:fldCharType="end"/>
      </w:r>
    </w:p>
    <w:p w14:paraId="72A79141"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15" w:name="_Toc103378705"/>
      <w:r w:rsidRPr="005F376D">
        <w:rPr>
          <w:rFonts w:ascii="Arial" w:eastAsiaTheme="majorEastAsia" w:hAnsi="Arial" w:cs="Arial"/>
          <w:color w:val="1F3763" w:themeColor="accent1" w:themeShade="7F"/>
          <w:sz w:val="24"/>
          <w:szCs w:val="24"/>
        </w:rPr>
        <w:t>The threat of new entrants</w:t>
      </w:r>
      <w:bookmarkEnd w:id="15"/>
    </w:p>
    <w:p w14:paraId="217C68A5"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It is hard to realise the economies of scale in a business where DHL operates. Firms producing in large capacities are likely to have a cost advantage. It becomes expensive for new entrants because of the high cost of production. The threats of </w:t>
      </w:r>
      <w:r w:rsidRPr="005F376D">
        <w:rPr>
          <w:rFonts w:ascii="Arial" w:hAnsi="Arial" w:cs="Arial"/>
          <w:sz w:val="24"/>
        </w:rPr>
        <w:lastRenderedPageBreak/>
        <w:t>new entrants are, therefore, a weaker force. Products differentiation is strong in industries that sell differentiated products instead of standardised products.</w:t>
      </w:r>
    </w:p>
    <w:p w14:paraId="3CC74980"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Consequently, there is a weaker force of threat of new entrants in this industry. There are strict licencing requirements from the government as well as legal requirements in this industry. Again, the threat of new entrants is not a strong force </w:t>
      </w:r>
      <w:r w:rsidRPr="005F376D">
        <w:rPr>
          <w:rFonts w:ascii="Arial" w:hAnsi="Arial" w:cs="Arial"/>
          <w:sz w:val="24"/>
        </w:rPr>
        <w:fldChar w:fldCharType="begin" w:fldLock="1"/>
      </w:r>
      <w:r w:rsidRPr="005F376D">
        <w:rPr>
          <w:rFonts w:ascii="Arial" w:hAnsi="Arial" w:cs="Arial"/>
          <w:sz w:val="24"/>
        </w:rPr>
        <w:instrText>ADDIN CSL_CITATION {"citationItems":[{"id":"ITEM-1","itemData":{"DOI":"10.1016/S2212-5671(15)00457-8","ISSN":"22125671","author":[{"dropping-particle":"","family":"Oflac","given":"Bengu Sevil","non-dropping-particle":"","parse-names":false,"suffix":""},{"dropping-particle":"","family":"Dobrucalı","given":"Birce","non-dropping-particle":"","parse-names":false,"suffix":""},{"dropping-particle":"","family":"Yavas","given":"Tugce","non-dropping-particle":"","parse-names":false,"suffix":""},{"dropping-particle":"","family":"Escobar","given":"Maria Gabriela","non-dropping-particle":"","parse-names":false,"suffix":""}],"container-title":"Procedia Economics and Finance","id":"ITEM-1","issued":{"date-parts":[["2015"]]},"page":"1079-1083","title":"Services Marketing Mix Efforts of a Global Services Brand: The Case of DHL Logistics","type":"article-journal","volume":"23"},"uris":["http://www.mendeley.com/documents/?uuid=729714ff-7bb2-494f-b932-8d863b41a996"]}],"mendeley":{"formattedCitation":"(Oflac et al., 2015)","plainTextFormattedCitation":"(Oflac et al., 2015)","previouslyFormattedCitation":"(Oflac et al., 2015)"},"properties":{"noteIndex":0},"schema":"https://github.com/citation-style-language/schema/raw/master/csl-citation.json"}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(Oflac et al., 2015)</w:t>
      </w:r>
      <w:r w:rsidRPr="005F376D">
        <w:rPr>
          <w:rFonts w:ascii="Arial" w:hAnsi="Arial" w:cs="Arial"/>
          <w:sz w:val="24"/>
        </w:rPr>
        <w:fldChar w:fldCharType="end"/>
      </w:r>
      <w:r w:rsidRPr="005F376D">
        <w:rPr>
          <w:rFonts w:ascii="Arial" w:hAnsi="Arial" w:cs="Arial"/>
          <w:sz w:val="24"/>
        </w:rPr>
        <w:t xml:space="preserve">. Since DHL enjoys the advantages of scale, it can take advantage of it to fight off new entrants by utilising cost advantage. DHL can also concentrate on innovation for product differentiation from new entrants. It can venture in the promotion to create a strong identification of its brand. In such a manner, the company can retain customers instead of losing them to new entrants. </w:t>
      </w:r>
    </w:p>
    <w:p w14:paraId="445B78E2"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16" w:name="_Toc103378706"/>
      <w:r w:rsidRPr="005F376D">
        <w:rPr>
          <w:rFonts w:ascii="Arial" w:eastAsiaTheme="majorEastAsia" w:hAnsi="Arial" w:cs="Arial"/>
          <w:color w:val="1F3763" w:themeColor="accent1" w:themeShade="7F"/>
          <w:sz w:val="24"/>
          <w:szCs w:val="24"/>
        </w:rPr>
        <w:t>Bargaining power of suppliers</w:t>
      </w:r>
      <w:bookmarkEnd w:id="16"/>
    </w:p>
    <w:p w14:paraId="04395796"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In the market area of DHL, number of suppliers is more than that of buyers. As such, suppliers have minimal price control, making the power of suppliers a weak force. The products that the suppliers provide have low switching costs and are standardised but not differentiated. Buyers like DHL are able to shift suppliers and the bargaining power of suppliers becomes a weaker force. This bargaining power is also a weaker force in DHL's industry since they do not offer a credible threat to industry integration </w:t>
      </w:r>
      <w:r w:rsidRPr="005F376D">
        <w:rPr>
          <w:rFonts w:ascii="Arial" w:hAnsi="Arial" w:cs="Arial"/>
          <w:sz w:val="24"/>
        </w:rPr>
        <w:fldChar w:fldCharType="begin" w:fldLock="1"/>
      </w:r>
      <w:r w:rsidRPr="005F376D">
        <w:rPr>
          <w:rFonts w:ascii="Arial" w:hAnsi="Arial" w:cs="Arial"/>
          <w:sz w:val="24"/>
        </w:rPr>
        <w:instrText>ADDIN CSL_CITATION {"citationItems":[{"id":"ITEM-1","itemData":{"DOI":"10.1016/S2212-5671(15)00457-8","ISSN":"22125671","author":[{"dropping-particle":"","family":"Oflac","given":"Bengu Sevil","non-dropping-particle":"","parse-names":false,"suffix":""},{"dropping-particle":"","family":"Dobrucalı","given":"Birce","non-dropping-particle":"","parse-names":false,"suffix":""},{"dropping-particle":"","family":"Yavas","given":"Tugce","non-dropping-particle":"","parse-names":false,"suffix":""},{"dropping-particle":"","family":"Escobar","given":"Maria Gabriela","non-dropping-particle":"","parse-names":false,"suffix":""}],"container-title":"Procedia Economics and Finance","id":"ITEM-1","issued":{"date-parts":[["2015"]]},"page":"1079-1083","title":"Services Marketing Mix Efforts of a Global Services Brand: The Case of DHL Logistics","type":"article-journal","volume":"23"},"uris":["http://www.mendeley.com/documents/?uuid=729714ff-7bb2-494f-b932-8d863b41a996"]}],"mendeley":{"formattedCitation":"(Oflac et al., 2015)","plainTextFormattedCitation":"(Oflac et al., 2015)","previouslyFormattedCitation":"(Oflac et al., 2015)"},"properties":{"noteIndex":0},"schema":"https://github.com/citation-style-language/schema/raw/master/csl-citation.json"}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(Oflac et al., 2015)</w:t>
      </w:r>
      <w:r w:rsidRPr="005F376D">
        <w:rPr>
          <w:rFonts w:ascii="Arial" w:hAnsi="Arial" w:cs="Arial"/>
          <w:sz w:val="24"/>
        </w:rPr>
        <w:fldChar w:fldCharType="end"/>
      </w:r>
      <w:r w:rsidRPr="005F376D">
        <w:rPr>
          <w:rFonts w:ascii="Arial" w:hAnsi="Arial" w:cs="Arial"/>
          <w:sz w:val="24"/>
        </w:rPr>
        <w:t xml:space="preserve">. In order to tackle suppliers' bargaining power, DHL can buy raw materials at a low cost from suppliers. The company can then switch its suppliers if the products are unsuitable because the costs of switching are low. Besides, DHL can have several suppliers within its supply chain in order to ensure efficiency. Lastly, the company can benefit by establishing closing relationships with its suppliers. </w:t>
      </w:r>
    </w:p>
    <w:p w14:paraId="26E1D509"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17" w:name="_Toc103378707"/>
      <w:r w:rsidRPr="005F376D">
        <w:rPr>
          <w:rFonts w:ascii="Arial" w:eastAsiaTheme="majorEastAsia" w:hAnsi="Arial" w:cs="Arial"/>
          <w:color w:val="1F3763" w:themeColor="accent1" w:themeShade="7F"/>
          <w:sz w:val="24"/>
          <w:szCs w:val="24"/>
        </w:rPr>
        <w:t>Bargaining power of buyers</w:t>
      </w:r>
      <w:bookmarkEnd w:id="17"/>
    </w:p>
    <w:p w14:paraId="40B66EF2"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In the industry where DHL operates are more suppliers than companies that produce the same products. It, therefore, insinuates that the buyers have limited choice of firms and do not have control over prices. Differentiation of products within the industry are many, meaning that buyers are cannot find alternative firms that offer a specific product. This challenge in switching results in a weaker force of bargaining power of buyers. Additionally, most of these buyers have a low income, meaning that the pressure to buy at low prices is high. Therefore, the buyers are sensitive to price and have a weak buying power. There lacks a noteworthy threat to buyers for backward integration. Hence, the bargaining threat of buyers is a weaker </w:t>
      </w:r>
      <w:r w:rsidRPr="005F376D">
        <w:rPr>
          <w:rFonts w:ascii="Arial" w:hAnsi="Arial" w:cs="Arial"/>
          <w:sz w:val="24"/>
        </w:rPr>
        <w:lastRenderedPageBreak/>
        <w:t xml:space="preserve">force. DHL can concentrate on product differentiation in addition to innovation to attract buyers </w:t>
      </w:r>
      <w:r w:rsidRPr="005F376D">
        <w:rPr>
          <w:rFonts w:ascii="Arial" w:hAnsi="Arial" w:cs="Arial"/>
          <w:sz w:val="24"/>
        </w:rPr>
        <w:fldChar w:fldCharType="begin" w:fldLock="1"/>
      </w:r>
      <w:r w:rsidRPr="005F376D">
        <w:rPr>
          <w:rFonts w:ascii="Arial" w:hAnsi="Arial" w:cs="Arial"/>
          <w:sz w:val="24"/>
        </w:rPr>
        <w:instrText>ADDIN CSL_CITATION {"citationItems":[{"id":"ITEM-1","itemData":{"DOI":"10.1016/S2212-5671(15)00457-8","ISSN":"22125671","author":[{"dropping-particle":"","family":"Oflac","given":"Bengu Sevil","non-dropping-particle":"","parse-names":false,"suffix":""},{"dropping-particle":"","family":"Dobrucalı","given":"Birce","non-dropping-particle":"","parse-names":false,"suffix":""},{"dropping-particle":"","family":"Yavas","given":"Tugce","non-dropping-particle":"","parse-names":false,"suffix":""},{"dropping-particle":"","family":"Escobar","given":"Maria Gabriela","non-dropping-particle":"","parse-names":false,"suffix":""}],"container-title":"Procedia Economics and Finance","id":"ITEM-1","issued":{"date-parts":[["2015"]]},"page":"1079-1083","title":"Services Marketing Mix Efforts of a Global Services Brand: The Case of DHL Logistics","type":"article-journal","volume":"23"},"uris":["http://www.mendeley.com/documents/?uuid=729714ff-7bb2-494f-b932-8d863b41a996"]}],"mendeley":{"formattedCitation":"(Oflac et al., 2015)","plainTextFormattedCitation":"(Oflac et al., 2015)","previouslyFormattedCitation":"(Oflac et al., 2015)"},"properties":{"noteIndex":0},"schema":"https://github.com/citation-style-language/schema/raw/master/csl-citation.json"}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(Oflac et al., 2015)</w:t>
      </w:r>
      <w:r w:rsidRPr="005F376D">
        <w:rPr>
          <w:rFonts w:ascii="Arial" w:hAnsi="Arial" w:cs="Arial"/>
          <w:sz w:val="24"/>
        </w:rPr>
        <w:fldChar w:fldCharType="end"/>
      </w:r>
      <w:r w:rsidRPr="005F376D">
        <w:rPr>
          <w:rFonts w:ascii="Arial" w:hAnsi="Arial" w:cs="Arial"/>
          <w:sz w:val="24"/>
        </w:rPr>
        <w:t xml:space="preserve">. Products' quality and differentiation are vital to buyers within the industry. The company can focus on these factors to attract several customers. There is also a need for DHL to build a large pool of customers since buyers have a weak bargaining power. It can achieve this by marketing with the aim of building the loyalty of its brand. Finally, DHL can utilise economies of scale to sell at a low price and develop a cost advantage. This will attract several buyers. </w:t>
      </w:r>
    </w:p>
    <w:p w14:paraId="31CB07FE"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18" w:name="_Toc103378708"/>
      <w:r w:rsidRPr="005F376D">
        <w:rPr>
          <w:rFonts w:ascii="Arial" w:eastAsiaTheme="majorEastAsia" w:hAnsi="Arial" w:cs="Arial"/>
          <w:color w:val="1F3763" w:themeColor="accent1" w:themeShade="7F"/>
          <w:sz w:val="24"/>
          <w:szCs w:val="24"/>
        </w:rPr>
        <w:t>The threat of substitute products</w:t>
      </w:r>
      <w:bookmarkEnd w:id="18"/>
    </w:p>
    <w:p w14:paraId="54FE5917"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few available substitutes in the industry where DHL operates mean no maximum profit ceiling that companies are supposed to earn in the industry. These factors ensure that there is a weaker threat of product substitution. Few substitutes offer high quality. Nevertheless, they are more expensive. Firms that produce within DHL's industry can sell at a reduced price compared to rival products. Buyers, therefore, are unlikely to switch to substitute goods and services. The threat of substitute products in the industry DHL operates is weak </w:t>
      </w:r>
      <w:r w:rsidRPr="005F376D">
        <w:rPr>
          <w:rFonts w:ascii="Arial" w:hAnsi="Arial" w:cs="Arial"/>
          <w:sz w:val="24"/>
        </w:rPr>
        <w:fldChar w:fldCharType="begin" w:fldLock="1"/>
      </w:r>
      <w:r w:rsidRPr="005F376D">
        <w:rPr>
          <w:rFonts w:ascii="Arial" w:hAnsi="Arial" w:cs="Arial"/>
          <w:sz w:val="24"/>
        </w:rPr>
        <w:instrText>ADDIN CSL_CITATION {"citationItems":[{"id":"ITEM-1","itemData":{"DOI":"10.1016/S2212-5671(15)00457-8","ISSN":"22125671","author":[{"dropping-particle":"","family":"Oflac","given":"Bengu Sevil","non-dropping-particle":"","parse-names":false,"suffix":""},{"dropping-particle":"","family":"Dobrucalı","given":"Birce","non-dropping-particle":"","parse-names":false,"suffix":""},{"dropping-particle":"","family":"Yavas","given":"Tugce","non-dropping-particle":"","parse-names":false,"suffix":""},{"dropping-particle":"","family":"Escobar","given":"Maria Gabriela","non-dropping-particle":"","parse-names":false,"suffix":""}],"container-title":"Procedia Economics and Finance","id":"ITEM-1","issued":{"date-parts":[["2015"]]},"page":"1079-1083","title":"Services Marketing Mix Efforts of a Global Services Brand: The Case of DHL Logistics","type":"article-journal","volume":"23"},"uris":["http://www.mendeley.com/documents/?uuid=729714ff-7bb2-494f-b932-8d863b41a996"]}],"mendeley":{"formattedCitation":"(Oflac et al., 2015)","plainTextFormattedCitation":"(Oflac et al., 2015)","previouslyFormattedCitation":"(Oflac et al., 2015)"},"properties":{"noteIndex":0},"schema":"https://github.com/citation-style-language/schema/raw/master/csl-citation.json"}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(Oflac et al., 2015)</w:t>
      </w:r>
      <w:r w:rsidRPr="005F376D">
        <w:rPr>
          <w:rFonts w:ascii="Arial" w:hAnsi="Arial" w:cs="Arial"/>
          <w:sz w:val="24"/>
        </w:rPr>
        <w:fldChar w:fldCharType="end"/>
      </w:r>
      <w:r w:rsidRPr="005F376D">
        <w:rPr>
          <w:rFonts w:ascii="Arial" w:hAnsi="Arial" w:cs="Arial"/>
          <w:sz w:val="24"/>
        </w:rPr>
        <w:t xml:space="preserve">. In order to overcome the threat of substitutes, DHL can aim to offer quality products so that customers can choose them. This can offer greater quality at a lower price compared to substitute products of high quality and high price. DHL should also concentrate on its differentiation of products to ensure that buyers perceive its product as exceptional and not shift to substitute products. </w:t>
      </w:r>
    </w:p>
    <w:p w14:paraId="3CAC9B93"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19" w:name="_Toc103378709"/>
      <w:r w:rsidRPr="005F376D">
        <w:rPr>
          <w:rFonts w:ascii="Arial" w:eastAsiaTheme="majorEastAsia" w:hAnsi="Arial" w:cs="Arial"/>
          <w:color w:val="1F3763" w:themeColor="accent1" w:themeShade="7F"/>
          <w:sz w:val="24"/>
          <w:szCs w:val="24"/>
        </w:rPr>
        <w:t>Rivalry among existing firms</w:t>
      </w:r>
      <w:bookmarkEnd w:id="19"/>
    </w:p>
    <w:p w14:paraId="44D93689"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number of rivals in DHL’s industry is less. The few competitors are large, meaning that the firms in the industry will be noticed whenever they make moves. As such, there is a weaker force among the existing firms in the industry. The few competitors have a large share of the market, meaning that they will engage in competitive business to become the market leaders. There are also high barriers exist within the industry because of the assets and capital needed to operate and due to government restrictions and regulations. Firms in this industry are reluctant to leave their operations </w:t>
      </w:r>
      <w:r w:rsidRPr="005F376D">
        <w:rPr>
          <w:rFonts w:ascii="Arial" w:hAnsi="Arial" w:cs="Arial"/>
          <w:sz w:val="24"/>
        </w:rPr>
        <w:fldChar w:fldCharType="begin" w:fldLock="1"/>
      </w:r>
      <w:r w:rsidRPr="005F376D">
        <w:rPr>
          <w:rFonts w:ascii="Arial" w:hAnsi="Arial" w:cs="Arial"/>
          <w:sz w:val="24"/>
        </w:rPr>
        <w:instrText>ADDIN CSL_CITATION {"citationItems":[{"id":"ITEM-1","itemData":{"DOI":"10.1016/S2212-5671(15)00457-8","ISSN":"22125671","author":[{"dropping-particle":"","family":"Oflac","given":"Bengu Sevil","non-dropping-particle":"","parse-names":false,"suffix":""},{"dropping-particle":"","family":"Dobrucalı","given":"Birce","non-dropping-particle":"","parse-names":false,"suffix":""},{"dropping-particle":"","family":"Yavas","given":"Tugce","non-dropping-particle":"","parse-names":false,"suffix":""},{"dropping-particle":"","family":"Escobar","given":"Maria Gabriela","non-dropping-particle":"","parse-names":false,"suffix":""}],"container-title":"Procedia Economics and Finance","id":"ITEM-1","issued":{"date-parts":[["2015"]]},"page":"1079-1083","title":"Services Marketing Mix Efforts of a Global Services Brand: The Case of DHL Logistics","type":"article-journal","volume":"23"},"uris":["http://www.mendeley.com/documents/?uuid=729714ff-7bb2-494f-b932-8d863b41a996"]}],"mendeley":{"formattedCitation":"(Oflac et al., 2015)","plainTextFormattedCitation":"(Oflac et al., 2015)","previouslyFormattedCitation":"(Oflac et al., 2015)"},"properties":{"noteIndex":0},"schema":"https://github.com/citation-style-language/schema/raw/master/csl-citation.json"}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(Oflac et al., 2015)</w:t>
      </w:r>
      <w:r w:rsidRPr="005F376D">
        <w:rPr>
          <w:rFonts w:ascii="Arial" w:hAnsi="Arial" w:cs="Arial"/>
          <w:sz w:val="24"/>
        </w:rPr>
        <w:fldChar w:fldCharType="end"/>
      </w:r>
      <w:r w:rsidRPr="005F376D">
        <w:rPr>
          <w:rFonts w:ascii="Arial" w:hAnsi="Arial" w:cs="Arial"/>
          <w:sz w:val="24"/>
        </w:rPr>
        <w:t xml:space="preserve">. As a result, the competition among existing forms is strong. DHL should focus on product differentiation to have minimal effects on its customers seeking unique products. The firm should also concentrate on new customers instead of winning the existing companies. Carrying out market </w:t>
      </w:r>
      <w:r w:rsidRPr="005F376D">
        <w:rPr>
          <w:rFonts w:ascii="Arial" w:hAnsi="Arial" w:cs="Arial"/>
          <w:sz w:val="24"/>
        </w:rPr>
        <w:lastRenderedPageBreak/>
        <w:t xml:space="preserve">research can also be done to understand the situation of demand and supply in the industry. </w:t>
      </w:r>
    </w:p>
    <w:p w14:paraId="5C0E0155"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20" w:name="_Toc103378710"/>
      <w:r w:rsidRPr="005F376D">
        <w:rPr>
          <w:rFonts w:ascii="Arial" w:eastAsiaTheme="majorEastAsia" w:hAnsi="Arial" w:cs="Arial"/>
          <w:color w:val="1F3763" w:themeColor="accent1" w:themeShade="7F"/>
          <w:sz w:val="24"/>
          <w:szCs w:val="24"/>
        </w:rPr>
        <w:t>Implications of Porter Five Forces Model on DHL</w:t>
      </w:r>
      <w:bookmarkEnd w:id="20"/>
      <w:r w:rsidRPr="005F376D">
        <w:rPr>
          <w:rFonts w:ascii="Arial" w:eastAsiaTheme="majorEastAsia" w:hAnsi="Arial" w:cs="Arial"/>
          <w:color w:val="1F3763" w:themeColor="accent1" w:themeShade="7F"/>
          <w:sz w:val="24"/>
          <w:szCs w:val="24"/>
        </w:rPr>
        <w:t xml:space="preserve"> </w:t>
      </w:r>
    </w:p>
    <w:p w14:paraId="2055F25F"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The model can help DHL in strategic planning to understand the various factors of the model affect the company profitability. A weaker force means a greater benefit for the company, while a stronger force is a threat to profitability. DHL’s profitability in the industry can be made and applied in its strategic planning.</w:t>
      </w:r>
    </w:p>
    <w:p w14:paraId="1C3FEDD9"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21" w:name="_Toc103378711"/>
      <w:r w:rsidRPr="005F376D">
        <w:rPr>
          <w:rFonts w:ascii="Arial" w:eastAsiaTheme="majorEastAsia" w:hAnsi="Arial" w:cs="Arial"/>
          <w:color w:val="2F5496" w:themeColor="accent1" w:themeShade="BF"/>
          <w:sz w:val="32"/>
          <w:szCs w:val="32"/>
        </w:rPr>
        <w:t>Effects of Covid-19 on Quality System</w:t>
      </w:r>
      <w:bookmarkEnd w:id="21"/>
    </w:p>
    <w:p w14:paraId="5B944E4F"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Covid-19 outbreak hit economics and health economies globally unexpectedly. The disease and its treatment were yet unknown. No one knew how long the sickness would wreak havoc on the economy. The epidemic slowed global trade and halted international travel. DHL had to predict the future of globalisation or intercontinental trade. The epidemic caused economic stress, opposing globalisation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{"citationItems":[{"id":"ITEM-1","itemData":{"author":[{"dropping-particle":"","family":"DHL","given":"","non-dropping-particle":"","parse-names":false,"suffix":""}],"id":"ITEM-1","issued":{"date-parts":[["0"]]},"title":"Globalization Proves Resilient during COVID-19 Crisis","type":"article-journal"},"uris":["http://www.mendeley.com/documents/?uuid=57cdce72-f95b-4f36-940c-93aab444c038"]}],"mendeley":{"formattedCitation":"(DHL, n.d.-c)","plainTextFormattedCitation":"(DHL, n.d.-c)","previouslyFormattedCitation":"(DHL, n.d.-c)"},"properties":{"noteIndex":0},"schema":"https://github.com/citation-style-language/schema/raw/master/csl-citation.json"}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n.d.-c)</w:t>
      </w:r>
      <w:r w:rsidRPr="005F376D">
        <w:rPr>
          <w:rFonts w:ascii="Arial" w:hAnsi="Arial" w:cs="Arial"/>
          <w:sz w:val="24"/>
        </w:rPr>
        <w:fldChar w:fldCharType="end"/>
      </w:r>
      <w:r w:rsidRPr="005F376D">
        <w:rPr>
          <w:rFonts w:ascii="Arial" w:hAnsi="Arial" w:cs="Arial"/>
          <w:sz w:val="24"/>
        </w:rPr>
        <w:t>. According to a magazine issue, DHL performed a poll of 500 top decision-makers from various businesses. The goal was to gauge their reactions to the shock and how fast global flows would recover.</w:t>
      </w:r>
    </w:p>
    <w:p w14:paraId="638D1A8B"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According to the poll, 63 per cent of respondents sourcing or operating in global markets claimed. Covid-19 lockdowns were the most expected problem prior to the economy. LIKE DHL, most UK and US businesses remained globally connected despite pandemics and trade obstacles. 74% of respondents said their companies relied heavily on worldwide partners. Considering global market integration, over 90% of respondents indicated their organisation's economic recovery depended on robust global trade flows in the coming year. Most respondents (80%) agreed that eliminating certain recent restrictive trade measures would boost their organisations' profitability. Finally, business leaders were optimistic about global trade travel last year. Most respondents stated their organisations planned to expand overseas business travel. The epidemic unfolded at a speed that the WHO described as "unique in public health history." 90 days after the virus spread to most nations, mobility restrictions and severe quarantine protocols were implemented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n.d.-b)</w:t>
      </w:r>
      <w:r w:rsidRPr="005F376D">
        <w:rPr>
          <w:rFonts w:ascii="Arial" w:hAnsi="Arial" w:cs="Arial"/>
          <w:sz w:val="24"/>
        </w:rPr>
        <w:fldChar w:fldCharType="end"/>
      </w:r>
      <w:r w:rsidRPr="005F376D">
        <w:rPr>
          <w:rFonts w:ascii="Arial" w:hAnsi="Arial" w:cs="Arial"/>
          <w:sz w:val="24"/>
        </w:rPr>
        <w:t>. In the third week of April, nearly 2.5 million new cases were recorded in over 200 countries, most of which DHL has a presence.</w:t>
      </w:r>
    </w:p>
    <w:p w14:paraId="37402B47"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lastRenderedPageBreak/>
        <w:t xml:space="preserve">Beyond health, the Covid-19 outbreak has generated problems. It has had adverse impacts on the global economy. This is not the case for Tobias Larson, CEO of DHL Resilience360, who argues that the pandemic helped DHL safeguard, track, and visualise its operations. Several worldwide sectors are now utilising this platform to manage risk, crisis response, and business continuity. He, however, acknowledges that companies were affected due to a shortage of key equipment, forcing them to close due to a lack of manufacturing capacity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{"citationItems":[{"id":"ITEM-1","itemData":{"author":[{"dropping-particle":"","family":"DHL","given":"","non-dropping-particle":"","parse-names":false,"suffix":""}],"id":"ITEM-1","issued":{"date-parts":[["0"]]},"title":"Globalization Proves Resilient during COVID-19 Crisis","type":"article-journal"},"uris":["http://www.mendeley.com/documents/?uuid=57cdce72-f95b-4f36-940c-93aab444c038"]}],"mendeley":{"formattedCitation":"(DHL, n.d.-c)","plainTextFormattedCitation":"(DHL, n.d.-c)","previouslyFormattedCitation":"(DHL, n.d.-c)"},"properties":{"noteIndex":0},"schema":"https://github.com/citation-style-language/schema/raw/master/csl-citation.json"}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n.d.-c)</w:t>
      </w:r>
      <w:r w:rsidRPr="005F376D">
        <w:rPr>
          <w:rFonts w:ascii="Arial" w:hAnsi="Arial" w:cs="Arial"/>
          <w:sz w:val="24"/>
        </w:rPr>
        <w:fldChar w:fldCharType="end"/>
      </w:r>
      <w:r w:rsidRPr="005F376D">
        <w:rPr>
          <w:rFonts w:ascii="Arial" w:hAnsi="Arial" w:cs="Arial"/>
          <w:sz w:val="24"/>
        </w:rPr>
        <w:t xml:space="preserve">. Some of the experienced employees in those companies lost the battle to the pandemic. </w:t>
      </w:r>
    </w:p>
    <w:p w14:paraId="33C90209"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Several organisations use smart logistics methods to respond to disruptive situations like Covid-19. Global transportation networks have shown adaptive in a crisis, relocating assets, modifying capacity, and changing routes to suit changing demand. The Covid-19 outbreak has overloaded logistic businesses like DHL. According to Larsson, “Suppliers are the essential connection in every other dilemma. You can always provide if they can produce.” (DHL, n.d.) DHL's logistical relationships have been strained. During the pandemic, air transport collapsed, wiping away half of the world's regular air freight capacity. This is because most of the material is transported by plane. Labour shortages and port restrictions hindered shipping. Trucking companies battled driver shortages, border delays, and route closures. </w:t>
      </w:r>
    </w:p>
    <w:p w14:paraId="415FD26F"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22" w:name="_Toc103378712"/>
      <w:r w:rsidRPr="005F376D">
        <w:rPr>
          <w:rFonts w:ascii="Arial" w:eastAsiaTheme="majorEastAsia" w:hAnsi="Arial" w:cs="Arial"/>
          <w:color w:val="2F5496" w:themeColor="accent1" w:themeShade="BF"/>
          <w:sz w:val="32"/>
          <w:szCs w:val="32"/>
        </w:rPr>
        <w:t>Workplace Culture of DHL</w:t>
      </w:r>
      <w:bookmarkEnd w:id="22"/>
    </w:p>
    <w:p w14:paraId="1418CAE3" w14:textId="77777777" w:rsidR="005F376D" w:rsidRPr="005F376D" w:rsidRDefault="005F376D" w:rsidP="005F376D">
      <w:pPr>
        <w:spacing w:line="360" w:lineRule="auto"/>
        <w:ind w:firstLine="720"/>
        <w:rPr>
          <w:rFonts w:ascii="Arial" w:hAnsi="Arial" w:cs="Arial"/>
          <w:noProof/>
          <w:sz w:val="24"/>
        </w:rPr>
      </w:pPr>
      <w:r w:rsidRPr="005F376D">
        <w:rPr>
          <w:rFonts w:ascii="Arial" w:hAnsi="Arial" w:cs="Arial"/>
          <w:sz w:val="24"/>
        </w:rPr>
        <w:t xml:space="preserve">The workplace culture of an organisation can be understood using the cultural web. It identifies six organisational culture elements that help in making up the paradigm designed by Johnson and Scholes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Seonaidh","given":"McDonald","non-dropping-particle":"","parse-names":false,"suffix":""},{"dropping-particle":"","family":"Foster","given":"Richard","non-dropping-particle":"","parse-names":false,"suffix":""}],"container-title":"International Journal of Management","id":"ITEM-1","issue":"4","issued":{"date-parts":[["2013"]]},"page":"340-354","title":"The Use of Johnson's Cultural Web to Improve Understanding of Organisational Culture: A Critical Review","type":"article-journal","volume":"30"},"uris":["http://www.mendeley.com/documents/?uuid=a95a7f42-062e-4bd1-b994-745cebc23789"]}],"mendeley":{"formattedCitation":"(Seonaidh &amp; Foster, 2013)","plainTextFormattedCitation":"(Seonaidh &amp; Foster, 2013)","previouslyFormattedCitation":"(Seonaidh &amp; Foster, 2013)"},"properties":{"noteIndex":0},"schema":"https://github.com/citation-style-language/schema/raw/master/csl-citation.json"}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(Seonaidh &amp; Foster, 2013)</w:t>
      </w:r>
      <w:r w:rsidRPr="005F376D">
        <w:rPr>
          <w:rFonts w:ascii="Arial" w:hAnsi="Arial" w:cs="Arial"/>
          <w:sz w:val="24"/>
        </w:rPr>
        <w:fldChar w:fldCharType="end"/>
      </w:r>
      <w:r w:rsidRPr="005F376D">
        <w:rPr>
          <w:rFonts w:ascii="Arial" w:hAnsi="Arial" w:cs="Arial"/>
          <w:sz w:val="24"/>
        </w:rPr>
        <w:t>. In their case, self-consistent beliefs and ideas act as a filter and influence how we perceive and make sense of things.</w:t>
      </w:r>
      <w:r w:rsidRPr="005F376D">
        <w:rPr>
          <w:rFonts w:ascii="Arial" w:hAnsi="Arial" w:cs="Arial"/>
          <w:noProof/>
          <w:sz w:val="24"/>
        </w:rPr>
        <w:t xml:space="preserve"> </w:t>
      </w:r>
    </w:p>
    <w:p w14:paraId="162C22C9" w14:textId="77777777" w:rsidR="005F376D" w:rsidRPr="005F376D" w:rsidRDefault="005F376D" w:rsidP="005F376D">
      <w:pPr>
        <w:keepNext/>
        <w:spacing w:line="360" w:lineRule="auto"/>
        <w:jc w:val="center"/>
        <w:rPr>
          <w:rFonts w:ascii="Arial" w:hAnsi="Arial" w:cs="Arial"/>
          <w:sz w:val="24"/>
        </w:rPr>
      </w:pPr>
      <w:r w:rsidRPr="005F376D">
        <w:rPr>
          <w:rFonts w:ascii="Arial" w:hAnsi="Arial" w:cs="Arial"/>
          <w:noProof/>
          <w:sz w:val="24"/>
        </w:rPr>
        <w:lastRenderedPageBreak/>
        <w:drawing>
          <wp:inline distT="0" distB="0" distL="0" distR="0" wp14:anchorId="4C5AAE53" wp14:editId="4DDE8204">
            <wp:extent cx="4023360" cy="2720014"/>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rcRect t="2725" r="3090"/>
                    <a:stretch>
                      <a:fillRect/>
                    </a:stretch>
                  </pic:blipFill>
                  <pic:spPr bwMode="auto">
                    <a:xfrm>
                      <a:off x="0" y="0"/>
                      <a:ext cx="4032237" cy="2726015"/>
                    </a:xfrm>
                    <a:prstGeom prst="rect">
                      <a:avLst/>
                    </a:prstGeom>
                    <a:ln>
                      <a:noFill/>
                    </a:ln>
                    <a:effectLst>
                      <a:softEdge rad="0"/>
                    </a:effectLst>
                    <a:extLst>
                      <a:ext uri="{53640926-AAD7-44D8-BBD7-CCE9431645EC}">
                        <a14:shadowObscured xmlns:a14="http://schemas.microsoft.com/office/drawing/2010/main"/>
                      </a:ext>
                    </a:extLst>
                  </pic:spPr>
                </pic:pic>
              </a:graphicData>
            </a:graphic>
          </wp:inline>
        </w:drawing>
      </w:r>
    </w:p>
    <w:p w14:paraId="363F34F7" w14:textId="77777777" w:rsidR="005F376D" w:rsidRPr="005F376D" w:rsidRDefault="005F376D" w:rsidP="005F376D">
      <w:pPr>
        <w:spacing w:line="360" w:lineRule="auto"/>
        <w:jc w:val="center"/>
        <w:rPr>
          <w:rFonts w:ascii="Arial" w:hAnsi="Arial" w:cs="Arial"/>
          <w:sz w:val="24"/>
        </w:rPr>
      </w:pPr>
      <w:bookmarkStart w:id="23" w:name="_Toc103378379"/>
      <w:r w:rsidRPr="005F376D">
        <w:rPr>
          <w:rFonts w:ascii="Arial" w:hAnsi="Arial" w:cs="Arial"/>
          <w:sz w:val="24"/>
        </w:rPr>
        <w:t xml:space="preserve">Figure </w:t>
      </w:r>
      <w:r w:rsidRPr="005F376D">
        <w:rPr>
          <w:rFonts w:ascii="Arial" w:hAnsi="Arial" w:cs="Arial"/>
          <w:sz w:val="24"/>
        </w:rPr>
        <w:fldChar w:fldCharType="begin"/>
      </w:r>
      <w:r w:rsidRPr="005F376D">
        <w:rPr>
          <w:rFonts w:ascii="Arial" w:hAnsi="Arial" w:cs="Arial"/>
          <w:sz w:val="24"/>
        </w:rPr>
        <w:instrText xml:space="preserve"> SEQ Figure \* ARABIC </w:instrText>
      </w:r>
      <w:r w:rsidRPr="005F376D">
        <w:rPr>
          <w:rFonts w:ascii="Arial" w:hAnsi="Arial" w:cs="Arial"/>
          <w:sz w:val="24"/>
        </w:rPr>
        <w:fldChar w:fldCharType="separate"/>
      </w:r>
      <w:r w:rsidRPr="005F376D">
        <w:rPr>
          <w:rFonts w:ascii="Arial" w:hAnsi="Arial" w:cs="Arial"/>
          <w:noProof/>
          <w:sz w:val="24"/>
        </w:rPr>
        <w:t>2</w:t>
      </w:r>
      <w:r w:rsidRPr="005F376D">
        <w:rPr>
          <w:rFonts w:ascii="Arial" w:hAnsi="Arial" w:cs="Arial"/>
          <w:sz w:val="24"/>
        </w:rPr>
        <w:fldChar w:fldCharType="end"/>
      </w:r>
      <w:r w:rsidRPr="005F376D">
        <w:rPr>
          <w:rFonts w:ascii="Arial" w:hAnsi="Arial" w:cs="Arial"/>
          <w:sz w:val="24"/>
        </w:rPr>
        <w:t xml:space="preserve">: The Culture Web </w:t>
      </w:r>
      <w:r w:rsidRPr="005F376D">
        <w:rPr>
          <w:rFonts w:ascii="Arial" w:hAnsi="Arial" w:cs="Arial"/>
          <w:sz w:val="24"/>
        </w:rPr>
        <w:fldChar w:fldCharType="begin" w:fldLock="1"/>
      </w:r>
      <w:r w:rsidRPr="005F376D">
        <w:rPr>
          <w:rFonts w:ascii="Arial" w:hAnsi="Arial" w:cs="Arial"/>
          <w:sz w:val="24"/>
        </w:rPr>
        <w:instrText>ADDIN CSL_CITATION {"citationItems":[{"id":"ITEM-1","itemData":{"DOI":"10.12968/bjom.2013.21.9.648","ISSN":"0969-4900","author":[{"dropping-particle":"","family":"Freemantle","given":"Danielle","non-dropping-particle":"","parse-names":false,"suffix":""}],"container-title":"British Journal of Midwifery","id":"ITEM-1","issue":"9","issued":{"date-parts":[["2013","9"]]},"page":"648-653","title":"Part 1: The cultural web – A model for change in maternity services","type":"article-journal","volume":"21"},"uris":["http://www.mendeley.com/documents/?uuid=f3e382a5-08cb-4b9c-b990-b3b03a214b2e"]}],"mendeley":{"formattedCitation":"(Freemantle, 2013)","plainTextFormattedCitation":"(Freemantle, 2013)"},"properties":{"noteIndex":0},"schema":"https://github.com/citation-style-language/schema/raw/master/csl-citation.json"}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(Freemantle, 2013)</w:t>
      </w:r>
      <w:bookmarkEnd w:id="23"/>
      <w:r w:rsidRPr="005F376D">
        <w:rPr>
          <w:rFonts w:ascii="Arial" w:hAnsi="Arial" w:cs="Arial"/>
          <w:sz w:val="24"/>
        </w:rPr>
        <w:fldChar w:fldCharType="end"/>
      </w:r>
    </w:p>
    <w:p w14:paraId="31DFA732" w14:textId="77777777" w:rsidR="005F376D" w:rsidRPr="005F376D" w:rsidRDefault="005F376D" w:rsidP="005F376D">
      <w:pPr>
        <w:spacing w:after="200" w:line="360" w:lineRule="auto"/>
        <w:jc w:val="center"/>
        <w:rPr>
          <w:rFonts w:ascii="Arial" w:hAnsi="Arial" w:cs="Arial"/>
          <w:i/>
          <w:iCs/>
          <w:color w:val="44546A" w:themeColor="text2"/>
          <w:sz w:val="18"/>
          <w:szCs w:val="18"/>
        </w:rPr>
      </w:pPr>
    </w:p>
    <w:p w14:paraId="6C1DFD3B" w14:textId="77777777" w:rsidR="005F376D" w:rsidRPr="005F376D" w:rsidRDefault="005F376D" w:rsidP="005F376D">
      <w:pPr>
        <w:spacing w:line="360" w:lineRule="auto"/>
        <w:rPr>
          <w:rFonts w:ascii="Arial" w:hAnsi="Arial" w:cs="Arial"/>
          <w:sz w:val="24"/>
        </w:rPr>
      </w:pPr>
      <w:r w:rsidRPr="005F376D">
        <w:rPr>
          <w:rFonts w:ascii="Arial" w:hAnsi="Arial" w:cs="Arial"/>
          <w:sz w:val="24"/>
        </w:rPr>
        <w:t xml:space="preserve">DHL has been recognised as one of the best workplace environments in the world. As the largest express service provider globally, it has been recognised as a great place of work by Fortune and Great Place to Work. The two are international consulting firms and people analytics firms that assess the employees’ work experience through their certification programmes </w:t>
      </w:r>
      <w:r w:rsidRPr="005F376D">
        <w:rPr>
          <w:rFonts w:ascii="Arial" w:hAnsi="Arial" w:cs="Arial"/>
          <w:sz w:val="24"/>
        </w:rPr>
        <w:fldChar w:fldCharType="begin" w:fldLock="1"/>
      </w:r>
      <w:r w:rsidRPr="005F376D">
        <w:rPr>
          <w:rFonts w:ascii="Arial" w:hAnsi="Arial" w:cs="Arial"/>
          <w:sz w:val="24"/>
        </w:rPr>
        <w:instrText>ADDIN CSL_CITATION {"citationItems":[{"id":"ITEM-1","itemData":{"URL":"https://www.dhl.com/global-en/home/our-divisions/freight/thought-leadership/articles/dhl-freight-customer-service-satisfaction-survey.html","author":[{"dropping-particle":"","family":"DHL","given":"","non-dropping-particle":"","parse-names":false,"suffix":""}],"id":"ITEM-1","issued":{"date-parts":[["0"]]},"title":"DHL Freight Customer Satisfaction Survey","type":"webpage"},"uris":["http://www.mendeley.com/documents/?uuid=237aee45-9fb8-48dc-964c-2d45b7e6175b"]}],"mendeley":{"formattedCitation":"(DHL, n.d.-a)","plainTextFormattedCitation":"(DHL, n.d.-a)","previouslyFormattedCitation":"(DHL, n.d.-a)"},"properties":{"noteIndex":0},"schema":"https://github.com/citation-style-language/schema/raw/master/csl-citation.json"}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n.d.-a)</w:t>
      </w:r>
      <w:r w:rsidRPr="005F376D">
        <w:rPr>
          <w:rFonts w:ascii="Arial" w:hAnsi="Arial" w:cs="Arial"/>
          <w:sz w:val="24"/>
        </w:rPr>
        <w:fldChar w:fldCharType="end"/>
      </w:r>
      <w:r w:rsidRPr="005F376D">
        <w:rPr>
          <w:rFonts w:ascii="Arial" w:hAnsi="Arial" w:cs="Arial"/>
          <w:sz w:val="24"/>
        </w:rPr>
        <w:t>. DHL emerged fourth globally in 2019 after the participation of over eight thousand companies in the survey. The survey considered the voices of twelve million employees globally. Twenty-five companies were selected from the list of companies as the best places to work. DHL’s ranking as the best workplace was fourth in a row.</w:t>
      </w:r>
    </w:p>
    <w:p w14:paraId="5588B8FE"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According to DHL’s CEO John Person, “This hat-trick is a huge source of pride for everyone at DHL Express. It is also a strong testament that our culture of recognition is the main driver for our outstanding employee satisfaction. Our more than 100, 000 employees are at the heart of our business and the most important driver of our global success. They are the ones who put their passion for their work at the service of our customers to offer them the best possible quality – every day, everywhere.” </w:t>
      </w:r>
      <w:r w:rsidRPr="005F376D">
        <w:rPr>
          <w:rFonts w:ascii="Arial" w:hAnsi="Arial" w:cs="Arial"/>
          <w:sz w:val="24"/>
        </w:rPr>
        <w:fldChar w:fldCharType="begin" w:fldLock="1"/>
      </w:r>
      <w:r w:rsidRPr="005F376D">
        <w:rPr>
          <w:rFonts w:ascii="Arial" w:hAnsi="Arial" w:cs="Arial"/>
          <w:sz w:val="24"/>
        </w:rPr>
        <w:instrText>ADDIN CSL_CITATION {"citationItems":[{"id":"ITEM-1","itemData":{"URL":"https://www.dhl.com/global-en/home/our-divisions/freight/thought-leadership/articles/dhl-freight-customer-service-satisfaction-survey.html","author":[{"dropping-particle":"","family":"DHL","given":"","non-dropping-particle":"","parse-names":false,"suffix":""}],"id":"ITEM-1","issued":{"date-parts":[["0"]]},"title":"DHL Freight Customer Satisfaction Survey","type":"webpage"},"uris":["http://www.mendeley.com/documents/?uuid=237aee45-9fb8-48dc-964c-2d45b7e6175b"]}],"mendeley":{"formattedCitation":"(DHL, n.d.-a)","plainTextFormattedCitation":"(DHL, n.d.-a)","previouslyFormattedCitation":"(DHL, n.d.-a)"},"properties":{"noteIndex":0},"schema":"https://github.com/citation-style-language/schema/raw/master/csl-citation.json"}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n.d.-a)</w:t>
      </w:r>
      <w:r w:rsidRPr="005F376D">
        <w:rPr>
          <w:rFonts w:ascii="Arial" w:hAnsi="Arial" w:cs="Arial"/>
          <w:sz w:val="24"/>
        </w:rPr>
        <w:fldChar w:fldCharType="end"/>
      </w:r>
    </w:p>
    <w:p w14:paraId="792DCC26"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According to the Executive Vice President HR manager of DHL Express, "Our intention has always been to be an employer of choice. We want DHL Express to be somewhere that people desire to work and where our people enjoy coming to work </w:t>
      </w:r>
      <w:r w:rsidRPr="005F376D">
        <w:rPr>
          <w:rFonts w:ascii="Arial" w:hAnsi="Arial" w:cs="Arial"/>
          <w:sz w:val="24"/>
        </w:rPr>
        <w:lastRenderedPageBreak/>
        <w:t xml:space="preserve">every day. We have achieved that by abiding by a very simple strategy that starts with 'motivated people', which has enabled us to carve out a distinct culture within our business. Our high-performance mentality is echoed worldwide, and our people possess a genuine sense of passion and purpose – something which I am incredibly proud that Great Place to Work continues to recognise.”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{"citationItems":[{"id":"ITEM-1","itemData":{"author":[{"dropping-particle":"","family":"DHL","given":"","non-dropping-particle":"","parse-names":false,"suffix":""}],"id":"ITEM-1","issued":{"date-parts":[["0"]]},"title":"Globalization Proves Resilient during COVID-19 Crisis","type":"article-journal"},"uris":["http://www.mendeley.com/documents/?uuid=57cdce72-f95b-4f36-940c-93aab444c038"]}],"mendeley":{"formattedCitation":"(DHL, n.d.-c)","plainTextFormattedCitation":"(DHL, n.d.-c)","previouslyFormattedCitation":"(DHL, n.d.-c)"},"properties":{"noteIndex":0},"schema":"https://github.com/citation-style-language/schema/raw/master/csl-citation.json"}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n.d.-c)</w:t>
      </w:r>
      <w:r w:rsidRPr="005F376D">
        <w:rPr>
          <w:rFonts w:ascii="Arial" w:hAnsi="Arial" w:cs="Arial"/>
          <w:sz w:val="24"/>
        </w:rPr>
        <w:fldChar w:fldCharType="end"/>
      </w:r>
    </w:p>
    <w:p w14:paraId="6CFDD2E0"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Michael Bush, Great Place to Work's CEO, says, "If you think about what over 100,000 people do every day at DHL in over 220 countries to deliver products and services in the most urban and remote corners of the world, this is perhaps the most global company in the world. When you think about all the language, culture, weather, and regulatory challenges they face daily, yet they can connect people and improve lives (putting their employees first), it is one of the most amazing companies globally.”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{"citationItems":[{"id":"ITEM-1","itemData":{"author":[{"dropping-particle":"","family":"DHL","given":"","non-dropping-particle":"","parse-names":false,"suffix":""}],"id":"ITEM-1","issued":{"date-parts":[["0"]]},"title":"Globalization Proves Resilient during COVID-19 Crisis","type":"article-journal"},"uris":["http://www.mendeley.com/documents/?uuid=57cdce72-f95b-4f36-940c-93aab444c038"]}],"mendeley":{"formattedCitation":"(DHL, n.d.-c)","plainTextFormattedCitation":"(DHL, n.d.-c)","previouslyFormattedCitation":"(DHL, n.d.-c)"},"properties":{"noteIndex":0},"schema":"https://github.com/citation-style-language/schema/raw/master/csl-citation.json"}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n.d.-c)</w:t>
      </w:r>
      <w:r w:rsidRPr="005F376D">
        <w:rPr>
          <w:rFonts w:ascii="Arial" w:hAnsi="Arial" w:cs="Arial"/>
          <w:sz w:val="24"/>
        </w:rPr>
        <w:fldChar w:fldCharType="end"/>
      </w:r>
    </w:p>
    <w:p w14:paraId="608FCBFE"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24" w:name="_Toc103378713"/>
      <w:r w:rsidRPr="005F376D">
        <w:rPr>
          <w:rFonts w:ascii="Arial" w:eastAsiaTheme="majorEastAsia" w:hAnsi="Arial" w:cs="Arial"/>
          <w:color w:val="2F5496" w:themeColor="accent1" w:themeShade="BF"/>
          <w:sz w:val="32"/>
          <w:szCs w:val="32"/>
        </w:rPr>
        <w:t>DHL Organisational Culture and its Efficiency</w:t>
      </w:r>
      <w:bookmarkEnd w:id="24"/>
    </w:p>
    <w:p w14:paraId="0791A96A"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DHL works with diverse employees in a work culture that leverages commonalities and in a culture that is beyond workplace differences. A successful multinational company that operates on a door-to-door service requires a cross-functional team in its global network </w:t>
      </w:r>
      <w:r w:rsidRPr="005F376D">
        <w:rPr>
          <w:rFonts w:ascii="Arial" w:hAnsi="Arial" w:cs="Arial"/>
          <w:sz w:val="24"/>
        </w:rPr>
        <w:fldChar w:fldCharType="begin" w:fldLock="1"/>
      </w:r>
      <w:r w:rsidRPr="005F376D">
        <w:rPr>
          <w:rFonts w:ascii="Arial" w:hAnsi="Arial" w:cs="Arial"/>
          <w:sz w:val="24"/>
        </w:rPr>
        <w:instrText>ADDIN CSL_CITATION {"citationItems":[{"id":"ITEM-1","itemData":{"DOI":"10.32535/ijthap.v4i1.1022","ISSN":"26858800","container-title":"International Journal of Tourism and Hospitality in Asia Pasific","id":"ITEM-1","issue":"1","issued":{"date-parts":[["2021","2","20"]]},"page":"64-72","title":"The Impact of Global Trend on Courier Service and Consumer Satisfaction: A Study of DHL","type":"article-journal","volume":"4"},"uris":["http://www.mendeley.com/documents/?uuid=0466c4b7-5796-429c-a28d-462945e14e4b"]}],"mendeley":{"formattedCitation":"(“The Impact of Global Trend on Courier Service and Consumer Satisfaction: A Study of DHL,” 2021)","plainTextFormattedCitation":"(“The Impact of Global Trend on Courier Service and Consumer Satisfaction: A Study of DHL,” 2021)","previouslyFormattedCitation":"(“The Impact of Global Trend on Courier Service and Consumer Satisfaction: A Study of DHL,” 2021)"},"properties":{"noteIndex":0},"schema":"https://github.com/citation-style-language/schema/raw/master/csl-citation.json"}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("The Impact of Global Trends on Courier Service and Consumer Satisfaction: A Study of DHL," 2021)</w:t>
      </w:r>
      <w:r w:rsidRPr="005F376D">
        <w:rPr>
          <w:rFonts w:ascii="Arial" w:hAnsi="Arial" w:cs="Arial"/>
          <w:sz w:val="24"/>
        </w:rPr>
        <w:fldChar w:fldCharType="end"/>
      </w:r>
      <w:r w:rsidRPr="005F376D">
        <w:rPr>
          <w:rFonts w:ascii="Arial" w:hAnsi="Arial" w:cs="Arial"/>
          <w:sz w:val="24"/>
        </w:rPr>
        <w:t xml:space="preserve">. DHL works with employees from diverse cultures with contrasting experiences and different views. This diversity can be a strength or a weakness for most companies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{"citationItems":[{"id":"ITEM-1","itemData":{"author":[{"dropping-particle":"","family":"Lopes","given":"Camila Papa","non-dropping-particle":"","parse-names":false,"suffix":""},{"dropping-particle":"","family":"Lobato","given":"Monteiro","non-dropping-particle":"","parse-names":false,"suffix":""},{"dropping-particle":"","family":"Akabane","given":"Getulio Kazue","non-dropping-particle":"","parse-names":false,"suffix":""},{"dropping-particle":"de","family":"Mendonça","given":"Carvalho","non-dropping-particle":"","parse-names":false,"suffix":""},{"dropping-particle":"","family":"Barreto","given":"Rafael Mateus","non-dropping-particle":"","parse-names":false,"suffix":""},{"dropping-particle":"","family":"Shimizu","given":"Ulisses K.","non-dropping-particle":"","parse-names":false,"suffix":""},{"dropping-particle":"","family":"Luiz","given":"Washington","non-dropping-particle":"","parse-names":false,"suffix":""}],"container-title":"POMS 21st Annual Conference","id":"ITEM-1","issued":{"date-parts":[["2010"]]},"title":"Organizational culture by change management: DHL Global Forwarding case study","type":"paper-conference"},"uris":["http://www.mendeley.com/documents/?uuid=06870164-20c7-4eaa-9a06-074070bd7ebf"]}],"mendeley":{"formattedCitation":"(Lopes et al., 2010)","plainTextFormattedCitation":"(Lopes et al., 2010)","previouslyFormattedCitation":"(Lopes et al., 2010)"},"properties":{"noteIndex":0},"schema":"https://github.com/citation-style-language/schema/raw/master/csl-citation.json"}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(Lopes et al., 2010)</w:t>
      </w:r>
      <w:r w:rsidRPr="005F376D">
        <w:rPr>
          <w:rFonts w:ascii="Arial" w:hAnsi="Arial" w:cs="Arial"/>
          <w:sz w:val="24"/>
        </w:rPr>
        <w:fldChar w:fldCharType="end"/>
      </w:r>
      <w:r w:rsidRPr="005F376D">
        <w:rPr>
          <w:rFonts w:ascii="Arial" w:hAnsi="Arial" w:cs="Arial"/>
          <w:sz w:val="24"/>
        </w:rPr>
        <w:t xml:space="preserve">. For instance, global teams can face cultural differences that affect interpersonal communication, hindering efficiency. In order to navigate this, it is important to establish a healthy workplace. </w:t>
      </w:r>
    </w:p>
    <w:p w14:paraId="7A1D0EB0"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DHL aims at connecting people and improving lives. This course has ensured that its teams can effectively appreciate and navigate cultural differences. According to the company, diversity is a legally protected feature and a mindset that benefits its customers and employees. The company has integrated inclusivity in the workplace, collaboration and teamwork to ensure mutual respect, integrity, honesty and openness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{"citationItems":[{"id":"ITEM-1","itemData":{"author":[{"dropping-particle":"","family":"Lopes","given":"Camila Papa","non-dropping-particle":"","parse-names":false,"suffix":""},{"dropping-particle":"","family":"Lobato","given":"Monteiro","non-dropping-particle":"","parse-names":false,"suffix":""},{"dropping-particle":"","family":"Akabane","given":"Getulio Kazue","non-dropping-particle":"","parse-names":false,"suffix":""},{"dropping-particle":"de","family":"Mendonça","given":"Carvalho","non-dropping-particle":"","parse-names":false,"suffix":""},{"dropping-particle":"","family":"Barreto","given":"Rafael Mateus","non-dropping-particle":"","parse-names":false,"suffix":""},{"dropping-particle":"","family":"Shimizu","given":"Ulisses K.","non-dropping-particle":"","parse-names":false,"suffix":""},{"dropping-particle":"","family":"Luiz","given":"Washington","non-dropping-particle":"","parse-names":false,"suffix":""}],"container-title":"POMS 21st Annual Conference","id":"ITEM-1","issued":{"date-parts":[["2010"]]},"title":"Organizational culture by change management: DHL Global Forwarding case study","type":"paper-conference"},"uris":["http://www.mendeley.com/documents/?uuid=06870164-20c7-4eaa-9a06-074070bd7ebf"]}],"mendeley":{"formattedCitation":"(Lopes et al., 2010)","plainTextFormattedCitation":"(Lopes et al., 2010)","previouslyFormattedCitation":"(Lopes et al., 2010)"},"properties":{"noteIndex":0},"schema":"https://github.com/citation-style-language/schema/raw/master/csl-citation.json"}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(Lopes et al., 2010)</w:t>
      </w:r>
      <w:r w:rsidRPr="005F376D">
        <w:rPr>
          <w:rFonts w:ascii="Arial" w:hAnsi="Arial" w:cs="Arial"/>
          <w:sz w:val="24"/>
        </w:rPr>
        <w:fldChar w:fldCharType="end"/>
      </w:r>
      <w:r w:rsidRPr="005F376D">
        <w:rPr>
          <w:rFonts w:ascii="Arial" w:hAnsi="Arial" w:cs="Arial"/>
          <w:sz w:val="24"/>
        </w:rPr>
        <w:t xml:space="preserve">. DHL realises this by training its managers and employees about inclusivity and diversity. For managers to reach out to their teams effectively, DHL has trained them to be culturally sensitive to others, understand cultural navigation and ways of avoiding discrimination. </w:t>
      </w:r>
    </w:p>
    <w:p w14:paraId="47C96535"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lastRenderedPageBreak/>
        <w:t xml:space="preserve">In order to overcome cultural divides, DHL perceives every person as an asset. The company provides its team with innovation autonomy and workplace improvement to help them achieve their potential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{"citationItems":[{"id":"ITEM-1","itemData":{"author":[{"dropping-particle":"","family":"Lopes","given":"Camila Papa","non-dropping-particle":"","parse-names":false,"suffix":""},{"dropping-particle":"","family":"Lobato","given":"Monteiro","non-dropping-particle":"","parse-names":false,"suffix":""},{"dropping-particle":"","family":"Akabane","given":"Getulio Kazue","non-dropping-particle":"","parse-names":false,"suffix":""},{"dropping-particle":"de","family":"Mendonça","given":"Carvalho","non-dropping-particle":"","parse-names":false,"suffix":""},{"dropping-particle":"","family":"Barreto","given":"Rafael Mateus","non-dropping-particle":"","parse-names":false,"suffix":""},{"dropping-particle":"","family":"Shimizu","given":"Ulisses K.","non-dropping-particle":"","parse-names":false,"suffix":""},{"dropping-particle":"","family":"Luiz","given":"Washington","non-dropping-particle":"","parse-names":false,"suffix":""}],"container-title":"POMS 21st Annual Conference","id":"ITEM-1","issued":{"date-parts":[["2010"]]},"title":"Organizational culture by change management: DHL Global Forwarding case study","type":"paper-conference"},"uris":["http://www.mendeley.com/documents/?uuid=06870164-20c7-4eaa-9a06-074070bd7ebf"]}],"mendeley":{"formattedCitation":"(Lopes et al., 2010)","plainTextFormattedCitation":"(Lopes et al., 2010)","previouslyFormattedCitation":"(Lopes et al., 2010)"},"properties":{"noteIndex":0},"schema":"https://github.com/citation-style-language/schema/raw/master/csl-citation.json"}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(Lopes et al., 2010)</w:t>
      </w:r>
      <w:r w:rsidRPr="005F376D">
        <w:rPr>
          <w:rFonts w:ascii="Arial" w:hAnsi="Arial" w:cs="Arial"/>
          <w:sz w:val="24"/>
        </w:rPr>
        <w:fldChar w:fldCharType="end"/>
      </w:r>
      <w:r w:rsidRPr="005F376D">
        <w:rPr>
          <w:rFonts w:ascii="Arial" w:hAnsi="Arial" w:cs="Arial"/>
          <w:sz w:val="24"/>
        </w:rPr>
        <w:t xml:space="preserve">. Since its employees understand how to engage with customers, they can design work processes and workflow. This is beneficial to them as individuals and the entire company since overall efficiency improves and establishes a culture of mutual respect, innovation and openness. Practically, this emanates through collaborative activities in which people from different cultural differences influence diverse perspectives to realise a goal. The company encourages this by giving competitive compensation for innovative employees that contribute to its mission. DHL conducts employee opinion surveys whey individuals can give their feedback anonymously to add a critical engagement touchpoint. The company advocates for an "open door" policy of communication where it assesses the satisfaction of employees and areas where they need to improve. It is a vital platform which can identify practices which exacerbate different cultures and its vital to understanding the needs of its employees. </w:t>
      </w:r>
    </w:p>
    <w:p w14:paraId="143C720E" w14:textId="77777777" w:rsidR="005F376D" w:rsidRPr="005F376D" w:rsidRDefault="005F376D" w:rsidP="005F376D">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25" w:name="_Toc103378714"/>
      <w:r w:rsidRPr="005F376D">
        <w:rPr>
          <w:rFonts w:ascii="Arial" w:eastAsiaTheme="majorEastAsia" w:hAnsi="Arial" w:cs="Arial"/>
          <w:color w:val="2F5496" w:themeColor="accent1" w:themeShade="BF"/>
          <w:sz w:val="32"/>
          <w:szCs w:val="32"/>
        </w:rPr>
        <w:t>Ethical Dilemma</w:t>
      </w:r>
      <w:bookmarkEnd w:id="25"/>
    </w:p>
    <w:p w14:paraId="6DF047B8"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recent encounter with the Corona Virus was another ethical dilemma that faced DHL. Globally, the world lauded the front-line workers in the medical fraternity for their fight against the pandemic. Very little consideration was put on other workers in the supply chain who toiled in the hard condition to keep the world running. DHL put its workers in the forefront to supply humanitarian aid. All the customs teams of the company were working as usual despite the threat that the disease posed. This was a hard decision for the company to make, but the service to humanity came first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{"citationItems":[{"id":"ITEM-1","itemData":{"author":[{"dropping-particle":"","family":"DHL","given":"","non-dropping-particle":"","parse-names":false,"suffix":""}],"id":"ITEM-1","issued":{"date-parts":[["0"]]},"title":"Globalization Proves Resilient during COVID-19 Crisis","type":"article-journal"},"uris":["http://www.mendeley.com/documents/?uuid=57cdce72-f95b-4f36-940c-93aab444c038"]}],"mendeley":{"formattedCitation":"(DHL, n.d.-c)","plainTextFormattedCitation":"(DHL, n.d.-c)","previouslyFormattedCitation":"(DHL, n.d.-c)"},"properties":{"noteIndex":0},"schema":"https://github.com/citation-style-language/schema/raw/master/csl-citation.json"}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(DHL, n.d.-c)</w:t>
      </w:r>
      <w:r w:rsidRPr="005F376D">
        <w:rPr>
          <w:rFonts w:ascii="Arial" w:hAnsi="Arial" w:cs="Arial"/>
          <w:sz w:val="24"/>
        </w:rPr>
        <w:fldChar w:fldCharType="end"/>
      </w:r>
      <w:r w:rsidRPr="005F376D">
        <w:rPr>
          <w:rFonts w:ascii="Arial" w:hAnsi="Arial" w:cs="Arial"/>
          <w:sz w:val="24"/>
        </w:rPr>
        <w:t>.</w:t>
      </w:r>
    </w:p>
    <w:p w14:paraId="35FC465F" w14:textId="77777777" w:rsidR="005F376D" w:rsidRPr="005F376D" w:rsidRDefault="005F376D" w:rsidP="005F376D">
      <w:pPr>
        <w:spacing w:line="360" w:lineRule="auto"/>
        <w:rPr>
          <w:rFonts w:ascii="Arial" w:hAnsi="Arial" w:cs="Arial"/>
          <w:sz w:val="24"/>
        </w:rPr>
      </w:pPr>
      <w:r w:rsidRPr="005F376D">
        <w:rPr>
          <w:rFonts w:ascii="Arial" w:hAnsi="Arial" w:cs="Arial"/>
          <w:sz w:val="24"/>
        </w:rPr>
        <w:tab/>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Figar","given":"Nadica","non-dropping-particle":"","parse-names":false,"suffix":""},{"dropping-particle":"","family":"Đorđević","given":"Biljana","non-dropping-particle":"","parse-names":false,"suffix":""}],"container-title":"Economic Themes","id":"ITEM-1","issue":"3","issued":{"date-parts":[["2016"]]},"page":"345-362","title":"Managing Ethical Dilemma","type":"article-journal","volume":"54"},"uris":["http://www.mendeley.com/documents/?uuid=edf19bd7-2cbc-40a1-b04c-b33ac272303f"]}],"mendeley":{"formattedCitation":"(Figar &amp; Đorđević, 2016)","manualFormatting":"Figar &amp; Đorđević (2016)","plainTextFormattedCitation":"(Figar &amp; Đorđević, 2016)","previouslyFormattedCitation":"(Figar &amp; Đorđević, 2016)"},"properties":{"noteIndex":0},"schema":"https://github.com/citation-style-language/schema/raw/master/csl-citation.json"}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Figar &amp; Đorđević (2016)</w:t>
      </w:r>
      <w:r w:rsidRPr="005F376D">
        <w:rPr>
          <w:rFonts w:ascii="Arial" w:hAnsi="Arial" w:cs="Arial"/>
          <w:sz w:val="24"/>
        </w:rPr>
        <w:fldChar w:fldCharType="end"/>
      </w:r>
      <w:r w:rsidRPr="005F376D">
        <w:rPr>
          <w:rFonts w:ascii="Arial" w:hAnsi="Arial" w:cs="Arial"/>
          <w:sz w:val="24"/>
        </w:rPr>
        <w:t xml:space="preserve"> define an ethical dilemma as a situation that involves choosing between two or more alternatives. The selection of the best choice reflects a large number of principles, making the situation cause conflict. These conflicts can be addressed by prioritising or using hierarchy. DHL has experienced an ethical dilemma before, particularly among its employees. India DHL's subsidiary was accused by employees of preventing them from joining the employee's union of DHL. They alleged poor working conditions, lack of recognition, payment disputes, minimal </w:t>
      </w:r>
      <w:r w:rsidRPr="005F376D">
        <w:rPr>
          <w:rFonts w:ascii="Arial" w:hAnsi="Arial" w:cs="Arial"/>
          <w:sz w:val="24"/>
        </w:rPr>
        <w:lastRenderedPageBreak/>
        <w:t>job security and unofficial working hours. The International Workers Transport Federation intervened in the situation and brought it under control. The Indian DHL branch is up and operational as these issues have been addressed.</w:t>
      </w:r>
    </w:p>
    <w:p w14:paraId="2A246CFA"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In a report by the European Transport Workers' Federation in 2013, DHL was accused of continuous abuses of rights, backing fake unions and unfair dismissals across its global network. The federation said that the company threatened to alienate its customers and shareholders in the report. In a meeting, the federation head Ingo Marowsky said, "The questions are piling up for DHL and this AGM is just one of the places where they'll be asked. Questions such as what's happening in Turkey? How can you allow your management there to sack workers who have chosen to join a trade union? How is it acceptable for you to ignore them and sponsor a rival union whose only DHL members are those reportedly forced to join by managers? And there are more questions that shareholders, investors and customers want to be answered, too, about how all this can be reconciled with DHL's corporate responsibility policies and claimed observance of the UN Global Compact. And why the company is in court in Turkey and has been hauled up in front of the OECD.”</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{"citationItems":[{"id":"ITEM-1","itemData":{"author":[{"dropping-particle":"","family":"European Transport Workers' Federation","given":"","non-dropping-particle":"","parse-names":false,"suffix":""}],"id":"ITEM-1","issued":{"date-parts":[["2013"]]},"title":"DHL in the firing line over escalating rights abuses – questions pile up about logistics giant","type":"report"},"uris":["http://www.mendeley.com/documents/?uuid=7d4ff41c-30bb-48b6-8d30-e3e7375e4c7b"]}],"mendeley":{"formattedCitation":"(European Transport Workers’ Federation, 2013)","plainTextFormattedCitation":"(European Transport Workers’ Federation, 2013)","previouslyFormattedCitation":"(European Transport Workers’ Federation, 2013)"},"properties":{"noteIndex":0},"schema":"https://github.com/citation-style-language/schema/raw/master/csl-citation.json"}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(European Transport Workers’ Federation, 2013)</w:t>
      </w:r>
      <w:r w:rsidRPr="005F376D">
        <w:rPr>
          <w:rFonts w:ascii="Arial" w:hAnsi="Arial" w:cs="Arial"/>
          <w:sz w:val="24"/>
        </w:rPr>
        <w:fldChar w:fldCharType="end"/>
      </w:r>
      <w:r w:rsidRPr="005F376D">
        <w:rPr>
          <w:rFonts w:ascii="Arial" w:hAnsi="Arial" w:cs="Arial"/>
          <w:sz w:val="24"/>
        </w:rPr>
        <w:t xml:space="preserve">. The company should address the feedback from its global outlets by taking responsibility before suffering a loss of stakeholders and customers. The company should strengthen employees' unions. DHL can invest in CSR, especially in countries where it has received backlash, in order to maintain the loyalty of its brand. </w:t>
      </w:r>
    </w:p>
    <w:p w14:paraId="52756AB7"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26" w:name="_Toc103378715"/>
      <w:r w:rsidRPr="005F376D">
        <w:rPr>
          <w:rFonts w:ascii="Arial" w:eastAsiaTheme="majorEastAsia" w:hAnsi="Arial" w:cs="Arial"/>
          <w:color w:val="2F5496" w:themeColor="accent1" w:themeShade="BF"/>
          <w:sz w:val="32"/>
          <w:szCs w:val="32"/>
        </w:rPr>
        <w:t>Conclusion</w:t>
      </w:r>
      <w:bookmarkEnd w:id="26"/>
    </w:p>
    <w:p w14:paraId="7D8BDBA6"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Organisational structure and culture remain an integral part of any firm. The structure sets the policies and rules, which develop the organisational culture. In order to achieve success, the culture and structure of an organisation should be creative, innovative and open. Organisational culture and structure are interdependent. The shape of the two determines how employees behave and the overall organisational efficiency. Besides, it is important to understand both internal and external factors that affect an organisation. There are several models that can be used to understand how an organisation is prepared both internally and externally in an industry that is full of stiff competition from rivals. Porter's five forces and PESTEL analysis models have been considered. DHL is one such organisation that </w:t>
      </w:r>
      <w:r w:rsidRPr="005F376D">
        <w:rPr>
          <w:rFonts w:ascii="Arial" w:hAnsi="Arial" w:cs="Arial"/>
          <w:sz w:val="24"/>
        </w:rPr>
        <w:lastRenderedPageBreak/>
        <w:t xml:space="preserve">has well-defined culture and structure. Although they have been accused of various ethical dilemmas, the company continues to prove itself as a global giant in logistics. </w:t>
      </w:r>
      <w:r w:rsidRPr="005F376D">
        <w:rPr>
          <w:rFonts w:ascii="Arial" w:hAnsi="Arial" w:cs="Arial"/>
          <w:sz w:val="24"/>
        </w:rPr>
        <w:br w:type="page"/>
      </w:r>
    </w:p>
    <w:p w14:paraId="79766217" w14:textId="77777777" w:rsidR="005F376D" w:rsidRPr="005F376D" w:rsidRDefault="005F376D" w:rsidP="005F376D">
      <w:pPr>
        <w:spacing w:line="360" w:lineRule="auto"/>
        <w:jc w:val="center"/>
        <w:rPr>
          <w:rFonts w:ascii="Arial" w:hAnsi="Arial" w:cs="Arial"/>
          <w:b/>
          <w:sz w:val="24"/>
        </w:rPr>
      </w:pPr>
      <w:r w:rsidRPr="005F376D">
        <w:rPr>
          <w:rFonts w:ascii="Arial" w:hAnsi="Arial" w:cs="Arial"/>
          <w:b/>
          <w:sz w:val="24"/>
        </w:rPr>
        <w:lastRenderedPageBreak/>
        <w:t>Task Two</w:t>
      </w:r>
    </w:p>
    <w:p w14:paraId="4D9E170C"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27" w:name="_Toc103378716"/>
      <w:r w:rsidRPr="005F376D">
        <w:rPr>
          <w:rFonts w:ascii="Arial" w:eastAsiaTheme="majorEastAsia" w:hAnsi="Arial" w:cs="Arial"/>
          <w:color w:val="2F5496" w:themeColor="accent1" w:themeShade="BF"/>
          <w:sz w:val="32"/>
          <w:szCs w:val="32"/>
        </w:rPr>
        <w:t>Reflection</w:t>
      </w:r>
      <w:bookmarkEnd w:id="27"/>
    </w:p>
    <w:p w14:paraId="44E70997"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 will analyse my learning experience using Gibbs' Reflective Cycle throughout this course. This model offers six phases to explore an experience, in this case, my learning experience throughout this course. The model stages I will use include description, feelings, evaluation, analysis, conclusion and action plan. The theory was developed in 1988 by Graham Gibbs as a structure to learning from experiences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{"citationItems":[{"id":"ITEM-1","itemData":{"author":[{"dropping-particle":"","family":"Gibbs","given":"G.","non-dropping-particle":"","parse-names":false,"suffix":""}],"id":"ITEM-1","issued":{"date-parts":[["1988"]]},"publisher":"Further Education Unit","publisher-place":"Oxford","title":"Learning by Doing: A guide to teaching and learning methods","type":"book"},"uris":["http://www.mendeley.com/documents/?uuid=ce7ae3a7-0e70-4303-ae4b-4eb1c3c02747"]}],"mendeley":{"formattedCitation":"(Gibbs, 1988)","plainTextFormattedCitation":"(Gibbs, 1988)","previouslyFormattedCitation":"(Gibbs, 1988)"},"properties":{"noteIndex":0},"schema":"https://github.com/citation-style-language/schema/raw/master/csl-citation.json"}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(Gibbs, 1988)</w:t>
      </w:r>
      <w:r w:rsidRPr="005F376D">
        <w:rPr>
          <w:rFonts w:ascii="Arial" w:hAnsi="Arial" w:cs="Arial"/>
          <w:sz w:val="24"/>
        </w:rPr>
        <w:fldChar w:fldCharType="end"/>
      </w:r>
      <w:r w:rsidRPr="005F376D">
        <w:rPr>
          <w:rFonts w:ascii="Arial" w:hAnsi="Arial" w:cs="Arial"/>
          <w:sz w:val="24"/>
        </w:rPr>
        <w:t xml:space="preserve">. It gives a framework to evaluate experiences and offers a cyclic nature. It is particularly important for repeated experiences such as learning through a course. </w:t>
      </w:r>
    </w:p>
    <w:p w14:paraId="6E67C4B6" w14:textId="77777777" w:rsidR="005F376D" w:rsidRPr="005F376D" w:rsidRDefault="005F376D" w:rsidP="005F376D">
      <w:pPr>
        <w:keepNext/>
        <w:spacing w:line="360" w:lineRule="auto"/>
        <w:jc w:val="center"/>
        <w:rPr>
          <w:rFonts w:ascii="Arial" w:hAnsi="Arial" w:cs="Arial"/>
          <w:sz w:val="24"/>
        </w:rPr>
      </w:pPr>
      <w:r w:rsidRPr="005F376D">
        <w:rPr>
          <w:rFonts w:ascii="Arial" w:hAnsi="Arial" w:cs="Arial"/>
          <w:noProof/>
          <w:sz w:val="24"/>
        </w:rPr>
        <w:drawing>
          <wp:inline distT="0" distB="0" distL="0" distR="0" wp14:anchorId="6C2EB874" wp14:editId="576734A6">
            <wp:extent cx="3360420" cy="336042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360420" cy="3360420"/>
                    </a:xfrm>
                    <a:prstGeom prst="rect">
                      <a:avLst/>
                    </a:prstGeom>
                    <a:noFill/>
                  </pic:spPr>
                </pic:pic>
              </a:graphicData>
            </a:graphic>
          </wp:inline>
        </w:drawing>
      </w:r>
    </w:p>
    <w:p w14:paraId="1DF278AC" w14:textId="77777777" w:rsidR="005F376D" w:rsidRPr="005F376D" w:rsidRDefault="005F376D" w:rsidP="005F376D">
      <w:pPr>
        <w:spacing w:line="360" w:lineRule="auto"/>
        <w:ind w:firstLine="720"/>
        <w:jc w:val="center"/>
        <w:rPr>
          <w:rFonts w:ascii="Arial" w:hAnsi="Arial" w:cs="Arial"/>
          <w:sz w:val="24"/>
        </w:rPr>
      </w:pPr>
      <w:bookmarkStart w:id="28" w:name="_Toc103378380"/>
      <w:r w:rsidRPr="005F376D">
        <w:rPr>
          <w:rFonts w:ascii="Arial" w:hAnsi="Arial" w:cs="Arial"/>
          <w:sz w:val="24"/>
        </w:rPr>
        <w:t xml:space="preserve">Figure </w:t>
      </w:r>
      <w:r w:rsidRPr="005F376D">
        <w:rPr>
          <w:rFonts w:ascii="Arial" w:hAnsi="Arial" w:cs="Arial"/>
          <w:sz w:val="24"/>
        </w:rPr>
        <w:fldChar w:fldCharType="begin"/>
      </w:r>
      <w:r w:rsidRPr="005F376D">
        <w:rPr>
          <w:rFonts w:ascii="Arial" w:hAnsi="Arial" w:cs="Arial"/>
          <w:sz w:val="24"/>
        </w:rPr>
        <w:instrText xml:space="preserve"> SEQ Figure \* ARABIC </w:instrText>
      </w:r>
      <w:r w:rsidRPr="005F376D">
        <w:rPr>
          <w:rFonts w:ascii="Arial" w:hAnsi="Arial" w:cs="Arial"/>
          <w:sz w:val="24"/>
        </w:rPr>
        <w:fldChar w:fldCharType="separate"/>
      </w:r>
      <w:r w:rsidRPr="005F376D">
        <w:rPr>
          <w:rFonts w:ascii="Arial" w:hAnsi="Arial" w:cs="Arial"/>
          <w:noProof/>
          <w:sz w:val="24"/>
        </w:rPr>
        <w:t>3</w:t>
      </w:r>
      <w:r w:rsidRPr="005F376D">
        <w:rPr>
          <w:rFonts w:ascii="Arial" w:hAnsi="Arial" w:cs="Arial"/>
          <w:sz w:val="24"/>
        </w:rPr>
        <w:fldChar w:fldCharType="end"/>
      </w:r>
      <w:r w:rsidRPr="005F376D">
        <w:rPr>
          <w:rFonts w:ascii="Arial" w:hAnsi="Arial" w:cs="Arial"/>
          <w:sz w:val="24"/>
        </w:rPr>
        <w:t>:Gibbs' Reflective Cycle (Gibbs, 1988)</w:t>
      </w:r>
      <w:bookmarkEnd w:id="28"/>
    </w:p>
    <w:p w14:paraId="7A0C3061" w14:textId="77777777" w:rsidR="005F376D" w:rsidRPr="005F376D" w:rsidRDefault="005F376D" w:rsidP="005F376D">
      <w:pPr>
        <w:keepNext/>
        <w:keepLines/>
        <w:numPr>
          <w:ilvl w:val="1"/>
          <w:numId w:val="0"/>
        </w:numPr>
        <w:spacing w:before="40" w:after="0"/>
        <w:ind w:left="720" w:hanging="360"/>
        <w:outlineLvl w:val="1"/>
        <w:rPr>
          <w:rFonts w:ascii="Arial" w:eastAsiaTheme="majorEastAsia" w:hAnsi="Arial" w:cs="Arial"/>
          <w:color w:val="2F5496" w:themeColor="accent1" w:themeShade="BF"/>
          <w:sz w:val="26"/>
          <w:szCs w:val="26"/>
        </w:rPr>
      </w:pPr>
      <w:bookmarkStart w:id="29" w:name="_Toc103378717"/>
      <w:r w:rsidRPr="005F376D">
        <w:rPr>
          <w:rFonts w:ascii="Arial" w:eastAsiaTheme="majorEastAsia" w:hAnsi="Arial" w:cs="Arial"/>
          <w:color w:val="2F5496" w:themeColor="accent1" w:themeShade="BF"/>
          <w:sz w:val="26"/>
          <w:szCs w:val="26"/>
        </w:rPr>
        <w:t>Description</w:t>
      </w:r>
      <w:bookmarkEnd w:id="29"/>
    </w:p>
    <w:p w14:paraId="40A8E788"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The course on workplace culture and organisational efficiency started ten weeks ago. I was eager to learn how the workplace culture can contribute to the success or failure of an organisation. I had heard that firms are always keen on their culture and how they treat individuals. Besides, I wanted to know what results in organisational efficiency. I was not sure whether the workplace culture could lead to organisational efficiency. One incident happened when we were discussing with a friend about this course. I was not sure about what I would expect. I had not read the </w:t>
      </w:r>
      <w:r w:rsidRPr="005F376D">
        <w:rPr>
          <w:rFonts w:ascii="Arial" w:hAnsi="Arial" w:cs="Arial"/>
          <w:sz w:val="24"/>
        </w:rPr>
        <w:lastRenderedPageBreak/>
        <w:t>course outline to know what I would be up to for the next ten weeks. At first, I was nervous about explaining something I did not know. She assured me that I would be very competent by ten weeks.</w:t>
      </w:r>
    </w:p>
    <w:p w14:paraId="2AC734A2"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30" w:name="_Toc103378718"/>
      <w:r w:rsidRPr="005F376D">
        <w:rPr>
          <w:rFonts w:ascii="Arial" w:eastAsiaTheme="majorEastAsia" w:hAnsi="Arial" w:cs="Arial"/>
          <w:color w:val="1F3763" w:themeColor="accent1" w:themeShade="7F"/>
          <w:sz w:val="24"/>
          <w:szCs w:val="24"/>
        </w:rPr>
        <w:t>Feelings</w:t>
      </w:r>
      <w:bookmarkEnd w:id="30"/>
    </w:p>
    <w:p w14:paraId="373AF7BB"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 had mixed feelings. One was that I would gain a lot by the end of this course by reading all the course materials. However, I was anxious because I had registered for three courses. Although it was not my first time handling three courses simultaneously, I was unsure what to expect. I remained confident that I would manage all the units and pass at the end of the course. </w:t>
      </w:r>
    </w:p>
    <w:p w14:paraId="6C3E8258"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31" w:name="_Toc103378719"/>
      <w:r w:rsidRPr="005F376D">
        <w:rPr>
          <w:rFonts w:ascii="Arial" w:eastAsiaTheme="majorEastAsia" w:hAnsi="Arial" w:cs="Arial"/>
          <w:color w:val="1F3763" w:themeColor="accent1" w:themeShade="7F"/>
          <w:sz w:val="24"/>
          <w:szCs w:val="24"/>
        </w:rPr>
        <w:t>Evaluation</w:t>
      </w:r>
      <w:bookmarkEnd w:id="31"/>
    </w:p>
    <w:p w14:paraId="351B59C3"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Within the first week of class, I had gone through the entire course outline. I was aware of what was expected of me throughout the course. I was sure that the grades would depend on my class attendance at the end of the semester. According to </w:t>
      </w:r>
      <w:r w:rsidRPr="005F376D">
        <w:rPr>
          <w:rFonts w:ascii="Arial" w:hAnsi="Arial" w:cs="Arial"/>
          <w:sz w:val="24"/>
        </w:rPr>
        <w:fldChar w:fldCharType="begin" w:fldLock="1"/>
      </w:r>
      <w:r w:rsidRPr="005F376D">
        <w:rPr>
          <w:rFonts w:ascii="Arial" w:hAnsi="Arial" w:cs="Arial"/>
          <w:sz w:val="24"/>
        </w:rPr>
        <w:instrText>ADDIN CSL_CITATION {"citationItems":[{"id":"ITEM-1","itemData":{"DOI":"10.3102/0034654310362998","ISSN":"0034-6543","author":[{"dropping-particle":"","family":"Credé","given":"Marcus","non-dropping-particle":"","parse-names":false,"suffix":""},{"dropping-particle":"","family":"Roch","given":"Sylvia G.","non-dropping-particle":"","parse-names":false,"suffix":""},{"dropping-particle":"","family":"Kieszczynka","given":"Urszula M.","non-dropping-particle":"","parse-names":false,"suffix":""}],"container-title":"Review of Educational Research","id":"ITEM-1","issue":"2","issued":{"date-parts":[["2010","6","1"]]},"page":"272-295","title":"Class Attendance in College","type":"article-journal","volume":"80"},"uris":["http://www.mendeley.com/documents/?uuid=71890fd9-b65b-4eea-8896-407673fb1293"]}],"mendeley":{"formattedCitation":"(Credé et al., 2010)","manualFormatting":"Credé et al. (2010)","plainTextFormattedCitation":"(Credé et al., 2010)","previouslyFormattedCitation":"(Credé et al., 2010)"},"properties":{"noteIndex":0},"schema":"https://github.com/citation-style-language/schema/raw/master/csl-citation.json"}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Credé et al. (2010)</w:t>
      </w:r>
      <w:r w:rsidRPr="005F376D">
        <w:rPr>
          <w:rFonts w:ascii="Arial" w:hAnsi="Arial" w:cs="Arial"/>
          <w:sz w:val="24"/>
        </w:rPr>
        <w:fldChar w:fldCharType="end"/>
      </w:r>
      <w:r w:rsidRPr="005F376D">
        <w:rPr>
          <w:rFonts w:ascii="Arial" w:hAnsi="Arial" w:cs="Arial"/>
          <w:sz w:val="24"/>
        </w:rPr>
        <w:t xml:space="preserve">, attending class with student characteristics and grades is a relationship between attending class. According to the researchers, attending class can predict students' performance on tests, their study skills and habits. The experience was good. The first week covered the introduction. I understood about organisations and their environment. The professor has also attached a few case studies to help understand the topics better. PESTEL framework was a useful tool to learn during the first week of the course. </w:t>
      </w:r>
    </w:p>
    <w:p w14:paraId="754F67FA"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In the subsequent weeks, every week had its different lessons in the second week of the course. We appreciated the organisation and how its environment is critical. On this note, I appreciated how powerful the Porter's Five Forces Model is in analysing the organisational environment. The week also had case studies, which were great to learn from. In weeks three and four, I learnt about organisational structures and culture. An organisation's structure is a major determinant of an organisation's culture. The work structure in an organisation also entails the wider societal structures and cultural context. I appreciated what traditional organisational structures looked like. I also discovered other organisational structures that I did not know existed. The fifth week entailed the creation of ethical and sustainable culture in the organisation. By the end of that week, both employees and the organisation had a role in facilitating socialisation. On that note, week six helped me to decipher what determines a successful organisational culture and culture change. I </w:t>
      </w:r>
      <w:r w:rsidRPr="005F376D">
        <w:rPr>
          <w:rFonts w:ascii="Arial" w:hAnsi="Arial" w:cs="Arial"/>
          <w:sz w:val="24"/>
        </w:rPr>
        <w:lastRenderedPageBreak/>
        <w:t>appreciated how to lead change management. The rest of the weeks mainly covered barriers to effective organisation functioning, global implications of organisational culture and business ethics and ethical dilemmas. I did not know what could cause ethical issues in the organisation. After this course, I appreciated cultural and social beliefs, religion, new technologies, ideologies, economic systems and law. Besides, I discovered ways of safeguarding ethical challenges. I appreciated how personal integrity is important in daily life among those ways.</w:t>
      </w:r>
    </w:p>
    <w:p w14:paraId="0254CF5F"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32" w:name="_Toc103378720"/>
      <w:r w:rsidRPr="005F376D">
        <w:rPr>
          <w:rFonts w:ascii="Arial" w:eastAsiaTheme="majorEastAsia" w:hAnsi="Arial" w:cs="Arial"/>
          <w:color w:val="1F3763" w:themeColor="accent1" w:themeShade="7F"/>
          <w:sz w:val="24"/>
          <w:szCs w:val="24"/>
        </w:rPr>
        <w:t>Analysis</w:t>
      </w:r>
      <w:bookmarkEnd w:id="32"/>
    </w:p>
    <w:p w14:paraId="0AA41235"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 xml:space="preserve">I this stage, I am required to make sense of what happened throughout the course. To start with, I was able to finish this class successfully because I was very determined to learn. I have not had problems before missing out on classes and not completing the course. I would be lying to say that this has been easy. I have had to stay up until late to do my studies and complete my assignment. I can attribute my consistency in my studies to this success. I have had a supportive family and friends who always encourage me to work hard since hard work pays. Whenever I had difficulties understanding concepts, I was not hesitant to ask. I also took the time to consult the literature to ensure my experiences make sense. This is called the theoretical lens, as suggested in Brookfield's reflection model </w:t>
      </w:r>
      <w:r w:rsidRPr="005F376D">
        <w:rPr>
          <w:rFonts w:ascii="Arial" w:hAnsi="Arial" w:cs="Arial"/>
          <w:sz w:val="24"/>
        </w:rPr>
        <w:fldChar w:fldCharType="begin" w:fldLock="1"/>
      </w:r>
      <w:r w:rsidRPr="005F376D">
        <w:rPr>
          <w:rFonts w:ascii="Arial" w:hAnsi="Arial" w:cs="Arial"/>
          <w:sz w:val="24"/>
        </w:rPr>
        <w:instrText>ADDIN CSL_CITATION {"citationItems":[{"id":"ITEM-1","itemData":{"author":[{"dropping-particle":"","family":"Brookfield","given":"S.","non-dropping-particle":"","parse-names":false,"suffix":""}],"id":"ITEM-1","issued":{"date-parts":[["1995"]]},"publisher":"Jossey-Bass","publisher-place":"San-Francisco","title":"Becoming a Critically Reflective Teacher","type":"book"},"uris":["http://www.mendeley.com/documents/?uuid=4af2e433-fba7-4b3a-985a-87e8d77339f7"]}],"mendeley":{"formattedCitation":"(Brookfield, 1995)","plainTextFormattedCitation":"(Brookfield, 1995)","previouslyFormattedCitation":"(Brookfield, 1995)"},"properties":{"noteIndex":0},"schema":"https://github.com/citation-style-language/schema/raw/master/csl-citation.json"}</w:instrText>
      </w:r>
      <w:r w:rsidRPr="005F376D">
        <w:rPr>
          <w:rFonts w:ascii="Arial" w:hAnsi="Arial" w:cs="Arial"/>
          <w:sz w:val="24"/>
        </w:rPr>
        <w:fldChar w:fldCharType="separate"/>
      </w:r>
      <w:r w:rsidRPr="005F376D">
        <w:rPr>
          <w:rFonts w:ascii="Arial" w:hAnsi="Arial" w:cs="Arial"/>
          <w:noProof/>
          <w:sz w:val="24"/>
        </w:rPr>
        <w:t>(Brookfield, 1995)</w:t>
      </w:r>
      <w:r w:rsidRPr="005F376D">
        <w:rPr>
          <w:rFonts w:ascii="Arial" w:hAnsi="Arial" w:cs="Arial"/>
          <w:sz w:val="24"/>
        </w:rPr>
        <w:fldChar w:fldCharType="end"/>
      </w:r>
      <w:r w:rsidRPr="005F376D">
        <w:rPr>
          <w:rFonts w:ascii="Arial" w:hAnsi="Arial" w:cs="Arial"/>
          <w:sz w:val="24"/>
        </w:rPr>
        <w:t>.</w:t>
      </w:r>
    </w:p>
    <w:p w14:paraId="535B328D"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33" w:name="_Toc103378721"/>
      <w:r w:rsidRPr="005F376D">
        <w:rPr>
          <w:rFonts w:ascii="Arial" w:eastAsiaTheme="majorEastAsia" w:hAnsi="Arial" w:cs="Arial"/>
          <w:color w:val="1F3763" w:themeColor="accent1" w:themeShade="7F"/>
          <w:sz w:val="24"/>
          <w:szCs w:val="24"/>
        </w:rPr>
        <w:t>Conclusion</w:t>
      </w:r>
      <w:bookmarkEnd w:id="33"/>
    </w:p>
    <w:p w14:paraId="6CAF3E00"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The course has been a learning experience. I learned the importance of group dynamics when working on assignments. Although I did not work a lot with groups, it is something that I have done before. It is not easy to forget when you discuss something with your peers. Colleagues in group work also help in identifying one's strengths and weaknesses. The only challenge comes when a decision has to be made. Different people can have different opinions, making it hard to make decisions. It is therefore critical to be important in a group setting.</w:t>
      </w:r>
    </w:p>
    <w:p w14:paraId="19EA8169" w14:textId="77777777" w:rsidR="005F376D" w:rsidRPr="005F376D" w:rsidRDefault="005F376D" w:rsidP="005F376D">
      <w:pPr>
        <w:keepNext/>
        <w:keepLines/>
        <w:numPr>
          <w:ilvl w:val="2"/>
          <w:numId w:val="0"/>
        </w:numPr>
        <w:spacing w:before="40" w:after="0"/>
        <w:ind w:left="1080" w:hanging="360"/>
        <w:outlineLvl w:val="2"/>
        <w:rPr>
          <w:rFonts w:ascii="Arial" w:eastAsiaTheme="majorEastAsia" w:hAnsi="Arial" w:cs="Arial"/>
          <w:color w:val="1F3763" w:themeColor="accent1" w:themeShade="7F"/>
          <w:sz w:val="24"/>
          <w:szCs w:val="24"/>
        </w:rPr>
      </w:pPr>
      <w:bookmarkStart w:id="34" w:name="_Toc103378722"/>
      <w:r w:rsidRPr="005F376D">
        <w:rPr>
          <w:rFonts w:ascii="Arial" w:eastAsiaTheme="majorEastAsia" w:hAnsi="Arial" w:cs="Arial"/>
          <w:color w:val="1F3763" w:themeColor="accent1" w:themeShade="7F"/>
          <w:sz w:val="24"/>
          <w:szCs w:val="24"/>
        </w:rPr>
        <w:t>Action plan</w:t>
      </w:r>
      <w:bookmarkEnd w:id="34"/>
    </w:p>
    <w:p w14:paraId="547352EA" w14:textId="77777777" w:rsidR="005F376D" w:rsidRPr="005F376D" w:rsidRDefault="005F376D" w:rsidP="005F376D">
      <w:pPr>
        <w:spacing w:line="360" w:lineRule="auto"/>
        <w:ind w:firstLine="720"/>
        <w:rPr>
          <w:rFonts w:ascii="Arial" w:hAnsi="Arial" w:cs="Arial"/>
          <w:sz w:val="24"/>
        </w:rPr>
      </w:pPr>
      <w:r w:rsidRPr="005F376D">
        <w:rPr>
          <w:rFonts w:ascii="Arial" w:hAnsi="Arial" w:cs="Arial"/>
          <w:sz w:val="24"/>
        </w:rPr>
        <w:t>When I enrol in new courses in the future, I will get started immediately so that I am on the same page with everybody or sometimes ahead. It becomes easier to read the course materials yourself before the professor explains. It also becomes easier in group work to participate effectively when reading.</w:t>
      </w:r>
      <w:r w:rsidRPr="005F376D">
        <w:rPr>
          <w:rFonts w:ascii="Arial" w:hAnsi="Arial" w:cs="Arial"/>
          <w:sz w:val="24"/>
        </w:rPr>
        <w:br w:type="page"/>
      </w:r>
    </w:p>
    <w:p w14:paraId="6740B691"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35" w:name="_Toc103378723"/>
      <w:r w:rsidRPr="005F376D">
        <w:rPr>
          <w:rFonts w:ascii="Arial" w:eastAsiaTheme="majorEastAsia" w:hAnsi="Arial" w:cs="Arial"/>
          <w:color w:val="2F5496" w:themeColor="accent1" w:themeShade="BF"/>
          <w:sz w:val="32"/>
          <w:szCs w:val="32"/>
        </w:rPr>
        <w:lastRenderedPageBreak/>
        <w:t>References</w:t>
      </w:r>
      <w:bookmarkEnd w:id="35"/>
    </w:p>
    <w:p w14:paraId="38A8D788"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sz w:val="24"/>
        </w:rPr>
        <w:fldChar w:fldCharType="begin" w:fldLock="1"/>
      </w:r>
      <w:r w:rsidRPr="005F376D">
        <w:rPr>
          <w:rFonts w:ascii="Arial" w:hAnsi="Arial" w:cs="Arial"/>
          <w:sz w:val="24"/>
        </w:rPr>
        <w:instrText xml:space="preserve">ADDIN Mendeley Bibliography CSL_BIBLIOGRAPHY </w:instrText>
      </w:r>
      <w:r w:rsidRPr="005F376D">
        <w:rPr>
          <w:rFonts w:ascii="Arial" w:hAnsi="Arial" w:cs="Arial"/>
          <w:sz w:val="24"/>
        </w:rPr>
        <w:fldChar w:fldCharType="separate"/>
      </w:r>
      <w:r w:rsidRPr="005F376D">
        <w:rPr>
          <w:rFonts w:ascii="Arial" w:hAnsi="Arial" w:cs="Arial"/>
          <w:noProof/>
          <w:sz w:val="24"/>
          <w:szCs w:val="24"/>
        </w:rPr>
        <w:t xml:space="preserve">Brookfield, S. (1995). </w:t>
      </w:r>
      <w:r w:rsidRPr="005F376D">
        <w:rPr>
          <w:rFonts w:ascii="Arial" w:hAnsi="Arial" w:cs="Arial"/>
          <w:i/>
          <w:iCs/>
          <w:noProof/>
          <w:sz w:val="24"/>
          <w:szCs w:val="24"/>
        </w:rPr>
        <w:t>Becoming a Critically Reflective Teacher</w:t>
      </w:r>
      <w:r w:rsidRPr="005F376D">
        <w:rPr>
          <w:rFonts w:ascii="Arial" w:hAnsi="Arial" w:cs="Arial"/>
          <w:noProof/>
          <w:sz w:val="24"/>
          <w:szCs w:val="24"/>
        </w:rPr>
        <w:t>. Jossey-Bass.</w:t>
      </w:r>
    </w:p>
    <w:p w14:paraId="406143BD"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Chung, P., &amp; Bowie, R. (2017). </w:t>
      </w:r>
      <w:r w:rsidRPr="005F376D">
        <w:rPr>
          <w:rFonts w:ascii="Arial" w:hAnsi="Arial" w:cs="Arial"/>
          <w:i/>
          <w:iCs/>
          <w:noProof/>
          <w:sz w:val="24"/>
          <w:szCs w:val="24"/>
        </w:rPr>
        <w:t>DHL</w:t>
      </w:r>
      <w:r w:rsidRPr="005F376D">
        <w:rPr>
          <w:rFonts w:ascii="Arial" w:hAnsi="Arial" w:cs="Arial"/>
          <w:noProof/>
          <w:sz w:val="24"/>
          <w:szCs w:val="24"/>
        </w:rPr>
        <w:t>. De Gruyter. https://doi.org/10.1515/9781501507557</w:t>
      </w:r>
    </w:p>
    <w:p w14:paraId="6E708080"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Cosimato, S., &amp; Troisi, O. (2015). Green supply chain management. </w:t>
      </w:r>
      <w:r w:rsidRPr="005F376D">
        <w:rPr>
          <w:rFonts w:ascii="Arial" w:hAnsi="Arial" w:cs="Arial"/>
          <w:i/>
          <w:iCs/>
          <w:noProof/>
          <w:sz w:val="24"/>
          <w:szCs w:val="24"/>
        </w:rPr>
        <w:t>The TQM Journal</w:t>
      </w:r>
      <w:r w:rsidRPr="005F376D">
        <w:rPr>
          <w:rFonts w:ascii="Arial" w:hAnsi="Arial" w:cs="Arial"/>
          <w:noProof/>
          <w:sz w:val="24"/>
          <w:szCs w:val="24"/>
        </w:rPr>
        <w:t xml:space="preserve">, </w:t>
      </w:r>
      <w:r w:rsidRPr="005F376D">
        <w:rPr>
          <w:rFonts w:ascii="Arial" w:hAnsi="Arial" w:cs="Arial"/>
          <w:i/>
          <w:iCs/>
          <w:noProof/>
          <w:sz w:val="24"/>
          <w:szCs w:val="24"/>
        </w:rPr>
        <w:t>27</w:t>
      </w:r>
      <w:r w:rsidRPr="005F376D">
        <w:rPr>
          <w:rFonts w:ascii="Arial" w:hAnsi="Arial" w:cs="Arial"/>
          <w:noProof/>
          <w:sz w:val="24"/>
          <w:szCs w:val="24"/>
        </w:rPr>
        <w:t>(2), 256–276. https://doi.org/10.1108/TQM-01-2015-0007</w:t>
      </w:r>
    </w:p>
    <w:p w14:paraId="6CFE9C58"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Credé, M., Roch, S. G., &amp; Kieszczynka, U. M. (2010). Class Attendance in College. </w:t>
      </w:r>
      <w:r w:rsidRPr="005F376D">
        <w:rPr>
          <w:rFonts w:ascii="Arial" w:hAnsi="Arial" w:cs="Arial"/>
          <w:i/>
          <w:iCs/>
          <w:noProof/>
          <w:sz w:val="24"/>
          <w:szCs w:val="24"/>
        </w:rPr>
        <w:t>Review of Educational Research</w:t>
      </w:r>
      <w:r w:rsidRPr="005F376D">
        <w:rPr>
          <w:rFonts w:ascii="Arial" w:hAnsi="Arial" w:cs="Arial"/>
          <w:noProof/>
          <w:sz w:val="24"/>
          <w:szCs w:val="24"/>
        </w:rPr>
        <w:t xml:space="preserve">, </w:t>
      </w:r>
      <w:r w:rsidRPr="005F376D">
        <w:rPr>
          <w:rFonts w:ascii="Arial" w:hAnsi="Arial" w:cs="Arial"/>
          <w:i/>
          <w:iCs/>
          <w:noProof/>
          <w:sz w:val="24"/>
          <w:szCs w:val="24"/>
        </w:rPr>
        <w:t>80</w:t>
      </w:r>
      <w:r w:rsidRPr="005F376D">
        <w:rPr>
          <w:rFonts w:ascii="Arial" w:hAnsi="Arial" w:cs="Arial"/>
          <w:noProof/>
          <w:sz w:val="24"/>
          <w:szCs w:val="24"/>
        </w:rPr>
        <w:t>(2), 272–295. https://doi.org/10.3102/0034654310362998</w:t>
      </w:r>
    </w:p>
    <w:p w14:paraId="7EC0C0E5"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Dhir, S., &amp; Sushil. (2019). </w:t>
      </w:r>
      <w:r w:rsidRPr="005F376D">
        <w:rPr>
          <w:rFonts w:ascii="Arial" w:hAnsi="Arial" w:cs="Arial"/>
          <w:i/>
          <w:iCs/>
          <w:noProof/>
          <w:sz w:val="24"/>
          <w:szCs w:val="24"/>
        </w:rPr>
        <w:t>DHL</w:t>
      </w:r>
      <w:r w:rsidRPr="005F376D">
        <w:rPr>
          <w:rFonts w:ascii="Arial" w:hAnsi="Arial" w:cs="Arial"/>
          <w:noProof/>
          <w:sz w:val="24"/>
          <w:szCs w:val="24"/>
        </w:rPr>
        <w:t xml:space="preserve"> (pp. 55–72). https://doi.org/10.1007/978-981-13-7064-9_4</w:t>
      </w:r>
    </w:p>
    <w:p w14:paraId="43B504CE"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DHL. (n.d.-a). </w:t>
      </w:r>
      <w:r w:rsidRPr="005F376D">
        <w:rPr>
          <w:rFonts w:ascii="Arial" w:hAnsi="Arial" w:cs="Arial"/>
          <w:i/>
          <w:iCs/>
          <w:noProof/>
          <w:sz w:val="24"/>
          <w:szCs w:val="24"/>
        </w:rPr>
        <w:t>DHL Freight Customer Satisfaction Survey</w:t>
      </w:r>
      <w:r w:rsidRPr="005F376D">
        <w:rPr>
          <w:rFonts w:ascii="Arial" w:hAnsi="Arial" w:cs="Arial"/>
          <w:noProof/>
          <w:sz w:val="24"/>
          <w:szCs w:val="24"/>
        </w:rPr>
        <w:t>. https://www.dhl.com/global-en/home/our-divisions/freight/thought-leadership/articles/dhl-freight-customer-service-satisfaction-survey.html</w:t>
      </w:r>
    </w:p>
    <w:p w14:paraId="1286372B"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DHL. (n.d.-b). </w:t>
      </w:r>
      <w:r w:rsidRPr="005F376D">
        <w:rPr>
          <w:rFonts w:ascii="Arial" w:hAnsi="Arial" w:cs="Arial"/>
          <w:i/>
          <w:iCs/>
          <w:noProof/>
          <w:sz w:val="24"/>
          <w:szCs w:val="24"/>
        </w:rPr>
        <w:t>DHL Logistics for the Connected Age</w:t>
      </w:r>
      <w:r w:rsidRPr="005F376D">
        <w:rPr>
          <w:rFonts w:ascii="Arial" w:hAnsi="Arial" w:cs="Arial"/>
          <w:noProof/>
          <w:sz w:val="24"/>
          <w:szCs w:val="24"/>
        </w:rPr>
        <w:t>. https://www.dhl.com/global-en/home/about-us.html</w:t>
      </w:r>
    </w:p>
    <w:p w14:paraId="41FF286A"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DHL. (n.d.-c). </w:t>
      </w:r>
      <w:r w:rsidRPr="005F376D">
        <w:rPr>
          <w:rFonts w:ascii="Arial" w:hAnsi="Arial" w:cs="Arial"/>
          <w:i/>
          <w:iCs/>
          <w:noProof/>
          <w:sz w:val="24"/>
          <w:szCs w:val="24"/>
        </w:rPr>
        <w:t>Globalisation Proves Resilient during COVID-19 Crisis</w:t>
      </w:r>
      <w:r w:rsidRPr="005F376D">
        <w:rPr>
          <w:rFonts w:ascii="Arial" w:hAnsi="Arial" w:cs="Arial"/>
          <w:noProof/>
          <w:sz w:val="24"/>
          <w:szCs w:val="24"/>
        </w:rPr>
        <w:t>. https://www.dhl.com/global-en/home/message-bar/coronavirus.html#:~:text=All our DHL customs teams,to all destinations (220%2B)%3F</w:t>
      </w:r>
    </w:p>
    <w:p w14:paraId="74BE4265"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European Transport Workers’ Federation. (2013). </w:t>
      </w:r>
      <w:r w:rsidRPr="005F376D">
        <w:rPr>
          <w:rFonts w:ascii="Arial" w:hAnsi="Arial" w:cs="Arial"/>
          <w:i/>
          <w:iCs/>
          <w:noProof/>
          <w:sz w:val="24"/>
          <w:szCs w:val="24"/>
        </w:rPr>
        <w:t>DHL in the firing line over escalating rights abuses – questions pile up about logistics giant</w:t>
      </w:r>
      <w:r w:rsidRPr="005F376D">
        <w:rPr>
          <w:rFonts w:ascii="Arial" w:hAnsi="Arial" w:cs="Arial"/>
          <w:noProof/>
          <w:sz w:val="24"/>
          <w:szCs w:val="24"/>
        </w:rPr>
        <w:t>. https://www.etf-europe.org/dhl-in-the-firing-line-over-escalating-rights-abuses-questions-pile-up-about-logistics-giant/</w:t>
      </w:r>
    </w:p>
    <w:p w14:paraId="42061F5E"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Figar, N., &amp; Đorđević, B. (2016). Managing Ethical Dilemma. </w:t>
      </w:r>
      <w:r w:rsidRPr="005F376D">
        <w:rPr>
          <w:rFonts w:ascii="Arial" w:hAnsi="Arial" w:cs="Arial"/>
          <w:i/>
          <w:iCs/>
          <w:noProof/>
          <w:sz w:val="24"/>
          <w:szCs w:val="24"/>
        </w:rPr>
        <w:t>Economic Themes</w:t>
      </w:r>
      <w:r w:rsidRPr="005F376D">
        <w:rPr>
          <w:rFonts w:ascii="Arial" w:hAnsi="Arial" w:cs="Arial"/>
          <w:noProof/>
          <w:sz w:val="24"/>
          <w:szCs w:val="24"/>
        </w:rPr>
        <w:t xml:space="preserve">, </w:t>
      </w:r>
      <w:r w:rsidRPr="005F376D">
        <w:rPr>
          <w:rFonts w:ascii="Arial" w:hAnsi="Arial" w:cs="Arial"/>
          <w:i/>
          <w:iCs/>
          <w:noProof/>
          <w:sz w:val="24"/>
          <w:szCs w:val="24"/>
        </w:rPr>
        <w:t>54</w:t>
      </w:r>
      <w:r w:rsidRPr="005F376D">
        <w:rPr>
          <w:rFonts w:ascii="Arial" w:hAnsi="Arial" w:cs="Arial"/>
          <w:noProof/>
          <w:sz w:val="24"/>
          <w:szCs w:val="24"/>
        </w:rPr>
        <w:t>(3), 345–362.</w:t>
      </w:r>
    </w:p>
    <w:p w14:paraId="7FEE2A98"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Freemantle, D. (2013). Part 1: The cultural web – A model for change in maternity services. </w:t>
      </w:r>
      <w:r w:rsidRPr="005F376D">
        <w:rPr>
          <w:rFonts w:ascii="Arial" w:hAnsi="Arial" w:cs="Arial"/>
          <w:i/>
          <w:iCs/>
          <w:noProof/>
          <w:sz w:val="24"/>
          <w:szCs w:val="24"/>
        </w:rPr>
        <w:t>British Journal of Midwifery</w:t>
      </w:r>
      <w:r w:rsidRPr="005F376D">
        <w:rPr>
          <w:rFonts w:ascii="Arial" w:hAnsi="Arial" w:cs="Arial"/>
          <w:noProof/>
          <w:sz w:val="24"/>
          <w:szCs w:val="24"/>
        </w:rPr>
        <w:t xml:space="preserve">, </w:t>
      </w:r>
      <w:r w:rsidRPr="005F376D">
        <w:rPr>
          <w:rFonts w:ascii="Arial" w:hAnsi="Arial" w:cs="Arial"/>
          <w:i/>
          <w:iCs/>
          <w:noProof/>
          <w:sz w:val="24"/>
          <w:szCs w:val="24"/>
        </w:rPr>
        <w:t>21</w:t>
      </w:r>
      <w:r w:rsidRPr="005F376D">
        <w:rPr>
          <w:rFonts w:ascii="Arial" w:hAnsi="Arial" w:cs="Arial"/>
          <w:noProof/>
          <w:sz w:val="24"/>
          <w:szCs w:val="24"/>
        </w:rPr>
        <w:t>(9), 648–653. https://doi.org/10.12968/bjom.2013.21.9.648</w:t>
      </w:r>
    </w:p>
    <w:p w14:paraId="6EE4F410"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Gibbs, G. (1988). </w:t>
      </w:r>
      <w:r w:rsidRPr="005F376D">
        <w:rPr>
          <w:rFonts w:ascii="Arial" w:hAnsi="Arial" w:cs="Arial"/>
          <w:i/>
          <w:iCs/>
          <w:noProof/>
          <w:sz w:val="24"/>
          <w:szCs w:val="24"/>
        </w:rPr>
        <w:t>Learning by Doing: A guide to teaching and learning methods</w:t>
      </w:r>
      <w:r w:rsidRPr="005F376D">
        <w:rPr>
          <w:rFonts w:ascii="Arial" w:hAnsi="Arial" w:cs="Arial"/>
          <w:noProof/>
          <w:sz w:val="24"/>
          <w:szCs w:val="24"/>
        </w:rPr>
        <w:t>. Further Education Unit.</w:t>
      </w:r>
    </w:p>
    <w:p w14:paraId="60740AEA"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Grundy, T. (2006). Rethinking and reinventing Michael Porter’s five forces model. </w:t>
      </w:r>
      <w:r w:rsidRPr="005F376D">
        <w:rPr>
          <w:rFonts w:ascii="Arial" w:hAnsi="Arial" w:cs="Arial"/>
          <w:i/>
          <w:iCs/>
          <w:noProof/>
          <w:sz w:val="24"/>
          <w:szCs w:val="24"/>
        </w:rPr>
        <w:t>Strategic Change</w:t>
      </w:r>
      <w:r w:rsidRPr="005F376D">
        <w:rPr>
          <w:rFonts w:ascii="Arial" w:hAnsi="Arial" w:cs="Arial"/>
          <w:noProof/>
          <w:sz w:val="24"/>
          <w:szCs w:val="24"/>
        </w:rPr>
        <w:t xml:space="preserve">, </w:t>
      </w:r>
      <w:r w:rsidRPr="005F376D">
        <w:rPr>
          <w:rFonts w:ascii="Arial" w:hAnsi="Arial" w:cs="Arial"/>
          <w:i/>
          <w:iCs/>
          <w:noProof/>
          <w:sz w:val="24"/>
          <w:szCs w:val="24"/>
        </w:rPr>
        <w:t>15</w:t>
      </w:r>
      <w:r w:rsidRPr="005F376D">
        <w:rPr>
          <w:rFonts w:ascii="Arial" w:hAnsi="Arial" w:cs="Arial"/>
          <w:noProof/>
          <w:sz w:val="24"/>
          <w:szCs w:val="24"/>
        </w:rPr>
        <w:t>(5), 213–229. https://doi.org/10.1002/jsc.764</w:t>
      </w:r>
    </w:p>
    <w:p w14:paraId="5ED38BA5"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Kreutzer, R. T. (2019). </w:t>
      </w:r>
      <w:r w:rsidRPr="005F376D">
        <w:rPr>
          <w:rFonts w:ascii="Arial" w:hAnsi="Arial" w:cs="Arial"/>
          <w:i/>
          <w:iCs/>
          <w:noProof/>
          <w:sz w:val="24"/>
          <w:szCs w:val="24"/>
        </w:rPr>
        <w:t>Tools for the Strategic Analysis</w:t>
      </w:r>
      <w:r w:rsidRPr="005F376D">
        <w:rPr>
          <w:rFonts w:ascii="Arial" w:hAnsi="Arial" w:cs="Arial"/>
          <w:noProof/>
          <w:sz w:val="24"/>
          <w:szCs w:val="24"/>
        </w:rPr>
        <w:t xml:space="preserve"> (pp. 89–142). https://doi.org/10.1007/978-3-030-13823-3_4</w:t>
      </w:r>
    </w:p>
    <w:p w14:paraId="74A13492"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Lopes, C. P., Lobato, M., Akabane, G. K., Mendonça, C. de, Barreto, R. M., Shimizu, U. K., &amp; Luiz, W. (2010). Organisational culture by change management: DHL Global Forwarding case study. </w:t>
      </w:r>
      <w:r w:rsidRPr="005F376D">
        <w:rPr>
          <w:rFonts w:ascii="Arial" w:hAnsi="Arial" w:cs="Arial"/>
          <w:i/>
          <w:iCs/>
          <w:noProof/>
          <w:sz w:val="24"/>
          <w:szCs w:val="24"/>
        </w:rPr>
        <w:t>POMS 21st Annual Conference</w:t>
      </w:r>
      <w:r w:rsidRPr="005F376D">
        <w:rPr>
          <w:rFonts w:ascii="Arial" w:hAnsi="Arial" w:cs="Arial"/>
          <w:noProof/>
          <w:sz w:val="24"/>
          <w:szCs w:val="24"/>
        </w:rPr>
        <w:t>.</w:t>
      </w:r>
    </w:p>
    <w:p w14:paraId="676ABA00"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Oflac, B. S., Dobrucalı, B., Yavas, T., &amp; Escobar, M. G. (2015). Services Marketing Mix Efforts of a Global Services Brand: The Case of DHL Logistics. </w:t>
      </w:r>
      <w:r w:rsidRPr="005F376D">
        <w:rPr>
          <w:rFonts w:ascii="Arial" w:hAnsi="Arial" w:cs="Arial"/>
          <w:i/>
          <w:iCs/>
          <w:noProof/>
          <w:sz w:val="24"/>
          <w:szCs w:val="24"/>
        </w:rPr>
        <w:t>Procedia Economics and Finance</w:t>
      </w:r>
      <w:r w:rsidRPr="005F376D">
        <w:rPr>
          <w:rFonts w:ascii="Arial" w:hAnsi="Arial" w:cs="Arial"/>
          <w:noProof/>
          <w:sz w:val="24"/>
          <w:szCs w:val="24"/>
        </w:rPr>
        <w:t xml:space="preserve">, </w:t>
      </w:r>
      <w:r w:rsidRPr="005F376D">
        <w:rPr>
          <w:rFonts w:ascii="Arial" w:hAnsi="Arial" w:cs="Arial"/>
          <w:i/>
          <w:iCs/>
          <w:noProof/>
          <w:sz w:val="24"/>
          <w:szCs w:val="24"/>
        </w:rPr>
        <w:t>23</w:t>
      </w:r>
      <w:r w:rsidRPr="005F376D">
        <w:rPr>
          <w:rFonts w:ascii="Arial" w:hAnsi="Arial" w:cs="Arial"/>
          <w:noProof/>
          <w:sz w:val="24"/>
          <w:szCs w:val="24"/>
        </w:rPr>
        <w:t>, 1079–1083. https://doi.org/10.1016/S2212-5671(15)00457-8</w:t>
      </w:r>
    </w:p>
    <w:p w14:paraId="046E80AC"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lastRenderedPageBreak/>
        <w:t xml:space="preserve">Rahman, M. M. (2018). A Study of Business Analysis of DHL. </w:t>
      </w:r>
      <w:r w:rsidRPr="005F376D">
        <w:rPr>
          <w:rFonts w:ascii="Arial" w:hAnsi="Arial" w:cs="Arial"/>
          <w:i/>
          <w:iCs/>
          <w:noProof/>
          <w:sz w:val="24"/>
          <w:szCs w:val="24"/>
        </w:rPr>
        <w:t>SSRN Electronic Journal</w:t>
      </w:r>
      <w:r w:rsidRPr="005F376D">
        <w:rPr>
          <w:rFonts w:ascii="Arial" w:hAnsi="Arial" w:cs="Arial"/>
          <w:noProof/>
          <w:sz w:val="24"/>
          <w:szCs w:val="24"/>
        </w:rPr>
        <w:t>. https://doi.org/10.2139/ssrn.3280714</w:t>
      </w:r>
    </w:p>
    <w:p w14:paraId="1E4B04D4"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Seonaidh, M., &amp; Foster, R. (2013). The Use of Johnson’s Cultural Web to Improve Understanding of Organisational Culture: A Critical Review. </w:t>
      </w:r>
      <w:r w:rsidRPr="005F376D">
        <w:rPr>
          <w:rFonts w:ascii="Arial" w:hAnsi="Arial" w:cs="Arial"/>
          <w:i/>
          <w:iCs/>
          <w:noProof/>
          <w:sz w:val="24"/>
          <w:szCs w:val="24"/>
        </w:rPr>
        <w:t>International Journal of Management</w:t>
      </w:r>
      <w:r w:rsidRPr="005F376D">
        <w:rPr>
          <w:rFonts w:ascii="Arial" w:hAnsi="Arial" w:cs="Arial"/>
          <w:noProof/>
          <w:sz w:val="24"/>
          <w:szCs w:val="24"/>
        </w:rPr>
        <w:t xml:space="preserve">, </w:t>
      </w:r>
      <w:r w:rsidRPr="005F376D">
        <w:rPr>
          <w:rFonts w:ascii="Arial" w:hAnsi="Arial" w:cs="Arial"/>
          <w:i/>
          <w:iCs/>
          <w:noProof/>
          <w:sz w:val="24"/>
          <w:szCs w:val="24"/>
        </w:rPr>
        <w:t>30</w:t>
      </w:r>
      <w:r w:rsidRPr="005F376D">
        <w:rPr>
          <w:rFonts w:ascii="Arial" w:hAnsi="Arial" w:cs="Arial"/>
          <w:noProof/>
          <w:sz w:val="24"/>
          <w:szCs w:val="24"/>
        </w:rPr>
        <w:t>(4), 340–354.</w:t>
      </w:r>
    </w:p>
    <w:p w14:paraId="3F04F14A"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szCs w:val="24"/>
        </w:rPr>
      </w:pPr>
      <w:r w:rsidRPr="005F376D">
        <w:rPr>
          <w:rFonts w:ascii="Arial" w:hAnsi="Arial" w:cs="Arial"/>
          <w:noProof/>
          <w:sz w:val="24"/>
          <w:szCs w:val="24"/>
        </w:rPr>
        <w:t xml:space="preserve">The Impact of Global Trends on Courier Service and Consumer Satisfaction: A Study of DHL. (2021). </w:t>
      </w:r>
      <w:r w:rsidRPr="005F376D">
        <w:rPr>
          <w:rFonts w:ascii="Arial" w:hAnsi="Arial" w:cs="Arial"/>
          <w:i/>
          <w:iCs/>
          <w:noProof/>
          <w:sz w:val="24"/>
          <w:szCs w:val="24"/>
        </w:rPr>
        <w:t>International Journal of Tourism and Hospitality in the Asia Pacific</w:t>
      </w:r>
      <w:r w:rsidRPr="005F376D">
        <w:rPr>
          <w:rFonts w:ascii="Arial" w:hAnsi="Arial" w:cs="Arial"/>
          <w:noProof/>
          <w:sz w:val="24"/>
          <w:szCs w:val="24"/>
        </w:rPr>
        <w:t xml:space="preserve">, </w:t>
      </w:r>
      <w:r w:rsidRPr="005F376D">
        <w:rPr>
          <w:rFonts w:ascii="Arial" w:hAnsi="Arial" w:cs="Arial"/>
          <w:i/>
          <w:iCs/>
          <w:noProof/>
          <w:sz w:val="24"/>
          <w:szCs w:val="24"/>
        </w:rPr>
        <w:t>4</w:t>
      </w:r>
      <w:r w:rsidRPr="005F376D">
        <w:rPr>
          <w:rFonts w:ascii="Arial" w:hAnsi="Arial" w:cs="Arial"/>
          <w:noProof/>
          <w:sz w:val="24"/>
          <w:szCs w:val="24"/>
        </w:rPr>
        <w:t>(1), 64–72. https://doi.org/10.32535/ijthap.v4i1.1022</w:t>
      </w:r>
    </w:p>
    <w:p w14:paraId="3BA9672B" w14:textId="77777777" w:rsidR="005F376D" w:rsidRPr="005F376D" w:rsidRDefault="005F376D" w:rsidP="005F376D">
      <w:pPr>
        <w:widowControl w:val="0"/>
        <w:autoSpaceDE w:val="0"/>
        <w:autoSpaceDN w:val="0"/>
        <w:adjustRightInd w:val="0"/>
        <w:spacing w:line="240" w:lineRule="auto"/>
        <w:ind w:left="480" w:hanging="480"/>
        <w:rPr>
          <w:rFonts w:ascii="Arial" w:hAnsi="Arial" w:cs="Arial"/>
          <w:noProof/>
          <w:sz w:val="24"/>
        </w:rPr>
      </w:pPr>
      <w:r w:rsidRPr="005F376D">
        <w:rPr>
          <w:rFonts w:ascii="Arial" w:hAnsi="Arial" w:cs="Arial"/>
          <w:noProof/>
          <w:sz w:val="24"/>
          <w:szCs w:val="24"/>
        </w:rPr>
        <w:t xml:space="preserve">Yüksel, I. (2012). Developing a Multi-Criteria Decision Making Model for PESTEL Analysis. </w:t>
      </w:r>
      <w:r w:rsidRPr="005F376D">
        <w:rPr>
          <w:rFonts w:ascii="Arial" w:hAnsi="Arial" w:cs="Arial"/>
          <w:i/>
          <w:iCs/>
          <w:noProof/>
          <w:sz w:val="24"/>
          <w:szCs w:val="24"/>
        </w:rPr>
        <w:t>International Journal of Business and Management</w:t>
      </w:r>
      <w:r w:rsidRPr="005F376D">
        <w:rPr>
          <w:rFonts w:ascii="Arial" w:hAnsi="Arial" w:cs="Arial"/>
          <w:noProof/>
          <w:sz w:val="24"/>
          <w:szCs w:val="24"/>
        </w:rPr>
        <w:t xml:space="preserve">, </w:t>
      </w:r>
      <w:r w:rsidRPr="005F376D">
        <w:rPr>
          <w:rFonts w:ascii="Arial" w:hAnsi="Arial" w:cs="Arial"/>
          <w:i/>
          <w:iCs/>
          <w:noProof/>
          <w:sz w:val="24"/>
          <w:szCs w:val="24"/>
        </w:rPr>
        <w:t>7</w:t>
      </w:r>
      <w:r w:rsidRPr="005F376D">
        <w:rPr>
          <w:rFonts w:ascii="Arial" w:hAnsi="Arial" w:cs="Arial"/>
          <w:noProof/>
          <w:sz w:val="24"/>
          <w:szCs w:val="24"/>
        </w:rPr>
        <w:t>(24). https://doi.org/10.5539/ijbm.v7n24p52</w:t>
      </w:r>
    </w:p>
    <w:p w14:paraId="6CE7BACE" w14:textId="77777777" w:rsidR="005F376D" w:rsidRPr="005F376D" w:rsidRDefault="005F376D" w:rsidP="005F376D">
      <w:pPr>
        <w:rPr>
          <w:rFonts w:ascii="Arial" w:hAnsi="Arial" w:cs="Arial"/>
          <w:sz w:val="24"/>
        </w:rPr>
      </w:pPr>
      <w:r w:rsidRPr="005F376D">
        <w:rPr>
          <w:rFonts w:ascii="Arial" w:hAnsi="Arial" w:cs="Arial"/>
          <w:sz w:val="24"/>
        </w:rPr>
        <w:fldChar w:fldCharType="end"/>
      </w:r>
    </w:p>
    <w:p w14:paraId="10F6570B" w14:textId="77777777" w:rsidR="005F376D" w:rsidRPr="005F376D" w:rsidRDefault="005F376D" w:rsidP="005F376D">
      <w:pPr>
        <w:rPr>
          <w:rFonts w:ascii="Arial" w:hAnsi="Arial" w:cs="Arial"/>
          <w:sz w:val="24"/>
        </w:rPr>
      </w:pPr>
      <w:r w:rsidRPr="005F376D">
        <w:rPr>
          <w:rFonts w:ascii="Arial" w:hAnsi="Arial" w:cs="Arial"/>
          <w:sz w:val="24"/>
        </w:rPr>
        <w:br w:type="page"/>
      </w:r>
    </w:p>
    <w:p w14:paraId="5575EB2E" w14:textId="77777777" w:rsidR="005F376D" w:rsidRPr="005F376D" w:rsidRDefault="005F376D" w:rsidP="005F376D">
      <w:pPr>
        <w:keepNext/>
        <w:keepLines/>
        <w:spacing w:before="240" w:after="0"/>
        <w:ind w:left="360" w:hanging="360"/>
        <w:outlineLvl w:val="0"/>
        <w:rPr>
          <w:rFonts w:ascii="Arial" w:eastAsiaTheme="majorEastAsia" w:hAnsi="Arial" w:cs="Arial"/>
          <w:color w:val="2F5496" w:themeColor="accent1" w:themeShade="BF"/>
          <w:sz w:val="32"/>
          <w:szCs w:val="32"/>
        </w:rPr>
      </w:pPr>
      <w:bookmarkStart w:id="36" w:name="_Toc103378724"/>
      <w:r w:rsidRPr="005F376D">
        <w:rPr>
          <w:rFonts w:ascii="Arial" w:eastAsiaTheme="majorEastAsia" w:hAnsi="Arial" w:cs="Arial"/>
          <w:color w:val="2F5496" w:themeColor="accent1" w:themeShade="BF"/>
          <w:sz w:val="32"/>
          <w:szCs w:val="32"/>
        </w:rPr>
        <w:lastRenderedPageBreak/>
        <w:t>Appendix</w:t>
      </w:r>
      <w:bookmarkEnd w:id="36"/>
    </w:p>
    <w:p w14:paraId="27CC27AB" w14:textId="77777777" w:rsidR="005F376D" w:rsidRPr="005F376D" w:rsidRDefault="005F376D" w:rsidP="005F376D">
      <w:pPr>
        <w:rPr>
          <w:rFonts w:ascii="Arial" w:hAnsi="Arial" w:cs="Arial"/>
          <w:sz w:val="24"/>
        </w:rPr>
      </w:pPr>
      <w:r w:rsidRPr="005F376D">
        <w:rPr>
          <w:rFonts w:ascii="Arial" w:hAnsi="Arial" w:cs="Arial"/>
          <w:sz w:val="24"/>
        </w:rPr>
        <w:t>Analysing DHL Culture using the Culture Web</w:t>
      </w:r>
    </w:p>
    <w:p w14:paraId="5E1A8A6F" w14:textId="77777777" w:rsidR="005F376D" w:rsidRPr="005F376D" w:rsidRDefault="005F376D" w:rsidP="005F376D">
      <w:pPr>
        <w:rPr>
          <w:rFonts w:ascii="Arial" w:hAnsi="Arial" w:cs="Arial"/>
          <w:sz w:val="24"/>
        </w:rPr>
      </w:pPr>
    </w:p>
    <w:p w14:paraId="3B3DB0D2" w14:textId="77777777" w:rsidR="005F376D" w:rsidRPr="005F376D" w:rsidRDefault="005F376D" w:rsidP="005F376D">
      <w:pPr>
        <w:rPr>
          <w:rFonts w:ascii="Arial" w:hAnsi="Arial" w:cs="Arial"/>
          <w:b/>
          <w:sz w:val="24"/>
        </w:rPr>
      </w:pPr>
      <w:r w:rsidRPr="005F376D">
        <w:rPr>
          <w:rFonts w:ascii="Arial" w:hAnsi="Arial" w:cs="Arial"/>
          <w:b/>
          <w:sz w:val="24"/>
        </w:rPr>
        <w:t xml:space="preserve">Stories </w:t>
      </w:r>
    </w:p>
    <w:p w14:paraId="48B542BA" w14:textId="77777777" w:rsidR="005F376D" w:rsidRPr="005F376D" w:rsidRDefault="005F376D" w:rsidP="005F376D">
      <w:pPr>
        <w:numPr>
          <w:ilvl w:val="0"/>
          <w:numId w:val="2"/>
        </w:numPr>
        <w:contextualSpacing/>
        <w:rPr>
          <w:rFonts w:ascii="Arial" w:hAnsi="Arial" w:cs="Arial"/>
          <w:sz w:val="24"/>
        </w:rPr>
      </w:pPr>
      <w:r w:rsidRPr="005F376D">
        <w:rPr>
          <w:rFonts w:ascii="Arial" w:hAnsi="Arial" w:cs="Arial"/>
          <w:sz w:val="24"/>
        </w:rPr>
        <w:t>What stories do people tell about DHL and its past?</w:t>
      </w:r>
    </w:p>
    <w:p w14:paraId="6CCDBCA0" w14:textId="77777777" w:rsidR="005F376D" w:rsidRPr="005F376D" w:rsidRDefault="005F376D" w:rsidP="005F376D">
      <w:pPr>
        <w:numPr>
          <w:ilvl w:val="0"/>
          <w:numId w:val="2"/>
        </w:numPr>
        <w:contextualSpacing/>
        <w:rPr>
          <w:rFonts w:ascii="Arial" w:hAnsi="Arial" w:cs="Arial"/>
          <w:sz w:val="24"/>
        </w:rPr>
      </w:pPr>
      <w:r w:rsidRPr="005F376D">
        <w:rPr>
          <w:rFonts w:ascii="Arial" w:hAnsi="Arial" w:cs="Arial"/>
          <w:sz w:val="24"/>
        </w:rPr>
        <w:t>What do these stories talk about what DHL believes in?</w:t>
      </w:r>
    </w:p>
    <w:p w14:paraId="2BCA24E9" w14:textId="77777777" w:rsidR="005F376D" w:rsidRPr="005F376D" w:rsidRDefault="005F376D" w:rsidP="005F376D">
      <w:pPr>
        <w:numPr>
          <w:ilvl w:val="0"/>
          <w:numId w:val="2"/>
        </w:numPr>
        <w:contextualSpacing/>
        <w:rPr>
          <w:rFonts w:ascii="Arial" w:hAnsi="Arial" w:cs="Arial"/>
          <w:sz w:val="24"/>
        </w:rPr>
      </w:pPr>
      <w:r w:rsidRPr="005F376D">
        <w:rPr>
          <w:rFonts w:ascii="Arial" w:hAnsi="Arial" w:cs="Arial"/>
          <w:sz w:val="24"/>
        </w:rPr>
        <w:t>What do employees talk about in the organisation's history?</w:t>
      </w:r>
    </w:p>
    <w:p w14:paraId="04F6CFF2" w14:textId="77777777" w:rsidR="005F376D" w:rsidRPr="005F376D" w:rsidRDefault="005F376D" w:rsidP="005F376D">
      <w:pPr>
        <w:numPr>
          <w:ilvl w:val="0"/>
          <w:numId w:val="2"/>
        </w:numPr>
        <w:contextualSpacing/>
        <w:rPr>
          <w:rFonts w:ascii="Arial" w:hAnsi="Arial" w:cs="Arial"/>
          <w:sz w:val="24"/>
        </w:rPr>
      </w:pPr>
      <w:r w:rsidRPr="005F376D">
        <w:rPr>
          <w:rFonts w:ascii="Arial" w:hAnsi="Arial" w:cs="Arial"/>
          <w:sz w:val="24"/>
        </w:rPr>
        <w:t>What stories do the employees tell people who DHL?</w:t>
      </w:r>
    </w:p>
    <w:p w14:paraId="0B942D77" w14:textId="77777777" w:rsidR="005F376D" w:rsidRPr="005F376D" w:rsidRDefault="005F376D" w:rsidP="005F376D">
      <w:pPr>
        <w:numPr>
          <w:ilvl w:val="0"/>
          <w:numId w:val="2"/>
        </w:numPr>
        <w:contextualSpacing/>
        <w:rPr>
          <w:rFonts w:ascii="Arial" w:hAnsi="Arial" w:cs="Arial"/>
          <w:sz w:val="24"/>
        </w:rPr>
      </w:pPr>
      <w:r w:rsidRPr="005F376D">
        <w:rPr>
          <w:rFonts w:ascii="Arial" w:hAnsi="Arial" w:cs="Arial"/>
          <w:sz w:val="24"/>
        </w:rPr>
        <w:t>What heroes appear in these stories?</w:t>
      </w:r>
    </w:p>
    <w:p w14:paraId="4EA0EAB2" w14:textId="77777777" w:rsidR="005F376D" w:rsidRPr="005F376D" w:rsidRDefault="005F376D" w:rsidP="005F376D">
      <w:pPr>
        <w:rPr>
          <w:rFonts w:ascii="Arial" w:hAnsi="Arial" w:cs="Arial"/>
          <w:b/>
          <w:sz w:val="24"/>
        </w:rPr>
      </w:pPr>
      <w:r w:rsidRPr="005F376D">
        <w:rPr>
          <w:rFonts w:ascii="Arial" w:hAnsi="Arial" w:cs="Arial"/>
          <w:b/>
          <w:sz w:val="24"/>
        </w:rPr>
        <w:t>Routines and rituals</w:t>
      </w:r>
    </w:p>
    <w:p w14:paraId="0E589EE9" w14:textId="77777777" w:rsidR="005F376D" w:rsidRPr="005F376D" w:rsidRDefault="005F376D" w:rsidP="005F376D">
      <w:pPr>
        <w:numPr>
          <w:ilvl w:val="0"/>
          <w:numId w:val="1"/>
        </w:numPr>
        <w:contextualSpacing/>
        <w:rPr>
          <w:rFonts w:ascii="Arial" w:hAnsi="Arial" w:cs="Arial"/>
          <w:sz w:val="24"/>
        </w:rPr>
      </w:pPr>
      <w:r w:rsidRPr="005F376D">
        <w:rPr>
          <w:rFonts w:ascii="Arial" w:hAnsi="Arial" w:cs="Arial"/>
          <w:sz w:val="24"/>
        </w:rPr>
        <w:t>What do customers expect when they walk into DHL?</w:t>
      </w:r>
    </w:p>
    <w:p w14:paraId="78D507DD" w14:textId="77777777" w:rsidR="005F376D" w:rsidRPr="005F376D" w:rsidRDefault="005F376D" w:rsidP="005F376D">
      <w:pPr>
        <w:numPr>
          <w:ilvl w:val="0"/>
          <w:numId w:val="1"/>
        </w:numPr>
        <w:contextualSpacing/>
        <w:rPr>
          <w:rFonts w:ascii="Arial" w:hAnsi="Arial" w:cs="Arial"/>
          <w:sz w:val="24"/>
        </w:rPr>
      </w:pPr>
      <w:r w:rsidRPr="005F376D">
        <w:rPr>
          <w:rFonts w:ascii="Arial" w:hAnsi="Arial" w:cs="Arial"/>
          <w:sz w:val="24"/>
        </w:rPr>
        <w:t>What is the expectation of the employees?</w:t>
      </w:r>
    </w:p>
    <w:p w14:paraId="1F9BA478" w14:textId="77777777" w:rsidR="005F376D" w:rsidRPr="005F376D" w:rsidRDefault="005F376D" w:rsidP="005F376D">
      <w:pPr>
        <w:numPr>
          <w:ilvl w:val="0"/>
          <w:numId w:val="1"/>
        </w:numPr>
        <w:contextualSpacing/>
        <w:rPr>
          <w:rFonts w:ascii="Arial" w:hAnsi="Arial" w:cs="Arial"/>
          <w:sz w:val="24"/>
        </w:rPr>
      </w:pPr>
      <w:r w:rsidRPr="005F376D">
        <w:rPr>
          <w:rFonts w:ascii="Arial" w:hAnsi="Arial" w:cs="Arial"/>
          <w:sz w:val="24"/>
        </w:rPr>
        <w:t>What would be instantly obvious when changed?</w:t>
      </w:r>
    </w:p>
    <w:p w14:paraId="31015AC0" w14:textId="77777777" w:rsidR="005F376D" w:rsidRPr="005F376D" w:rsidRDefault="005F376D" w:rsidP="005F376D">
      <w:pPr>
        <w:numPr>
          <w:ilvl w:val="0"/>
          <w:numId w:val="1"/>
        </w:numPr>
        <w:contextualSpacing/>
        <w:rPr>
          <w:rFonts w:ascii="Arial" w:hAnsi="Arial" w:cs="Arial"/>
          <w:sz w:val="24"/>
        </w:rPr>
      </w:pPr>
      <w:r w:rsidRPr="005F376D">
        <w:rPr>
          <w:rFonts w:ascii="Arial" w:hAnsi="Arial" w:cs="Arial"/>
          <w:sz w:val="24"/>
        </w:rPr>
        <w:t>What behaviour is encouraged by these routines?</w:t>
      </w:r>
    </w:p>
    <w:p w14:paraId="1C033259" w14:textId="77777777" w:rsidR="005F376D" w:rsidRPr="005F376D" w:rsidRDefault="005F376D" w:rsidP="005F376D">
      <w:pPr>
        <w:numPr>
          <w:ilvl w:val="0"/>
          <w:numId w:val="1"/>
        </w:numPr>
        <w:contextualSpacing/>
        <w:rPr>
          <w:rFonts w:ascii="Arial" w:hAnsi="Arial" w:cs="Arial"/>
          <w:sz w:val="24"/>
        </w:rPr>
      </w:pPr>
      <w:r w:rsidRPr="005F376D">
        <w:rPr>
          <w:rFonts w:ascii="Arial" w:hAnsi="Arial" w:cs="Arial"/>
          <w:sz w:val="24"/>
        </w:rPr>
        <w:t>What core beliefs are reflected by these rituals?</w:t>
      </w:r>
    </w:p>
    <w:p w14:paraId="41AF3575" w14:textId="77777777" w:rsidR="005F376D" w:rsidRPr="005F376D" w:rsidRDefault="005F376D" w:rsidP="005F376D">
      <w:pPr>
        <w:rPr>
          <w:rFonts w:ascii="Arial" w:hAnsi="Arial" w:cs="Arial"/>
          <w:b/>
          <w:sz w:val="24"/>
        </w:rPr>
      </w:pPr>
      <w:r w:rsidRPr="005F376D">
        <w:rPr>
          <w:rFonts w:ascii="Arial" w:hAnsi="Arial" w:cs="Arial"/>
          <w:b/>
          <w:sz w:val="24"/>
        </w:rPr>
        <w:t>Symbols</w:t>
      </w:r>
    </w:p>
    <w:p w14:paraId="79A29B06" w14:textId="77777777" w:rsidR="005F376D" w:rsidRPr="005F376D" w:rsidRDefault="005F376D" w:rsidP="005F376D">
      <w:pPr>
        <w:numPr>
          <w:ilvl w:val="0"/>
          <w:numId w:val="3"/>
        </w:numPr>
        <w:contextualSpacing/>
        <w:rPr>
          <w:rFonts w:ascii="Arial" w:hAnsi="Arial" w:cs="Arial"/>
          <w:sz w:val="24"/>
        </w:rPr>
      </w:pPr>
      <w:r w:rsidRPr="005F376D">
        <w:rPr>
          <w:rFonts w:ascii="Arial" w:hAnsi="Arial" w:cs="Arial"/>
          <w:sz w:val="24"/>
        </w:rPr>
        <w:t>Are there status symbols that the DHL uses?</w:t>
      </w:r>
    </w:p>
    <w:p w14:paraId="6E2226FE" w14:textId="77777777" w:rsidR="005F376D" w:rsidRPr="005F376D" w:rsidRDefault="005F376D" w:rsidP="005F376D">
      <w:pPr>
        <w:numPr>
          <w:ilvl w:val="0"/>
          <w:numId w:val="3"/>
        </w:numPr>
        <w:contextualSpacing/>
        <w:rPr>
          <w:rFonts w:ascii="Arial" w:hAnsi="Arial" w:cs="Arial"/>
          <w:sz w:val="24"/>
        </w:rPr>
      </w:pPr>
      <w:r w:rsidRPr="005F376D">
        <w:rPr>
          <w:rFonts w:ascii="Arial" w:hAnsi="Arial" w:cs="Arial"/>
          <w:sz w:val="24"/>
        </w:rPr>
        <w:t>What image is associated with DHL?</w:t>
      </w:r>
    </w:p>
    <w:p w14:paraId="2F3EDB2E" w14:textId="77777777" w:rsidR="005F376D" w:rsidRPr="005F376D" w:rsidRDefault="005F376D" w:rsidP="005F376D">
      <w:pPr>
        <w:rPr>
          <w:rFonts w:ascii="Arial" w:hAnsi="Arial" w:cs="Arial"/>
          <w:b/>
          <w:sz w:val="24"/>
        </w:rPr>
      </w:pPr>
      <w:r w:rsidRPr="005F376D">
        <w:rPr>
          <w:rFonts w:ascii="Arial" w:hAnsi="Arial" w:cs="Arial"/>
          <w:b/>
          <w:sz w:val="24"/>
        </w:rPr>
        <w:t>Organisational structures</w:t>
      </w:r>
    </w:p>
    <w:p w14:paraId="196B45C3" w14:textId="77777777" w:rsidR="005F376D" w:rsidRPr="005F376D" w:rsidRDefault="005F376D" w:rsidP="005F376D">
      <w:pPr>
        <w:numPr>
          <w:ilvl w:val="0"/>
          <w:numId w:val="4"/>
        </w:numPr>
        <w:contextualSpacing/>
        <w:rPr>
          <w:rFonts w:ascii="Arial" w:hAnsi="Arial" w:cs="Arial"/>
          <w:sz w:val="24"/>
        </w:rPr>
      </w:pPr>
      <w:r w:rsidRPr="005F376D">
        <w:rPr>
          <w:rFonts w:ascii="Arial" w:hAnsi="Arial" w:cs="Arial"/>
          <w:sz w:val="24"/>
        </w:rPr>
        <w:t>Is the structure formal or informal? Hierarchical or flat? Mechanistic or organic?</w:t>
      </w:r>
    </w:p>
    <w:p w14:paraId="435FF958" w14:textId="77777777" w:rsidR="005F376D" w:rsidRPr="005F376D" w:rsidRDefault="005F376D" w:rsidP="005F376D">
      <w:pPr>
        <w:numPr>
          <w:ilvl w:val="0"/>
          <w:numId w:val="4"/>
        </w:numPr>
        <w:contextualSpacing/>
        <w:rPr>
          <w:rFonts w:ascii="Arial" w:hAnsi="Arial" w:cs="Arial"/>
          <w:sz w:val="24"/>
        </w:rPr>
      </w:pPr>
      <w:r w:rsidRPr="005F376D">
        <w:rPr>
          <w:rFonts w:ascii="Arial" w:hAnsi="Arial" w:cs="Arial"/>
          <w:sz w:val="24"/>
        </w:rPr>
        <w:t>Where are the formal authority lines?</w:t>
      </w:r>
    </w:p>
    <w:p w14:paraId="53ED84F3" w14:textId="77777777" w:rsidR="005F376D" w:rsidRPr="005F376D" w:rsidRDefault="005F376D" w:rsidP="005F376D">
      <w:pPr>
        <w:numPr>
          <w:ilvl w:val="0"/>
          <w:numId w:val="4"/>
        </w:numPr>
        <w:contextualSpacing/>
        <w:rPr>
          <w:rFonts w:ascii="Arial" w:hAnsi="Arial" w:cs="Arial"/>
          <w:sz w:val="24"/>
        </w:rPr>
      </w:pPr>
      <w:r w:rsidRPr="005F376D">
        <w:rPr>
          <w:rFonts w:ascii="Arial" w:hAnsi="Arial" w:cs="Arial"/>
          <w:sz w:val="24"/>
        </w:rPr>
        <w:t>Are there informal lines?</w:t>
      </w:r>
    </w:p>
    <w:p w14:paraId="5A125244" w14:textId="77777777" w:rsidR="005F376D" w:rsidRPr="005F376D" w:rsidRDefault="005F376D" w:rsidP="005F376D">
      <w:pPr>
        <w:rPr>
          <w:rFonts w:ascii="Arial" w:hAnsi="Arial" w:cs="Arial"/>
          <w:b/>
          <w:sz w:val="24"/>
        </w:rPr>
      </w:pPr>
      <w:r w:rsidRPr="005F376D">
        <w:rPr>
          <w:rFonts w:ascii="Arial" w:hAnsi="Arial" w:cs="Arial"/>
          <w:b/>
          <w:sz w:val="24"/>
        </w:rPr>
        <w:t>Control systems?</w:t>
      </w:r>
    </w:p>
    <w:p w14:paraId="0BEADB70" w14:textId="77777777" w:rsidR="005F376D" w:rsidRPr="005F376D" w:rsidRDefault="005F376D" w:rsidP="005F376D">
      <w:pPr>
        <w:numPr>
          <w:ilvl w:val="0"/>
          <w:numId w:val="5"/>
        </w:numPr>
        <w:contextualSpacing/>
        <w:rPr>
          <w:rFonts w:ascii="Arial" w:hAnsi="Arial" w:cs="Arial"/>
          <w:sz w:val="24"/>
        </w:rPr>
      </w:pPr>
      <w:r w:rsidRPr="005F376D">
        <w:rPr>
          <w:rFonts w:ascii="Arial" w:hAnsi="Arial" w:cs="Arial"/>
          <w:sz w:val="24"/>
        </w:rPr>
        <w:t>Is the DHL tightly or loosely controlled?</w:t>
      </w:r>
    </w:p>
    <w:p w14:paraId="4BF11E45" w14:textId="77777777" w:rsidR="005F376D" w:rsidRPr="005F376D" w:rsidRDefault="005F376D" w:rsidP="005F376D">
      <w:pPr>
        <w:numPr>
          <w:ilvl w:val="0"/>
          <w:numId w:val="5"/>
        </w:numPr>
        <w:contextualSpacing/>
        <w:rPr>
          <w:rFonts w:ascii="Arial" w:hAnsi="Arial" w:cs="Arial"/>
          <w:sz w:val="24"/>
        </w:rPr>
      </w:pPr>
      <w:r w:rsidRPr="005F376D">
        <w:rPr>
          <w:rFonts w:ascii="Arial" w:hAnsi="Arial" w:cs="Arial"/>
          <w:sz w:val="24"/>
        </w:rPr>
        <w:t>Does DHL reward employees for good work or penalise them for poor work?</w:t>
      </w:r>
    </w:p>
    <w:p w14:paraId="7C231AF3" w14:textId="77777777" w:rsidR="005F376D" w:rsidRPr="005F376D" w:rsidRDefault="005F376D" w:rsidP="005F376D">
      <w:pPr>
        <w:numPr>
          <w:ilvl w:val="0"/>
          <w:numId w:val="5"/>
        </w:numPr>
        <w:contextualSpacing/>
        <w:rPr>
          <w:rFonts w:ascii="Arial" w:hAnsi="Arial" w:cs="Arial"/>
          <w:sz w:val="24"/>
        </w:rPr>
      </w:pPr>
      <w:r w:rsidRPr="005F376D">
        <w:rPr>
          <w:rFonts w:ascii="Arial" w:hAnsi="Arial" w:cs="Arial"/>
          <w:sz w:val="24"/>
        </w:rPr>
        <w:t>What reports are given to control finance, operations etc.?</w:t>
      </w:r>
    </w:p>
    <w:p w14:paraId="69CDCCF8" w14:textId="77777777" w:rsidR="005F376D" w:rsidRPr="005F376D" w:rsidRDefault="005F376D" w:rsidP="005F376D">
      <w:pPr>
        <w:rPr>
          <w:rFonts w:ascii="Arial" w:hAnsi="Arial" w:cs="Arial"/>
          <w:b/>
          <w:sz w:val="24"/>
        </w:rPr>
      </w:pPr>
      <w:r w:rsidRPr="005F376D">
        <w:rPr>
          <w:rFonts w:ascii="Arial" w:hAnsi="Arial" w:cs="Arial"/>
          <w:b/>
          <w:sz w:val="24"/>
        </w:rPr>
        <w:t>Power structure</w:t>
      </w:r>
    </w:p>
    <w:p w14:paraId="173D2721" w14:textId="77777777" w:rsidR="005F376D" w:rsidRPr="005F376D" w:rsidRDefault="005F376D" w:rsidP="005F376D">
      <w:pPr>
        <w:numPr>
          <w:ilvl w:val="0"/>
          <w:numId w:val="6"/>
        </w:numPr>
        <w:contextualSpacing/>
        <w:rPr>
          <w:rFonts w:ascii="Arial" w:hAnsi="Arial" w:cs="Arial"/>
          <w:sz w:val="24"/>
        </w:rPr>
      </w:pPr>
      <w:r w:rsidRPr="005F376D">
        <w:rPr>
          <w:rFonts w:ascii="Arial" w:hAnsi="Arial" w:cs="Arial"/>
          <w:sz w:val="24"/>
        </w:rPr>
        <w:t>Who has the real power in DHL?</w:t>
      </w:r>
    </w:p>
    <w:p w14:paraId="2012D915" w14:textId="77777777" w:rsidR="005F376D" w:rsidRPr="005F376D" w:rsidRDefault="005F376D" w:rsidP="005F376D">
      <w:pPr>
        <w:numPr>
          <w:ilvl w:val="0"/>
          <w:numId w:val="6"/>
        </w:numPr>
        <w:contextualSpacing/>
        <w:rPr>
          <w:rFonts w:ascii="Arial" w:hAnsi="Arial" w:cs="Arial"/>
          <w:sz w:val="24"/>
        </w:rPr>
      </w:pPr>
      <w:r w:rsidRPr="005F376D">
        <w:rPr>
          <w:rFonts w:ascii="Arial" w:hAnsi="Arial" w:cs="Arial"/>
          <w:sz w:val="24"/>
        </w:rPr>
        <w:t>What do people believe in DHL?</w:t>
      </w:r>
    </w:p>
    <w:p w14:paraId="0E1EC809" w14:textId="77777777" w:rsidR="005F376D" w:rsidRPr="005F376D" w:rsidRDefault="005F376D" w:rsidP="005F376D">
      <w:pPr>
        <w:numPr>
          <w:ilvl w:val="0"/>
          <w:numId w:val="6"/>
        </w:numPr>
        <w:contextualSpacing/>
        <w:rPr>
          <w:rFonts w:ascii="Arial" w:hAnsi="Arial" w:cs="Arial"/>
          <w:sz w:val="24"/>
        </w:rPr>
      </w:pPr>
      <w:r w:rsidRPr="005F376D">
        <w:rPr>
          <w:rFonts w:ascii="Arial" w:hAnsi="Arial" w:cs="Arial"/>
          <w:sz w:val="24"/>
        </w:rPr>
        <w:t>Who influences or makes decisions?</w:t>
      </w:r>
    </w:p>
    <w:p w14:paraId="4DECA6BC" w14:textId="77777777" w:rsidR="005F376D" w:rsidRPr="005F376D" w:rsidRDefault="005F376D" w:rsidP="005F376D">
      <w:pPr>
        <w:numPr>
          <w:ilvl w:val="0"/>
          <w:numId w:val="6"/>
        </w:numPr>
        <w:contextualSpacing/>
        <w:rPr>
          <w:rFonts w:ascii="Arial" w:hAnsi="Arial" w:cs="Arial"/>
          <w:sz w:val="24"/>
        </w:rPr>
      </w:pPr>
      <w:r w:rsidRPr="005F376D">
        <w:rPr>
          <w:rFonts w:ascii="Arial" w:hAnsi="Arial" w:cs="Arial"/>
          <w:sz w:val="24"/>
        </w:rPr>
        <w:t>How is this power abused or used?</w:t>
      </w:r>
    </w:p>
    <w:p w14:paraId="0AC54D3F" w14:textId="77777777" w:rsidR="005F376D" w:rsidRPr="005F376D" w:rsidRDefault="005F376D" w:rsidP="005F376D">
      <w:pPr>
        <w:numPr>
          <w:ilvl w:val="0"/>
          <w:numId w:val="6"/>
        </w:numPr>
        <w:contextualSpacing/>
        <w:rPr>
          <w:rFonts w:ascii="Arial" w:hAnsi="Arial" w:cs="Arial"/>
          <w:sz w:val="24"/>
        </w:rPr>
      </w:pPr>
    </w:p>
    <w:p w14:paraId="4E312049" w14:textId="77777777" w:rsidR="005F376D" w:rsidRPr="005F376D" w:rsidRDefault="005F376D" w:rsidP="005F376D">
      <w:pPr>
        <w:rPr>
          <w:rFonts w:ascii="Arial" w:hAnsi="Arial" w:cs="Arial"/>
          <w:sz w:val="24"/>
        </w:rPr>
      </w:pPr>
    </w:p>
    <w:p w14:paraId="574A3447" w14:textId="77777777" w:rsidR="0052087D" w:rsidRDefault="0052087D" w:rsidP="003C021A">
      <w:pPr>
        <w:tabs>
          <w:tab w:val="left" w:pos="2693"/>
        </w:tabs>
        <w:jc w:val="center"/>
        <w:rPr>
          <w:rFonts w:ascii="Arial" w:hAnsi="Arial" w:cs="Arial"/>
          <w:sz w:val="28"/>
          <w:szCs w:val="28"/>
        </w:rPr>
      </w:pPr>
    </w:p>
    <w:p w14:paraId="73837A98" w14:textId="77777777" w:rsidR="003C021A" w:rsidRPr="003C021A" w:rsidRDefault="003C021A" w:rsidP="003C021A">
      <w:pPr>
        <w:jc w:val="center"/>
      </w:pPr>
    </w:p>
    <w:sectPr w:rsidR="003C021A" w:rsidRPr="003C021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16870" w14:textId="77777777" w:rsidR="0010525B" w:rsidRDefault="0010525B" w:rsidP="00283922">
      <w:pPr>
        <w:spacing w:after="0" w:line="240" w:lineRule="auto"/>
      </w:pPr>
      <w:r>
        <w:separator/>
      </w:r>
    </w:p>
  </w:endnote>
  <w:endnote w:type="continuationSeparator" w:id="0">
    <w:p w14:paraId="1D9B6115" w14:textId="77777777" w:rsidR="0010525B" w:rsidRDefault="0010525B" w:rsidP="00283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800669"/>
      <w:docPartObj>
        <w:docPartGallery w:val="Page Numbers (Bottom of Page)"/>
        <w:docPartUnique/>
      </w:docPartObj>
    </w:sdtPr>
    <w:sdtEndPr>
      <w:rPr>
        <w:noProof/>
      </w:rPr>
    </w:sdtEndPr>
    <w:sdtContent>
      <w:p w14:paraId="632ED72F" w14:textId="72948AA2" w:rsidR="00283922" w:rsidRDefault="00283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E09B3D" w14:textId="77777777" w:rsidR="00283922" w:rsidRDefault="00283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3817F" w14:textId="77777777" w:rsidR="0010525B" w:rsidRDefault="0010525B" w:rsidP="00283922">
      <w:pPr>
        <w:spacing w:after="0" w:line="240" w:lineRule="auto"/>
      </w:pPr>
      <w:r>
        <w:separator/>
      </w:r>
    </w:p>
  </w:footnote>
  <w:footnote w:type="continuationSeparator" w:id="0">
    <w:p w14:paraId="06AAB612" w14:textId="77777777" w:rsidR="0010525B" w:rsidRDefault="0010525B" w:rsidP="00283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C2F73"/>
    <w:multiLevelType w:val="hybridMultilevel"/>
    <w:tmpl w:val="2CF4DAFE"/>
    <w:lvl w:ilvl="0" w:tplc="48507A4A">
      <w:start w:val="1"/>
      <w:numFmt w:val="bullet"/>
      <w:lvlText w:val=""/>
      <w:lvlJc w:val="left"/>
      <w:pPr>
        <w:ind w:left="720" w:hanging="360"/>
      </w:pPr>
      <w:rPr>
        <w:rFonts w:ascii="Symbol" w:hAnsi="Symbol" w:hint="default"/>
      </w:rPr>
    </w:lvl>
    <w:lvl w:ilvl="1" w:tplc="C7602454" w:tentative="1">
      <w:start w:val="1"/>
      <w:numFmt w:val="bullet"/>
      <w:lvlText w:val="o"/>
      <w:lvlJc w:val="left"/>
      <w:pPr>
        <w:ind w:left="1440" w:hanging="360"/>
      </w:pPr>
      <w:rPr>
        <w:rFonts w:ascii="Courier New" w:hAnsi="Courier New" w:cs="Courier New" w:hint="default"/>
      </w:rPr>
    </w:lvl>
    <w:lvl w:ilvl="2" w:tplc="253CBB96" w:tentative="1">
      <w:start w:val="1"/>
      <w:numFmt w:val="bullet"/>
      <w:lvlText w:val=""/>
      <w:lvlJc w:val="left"/>
      <w:pPr>
        <w:ind w:left="2160" w:hanging="360"/>
      </w:pPr>
      <w:rPr>
        <w:rFonts w:ascii="Wingdings" w:hAnsi="Wingdings" w:hint="default"/>
      </w:rPr>
    </w:lvl>
    <w:lvl w:ilvl="3" w:tplc="1750BE70" w:tentative="1">
      <w:start w:val="1"/>
      <w:numFmt w:val="bullet"/>
      <w:lvlText w:val=""/>
      <w:lvlJc w:val="left"/>
      <w:pPr>
        <w:ind w:left="2880" w:hanging="360"/>
      </w:pPr>
      <w:rPr>
        <w:rFonts w:ascii="Symbol" w:hAnsi="Symbol" w:hint="default"/>
      </w:rPr>
    </w:lvl>
    <w:lvl w:ilvl="4" w:tplc="517A2218" w:tentative="1">
      <w:start w:val="1"/>
      <w:numFmt w:val="bullet"/>
      <w:lvlText w:val="o"/>
      <w:lvlJc w:val="left"/>
      <w:pPr>
        <w:ind w:left="3600" w:hanging="360"/>
      </w:pPr>
      <w:rPr>
        <w:rFonts w:ascii="Courier New" w:hAnsi="Courier New" w:cs="Courier New" w:hint="default"/>
      </w:rPr>
    </w:lvl>
    <w:lvl w:ilvl="5" w:tplc="46941912" w:tentative="1">
      <w:start w:val="1"/>
      <w:numFmt w:val="bullet"/>
      <w:lvlText w:val=""/>
      <w:lvlJc w:val="left"/>
      <w:pPr>
        <w:ind w:left="4320" w:hanging="360"/>
      </w:pPr>
      <w:rPr>
        <w:rFonts w:ascii="Wingdings" w:hAnsi="Wingdings" w:hint="default"/>
      </w:rPr>
    </w:lvl>
    <w:lvl w:ilvl="6" w:tplc="3C8AE7F8" w:tentative="1">
      <w:start w:val="1"/>
      <w:numFmt w:val="bullet"/>
      <w:lvlText w:val=""/>
      <w:lvlJc w:val="left"/>
      <w:pPr>
        <w:ind w:left="5040" w:hanging="360"/>
      </w:pPr>
      <w:rPr>
        <w:rFonts w:ascii="Symbol" w:hAnsi="Symbol" w:hint="default"/>
      </w:rPr>
    </w:lvl>
    <w:lvl w:ilvl="7" w:tplc="AAC26798" w:tentative="1">
      <w:start w:val="1"/>
      <w:numFmt w:val="bullet"/>
      <w:lvlText w:val="o"/>
      <w:lvlJc w:val="left"/>
      <w:pPr>
        <w:ind w:left="5760" w:hanging="360"/>
      </w:pPr>
      <w:rPr>
        <w:rFonts w:ascii="Courier New" w:hAnsi="Courier New" w:cs="Courier New" w:hint="default"/>
      </w:rPr>
    </w:lvl>
    <w:lvl w:ilvl="8" w:tplc="A37C5520" w:tentative="1">
      <w:start w:val="1"/>
      <w:numFmt w:val="bullet"/>
      <w:lvlText w:val=""/>
      <w:lvlJc w:val="left"/>
      <w:pPr>
        <w:ind w:left="6480" w:hanging="360"/>
      </w:pPr>
      <w:rPr>
        <w:rFonts w:ascii="Wingdings" w:hAnsi="Wingdings" w:hint="default"/>
      </w:rPr>
    </w:lvl>
  </w:abstractNum>
  <w:abstractNum w:abstractNumId="1" w15:restartNumberingAfterBreak="0">
    <w:nsid w:val="189A72B4"/>
    <w:multiLevelType w:val="hybridMultilevel"/>
    <w:tmpl w:val="89203222"/>
    <w:lvl w:ilvl="0" w:tplc="21202D2C">
      <w:start w:val="1"/>
      <w:numFmt w:val="bullet"/>
      <w:lvlText w:val=""/>
      <w:lvlJc w:val="left"/>
      <w:pPr>
        <w:ind w:left="720" w:hanging="360"/>
      </w:pPr>
      <w:rPr>
        <w:rFonts w:ascii="Symbol" w:hAnsi="Symbol" w:hint="default"/>
      </w:rPr>
    </w:lvl>
    <w:lvl w:ilvl="1" w:tplc="6CB00BF4" w:tentative="1">
      <w:start w:val="1"/>
      <w:numFmt w:val="bullet"/>
      <w:lvlText w:val="o"/>
      <w:lvlJc w:val="left"/>
      <w:pPr>
        <w:ind w:left="1440" w:hanging="360"/>
      </w:pPr>
      <w:rPr>
        <w:rFonts w:ascii="Courier New" w:hAnsi="Courier New" w:cs="Courier New" w:hint="default"/>
      </w:rPr>
    </w:lvl>
    <w:lvl w:ilvl="2" w:tplc="028E7FEA" w:tentative="1">
      <w:start w:val="1"/>
      <w:numFmt w:val="bullet"/>
      <w:lvlText w:val=""/>
      <w:lvlJc w:val="left"/>
      <w:pPr>
        <w:ind w:left="2160" w:hanging="360"/>
      </w:pPr>
      <w:rPr>
        <w:rFonts w:ascii="Wingdings" w:hAnsi="Wingdings" w:hint="default"/>
      </w:rPr>
    </w:lvl>
    <w:lvl w:ilvl="3" w:tplc="B42C9B30" w:tentative="1">
      <w:start w:val="1"/>
      <w:numFmt w:val="bullet"/>
      <w:lvlText w:val=""/>
      <w:lvlJc w:val="left"/>
      <w:pPr>
        <w:ind w:left="2880" w:hanging="360"/>
      </w:pPr>
      <w:rPr>
        <w:rFonts w:ascii="Symbol" w:hAnsi="Symbol" w:hint="default"/>
      </w:rPr>
    </w:lvl>
    <w:lvl w:ilvl="4" w:tplc="EEBE912C" w:tentative="1">
      <w:start w:val="1"/>
      <w:numFmt w:val="bullet"/>
      <w:lvlText w:val="o"/>
      <w:lvlJc w:val="left"/>
      <w:pPr>
        <w:ind w:left="3600" w:hanging="360"/>
      </w:pPr>
      <w:rPr>
        <w:rFonts w:ascii="Courier New" w:hAnsi="Courier New" w:cs="Courier New" w:hint="default"/>
      </w:rPr>
    </w:lvl>
    <w:lvl w:ilvl="5" w:tplc="E454089E" w:tentative="1">
      <w:start w:val="1"/>
      <w:numFmt w:val="bullet"/>
      <w:lvlText w:val=""/>
      <w:lvlJc w:val="left"/>
      <w:pPr>
        <w:ind w:left="4320" w:hanging="360"/>
      </w:pPr>
      <w:rPr>
        <w:rFonts w:ascii="Wingdings" w:hAnsi="Wingdings" w:hint="default"/>
      </w:rPr>
    </w:lvl>
    <w:lvl w:ilvl="6" w:tplc="0FCEC1A4" w:tentative="1">
      <w:start w:val="1"/>
      <w:numFmt w:val="bullet"/>
      <w:lvlText w:val=""/>
      <w:lvlJc w:val="left"/>
      <w:pPr>
        <w:ind w:left="5040" w:hanging="360"/>
      </w:pPr>
      <w:rPr>
        <w:rFonts w:ascii="Symbol" w:hAnsi="Symbol" w:hint="default"/>
      </w:rPr>
    </w:lvl>
    <w:lvl w:ilvl="7" w:tplc="2E9EB992" w:tentative="1">
      <w:start w:val="1"/>
      <w:numFmt w:val="bullet"/>
      <w:lvlText w:val="o"/>
      <w:lvlJc w:val="left"/>
      <w:pPr>
        <w:ind w:left="5760" w:hanging="360"/>
      </w:pPr>
      <w:rPr>
        <w:rFonts w:ascii="Courier New" w:hAnsi="Courier New" w:cs="Courier New" w:hint="default"/>
      </w:rPr>
    </w:lvl>
    <w:lvl w:ilvl="8" w:tplc="CCC05BA8" w:tentative="1">
      <w:start w:val="1"/>
      <w:numFmt w:val="bullet"/>
      <w:lvlText w:val=""/>
      <w:lvlJc w:val="left"/>
      <w:pPr>
        <w:ind w:left="6480" w:hanging="360"/>
      </w:pPr>
      <w:rPr>
        <w:rFonts w:ascii="Wingdings" w:hAnsi="Wingdings" w:hint="default"/>
      </w:rPr>
    </w:lvl>
  </w:abstractNum>
  <w:abstractNum w:abstractNumId="2" w15:restartNumberingAfterBreak="0">
    <w:nsid w:val="26E273AA"/>
    <w:multiLevelType w:val="hybridMultilevel"/>
    <w:tmpl w:val="FE3A9B16"/>
    <w:lvl w:ilvl="0" w:tplc="6E7AC30A">
      <w:start w:val="1"/>
      <w:numFmt w:val="bullet"/>
      <w:lvlText w:val=""/>
      <w:lvlJc w:val="left"/>
      <w:pPr>
        <w:ind w:left="720" w:hanging="360"/>
      </w:pPr>
      <w:rPr>
        <w:rFonts w:ascii="Symbol" w:hAnsi="Symbol" w:hint="default"/>
      </w:rPr>
    </w:lvl>
    <w:lvl w:ilvl="1" w:tplc="0394BDE0" w:tentative="1">
      <w:start w:val="1"/>
      <w:numFmt w:val="bullet"/>
      <w:lvlText w:val="o"/>
      <w:lvlJc w:val="left"/>
      <w:pPr>
        <w:ind w:left="1440" w:hanging="360"/>
      </w:pPr>
      <w:rPr>
        <w:rFonts w:ascii="Courier New" w:hAnsi="Courier New" w:cs="Courier New" w:hint="default"/>
      </w:rPr>
    </w:lvl>
    <w:lvl w:ilvl="2" w:tplc="BE50A2A6" w:tentative="1">
      <w:start w:val="1"/>
      <w:numFmt w:val="bullet"/>
      <w:lvlText w:val=""/>
      <w:lvlJc w:val="left"/>
      <w:pPr>
        <w:ind w:left="2160" w:hanging="360"/>
      </w:pPr>
      <w:rPr>
        <w:rFonts w:ascii="Wingdings" w:hAnsi="Wingdings" w:hint="default"/>
      </w:rPr>
    </w:lvl>
    <w:lvl w:ilvl="3" w:tplc="290E69DE" w:tentative="1">
      <w:start w:val="1"/>
      <w:numFmt w:val="bullet"/>
      <w:lvlText w:val=""/>
      <w:lvlJc w:val="left"/>
      <w:pPr>
        <w:ind w:left="2880" w:hanging="360"/>
      </w:pPr>
      <w:rPr>
        <w:rFonts w:ascii="Symbol" w:hAnsi="Symbol" w:hint="default"/>
      </w:rPr>
    </w:lvl>
    <w:lvl w:ilvl="4" w:tplc="CCDE1F9C" w:tentative="1">
      <w:start w:val="1"/>
      <w:numFmt w:val="bullet"/>
      <w:lvlText w:val="o"/>
      <w:lvlJc w:val="left"/>
      <w:pPr>
        <w:ind w:left="3600" w:hanging="360"/>
      </w:pPr>
      <w:rPr>
        <w:rFonts w:ascii="Courier New" w:hAnsi="Courier New" w:cs="Courier New" w:hint="default"/>
      </w:rPr>
    </w:lvl>
    <w:lvl w:ilvl="5" w:tplc="2942529C" w:tentative="1">
      <w:start w:val="1"/>
      <w:numFmt w:val="bullet"/>
      <w:lvlText w:val=""/>
      <w:lvlJc w:val="left"/>
      <w:pPr>
        <w:ind w:left="4320" w:hanging="360"/>
      </w:pPr>
      <w:rPr>
        <w:rFonts w:ascii="Wingdings" w:hAnsi="Wingdings" w:hint="default"/>
      </w:rPr>
    </w:lvl>
    <w:lvl w:ilvl="6" w:tplc="7A463B06" w:tentative="1">
      <w:start w:val="1"/>
      <w:numFmt w:val="bullet"/>
      <w:lvlText w:val=""/>
      <w:lvlJc w:val="left"/>
      <w:pPr>
        <w:ind w:left="5040" w:hanging="360"/>
      </w:pPr>
      <w:rPr>
        <w:rFonts w:ascii="Symbol" w:hAnsi="Symbol" w:hint="default"/>
      </w:rPr>
    </w:lvl>
    <w:lvl w:ilvl="7" w:tplc="A8E00D66" w:tentative="1">
      <w:start w:val="1"/>
      <w:numFmt w:val="bullet"/>
      <w:lvlText w:val="o"/>
      <w:lvlJc w:val="left"/>
      <w:pPr>
        <w:ind w:left="5760" w:hanging="360"/>
      </w:pPr>
      <w:rPr>
        <w:rFonts w:ascii="Courier New" w:hAnsi="Courier New" w:cs="Courier New" w:hint="default"/>
      </w:rPr>
    </w:lvl>
    <w:lvl w:ilvl="8" w:tplc="6066A976" w:tentative="1">
      <w:start w:val="1"/>
      <w:numFmt w:val="bullet"/>
      <w:lvlText w:val=""/>
      <w:lvlJc w:val="left"/>
      <w:pPr>
        <w:ind w:left="6480" w:hanging="360"/>
      </w:pPr>
      <w:rPr>
        <w:rFonts w:ascii="Wingdings" w:hAnsi="Wingdings" w:hint="default"/>
      </w:rPr>
    </w:lvl>
  </w:abstractNum>
  <w:abstractNum w:abstractNumId="3" w15:restartNumberingAfterBreak="0">
    <w:nsid w:val="49F32846"/>
    <w:multiLevelType w:val="hybridMultilevel"/>
    <w:tmpl w:val="6D62C278"/>
    <w:lvl w:ilvl="0" w:tplc="A2FE9842">
      <w:start w:val="1"/>
      <w:numFmt w:val="bullet"/>
      <w:lvlText w:val=""/>
      <w:lvlJc w:val="left"/>
      <w:pPr>
        <w:ind w:left="720" w:hanging="360"/>
      </w:pPr>
      <w:rPr>
        <w:rFonts w:ascii="Symbol" w:hAnsi="Symbol" w:hint="default"/>
      </w:rPr>
    </w:lvl>
    <w:lvl w:ilvl="1" w:tplc="810E9832" w:tentative="1">
      <w:start w:val="1"/>
      <w:numFmt w:val="bullet"/>
      <w:lvlText w:val="o"/>
      <w:lvlJc w:val="left"/>
      <w:pPr>
        <w:ind w:left="1440" w:hanging="360"/>
      </w:pPr>
      <w:rPr>
        <w:rFonts w:ascii="Courier New" w:hAnsi="Courier New" w:cs="Courier New" w:hint="default"/>
      </w:rPr>
    </w:lvl>
    <w:lvl w:ilvl="2" w:tplc="1E004ACE" w:tentative="1">
      <w:start w:val="1"/>
      <w:numFmt w:val="bullet"/>
      <w:lvlText w:val=""/>
      <w:lvlJc w:val="left"/>
      <w:pPr>
        <w:ind w:left="2160" w:hanging="360"/>
      </w:pPr>
      <w:rPr>
        <w:rFonts w:ascii="Wingdings" w:hAnsi="Wingdings" w:hint="default"/>
      </w:rPr>
    </w:lvl>
    <w:lvl w:ilvl="3" w:tplc="1D604830" w:tentative="1">
      <w:start w:val="1"/>
      <w:numFmt w:val="bullet"/>
      <w:lvlText w:val=""/>
      <w:lvlJc w:val="left"/>
      <w:pPr>
        <w:ind w:left="2880" w:hanging="360"/>
      </w:pPr>
      <w:rPr>
        <w:rFonts w:ascii="Symbol" w:hAnsi="Symbol" w:hint="default"/>
      </w:rPr>
    </w:lvl>
    <w:lvl w:ilvl="4" w:tplc="EDFEB734" w:tentative="1">
      <w:start w:val="1"/>
      <w:numFmt w:val="bullet"/>
      <w:lvlText w:val="o"/>
      <w:lvlJc w:val="left"/>
      <w:pPr>
        <w:ind w:left="3600" w:hanging="360"/>
      </w:pPr>
      <w:rPr>
        <w:rFonts w:ascii="Courier New" w:hAnsi="Courier New" w:cs="Courier New" w:hint="default"/>
      </w:rPr>
    </w:lvl>
    <w:lvl w:ilvl="5" w:tplc="ED6CFE9A" w:tentative="1">
      <w:start w:val="1"/>
      <w:numFmt w:val="bullet"/>
      <w:lvlText w:val=""/>
      <w:lvlJc w:val="left"/>
      <w:pPr>
        <w:ind w:left="4320" w:hanging="360"/>
      </w:pPr>
      <w:rPr>
        <w:rFonts w:ascii="Wingdings" w:hAnsi="Wingdings" w:hint="default"/>
      </w:rPr>
    </w:lvl>
    <w:lvl w:ilvl="6" w:tplc="1668F5EE" w:tentative="1">
      <w:start w:val="1"/>
      <w:numFmt w:val="bullet"/>
      <w:lvlText w:val=""/>
      <w:lvlJc w:val="left"/>
      <w:pPr>
        <w:ind w:left="5040" w:hanging="360"/>
      </w:pPr>
      <w:rPr>
        <w:rFonts w:ascii="Symbol" w:hAnsi="Symbol" w:hint="default"/>
      </w:rPr>
    </w:lvl>
    <w:lvl w:ilvl="7" w:tplc="512A3686" w:tentative="1">
      <w:start w:val="1"/>
      <w:numFmt w:val="bullet"/>
      <w:lvlText w:val="o"/>
      <w:lvlJc w:val="left"/>
      <w:pPr>
        <w:ind w:left="5760" w:hanging="360"/>
      </w:pPr>
      <w:rPr>
        <w:rFonts w:ascii="Courier New" w:hAnsi="Courier New" w:cs="Courier New" w:hint="default"/>
      </w:rPr>
    </w:lvl>
    <w:lvl w:ilvl="8" w:tplc="2400848C" w:tentative="1">
      <w:start w:val="1"/>
      <w:numFmt w:val="bullet"/>
      <w:lvlText w:val=""/>
      <w:lvlJc w:val="left"/>
      <w:pPr>
        <w:ind w:left="6480" w:hanging="360"/>
      </w:pPr>
      <w:rPr>
        <w:rFonts w:ascii="Wingdings" w:hAnsi="Wingdings" w:hint="default"/>
      </w:rPr>
    </w:lvl>
  </w:abstractNum>
  <w:abstractNum w:abstractNumId="4" w15:restartNumberingAfterBreak="0">
    <w:nsid w:val="4FC04228"/>
    <w:multiLevelType w:val="hybridMultilevel"/>
    <w:tmpl w:val="93A22048"/>
    <w:lvl w:ilvl="0" w:tplc="63787CE4">
      <w:start w:val="1"/>
      <w:numFmt w:val="bullet"/>
      <w:lvlText w:val=""/>
      <w:lvlJc w:val="left"/>
      <w:pPr>
        <w:ind w:left="720" w:hanging="360"/>
      </w:pPr>
      <w:rPr>
        <w:rFonts w:ascii="Symbol" w:hAnsi="Symbol" w:hint="default"/>
      </w:rPr>
    </w:lvl>
    <w:lvl w:ilvl="1" w:tplc="BC4C5AC4" w:tentative="1">
      <w:start w:val="1"/>
      <w:numFmt w:val="bullet"/>
      <w:lvlText w:val="o"/>
      <w:lvlJc w:val="left"/>
      <w:pPr>
        <w:ind w:left="1440" w:hanging="360"/>
      </w:pPr>
      <w:rPr>
        <w:rFonts w:ascii="Courier New" w:hAnsi="Courier New" w:cs="Courier New" w:hint="default"/>
      </w:rPr>
    </w:lvl>
    <w:lvl w:ilvl="2" w:tplc="91945264" w:tentative="1">
      <w:start w:val="1"/>
      <w:numFmt w:val="bullet"/>
      <w:lvlText w:val=""/>
      <w:lvlJc w:val="left"/>
      <w:pPr>
        <w:ind w:left="2160" w:hanging="360"/>
      </w:pPr>
      <w:rPr>
        <w:rFonts w:ascii="Wingdings" w:hAnsi="Wingdings" w:hint="default"/>
      </w:rPr>
    </w:lvl>
    <w:lvl w:ilvl="3" w:tplc="5A82A284" w:tentative="1">
      <w:start w:val="1"/>
      <w:numFmt w:val="bullet"/>
      <w:lvlText w:val=""/>
      <w:lvlJc w:val="left"/>
      <w:pPr>
        <w:ind w:left="2880" w:hanging="360"/>
      </w:pPr>
      <w:rPr>
        <w:rFonts w:ascii="Symbol" w:hAnsi="Symbol" w:hint="default"/>
      </w:rPr>
    </w:lvl>
    <w:lvl w:ilvl="4" w:tplc="55285E64" w:tentative="1">
      <w:start w:val="1"/>
      <w:numFmt w:val="bullet"/>
      <w:lvlText w:val="o"/>
      <w:lvlJc w:val="left"/>
      <w:pPr>
        <w:ind w:left="3600" w:hanging="360"/>
      </w:pPr>
      <w:rPr>
        <w:rFonts w:ascii="Courier New" w:hAnsi="Courier New" w:cs="Courier New" w:hint="default"/>
      </w:rPr>
    </w:lvl>
    <w:lvl w:ilvl="5" w:tplc="B768960A" w:tentative="1">
      <w:start w:val="1"/>
      <w:numFmt w:val="bullet"/>
      <w:lvlText w:val=""/>
      <w:lvlJc w:val="left"/>
      <w:pPr>
        <w:ind w:left="4320" w:hanging="360"/>
      </w:pPr>
      <w:rPr>
        <w:rFonts w:ascii="Wingdings" w:hAnsi="Wingdings" w:hint="default"/>
      </w:rPr>
    </w:lvl>
    <w:lvl w:ilvl="6" w:tplc="961655B0" w:tentative="1">
      <w:start w:val="1"/>
      <w:numFmt w:val="bullet"/>
      <w:lvlText w:val=""/>
      <w:lvlJc w:val="left"/>
      <w:pPr>
        <w:ind w:left="5040" w:hanging="360"/>
      </w:pPr>
      <w:rPr>
        <w:rFonts w:ascii="Symbol" w:hAnsi="Symbol" w:hint="default"/>
      </w:rPr>
    </w:lvl>
    <w:lvl w:ilvl="7" w:tplc="D77C67AE" w:tentative="1">
      <w:start w:val="1"/>
      <w:numFmt w:val="bullet"/>
      <w:lvlText w:val="o"/>
      <w:lvlJc w:val="left"/>
      <w:pPr>
        <w:ind w:left="5760" w:hanging="360"/>
      </w:pPr>
      <w:rPr>
        <w:rFonts w:ascii="Courier New" w:hAnsi="Courier New" w:cs="Courier New" w:hint="default"/>
      </w:rPr>
    </w:lvl>
    <w:lvl w:ilvl="8" w:tplc="0D70E644" w:tentative="1">
      <w:start w:val="1"/>
      <w:numFmt w:val="bullet"/>
      <w:lvlText w:val=""/>
      <w:lvlJc w:val="left"/>
      <w:pPr>
        <w:ind w:left="6480" w:hanging="360"/>
      </w:pPr>
      <w:rPr>
        <w:rFonts w:ascii="Wingdings" w:hAnsi="Wingdings" w:hint="default"/>
      </w:rPr>
    </w:lvl>
  </w:abstractNum>
  <w:abstractNum w:abstractNumId="5" w15:restartNumberingAfterBreak="0">
    <w:nsid w:val="6AC011E2"/>
    <w:multiLevelType w:val="hybridMultilevel"/>
    <w:tmpl w:val="9DCE8FB2"/>
    <w:lvl w:ilvl="0" w:tplc="BCDA8AB8">
      <w:start w:val="1"/>
      <w:numFmt w:val="bullet"/>
      <w:lvlText w:val=""/>
      <w:lvlJc w:val="left"/>
      <w:pPr>
        <w:ind w:left="720" w:hanging="360"/>
      </w:pPr>
      <w:rPr>
        <w:rFonts w:ascii="Symbol" w:hAnsi="Symbol" w:hint="default"/>
      </w:rPr>
    </w:lvl>
    <w:lvl w:ilvl="1" w:tplc="53C2D388" w:tentative="1">
      <w:start w:val="1"/>
      <w:numFmt w:val="bullet"/>
      <w:lvlText w:val="o"/>
      <w:lvlJc w:val="left"/>
      <w:pPr>
        <w:ind w:left="1440" w:hanging="360"/>
      </w:pPr>
      <w:rPr>
        <w:rFonts w:ascii="Courier New" w:hAnsi="Courier New" w:cs="Courier New" w:hint="default"/>
      </w:rPr>
    </w:lvl>
    <w:lvl w:ilvl="2" w:tplc="B45A564C" w:tentative="1">
      <w:start w:val="1"/>
      <w:numFmt w:val="bullet"/>
      <w:lvlText w:val=""/>
      <w:lvlJc w:val="left"/>
      <w:pPr>
        <w:ind w:left="2160" w:hanging="360"/>
      </w:pPr>
      <w:rPr>
        <w:rFonts w:ascii="Wingdings" w:hAnsi="Wingdings" w:hint="default"/>
      </w:rPr>
    </w:lvl>
    <w:lvl w:ilvl="3" w:tplc="2FA07C64" w:tentative="1">
      <w:start w:val="1"/>
      <w:numFmt w:val="bullet"/>
      <w:lvlText w:val=""/>
      <w:lvlJc w:val="left"/>
      <w:pPr>
        <w:ind w:left="2880" w:hanging="360"/>
      </w:pPr>
      <w:rPr>
        <w:rFonts w:ascii="Symbol" w:hAnsi="Symbol" w:hint="default"/>
      </w:rPr>
    </w:lvl>
    <w:lvl w:ilvl="4" w:tplc="A432925A" w:tentative="1">
      <w:start w:val="1"/>
      <w:numFmt w:val="bullet"/>
      <w:lvlText w:val="o"/>
      <w:lvlJc w:val="left"/>
      <w:pPr>
        <w:ind w:left="3600" w:hanging="360"/>
      </w:pPr>
      <w:rPr>
        <w:rFonts w:ascii="Courier New" w:hAnsi="Courier New" w:cs="Courier New" w:hint="default"/>
      </w:rPr>
    </w:lvl>
    <w:lvl w:ilvl="5" w:tplc="30581B1C" w:tentative="1">
      <w:start w:val="1"/>
      <w:numFmt w:val="bullet"/>
      <w:lvlText w:val=""/>
      <w:lvlJc w:val="left"/>
      <w:pPr>
        <w:ind w:left="4320" w:hanging="360"/>
      </w:pPr>
      <w:rPr>
        <w:rFonts w:ascii="Wingdings" w:hAnsi="Wingdings" w:hint="default"/>
      </w:rPr>
    </w:lvl>
    <w:lvl w:ilvl="6" w:tplc="6E0C45F2" w:tentative="1">
      <w:start w:val="1"/>
      <w:numFmt w:val="bullet"/>
      <w:lvlText w:val=""/>
      <w:lvlJc w:val="left"/>
      <w:pPr>
        <w:ind w:left="5040" w:hanging="360"/>
      </w:pPr>
      <w:rPr>
        <w:rFonts w:ascii="Symbol" w:hAnsi="Symbol" w:hint="default"/>
      </w:rPr>
    </w:lvl>
    <w:lvl w:ilvl="7" w:tplc="C7BE396E" w:tentative="1">
      <w:start w:val="1"/>
      <w:numFmt w:val="bullet"/>
      <w:lvlText w:val="o"/>
      <w:lvlJc w:val="left"/>
      <w:pPr>
        <w:ind w:left="5760" w:hanging="360"/>
      </w:pPr>
      <w:rPr>
        <w:rFonts w:ascii="Courier New" w:hAnsi="Courier New" w:cs="Courier New" w:hint="default"/>
      </w:rPr>
    </w:lvl>
    <w:lvl w:ilvl="8" w:tplc="991689F8"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88B"/>
    <w:rsid w:val="0010525B"/>
    <w:rsid w:val="00283922"/>
    <w:rsid w:val="002B62FD"/>
    <w:rsid w:val="003B7B9D"/>
    <w:rsid w:val="003C021A"/>
    <w:rsid w:val="003F70D0"/>
    <w:rsid w:val="0052087D"/>
    <w:rsid w:val="005A02A1"/>
    <w:rsid w:val="005F376D"/>
    <w:rsid w:val="006231F3"/>
    <w:rsid w:val="006E288B"/>
    <w:rsid w:val="00877A1C"/>
    <w:rsid w:val="008B2159"/>
    <w:rsid w:val="00AC5735"/>
    <w:rsid w:val="00B30B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72BC4"/>
  <w15:chartTrackingRefBased/>
  <w15:docId w15:val="{B459A2D7-FFBD-4DC8-B355-E62AF7FA0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922"/>
  </w:style>
  <w:style w:type="paragraph" w:styleId="Footer">
    <w:name w:val="footer"/>
    <w:basedOn w:val="Normal"/>
    <w:link w:val="FooterChar"/>
    <w:uiPriority w:val="99"/>
    <w:unhideWhenUsed/>
    <w:rsid w:val="00283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10554</Words>
  <Characters>60161</Characters>
  <Application>Microsoft Office Word</Application>
  <DocSecurity>0</DocSecurity>
  <Lines>501</Lines>
  <Paragraphs>141</Paragraphs>
  <ScaleCrop>false</ScaleCrop>
  <Company/>
  <LinksUpToDate>false</LinksUpToDate>
  <CharactersWithSpaces>70574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dc:creator>
  <cp:keywords/>
  <dc:description/>
  <cp:lastModifiedBy>Manuela Dineva</cp:lastModifiedBy>
  <cp:revision>2</cp:revision>
  <dcterms:created xsi:type="dcterms:W3CDTF">2022-05-23T10:58:00Z</dcterms:created>
  <dcterms:modified xsi:type="dcterms:W3CDTF">2022-05-23T10:58:00Z</dcterms:modified>
</cp:coreProperties>
</file>