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4AEEE" w14:textId="77777777" w:rsidR="00A34A7D" w:rsidRDefault="00A34A7D" w:rsidP="00A34A7D">
      <w:pPr>
        <w:rPr>
          <w:sz w:val="48"/>
          <w:szCs w:val="48"/>
        </w:rPr>
      </w:pPr>
      <w:r>
        <w:rPr>
          <w:sz w:val="48"/>
          <w:szCs w:val="48"/>
        </w:rPr>
        <w:t xml:space="preserve">        University Of Wales Trinity Saint David</w:t>
      </w:r>
    </w:p>
    <w:p w14:paraId="6FC7E8C1" w14:textId="77777777" w:rsidR="00A34A7D" w:rsidRDefault="00A34A7D" w:rsidP="00A34A7D">
      <w:pPr>
        <w:rPr>
          <w:sz w:val="48"/>
          <w:szCs w:val="48"/>
        </w:rPr>
      </w:pPr>
      <w:r>
        <w:rPr>
          <w:sz w:val="48"/>
          <w:szCs w:val="48"/>
        </w:rPr>
        <w:t xml:space="preserve">                                     London</w:t>
      </w:r>
    </w:p>
    <w:p w14:paraId="63391D89" w14:textId="77777777" w:rsidR="00A34A7D" w:rsidRDefault="00A34A7D" w:rsidP="00A34A7D">
      <w:pPr>
        <w:rPr>
          <w:sz w:val="48"/>
          <w:szCs w:val="48"/>
        </w:rPr>
      </w:pPr>
      <w:r>
        <w:rPr>
          <w:sz w:val="48"/>
          <w:szCs w:val="48"/>
        </w:rPr>
        <w:t xml:space="preserve">                                     Level 5</w:t>
      </w:r>
    </w:p>
    <w:p w14:paraId="212F007D" w14:textId="74686E07" w:rsidR="00A34A7D" w:rsidRDefault="00A34A7D" w:rsidP="00A34A7D">
      <w:pPr>
        <w:rPr>
          <w:sz w:val="48"/>
          <w:szCs w:val="48"/>
        </w:rPr>
      </w:pPr>
      <w:r>
        <w:rPr>
          <w:sz w:val="48"/>
          <w:szCs w:val="48"/>
        </w:rPr>
        <w:t xml:space="preserve">                     Module Code: </w:t>
      </w:r>
      <w:r>
        <w:rPr>
          <w:sz w:val="48"/>
          <w:szCs w:val="48"/>
        </w:rPr>
        <w:t>LCBB5004</w:t>
      </w:r>
    </w:p>
    <w:p w14:paraId="23328E95" w14:textId="15CD297C" w:rsidR="00A34A7D" w:rsidRDefault="00A34A7D" w:rsidP="00A34A7D">
      <w:pPr>
        <w:rPr>
          <w:sz w:val="48"/>
          <w:szCs w:val="48"/>
        </w:rPr>
      </w:pPr>
      <w:r>
        <w:rPr>
          <w:sz w:val="48"/>
          <w:szCs w:val="48"/>
        </w:rPr>
        <w:t xml:space="preserve">                       </w:t>
      </w:r>
      <w:r>
        <w:rPr>
          <w:sz w:val="48"/>
          <w:szCs w:val="48"/>
        </w:rPr>
        <w:t xml:space="preserve">   Managing people</w:t>
      </w:r>
    </w:p>
    <w:p w14:paraId="6594B56E" w14:textId="47379776" w:rsidR="00A34A7D" w:rsidRDefault="00A34A7D" w:rsidP="00A34A7D">
      <w:pPr>
        <w:rPr>
          <w:sz w:val="48"/>
          <w:szCs w:val="48"/>
        </w:rPr>
      </w:pPr>
      <w:r>
        <w:rPr>
          <w:sz w:val="48"/>
          <w:szCs w:val="48"/>
        </w:rPr>
        <w:t xml:space="preserve">                              Assessment </w:t>
      </w:r>
      <w:r>
        <w:rPr>
          <w:sz w:val="48"/>
          <w:szCs w:val="48"/>
        </w:rPr>
        <w:t>1</w:t>
      </w:r>
    </w:p>
    <w:p w14:paraId="15012BDC" w14:textId="77777777" w:rsidR="00A34A7D" w:rsidRDefault="00A34A7D" w:rsidP="00A34A7D">
      <w:pPr>
        <w:rPr>
          <w:sz w:val="48"/>
          <w:szCs w:val="48"/>
        </w:rPr>
      </w:pPr>
      <w:r>
        <w:rPr>
          <w:sz w:val="48"/>
          <w:szCs w:val="48"/>
        </w:rPr>
        <w:t xml:space="preserve">                                    </w:t>
      </w:r>
    </w:p>
    <w:p w14:paraId="68FC43CD" w14:textId="085149B3" w:rsidR="00A34A7D" w:rsidRDefault="00A34A7D" w:rsidP="00A34A7D">
      <w:pPr>
        <w:rPr>
          <w:sz w:val="48"/>
          <w:szCs w:val="48"/>
        </w:rPr>
      </w:pPr>
      <w:r>
        <w:rPr>
          <w:sz w:val="48"/>
          <w:szCs w:val="48"/>
        </w:rPr>
        <w:t xml:space="preserve">                                 Lecturer: </w:t>
      </w:r>
      <w:r>
        <w:rPr>
          <w:sz w:val="48"/>
          <w:szCs w:val="48"/>
        </w:rPr>
        <w:t xml:space="preserve">Charles </w:t>
      </w:r>
      <w:proofErr w:type="spellStart"/>
      <w:r>
        <w:rPr>
          <w:sz w:val="48"/>
          <w:szCs w:val="48"/>
        </w:rPr>
        <w:t>Oham</w:t>
      </w:r>
      <w:proofErr w:type="spellEnd"/>
    </w:p>
    <w:p w14:paraId="30C2081C" w14:textId="77777777" w:rsidR="00A34A7D" w:rsidRDefault="00A34A7D" w:rsidP="00A34A7D">
      <w:pPr>
        <w:rPr>
          <w:sz w:val="48"/>
          <w:szCs w:val="48"/>
        </w:rPr>
      </w:pPr>
      <w:r>
        <w:rPr>
          <w:sz w:val="48"/>
          <w:szCs w:val="48"/>
        </w:rPr>
        <w:t xml:space="preserve">                                                        </w:t>
      </w:r>
    </w:p>
    <w:p w14:paraId="1EBDDE95" w14:textId="77777777" w:rsidR="00A34A7D" w:rsidRDefault="00A34A7D" w:rsidP="00A34A7D">
      <w:pPr>
        <w:rPr>
          <w:sz w:val="48"/>
          <w:szCs w:val="48"/>
        </w:rPr>
      </w:pPr>
    </w:p>
    <w:p w14:paraId="7510CDBF" w14:textId="77777777" w:rsidR="00A34A7D" w:rsidRDefault="00A34A7D" w:rsidP="00A34A7D">
      <w:pPr>
        <w:rPr>
          <w:sz w:val="48"/>
          <w:szCs w:val="48"/>
        </w:rPr>
      </w:pPr>
    </w:p>
    <w:p w14:paraId="20B20D80" w14:textId="77777777" w:rsidR="00A34A7D" w:rsidRDefault="00A34A7D" w:rsidP="00A34A7D">
      <w:pPr>
        <w:rPr>
          <w:sz w:val="48"/>
          <w:szCs w:val="48"/>
        </w:rPr>
      </w:pPr>
      <w:r>
        <w:rPr>
          <w:sz w:val="48"/>
          <w:szCs w:val="48"/>
        </w:rPr>
        <w:t xml:space="preserve">                                                        Submitted </w:t>
      </w:r>
      <w:proofErr w:type="gramStart"/>
      <w:r>
        <w:rPr>
          <w:sz w:val="48"/>
          <w:szCs w:val="48"/>
        </w:rPr>
        <w:t>by :</w:t>
      </w:r>
      <w:proofErr w:type="gramEnd"/>
    </w:p>
    <w:p w14:paraId="69BCBDBE" w14:textId="77777777" w:rsidR="00A34A7D" w:rsidRDefault="00A34A7D" w:rsidP="00A34A7D">
      <w:pPr>
        <w:rPr>
          <w:sz w:val="48"/>
          <w:szCs w:val="48"/>
        </w:rPr>
      </w:pPr>
      <w:r>
        <w:rPr>
          <w:sz w:val="48"/>
          <w:szCs w:val="48"/>
        </w:rPr>
        <w:t xml:space="preserve">                                                      Ion Gingureanu</w:t>
      </w:r>
    </w:p>
    <w:p w14:paraId="71BEC30D" w14:textId="4509F3D5" w:rsidR="00EB7D77" w:rsidRDefault="00A34A7D" w:rsidP="00A34A7D">
      <w:pPr>
        <w:rPr>
          <w:sz w:val="48"/>
          <w:szCs w:val="48"/>
        </w:rPr>
      </w:pPr>
      <w:r>
        <w:rPr>
          <w:sz w:val="48"/>
          <w:szCs w:val="48"/>
        </w:rPr>
        <w:t xml:space="preserve">                                   Student number: 2009134</w:t>
      </w:r>
    </w:p>
    <w:p w14:paraId="29DC00FB" w14:textId="781E6569" w:rsidR="00A34A7D" w:rsidRDefault="00A34A7D" w:rsidP="00A34A7D">
      <w:pPr>
        <w:rPr>
          <w:sz w:val="48"/>
          <w:szCs w:val="48"/>
        </w:rPr>
      </w:pPr>
    </w:p>
    <w:p w14:paraId="4125713E" w14:textId="54763A5A" w:rsidR="00A34A7D" w:rsidRDefault="00A34A7D" w:rsidP="00A34A7D">
      <w:pPr>
        <w:rPr>
          <w:sz w:val="48"/>
          <w:szCs w:val="48"/>
        </w:rPr>
      </w:pPr>
    </w:p>
    <w:p w14:paraId="56A97EF0" w14:textId="3F779AC6" w:rsidR="00A34A7D" w:rsidRDefault="00A34A7D" w:rsidP="00A34A7D">
      <w:pPr>
        <w:rPr>
          <w:sz w:val="48"/>
          <w:szCs w:val="48"/>
        </w:rPr>
      </w:pPr>
    </w:p>
    <w:p w14:paraId="03B6FBE3" w14:textId="1DE9DF86" w:rsidR="00A34A7D" w:rsidRDefault="00A34A7D" w:rsidP="00A34A7D">
      <w:pPr>
        <w:rPr>
          <w:sz w:val="48"/>
          <w:szCs w:val="48"/>
        </w:rPr>
      </w:pPr>
    </w:p>
    <w:p w14:paraId="3030EA07" w14:textId="24ADAC5B" w:rsidR="00A34A7D" w:rsidRDefault="00A34A7D" w:rsidP="00A34A7D">
      <w:pPr>
        <w:rPr>
          <w:b/>
          <w:bCs/>
          <w:sz w:val="32"/>
          <w:szCs w:val="32"/>
          <w:u w:val="single"/>
        </w:rPr>
      </w:pPr>
      <w:r>
        <w:lastRenderedPageBreak/>
        <w:t xml:space="preserve">                              </w:t>
      </w:r>
      <w:r w:rsidRPr="00A34A7D">
        <w:rPr>
          <w:b/>
          <w:bCs/>
          <w:sz w:val="32"/>
          <w:szCs w:val="32"/>
          <w:u w:val="single"/>
        </w:rPr>
        <w:t>Impact of Covid-19 on employees in Great Britain</w:t>
      </w:r>
    </w:p>
    <w:p w14:paraId="35B9EEA2" w14:textId="390492F2" w:rsidR="00A34A7D" w:rsidRDefault="00A34A7D" w:rsidP="00A34A7D">
      <w:pPr>
        <w:rPr>
          <w:b/>
          <w:bCs/>
          <w:sz w:val="32"/>
          <w:szCs w:val="32"/>
          <w:u w:val="single"/>
        </w:rPr>
      </w:pPr>
    </w:p>
    <w:p w14:paraId="7F861C6F" w14:textId="12F7D892" w:rsidR="00A34A7D" w:rsidRDefault="00ED2CE0" w:rsidP="00A34A7D">
      <w:pPr>
        <w:rPr>
          <w:sz w:val="32"/>
          <w:szCs w:val="32"/>
        </w:rPr>
      </w:pPr>
      <w:r>
        <w:rPr>
          <w:sz w:val="32"/>
          <w:szCs w:val="32"/>
        </w:rPr>
        <w:t xml:space="preserve">             </w:t>
      </w:r>
      <w:r w:rsidRPr="00ED2CE0">
        <w:rPr>
          <w:sz w:val="32"/>
          <w:szCs w:val="32"/>
        </w:rPr>
        <w:t>Strategic human resource management is the process of implementing policies, practices, and procedures to achieve maximum employee productivity, retention, and overall benefit to the organization. The human resource (HR) department plays a vital role in strategic management, as it must ensure that the company has the right people in place to meet its goals, objectives, and expectations. This function includes hiring new employees, training employees, developing current employees, and ensuring that employees are satisfied with their workplace environment. Traditionally, HR is the one that takes care of a company's employees, but today, the role is expanding and taking on additional responsibilities in many companies (Nordin et al., 2016). The strategic human resource management team can be tasked to help align employee performance with business objectives to improve overall corporate performanc</w:t>
      </w:r>
      <w:r>
        <w:rPr>
          <w:sz w:val="32"/>
          <w:szCs w:val="32"/>
        </w:rPr>
        <w:t>e.</w:t>
      </w:r>
    </w:p>
    <w:p w14:paraId="493C1D4C" w14:textId="275270F0" w:rsidR="00ED2CE0" w:rsidRDefault="00ED2CE0" w:rsidP="00A34A7D">
      <w:pPr>
        <w:rPr>
          <w:sz w:val="32"/>
          <w:szCs w:val="32"/>
        </w:rPr>
      </w:pPr>
      <w:r>
        <w:rPr>
          <w:sz w:val="32"/>
          <w:szCs w:val="32"/>
        </w:rPr>
        <w:t xml:space="preserve">             </w:t>
      </w:r>
      <w:r w:rsidRPr="00ED2CE0">
        <w:rPr>
          <w:sz w:val="32"/>
          <w:szCs w:val="32"/>
        </w:rPr>
        <w:t>Flexible working is the ability for employees to work outside of the traditional workplace environment. Flexible working arrangements can be temporary or permanent and vary according to factors such as the length of time, the hours worked, the location of work, and the frequency of work. These arrangements are becoming increasingly common in both the public and private sectors; some employers have even reported that flexible working has helped to increase productivity and decrease absenteeism (</w:t>
      </w:r>
      <w:proofErr w:type="spellStart"/>
      <w:r w:rsidRPr="00ED2CE0">
        <w:rPr>
          <w:sz w:val="32"/>
          <w:szCs w:val="32"/>
        </w:rPr>
        <w:t>Jooss</w:t>
      </w:r>
      <w:proofErr w:type="spellEnd"/>
      <w:r w:rsidRPr="00ED2CE0">
        <w:rPr>
          <w:sz w:val="32"/>
          <w:szCs w:val="32"/>
        </w:rPr>
        <w:t xml:space="preserve"> et al., 2021</w:t>
      </w:r>
      <w:proofErr w:type="gramStart"/>
      <w:r w:rsidRPr="00ED2CE0">
        <w:rPr>
          <w:sz w:val="32"/>
          <w:szCs w:val="32"/>
        </w:rPr>
        <w:t>).Corona</w:t>
      </w:r>
      <w:proofErr w:type="gramEnd"/>
      <w:r w:rsidRPr="00ED2CE0">
        <w:rPr>
          <w:sz w:val="32"/>
          <w:szCs w:val="32"/>
        </w:rPr>
        <w:t xml:space="preserve"> virus has been a major factor in the development of flexible working. Such mode of working gives employees more freedom in their jobs by allowing them to choose when and where they work </w:t>
      </w:r>
      <w:proofErr w:type="gramStart"/>
      <w:r w:rsidRPr="00ED2CE0">
        <w:rPr>
          <w:sz w:val="32"/>
          <w:szCs w:val="32"/>
        </w:rPr>
        <w:t>as long as</w:t>
      </w:r>
      <w:proofErr w:type="gramEnd"/>
      <w:r w:rsidRPr="00ED2CE0">
        <w:rPr>
          <w:sz w:val="32"/>
          <w:szCs w:val="32"/>
        </w:rPr>
        <w:t xml:space="preserve"> they can meet their performance targets. This type of freedom helps improve employee morale, especially if they have been given more responsibility over time so that they feel like </w:t>
      </w:r>
      <w:r w:rsidRPr="00ED2CE0">
        <w:rPr>
          <w:sz w:val="32"/>
          <w:szCs w:val="32"/>
        </w:rPr>
        <w:lastRenderedPageBreak/>
        <w:t>part of the team. This approach can also encourage creativity as an employee has the time to think without pressure.</w:t>
      </w:r>
    </w:p>
    <w:p w14:paraId="20C376F3" w14:textId="05B71C9D" w:rsidR="00ED2CE0" w:rsidRDefault="00ED2CE0" w:rsidP="00A34A7D">
      <w:pPr>
        <w:rPr>
          <w:sz w:val="32"/>
          <w:szCs w:val="32"/>
        </w:rPr>
      </w:pPr>
    </w:p>
    <w:p w14:paraId="059544C5" w14:textId="742F72E8" w:rsidR="00ED2CE0" w:rsidRPr="00ED2CE0" w:rsidRDefault="00ED2CE0" w:rsidP="00ED2CE0">
      <w:pPr>
        <w:rPr>
          <w:sz w:val="32"/>
          <w:szCs w:val="32"/>
        </w:rPr>
      </w:pPr>
      <w:r>
        <w:rPr>
          <w:sz w:val="32"/>
          <w:szCs w:val="32"/>
        </w:rPr>
        <w:t xml:space="preserve">        </w:t>
      </w:r>
      <w:r w:rsidRPr="00ED2CE0">
        <w:rPr>
          <w:sz w:val="32"/>
          <w:szCs w:val="32"/>
        </w:rPr>
        <w:t xml:space="preserve">To make an effective case in favor of the concept of flexible working hours, one should first explore the ways in which diversity and inclusion are positively impacted by such a system. This approach is because flexible working hours can help to facilitate diversity and inclusion at work by allowing individuals with varying schedules greater opportunity to access jobs and positions that would otherwise be inconvenient to them. It should be noted that flexible working hours also provide companies with a means to accommodate their workforce better, which is particularly crucial in terms of addressing needs specific to dominant demographic groups such as women with children (Improving equality, diversity and inclusion in your workplace, </w:t>
      </w:r>
      <w:proofErr w:type="spellStart"/>
      <w:r w:rsidRPr="00ED2CE0">
        <w:rPr>
          <w:sz w:val="32"/>
          <w:szCs w:val="32"/>
        </w:rPr>
        <w:t>n.d</w:t>
      </w:r>
      <w:proofErr w:type="spellEnd"/>
      <w:r w:rsidRPr="00ED2CE0">
        <w:rPr>
          <w:sz w:val="32"/>
          <w:szCs w:val="32"/>
        </w:rPr>
        <w:t>). Flexible working helps to diversify the talent pool, since it expands access to people who may not have been able to participate previously due to the limitations of traditional working hours. In this respect, flexible working hours can be beneficial for both employees and employers. In addition, flexible working hours can help employers ensure that they have a more productive workforce. According to Strategic human resource management (2021) 85% of people are happier when they have control over their time than when they do not. Additionally, there is evidence that workers who have more freedom regarding their time and place they do their work are also more productive than those who are confined within the traditional structure of work.</w:t>
      </w:r>
    </w:p>
    <w:p w14:paraId="5CD16413" w14:textId="5B58262A" w:rsidR="00ED2CE0" w:rsidRDefault="00ED2CE0" w:rsidP="00ED2CE0">
      <w:pPr>
        <w:rPr>
          <w:sz w:val="32"/>
          <w:szCs w:val="32"/>
        </w:rPr>
      </w:pPr>
      <w:r w:rsidRPr="00ED2CE0">
        <w:rPr>
          <w:sz w:val="32"/>
          <w:szCs w:val="32"/>
        </w:rPr>
        <w:t xml:space="preserve">Flexible working can also benefit an </w:t>
      </w:r>
      <w:proofErr w:type="spellStart"/>
      <w:r w:rsidRPr="00ED2CE0">
        <w:rPr>
          <w:sz w:val="32"/>
          <w:szCs w:val="32"/>
        </w:rPr>
        <w:t>organisation</w:t>
      </w:r>
      <w:proofErr w:type="spellEnd"/>
      <w:r w:rsidRPr="00ED2CE0">
        <w:rPr>
          <w:sz w:val="32"/>
          <w:szCs w:val="32"/>
        </w:rPr>
        <w:t xml:space="preserve"> in several other ways. For example, research suggests that flexible working hours can encourage greater staff loyalty and job satisfaction amongst workers. This can help reduce the costs associated with recruitment and staff turnover, which may ultimately save an </w:t>
      </w:r>
      <w:proofErr w:type="spellStart"/>
      <w:r w:rsidRPr="00ED2CE0">
        <w:rPr>
          <w:sz w:val="32"/>
          <w:szCs w:val="32"/>
        </w:rPr>
        <w:t>organisation</w:t>
      </w:r>
      <w:proofErr w:type="spellEnd"/>
      <w:r w:rsidRPr="00ED2CE0">
        <w:rPr>
          <w:sz w:val="32"/>
          <w:szCs w:val="32"/>
        </w:rPr>
        <w:t xml:space="preserve"> money. Additionally, when people work from </w:t>
      </w:r>
      <w:proofErr w:type="gramStart"/>
      <w:r w:rsidRPr="00ED2CE0">
        <w:rPr>
          <w:sz w:val="32"/>
          <w:szCs w:val="32"/>
        </w:rPr>
        <w:t>home</w:t>
      </w:r>
      <w:proofErr w:type="gramEnd"/>
      <w:r w:rsidRPr="00ED2CE0">
        <w:rPr>
          <w:sz w:val="32"/>
          <w:szCs w:val="32"/>
        </w:rPr>
        <w:t xml:space="preserve"> they tend to be less </w:t>
      </w:r>
      <w:r w:rsidRPr="00ED2CE0">
        <w:rPr>
          <w:sz w:val="32"/>
          <w:szCs w:val="32"/>
        </w:rPr>
        <w:lastRenderedPageBreak/>
        <w:t xml:space="preserve">stressed and more productive than those who work from a standard office environment where interruptions from colleagues are common. According to Singh (2019) there are many ways for </w:t>
      </w:r>
      <w:proofErr w:type="spellStart"/>
      <w:r w:rsidRPr="00ED2CE0">
        <w:rPr>
          <w:sz w:val="32"/>
          <w:szCs w:val="32"/>
        </w:rPr>
        <w:t>organisations</w:t>
      </w:r>
      <w:proofErr w:type="spellEnd"/>
      <w:r w:rsidRPr="00ED2CE0">
        <w:rPr>
          <w:sz w:val="32"/>
          <w:szCs w:val="32"/>
        </w:rPr>
        <w:t xml:space="preserve"> to set up their workers for success through flexible working arrangements such as telecommuting, flextime where people choose their hours within certain limits, or compressed hours whereby full-time workers do fewer but longer shifts over fewer days. The advantages of flexible working are clear: it leads to greater diversity and inclusion in the workplace, increased productivity, better company performance and increased worker satisfaction. These benefits can be further improved by encouraging managers to provide feedback on how well or poorly their team members are doing </w:t>
      </w:r>
      <w:proofErr w:type="gramStart"/>
      <w:r w:rsidRPr="00ED2CE0">
        <w:rPr>
          <w:sz w:val="32"/>
          <w:szCs w:val="32"/>
        </w:rPr>
        <w:t>in order to</w:t>
      </w:r>
      <w:proofErr w:type="gramEnd"/>
      <w:r w:rsidRPr="00ED2CE0">
        <w:rPr>
          <w:sz w:val="32"/>
          <w:szCs w:val="32"/>
        </w:rPr>
        <w:t xml:space="preserve"> improve the general company’s performance of the company.</w:t>
      </w:r>
    </w:p>
    <w:p w14:paraId="5FBD0B13" w14:textId="725EAE5E" w:rsidR="00ED2CE0" w:rsidRDefault="00ED2CE0" w:rsidP="00ED2CE0">
      <w:pPr>
        <w:rPr>
          <w:sz w:val="32"/>
          <w:szCs w:val="32"/>
        </w:rPr>
      </w:pPr>
    </w:p>
    <w:p w14:paraId="35543D84" w14:textId="59E7C4C9" w:rsidR="00ED2CE0" w:rsidRDefault="00ED2CE0" w:rsidP="00ED2CE0">
      <w:pPr>
        <w:rPr>
          <w:sz w:val="32"/>
          <w:szCs w:val="32"/>
        </w:rPr>
      </w:pPr>
      <w:r>
        <w:rPr>
          <w:sz w:val="32"/>
          <w:szCs w:val="32"/>
        </w:rPr>
        <w:t xml:space="preserve">          </w:t>
      </w:r>
      <w:r w:rsidRPr="00ED2CE0">
        <w:rPr>
          <w:sz w:val="32"/>
          <w:szCs w:val="32"/>
        </w:rPr>
        <w:t xml:space="preserve">The role of human resources in promoting diversity and inclusion is multifaceted. Human resources departments take an active role in creating and maintaining a diverse workforce by implementing strategies such as flexible working, which allows employees to work in different modes depending on their circumstances. HR also plays a key role in creating a culture that supports their goals. HR can create the infrastructure needed to support flexible work arrangements for employees, including formal policies and benefits, but it is also up to HR to make flexible work an appealing option for employees and managers alike (Joyce et al., 2010). This process involves communicating to all parties that flexible work is supported and encouraged, being aware of how an </w:t>
      </w:r>
      <w:proofErr w:type="spellStart"/>
      <w:r w:rsidRPr="00ED2CE0">
        <w:rPr>
          <w:sz w:val="32"/>
          <w:szCs w:val="32"/>
        </w:rPr>
        <w:t>organisation's</w:t>
      </w:r>
      <w:proofErr w:type="spellEnd"/>
      <w:r w:rsidRPr="00ED2CE0">
        <w:rPr>
          <w:sz w:val="32"/>
          <w:szCs w:val="32"/>
        </w:rPr>
        <w:t xml:space="preserve"> own policies might be barriers to flexible work </w:t>
      </w:r>
      <w:proofErr w:type="gramStart"/>
      <w:r w:rsidRPr="00ED2CE0">
        <w:rPr>
          <w:sz w:val="32"/>
          <w:szCs w:val="32"/>
        </w:rPr>
        <w:t>options, and</w:t>
      </w:r>
      <w:proofErr w:type="gramEnd"/>
      <w:r w:rsidRPr="00ED2CE0">
        <w:rPr>
          <w:sz w:val="32"/>
          <w:szCs w:val="32"/>
        </w:rPr>
        <w:t xml:space="preserve"> encouraging managers to support their teams by championing flexibility when they are able. A diverse workforce is more likely to attract new talent, but it also generates room for more creative problem-solving and a more productive workforce overall. </w:t>
      </w:r>
      <w:r w:rsidRPr="00ED2CE0">
        <w:rPr>
          <w:sz w:val="32"/>
          <w:szCs w:val="32"/>
        </w:rPr>
        <w:lastRenderedPageBreak/>
        <w:t>When one has more workers with access to flexible work options, more perspectives are brought in from which one can draw ideas. HR should be on the front line of managing diversity and inclusion initiatives and ensuring that employees can work where they want, when they want and how they want.</w:t>
      </w:r>
    </w:p>
    <w:p w14:paraId="2B754344" w14:textId="4CA23EED" w:rsidR="00ED2CE0" w:rsidRDefault="00ED2CE0" w:rsidP="00ED2CE0">
      <w:pPr>
        <w:rPr>
          <w:sz w:val="32"/>
          <w:szCs w:val="32"/>
        </w:rPr>
      </w:pPr>
    </w:p>
    <w:p w14:paraId="0754DEEC" w14:textId="66149663" w:rsidR="00ED2CE0" w:rsidRDefault="00ED2CE0" w:rsidP="00ED2CE0">
      <w:pPr>
        <w:rPr>
          <w:sz w:val="32"/>
          <w:szCs w:val="32"/>
        </w:rPr>
      </w:pPr>
      <w:r>
        <w:rPr>
          <w:sz w:val="32"/>
          <w:szCs w:val="32"/>
        </w:rPr>
        <w:t xml:space="preserve">             </w:t>
      </w:r>
      <w:r w:rsidRPr="00ED2CE0">
        <w:rPr>
          <w:sz w:val="32"/>
          <w:szCs w:val="32"/>
        </w:rPr>
        <w:t>Inequality, defined as a lack of balance, equity, or equality, is a powerful, complex idea. If a company does not enforce an acceptable working schedule for its employees, it could be setting a series of bad precedents. To begin with, it could be setting a precedent for the treatment of employees that is unfair. Beyond that, if people think they cannot work an acceptable schedule at their job, they are going to feel more pressure to work on their own terms and avoid the perceived injustice of being treated unfairly, or they may look elsewhere for employment. More importantly, evidence exists that flexible working can cause inequality in the workplace. Even with this compromise position available to them, women are still hit hardest by the disparity between men's and women's use of flexible working options. Kotey (2017) mentions that in terms of maternity leave as well as part-time and flexible working arrangements, ample evidence suggests that women who have children at home suffer disproportionately from the imbalance. This issue is not just about being unfair, it has real consequences for women's financial security and ability to achieve their career goals.</w:t>
      </w:r>
    </w:p>
    <w:p w14:paraId="3EDA40E9" w14:textId="55F90887" w:rsidR="00ED2CE0" w:rsidRDefault="00ED2CE0" w:rsidP="00ED2CE0">
      <w:pPr>
        <w:rPr>
          <w:sz w:val="32"/>
          <w:szCs w:val="32"/>
        </w:rPr>
      </w:pPr>
    </w:p>
    <w:p w14:paraId="4DC913BC" w14:textId="23B4C22D" w:rsidR="00ED2CE0" w:rsidRDefault="00ED2CE0" w:rsidP="00ED2CE0">
      <w:pPr>
        <w:rPr>
          <w:sz w:val="32"/>
          <w:szCs w:val="32"/>
        </w:rPr>
      </w:pPr>
      <w:r>
        <w:rPr>
          <w:sz w:val="32"/>
          <w:szCs w:val="32"/>
        </w:rPr>
        <w:t xml:space="preserve">       </w:t>
      </w:r>
      <w:r w:rsidRPr="00ED2CE0">
        <w:rPr>
          <w:sz w:val="32"/>
          <w:szCs w:val="32"/>
        </w:rPr>
        <w:t xml:space="preserve">Another argument against flexible working is that the inequality brought about this working approach increases the gap between management and lower-level employees. This type of inequality may also contribute to a higher risk for burnout and mental health issues. Flexible working practices require a certain level of self-motivation to be effective. There are other disadvantages to flexible work that include a negative impact on work performance and reduced job </w:t>
      </w:r>
      <w:r w:rsidRPr="00ED2CE0">
        <w:rPr>
          <w:sz w:val="32"/>
          <w:szCs w:val="32"/>
        </w:rPr>
        <w:lastRenderedPageBreak/>
        <w:t xml:space="preserve">satisfaction. A study conducted by the University of Melbourne discovered that while employees are more productive when they are at work, they tend to be less effective when they are not at work due to distractions or fatigue brought on by traveling during non-traditional hours (Ewald et al., 2020). Flexible working can also result in a loss of teamwork and possible resentment towards management. These feelings may become even stronger if they feel that they are being treated unfairly by management, leading to negative effects on morale, which can decrease the overall quality of work performed by an employee. Additionally, flexible working hours can make it hard for employees to meet deadlines because they are not always as readily available as their 9-to-5 counterparts. This outcome is particularly true if they </w:t>
      </w:r>
      <w:proofErr w:type="gramStart"/>
      <w:r w:rsidRPr="00ED2CE0">
        <w:rPr>
          <w:sz w:val="32"/>
          <w:szCs w:val="32"/>
        </w:rPr>
        <w:t>have to</w:t>
      </w:r>
      <w:proofErr w:type="gramEnd"/>
      <w:r w:rsidRPr="00ED2CE0">
        <w:rPr>
          <w:sz w:val="32"/>
          <w:szCs w:val="32"/>
        </w:rPr>
        <w:t xml:space="preserve"> be in contact with people in other time zones or do work that requires being available at certain hours.</w:t>
      </w:r>
    </w:p>
    <w:p w14:paraId="688A0958" w14:textId="77777777" w:rsidR="00ED2CE0" w:rsidRDefault="00ED2CE0" w:rsidP="00ED2CE0">
      <w:pPr>
        <w:rPr>
          <w:sz w:val="32"/>
          <w:szCs w:val="32"/>
        </w:rPr>
      </w:pPr>
    </w:p>
    <w:p w14:paraId="06297F8A" w14:textId="12955C5F" w:rsidR="00ED2CE0" w:rsidRDefault="00ED2CE0" w:rsidP="00ED2CE0">
      <w:pPr>
        <w:rPr>
          <w:sz w:val="32"/>
          <w:szCs w:val="32"/>
        </w:rPr>
      </w:pPr>
      <w:r>
        <w:rPr>
          <w:sz w:val="32"/>
          <w:szCs w:val="32"/>
        </w:rPr>
        <w:t xml:space="preserve">          </w:t>
      </w:r>
      <w:r w:rsidRPr="00ED2CE0">
        <w:rPr>
          <w:sz w:val="32"/>
          <w:szCs w:val="32"/>
        </w:rPr>
        <w:t xml:space="preserve">The role of human resources in addressing the concerns of inequality that may arise from flexible working has been considered by </w:t>
      </w:r>
      <w:proofErr w:type="gramStart"/>
      <w:r w:rsidRPr="00ED2CE0">
        <w:rPr>
          <w:sz w:val="32"/>
          <w:szCs w:val="32"/>
        </w:rPr>
        <w:t>a number of</w:t>
      </w:r>
      <w:proofErr w:type="gramEnd"/>
      <w:r w:rsidRPr="00ED2CE0">
        <w:rPr>
          <w:sz w:val="32"/>
          <w:szCs w:val="32"/>
        </w:rPr>
        <w:t xml:space="preserve"> authors. A U.K. Government article mentions that the overall aim has been to ensure that flexible working practices, typically initiated by individual workers or groups of workers, do not unjustifiably disadvantage other individuals who do not have access to these provisions (flexible working, n.d.). However, it is important to note that a one-size-fits-all answer does not exist when it comes addressing any inquiry into the effects of flexible working practices and as such, an investigation into the matter should be approached with an open mind.  The first thing to understand is the role of human resources in preventing discrimination caused by flexible work arrangements. Human resources departments are responsible for protecting current employees against discrimination and treating them equally despite the difference in how they work. It is easy to see how this can be challenging in the case of remote workers, </w:t>
      </w:r>
      <w:r w:rsidRPr="00ED2CE0">
        <w:rPr>
          <w:sz w:val="32"/>
          <w:szCs w:val="32"/>
        </w:rPr>
        <w:lastRenderedPageBreak/>
        <w:t xml:space="preserve">because their work style means that they are not interacting with coworkers face-to-face </w:t>
      </w:r>
      <w:proofErr w:type="gramStart"/>
      <w:r w:rsidRPr="00ED2CE0">
        <w:rPr>
          <w:sz w:val="32"/>
          <w:szCs w:val="32"/>
        </w:rPr>
        <w:t>on a daily basis</w:t>
      </w:r>
      <w:proofErr w:type="gramEnd"/>
      <w:r w:rsidRPr="00ED2CE0">
        <w:rPr>
          <w:sz w:val="32"/>
          <w:szCs w:val="32"/>
        </w:rPr>
        <w:t>. Human resources departments can set up guidelines for managers regarding how to treat remote workers equally, even though they are not present during every moment of their employees' working day (Nagendra &amp; Deshpande, 2014). For example, managers should be told that these guidelines should not include instructions to make sure remote workers do not feel like outsiders or lecture them on why they should come to the office.</w:t>
      </w:r>
    </w:p>
    <w:p w14:paraId="07057578" w14:textId="77781E9C" w:rsidR="00ED2CE0" w:rsidRDefault="00ED2CE0" w:rsidP="00ED2CE0">
      <w:pPr>
        <w:rPr>
          <w:sz w:val="32"/>
          <w:szCs w:val="32"/>
        </w:rPr>
      </w:pPr>
    </w:p>
    <w:p w14:paraId="563B3258" w14:textId="68AC29DB" w:rsidR="00ED2CE0" w:rsidRDefault="00ED2CE0" w:rsidP="00ED2CE0">
      <w:pPr>
        <w:rPr>
          <w:sz w:val="32"/>
          <w:szCs w:val="32"/>
        </w:rPr>
      </w:pPr>
      <w:r>
        <w:rPr>
          <w:sz w:val="32"/>
          <w:szCs w:val="32"/>
        </w:rPr>
        <w:t xml:space="preserve">          </w:t>
      </w:r>
      <w:r w:rsidRPr="00ED2CE0">
        <w:rPr>
          <w:sz w:val="32"/>
          <w:szCs w:val="32"/>
        </w:rPr>
        <w:t xml:space="preserve">The first step to HR addressing inequalities is collecting data around diversity and inequality, which HR can use to identify trends and develop strategies for improvement. For instance, if there are more men than women in leadership positions, HR may need to look at why this trend exists and how it can be changed. The HR can ask questions such as: “Are there barriers preventing women from advancing? If so, what can be done about these barriers?” In addition, to address these concerns, employers should consider providing training for remote workers who want to learn how they can be more productive while working at home, as well as setting up a forum for staff members to talk about remote working and how they feel it impacts their daily lives. Employees should also be encouraged to get out of the house for regular meetings with their colleagues. Implementing training programs for managers on how to create environments where all employees feel safe and respected can also play a vital role in preventing inequality. To ensure that employees are treated fairly and equally, it is important that any concerns are addressed. If human resources departments do not address these issues, it is likely to lead to poor morale within the </w:t>
      </w:r>
      <w:proofErr w:type="spellStart"/>
      <w:r w:rsidRPr="00ED2CE0">
        <w:rPr>
          <w:sz w:val="32"/>
          <w:szCs w:val="32"/>
        </w:rPr>
        <w:t>organisation</w:t>
      </w:r>
      <w:proofErr w:type="spellEnd"/>
      <w:r w:rsidRPr="00ED2CE0">
        <w:rPr>
          <w:sz w:val="32"/>
          <w:szCs w:val="32"/>
        </w:rPr>
        <w:t xml:space="preserve"> as well as an increase in staff turnover (Kirton, 2020). A good HR team will work with managers to identify potential issues </w:t>
      </w:r>
      <w:r w:rsidRPr="00ED2CE0">
        <w:rPr>
          <w:sz w:val="32"/>
          <w:szCs w:val="32"/>
        </w:rPr>
        <w:lastRenderedPageBreak/>
        <w:t xml:space="preserve">before they arise and manage them effectively so that equality can be achieved within </w:t>
      </w:r>
      <w:proofErr w:type="spellStart"/>
      <w:r w:rsidRPr="00ED2CE0">
        <w:rPr>
          <w:sz w:val="32"/>
          <w:szCs w:val="32"/>
        </w:rPr>
        <w:t>organisations</w:t>
      </w:r>
      <w:proofErr w:type="spellEnd"/>
      <w:r w:rsidRPr="00ED2CE0">
        <w:rPr>
          <w:sz w:val="32"/>
          <w:szCs w:val="32"/>
        </w:rPr>
        <w:t>.</w:t>
      </w:r>
    </w:p>
    <w:p w14:paraId="2FCEA501" w14:textId="259CE72A" w:rsidR="00ED2CE0" w:rsidRDefault="00ED2CE0" w:rsidP="00ED2CE0">
      <w:pPr>
        <w:rPr>
          <w:sz w:val="32"/>
          <w:szCs w:val="32"/>
        </w:rPr>
      </w:pPr>
    </w:p>
    <w:p w14:paraId="0F5CFAE5" w14:textId="13FBA134" w:rsidR="00ED2CE0" w:rsidRDefault="00ED2CE0" w:rsidP="00ED2CE0">
      <w:pPr>
        <w:rPr>
          <w:sz w:val="32"/>
          <w:szCs w:val="32"/>
        </w:rPr>
      </w:pPr>
      <w:r>
        <w:rPr>
          <w:sz w:val="32"/>
          <w:szCs w:val="32"/>
        </w:rPr>
        <w:t xml:space="preserve">           </w:t>
      </w:r>
      <w:r w:rsidRPr="00ED2CE0">
        <w:rPr>
          <w:sz w:val="32"/>
          <w:szCs w:val="32"/>
        </w:rPr>
        <w:t xml:space="preserve">Overall, flexible working in the context of diversity and inclusion at work can help with several initiatives such as productivity and better company performance. However, there are also </w:t>
      </w:r>
      <w:proofErr w:type="gramStart"/>
      <w:r w:rsidRPr="00ED2CE0">
        <w:rPr>
          <w:sz w:val="32"/>
          <w:szCs w:val="32"/>
        </w:rPr>
        <w:t>a number of</w:t>
      </w:r>
      <w:proofErr w:type="gramEnd"/>
      <w:r w:rsidRPr="00ED2CE0">
        <w:rPr>
          <w:sz w:val="32"/>
          <w:szCs w:val="32"/>
        </w:rPr>
        <w:t xml:space="preserve"> potential pitfalls to be aware of. Taking steps to ensure that all employees are aware of and able to use flexible working options appropriately, as well as being given training and support for managing their work-life balance. From a planning perspective, it is important to understand that flexible working is not simply about changing how one is working or which hours they are working as it is about changing the attitude towards work. Flexible working arrangements can also be an important component of an inclusive culture at work, and they can help employees achieve a healthy balance between their life, their job, and their family or other commitments. For </w:t>
      </w:r>
      <w:proofErr w:type="gramStart"/>
      <w:r w:rsidRPr="00ED2CE0">
        <w:rPr>
          <w:sz w:val="32"/>
          <w:szCs w:val="32"/>
        </w:rPr>
        <w:t>all of</w:t>
      </w:r>
      <w:proofErr w:type="gramEnd"/>
      <w:r w:rsidRPr="00ED2CE0">
        <w:rPr>
          <w:sz w:val="32"/>
          <w:szCs w:val="32"/>
        </w:rPr>
        <w:t xml:space="preserve"> these reasons, flexible working arrangements should be encouraged, provided they are beneficial to the business.</w:t>
      </w:r>
    </w:p>
    <w:p w14:paraId="376401BC" w14:textId="12A36BD5" w:rsidR="00F71043" w:rsidRDefault="00F71043" w:rsidP="00ED2CE0">
      <w:pPr>
        <w:rPr>
          <w:sz w:val="32"/>
          <w:szCs w:val="32"/>
        </w:rPr>
      </w:pPr>
    </w:p>
    <w:p w14:paraId="226C7863" w14:textId="365335AC" w:rsidR="00F71043" w:rsidRDefault="00F71043" w:rsidP="00ED2CE0">
      <w:pPr>
        <w:rPr>
          <w:sz w:val="32"/>
          <w:szCs w:val="32"/>
        </w:rPr>
      </w:pPr>
    </w:p>
    <w:p w14:paraId="313EDACE" w14:textId="535CEA13" w:rsidR="00F71043" w:rsidRDefault="00F71043" w:rsidP="00ED2CE0">
      <w:pPr>
        <w:rPr>
          <w:sz w:val="32"/>
          <w:szCs w:val="32"/>
        </w:rPr>
      </w:pPr>
    </w:p>
    <w:p w14:paraId="2E8CC18E" w14:textId="5C1083AE" w:rsidR="00F71043" w:rsidRDefault="00F71043" w:rsidP="00ED2CE0">
      <w:pPr>
        <w:rPr>
          <w:sz w:val="32"/>
          <w:szCs w:val="32"/>
        </w:rPr>
      </w:pPr>
      <w:r>
        <w:rPr>
          <w:sz w:val="32"/>
          <w:szCs w:val="32"/>
        </w:rPr>
        <w:t xml:space="preserve">                                               References:</w:t>
      </w:r>
    </w:p>
    <w:p w14:paraId="231CF67F" w14:textId="3493BBB1" w:rsidR="00F71043" w:rsidRDefault="00F71043" w:rsidP="00F71043">
      <w:pPr>
        <w:pStyle w:val="ListParagraph"/>
        <w:numPr>
          <w:ilvl w:val="0"/>
          <w:numId w:val="1"/>
        </w:numPr>
        <w:rPr>
          <w:sz w:val="32"/>
          <w:szCs w:val="32"/>
        </w:rPr>
      </w:pPr>
      <w:r w:rsidRPr="00F71043">
        <w:rPr>
          <w:sz w:val="32"/>
          <w:szCs w:val="32"/>
        </w:rPr>
        <w:t xml:space="preserve">Ewald, A., Gilbert, E., &amp; </w:t>
      </w:r>
      <w:proofErr w:type="spellStart"/>
      <w:r w:rsidRPr="00F71043">
        <w:rPr>
          <w:sz w:val="32"/>
          <w:szCs w:val="32"/>
        </w:rPr>
        <w:t>Huppatz</w:t>
      </w:r>
      <w:proofErr w:type="spellEnd"/>
      <w:r w:rsidRPr="00F71043">
        <w:rPr>
          <w:sz w:val="32"/>
          <w:szCs w:val="32"/>
        </w:rPr>
        <w:t xml:space="preserve">, K. (2020). Fathering and flexible working arrangements: A systematic interdisciplinary review. </w:t>
      </w:r>
      <w:r w:rsidRPr="00F71043">
        <w:rPr>
          <w:i/>
          <w:iCs/>
          <w:sz w:val="32"/>
          <w:szCs w:val="32"/>
        </w:rPr>
        <w:t>Journal of Family Theory &amp; Review</w:t>
      </w:r>
      <w:r w:rsidRPr="00F71043">
        <w:rPr>
          <w:sz w:val="32"/>
          <w:szCs w:val="32"/>
        </w:rPr>
        <w:t>, 12(1), 27-40.</w:t>
      </w:r>
    </w:p>
    <w:p w14:paraId="22945164" w14:textId="353B8087" w:rsidR="00F71043" w:rsidRDefault="00F71043" w:rsidP="00F71043">
      <w:pPr>
        <w:pStyle w:val="ListParagraph"/>
        <w:numPr>
          <w:ilvl w:val="0"/>
          <w:numId w:val="1"/>
        </w:numPr>
        <w:rPr>
          <w:sz w:val="32"/>
          <w:szCs w:val="32"/>
        </w:rPr>
      </w:pPr>
      <w:r w:rsidRPr="00F71043">
        <w:rPr>
          <w:sz w:val="32"/>
          <w:szCs w:val="32"/>
        </w:rPr>
        <w:t>Flexible working. (n.d.).</w:t>
      </w:r>
      <w:r>
        <w:rPr>
          <w:sz w:val="32"/>
          <w:szCs w:val="32"/>
        </w:rPr>
        <w:t xml:space="preserve"> </w:t>
      </w:r>
    </w:p>
    <w:p w14:paraId="46BE8765" w14:textId="138E975F" w:rsidR="00F71043" w:rsidRDefault="00F71043" w:rsidP="00F71043">
      <w:pPr>
        <w:ind w:left="360"/>
        <w:rPr>
          <w:sz w:val="32"/>
          <w:szCs w:val="32"/>
        </w:rPr>
      </w:pPr>
      <w:hyperlink r:id="rId5" w:history="1">
        <w:r w:rsidRPr="008240BF">
          <w:rPr>
            <w:rStyle w:val="Hyperlink"/>
            <w:sz w:val="32"/>
            <w:szCs w:val="32"/>
          </w:rPr>
          <w:t>https://www.gov.uk/flexible-working</w:t>
        </w:r>
      </w:hyperlink>
      <w:r>
        <w:rPr>
          <w:sz w:val="32"/>
          <w:szCs w:val="32"/>
        </w:rPr>
        <w:t xml:space="preserve"> </w:t>
      </w:r>
    </w:p>
    <w:p w14:paraId="41469FCE" w14:textId="0F31A424" w:rsidR="00D94B14" w:rsidRDefault="00F71043" w:rsidP="00D94B14">
      <w:pPr>
        <w:pStyle w:val="ListParagraph"/>
        <w:numPr>
          <w:ilvl w:val="0"/>
          <w:numId w:val="1"/>
        </w:numPr>
        <w:rPr>
          <w:sz w:val="32"/>
          <w:szCs w:val="32"/>
        </w:rPr>
      </w:pPr>
      <w:r w:rsidRPr="00D94B14">
        <w:rPr>
          <w:sz w:val="32"/>
          <w:szCs w:val="32"/>
        </w:rPr>
        <w:t xml:space="preserve">Improving equality, </w:t>
      </w:r>
      <w:proofErr w:type="gramStart"/>
      <w:r w:rsidRPr="00D94B14">
        <w:rPr>
          <w:sz w:val="32"/>
          <w:szCs w:val="32"/>
        </w:rPr>
        <w:t>diversity</w:t>
      </w:r>
      <w:proofErr w:type="gramEnd"/>
      <w:r w:rsidRPr="00D94B14">
        <w:rPr>
          <w:sz w:val="32"/>
          <w:szCs w:val="32"/>
        </w:rPr>
        <w:t xml:space="preserve"> and inclusion in your workplace. (n.d.).</w:t>
      </w:r>
      <w:r w:rsidRPr="00D94B14">
        <w:rPr>
          <w:sz w:val="32"/>
          <w:szCs w:val="32"/>
        </w:rPr>
        <w:t xml:space="preserve"> </w:t>
      </w:r>
    </w:p>
    <w:p w14:paraId="7E72A069" w14:textId="2884D228" w:rsidR="00D94B14" w:rsidRDefault="00D94B14" w:rsidP="00D94B14">
      <w:pPr>
        <w:ind w:left="360"/>
        <w:rPr>
          <w:sz w:val="32"/>
          <w:szCs w:val="32"/>
        </w:rPr>
      </w:pPr>
      <w:hyperlink r:id="rId6" w:history="1">
        <w:r w:rsidRPr="008240BF">
          <w:rPr>
            <w:rStyle w:val="Hyperlink"/>
            <w:sz w:val="32"/>
            <w:szCs w:val="32"/>
          </w:rPr>
          <w:t>https://www.acas.org.uk/improving-equality-diversity-and-inclusion</w:t>
        </w:r>
      </w:hyperlink>
    </w:p>
    <w:p w14:paraId="76502E11" w14:textId="6F5E0F1A" w:rsidR="00D94B14" w:rsidRDefault="00D94B14" w:rsidP="00D94B14">
      <w:pPr>
        <w:pStyle w:val="ListParagraph"/>
        <w:numPr>
          <w:ilvl w:val="0"/>
          <w:numId w:val="1"/>
        </w:numPr>
        <w:rPr>
          <w:sz w:val="32"/>
          <w:szCs w:val="32"/>
        </w:rPr>
      </w:pPr>
      <w:proofErr w:type="spellStart"/>
      <w:r w:rsidRPr="00D94B14">
        <w:rPr>
          <w:sz w:val="32"/>
          <w:szCs w:val="32"/>
        </w:rPr>
        <w:t>Jooss</w:t>
      </w:r>
      <w:proofErr w:type="spellEnd"/>
      <w:r w:rsidRPr="00D94B14">
        <w:rPr>
          <w:sz w:val="32"/>
          <w:szCs w:val="32"/>
        </w:rPr>
        <w:t xml:space="preserve">, S., McDonnell, A., &amp; Conroy, K. (2021). Flexible global working arrangements: An integrative review and future research agenda. </w:t>
      </w:r>
      <w:r w:rsidRPr="00D94B14">
        <w:rPr>
          <w:i/>
          <w:iCs/>
          <w:sz w:val="32"/>
          <w:szCs w:val="32"/>
        </w:rPr>
        <w:t>Human Resource Management Review</w:t>
      </w:r>
      <w:r w:rsidRPr="00D94B14">
        <w:rPr>
          <w:sz w:val="32"/>
          <w:szCs w:val="32"/>
        </w:rPr>
        <w:t>, 31(4), 100780.</w:t>
      </w:r>
      <w:r>
        <w:rPr>
          <w:sz w:val="32"/>
          <w:szCs w:val="32"/>
        </w:rPr>
        <w:t xml:space="preserve"> </w:t>
      </w:r>
    </w:p>
    <w:p w14:paraId="06763A3B" w14:textId="7C944413" w:rsidR="00D94B14" w:rsidRDefault="00D94B14" w:rsidP="00D94B14">
      <w:pPr>
        <w:pStyle w:val="ListParagraph"/>
        <w:numPr>
          <w:ilvl w:val="0"/>
          <w:numId w:val="1"/>
        </w:numPr>
        <w:rPr>
          <w:sz w:val="32"/>
          <w:szCs w:val="32"/>
        </w:rPr>
      </w:pPr>
      <w:r w:rsidRPr="00D94B14">
        <w:rPr>
          <w:sz w:val="32"/>
          <w:szCs w:val="32"/>
        </w:rPr>
        <w:t xml:space="preserve">Joyce, K., </w:t>
      </w:r>
      <w:proofErr w:type="spellStart"/>
      <w:r w:rsidRPr="00D94B14">
        <w:rPr>
          <w:sz w:val="32"/>
          <w:szCs w:val="32"/>
        </w:rPr>
        <w:t>Pabayo</w:t>
      </w:r>
      <w:proofErr w:type="spellEnd"/>
      <w:r w:rsidRPr="00D94B14">
        <w:rPr>
          <w:sz w:val="32"/>
          <w:szCs w:val="32"/>
        </w:rPr>
        <w:t xml:space="preserve">, R., Critchley, J. A., &amp; Bambra, C. (2010). Flexible working conditions and their effects on employee health and wellbeing. </w:t>
      </w:r>
      <w:r w:rsidRPr="00D94B14">
        <w:rPr>
          <w:i/>
          <w:iCs/>
          <w:sz w:val="32"/>
          <w:szCs w:val="32"/>
        </w:rPr>
        <w:t>Cochrane Database of Systematic reviews</w:t>
      </w:r>
      <w:r w:rsidRPr="00D94B14">
        <w:rPr>
          <w:sz w:val="32"/>
          <w:szCs w:val="32"/>
        </w:rPr>
        <w:t>, (2).</w:t>
      </w:r>
    </w:p>
    <w:p w14:paraId="5F047653" w14:textId="64FDEEC4" w:rsidR="00D94B14" w:rsidRDefault="00D94B14" w:rsidP="00D94B14">
      <w:pPr>
        <w:pStyle w:val="ListParagraph"/>
        <w:numPr>
          <w:ilvl w:val="0"/>
          <w:numId w:val="1"/>
        </w:numPr>
        <w:rPr>
          <w:sz w:val="32"/>
          <w:szCs w:val="32"/>
        </w:rPr>
      </w:pPr>
      <w:r w:rsidRPr="00D94B14">
        <w:rPr>
          <w:sz w:val="32"/>
          <w:szCs w:val="32"/>
        </w:rPr>
        <w:t xml:space="preserve">Kotey, B. A. (2017). Flexible working arrangements and strategic positions in SMEs. </w:t>
      </w:r>
      <w:r w:rsidRPr="00D94B14">
        <w:rPr>
          <w:i/>
          <w:iCs/>
          <w:sz w:val="32"/>
          <w:szCs w:val="32"/>
        </w:rPr>
        <w:t>Personnel Review</w:t>
      </w:r>
      <w:r w:rsidRPr="00D94B14">
        <w:rPr>
          <w:sz w:val="32"/>
          <w:szCs w:val="32"/>
        </w:rPr>
        <w:t>.</w:t>
      </w:r>
    </w:p>
    <w:p w14:paraId="7CBDCECF" w14:textId="0E6F2BEB" w:rsidR="00D94B14" w:rsidRDefault="00D94B14" w:rsidP="00D94B14">
      <w:pPr>
        <w:pStyle w:val="ListParagraph"/>
        <w:numPr>
          <w:ilvl w:val="0"/>
          <w:numId w:val="1"/>
        </w:numPr>
        <w:rPr>
          <w:sz w:val="32"/>
          <w:szCs w:val="32"/>
        </w:rPr>
      </w:pPr>
      <w:r w:rsidRPr="00D94B14">
        <w:rPr>
          <w:sz w:val="32"/>
          <w:szCs w:val="32"/>
        </w:rPr>
        <w:t xml:space="preserve">Kirton, G. (2020). Diversity and inclusion in a changing world of work. </w:t>
      </w:r>
      <w:r w:rsidRPr="00D94B14">
        <w:rPr>
          <w:i/>
          <w:iCs/>
          <w:sz w:val="32"/>
          <w:szCs w:val="32"/>
        </w:rPr>
        <w:t>In The future of work and employment</w:t>
      </w:r>
      <w:r w:rsidRPr="00D94B14">
        <w:rPr>
          <w:sz w:val="32"/>
          <w:szCs w:val="32"/>
        </w:rPr>
        <w:t xml:space="preserve">. Edward Elgar Publishing.  </w:t>
      </w:r>
    </w:p>
    <w:p w14:paraId="59F486EC" w14:textId="718E5877" w:rsidR="00D94B14" w:rsidRDefault="00D94B14" w:rsidP="00D94B14">
      <w:pPr>
        <w:pStyle w:val="ListParagraph"/>
        <w:numPr>
          <w:ilvl w:val="0"/>
          <w:numId w:val="1"/>
        </w:numPr>
        <w:rPr>
          <w:sz w:val="32"/>
          <w:szCs w:val="32"/>
        </w:rPr>
      </w:pPr>
      <w:r w:rsidRPr="00D94B14">
        <w:rPr>
          <w:sz w:val="32"/>
          <w:szCs w:val="32"/>
        </w:rPr>
        <w:t xml:space="preserve">Nagendra, A., &amp; Deshpande, M. (2014). Human Resource Information Systems (HRIS) in HR planning and development in mid to large sized organizations. </w:t>
      </w:r>
      <w:r w:rsidRPr="00D94B14">
        <w:rPr>
          <w:i/>
          <w:iCs/>
          <w:sz w:val="32"/>
          <w:szCs w:val="32"/>
        </w:rPr>
        <w:t>Procedia-Social and Behavioral Sciences</w:t>
      </w:r>
      <w:r w:rsidRPr="00D94B14">
        <w:rPr>
          <w:sz w:val="32"/>
          <w:szCs w:val="32"/>
        </w:rPr>
        <w:t>, 133, 61-67.</w:t>
      </w:r>
    </w:p>
    <w:p w14:paraId="7CE4BD8B" w14:textId="678AEF21" w:rsidR="00D94B14" w:rsidRDefault="00D94B14" w:rsidP="00D94B14">
      <w:pPr>
        <w:pStyle w:val="ListParagraph"/>
        <w:numPr>
          <w:ilvl w:val="0"/>
          <w:numId w:val="1"/>
        </w:numPr>
        <w:rPr>
          <w:sz w:val="32"/>
          <w:szCs w:val="32"/>
        </w:rPr>
      </w:pPr>
      <w:r w:rsidRPr="00D94B14">
        <w:rPr>
          <w:sz w:val="32"/>
          <w:szCs w:val="32"/>
        </w:rPr>
        <w:t xml:space="preserve">Nordin, N. N., Mohd </w:t>
      </w:r>
      <w:proofErr w:type="spellStart"/>
      <w:r w:rsidRPr="00D94B14">
        <w:rPr>
          <w:sz w:val="32"/>
          <w:szCs w:val="32"/>
        </w:rPr>
        <w:t>Baidzowi</w:t>
      </w:r>
      <w:proofErr w:type="spellEnd"/>
      <w:r w:rsidRPr="00D94B14">
        <w:rPr>
          <w:sz w:val="32"/>
          <w:szCs w:val="32"/>
        </w:rPr>
        <w:t xml:space="preserve">, F. M., &amp; Razak, R. A. (2016). Understanding the Work </w:t>
      </w:r>
      <w:proofErr w:type="gramStart"/>
      <w:r w:rsidRPr="00D94B14">
        <w:rPr>
          <w:sz w:val="32"/>
          <w:szCs w:val="32"/>
        </w:rPr>
        <w:t>At</w:t>
      </w:r>
      <w:proofErr w:type="gramEnd"/>
      <w:r w:rsidRPr="00D94B14">
        <w:rPr>
          <w:sz w:val="32"/>
          <w:szCs w:val="32"/>
        </w:rPr>
        <w:t xml:space="preserve"> Home Concept, Its Benefits, and Challenges Towards Employees. </w:t>
      </w:r>
      <w:r w:rsidRPr="00D94B14">
        <w:rPr>
          <w:i/>
          <w:iCs/>
          <w:sz w:val="32"/>
          <w:szCs w:val="32"/>
        </w:rPr>
        <w:t>Social Sciences Research</w:t>
      </w:r>
      <w:r w:rsidRPr="00D94B14">
        <w:rPr>
          <w:sz w:val="32"/>
          <w:szCs w:val="32"/>
        </w:rPr>
        <w:t>, 109-118.</w:t>
      </w:r>
    </w:p>
    <w:p w14:paraId="5804B1EF" w14:textId="1338A1C0" w:rsidR="00D94B14" w:rsidRPr="00D94B14" w:rsidRDefault="00D94B14" w:rsidP="00D94B14">
      <w:pPr>
        <w:pStyle w:val="ListParagraph"/>
        <w:numPr>
          <w:ilvl w:val="0"/>
          <w:numId w:val="1"/>
        </w:numPr>
        <w:rPr>
          <w:sz w:val="32"/>
          <w:szCs w:val="32"/>
        </w:rPr>
      </w:pPr>
      <w:r w:rsidRPr="00D94B14">
        <w:rPr>
          <w:sz w:val="32"/>
          <w:szCs w:val="32"/>
        </w:rPr>
        <w:t xml:space="preserve">Strategic human resource management. (2021). </w:t>
      </w:r>
      <w:r w:rsidRPr="00D94B14">
        <w:rPr>
          <w:i/>
          <w:iCs/>
          <w:sz w:val="32"/>
          <w:szCs w:val="32"/>
        </w:rPr>
        <w:t>Chartered Institute of Personnel and Development</w:t>
      </w:r>
      <w:r w:rsidR="007633BC">
        <w:rPr>
          <w:i/>
          <w:iCs/>
          <w:sz w:val="32"/>
          <w:szCs w:val="32"/>
        </w:rPr>
        <w:t>.</w:t>
      </w:r>
    </w:p>
    <w:p w14:paraId="13223257" w14:textId="3AB8F136" w:rsidR="00D94B14" w:rsidRDefault="00D94B14" w:rsidP="00D94B14">
      <w:pPr>
        <w:ind w:left="360"/>
        <w:rPr>
          <w:sz w:val="32"/>
          <w:szCs w:val="32"/>
        </w:rPr>
      </w:pPr>
      <w:hyperlink r:id="rId7" w:history="1">
        <w:r w:rsidRPr="008240BF">
          <w:rPr>
            <w:rStyle w:val="Hyperlink"/>
            <w:sz w:val="32"/>
            <w:szCs w:val="32"/>
          </w:rPr>
          <w:t>https://www.cipd.co.uk/knowledge/strategy/hr/strategic-hrm-factsheet#6755</w:t>
        </w:r>
      </w:hyperlink>
      <w:r>
        <w:rPr>
          <w:sz w:val="32"/>
          <w:szCs w:val="32"/>
        </w:rPr>
        <w:t xml:space="preserve"> </w:t>
      </w:r>
    </w:p>
    <w:p w14:paraId="640A78AF" w14:textId="25F06AA9" w:rsidR="00D94B14" w:rsidRPr="00D94B14" w:rsidRDefault="007633BC" w:rsidP="00D94B14">
      <w:pPr>
        <w:pStyle w:val="ListParagraph"/>
        <w:numPr>
          <w:ilvl w:val="0"/>
          <w:numId w:val="1"/>
        </w:numPr>
        <w:rPr>
          <w:sz w:val="32"/>
          <w:szCs w:val="32"/>
        </w:rPr>
      </w:pPr>
      <w:r w:rsidRPr="007633BC">
        <w:rPr>
          <w:sz w:val="32"/>
          <w:szCs w:val="32"/>
        </w:rPr>
        <w:t xml:space="preserve">Singh, D. (2019). A literature review on employee retention with focus on recent trends. </w:t>
      </w:r>
      <w:r w:rsidRPr="007633BC">
        <w:rPr>
          <w:i/>
          <w:iCs/>
          <w:sz w:val="32"/>
          <w:szCs w:val="32"/>
        </w:rPr>
        <w:t>International Journal of Scientific Research in Science and Technology</w:t>
      </w:r>
      <w:r w:rsidRPr="007633BC">
        <w:rPr>
          <w:sz w:val="32"/>
          <w:szCs w:val="32"/>
        </w:rPr>
        <w:t>, 6(1), 425-431.</w:t>
      </w:r>
    </w:p>
    <w:sectPr w:rsidR="00D94B14" w:rsidRPr="00D94B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244656"/>
    <w:multiLevelType w:val="hybridMultilevel"/>
    <w:tmpl w:val="73C4CA82"/>
    <w:lvl w:ilvl="0" w:tplc="BD7A78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1628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A7D"/>
    <w:rsid w:val="007633BC"/>
    <w:rsid w:val="00A34A7D"/>
    <w:rsid w:val="00D94B14"/>
    <w:rsid w:val="00EB7D77"/>
    <w:rsid w:val="00ED2CE0"/>
    <w:rsid w:val="00F71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F74D7"/>
  <w15:chartTrackingRefBased/>
  <w15:docId w15:val="{CCC1A33F-B433-44DE-8441-11E5148BD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A7D"/>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043"/>
    <w:pPr>
      <w:ind w:left="720"/>
      <w:contextualSpacing/>
    </w:pPr>
  </w:style>
  <w:style w:type="character" w:styleId="Hyperlink">
    <w:name w:val="Hyperlink"/>
    <w:basedOn w:val="DefaultParagraphFont"/>
    <w:uiPriority w:val="99"/>
    <w:unhideWhenUsed/>
    <w:rsid w:val="00F71043"/>
    <w:rPr>
      <w:color w:val="0563C1" w:themeColor="hyperlink"/>
      <w:u w:val="single"/>
    </w:rPr>
  </w:style>
  <w:style w:type="character" w:styleId="UnresolvedMention">
    <w:name w:val="Unresolved Mention"/>
    <w:basedOn w:val="DefaultParagraphFont"/>
    <w:uiPriority w:val="99"/>
    <w:semiHidden/>
    <w:unhideWhenUsed/>
    <w:rsid w:val="00F710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strategy/hr/strategic-hrm-factsheet#675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as.org.uk/improving-equality-diversity-and-inclusion" TargetMode="External"/><Relationship Id="rId5" Type="http://schemas.openxmlformats.org/officeDocument/2006/relationships/hyperlink" Target="https://www.gov.uk/flexible-workin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2</cp:revision>
  <dcterms:created xsi:type="dcterms:W3CDTF">2022-05-06T21:28:00Z</dcterms:created>
  <dcterms:modified xsi:type="dcterms:W3CDTF">2022-05-06T21:28:00Z</dcterms:modified>
</cp:coreProperties>
</file>