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53BA0" w14:textId="6A0E6929" w:rsidR="00007CCA" w:rsidRPr="002D6B08" w:rsidRDefault="000E2724" w:rsidP="000E2724">
      <w:pPr>
        <w:pStyle w:val="Default"/>
        <w:jc w:val="center"/>
        <w:rPr>
          <w:b/>
          <w:bCs/>
          <w:i/>
          <w:iCs/>
          <w:color w:val="000000" w:themeColor="text1"/>
          <w:sz w:val="36"/>
          <w:szCs w:val="36"/>
        </w:rPr>
      </w:pPr>
      <w:r w:rsidRPr="002D6B08">
        <w:rPr>
          <w:b/>
          <w:bCs/>
          <w:i/>
          <w:iCs/>
          <w:color w:val="000000" w:themeColor="text1"/>
          <w:sz w:val="36"/>
          <w:szCs w:val="36"/>
        </w:rPr>
        <w:t>UNIVERSITY OF WALES</w:t>
      </w:r>
    </w:p>
    <w:p w14:paraId="45E54633" w14:textId="07C2F97C" w:rsidR="000E2724" w:rsidRPr="002D6B08" w:rsidRDefault="000E2724" w:rsidP="000E2724">
      <w:pPr>
        <w:pStyle w:val="Default"/>
        <w:jc w:val="center"/>
        <w:rPr>
          <w:b/>
          <w:bCs/>
          <w:i/>
          <w:iCs/>
          <w:color w:val="000000" w:themeColor="text1"/>
          <w:sz w:val="32"/>
          <w:szCs w:val="32"/>
        </w:rPr>
      </w:pPr>
    </w:p>
    <w:p w14:paraId="5DE9AD30" w14:textId="68A5EB8B" w:rsidR="000E2724" w:rsidRPr="002D6B08" w:rsidRDefault="000E2724" w:rsidP="000E2724">
      <w:pPr>
        <w:pStyle w:val="Default"/>
        <w:jc w:val="center"/>
        <w:rPr>
          <w:b/>
          <w:bCs/>
          <w:i/>
          <w:iCs/>
          <w:color w:val="000000" w:themeColor="text1"/>
          <w:sz w:val="32"/>
          <w:szCs w:val="32"/>
        </w:rPr>
      </w:pPr>
    </w:p>
    <w:p w14:paraId="404A1CEC" w14:textId="76445303" w:rsidR="000E2724" w:rsidRPr="002D6B08" w:rsidRDefault="000E2724" w:rsidP="000E2724">
      <w:pPr>
        <w:pStyle w:val="Default"/>
        <w:jc w:val="center"/>
        <w:rPr>
          <w:b/>
          <w:bCs/>
          <w:i/>
          <w:iCs/>
          <w:color w:val="000000" w:themeColor="text1"/>
          <w:sz w:val="32"/>
          <w:szCs w:val="32"/>
        </w:rPr>
      </w:pPr>
    </w:p>
    <w:p w14:paraId="36318CA8" w14:textId="25EDD888" w:rsidR="000E2724" w:rsidRPr="002D6B08" w:rsidRDefault="000E2724" w:rsidP="000E2724">
      <w:pPr>
        <w:pStyle w:val="Default"/>
        <w:jc w:val="center"/>
        <w:rPr>
          <w:b/>
          <w:bCs/>
          <w:i/>
          <w:iCs/>
          <w:color w:val="000000" w:themeColor="text1"/>
          <w:sz w:val="32"/>
          <w:szCs w:val="32"/>
        </w:rPr>
      </w:pPr>
    </w:p>
    <w:p w14:paraId="3098A888" w14:textId="6B863C0D" w:rsidR="000E2724" w:rsidRPr="002D6B08" w:rsidRDefault="000E2724" w:rsidP="000E2724">
      <w:pPr>
        <w:pStyle w:val="Default"/>
        <w:jc w:val="center"/>
        <w:rPr>
          <w:b/>
          <w:bCs/>
          <w:i/>
          <w:iCs/>
          <w:color w:val="000000" w:themeColor="text1"/>
          <w:sz w:val="40"/>
          <w:szCs w:val="40"/>
        </w:rPr>
      </w:pPr>
    </w:p>
    <w:p w14:paraId="17BAA5FA" w14:textId="5F9C2348" w:rsidR="000E2724" w:rsidRPr="002D6B08" w:rsidRDefault="000E2724" w:rsidP="000E2724">
      <w:pPr>
        <w:pStyle w:val="Default"/>
        <w:jc w:val="center"/>
        <w:rPr>
          <w:b/>
          <w:bCs/>
          <w:i/>
          <w:iCs/>
          <w:color w:val="000000" w:themeColor="text1"/>
          <w:sz w:val="40"/>
          <w:szCs w:val="40"/>
        </w:rPr>
      </w:pPr>
    </w:p>
    <w:p w14:paraId="04025FF2" w14:textId="6A2771C5" w:rsidR="000E2724" w:rsidRPr="002D6B08" w:rsidRDefault="000E2724" w:rsidP="000E2724">
      <w:pPr>
        <w:pStyle w:val="Default"/>
        <w:jc w:val="center"/>
        <w:rPr>
          <w:b/>
          <w:bCs/>
          <w:i/>
          <w:iCs/>
          <w:color w:val="000000" w:themeColor="text1"/>
          <w:sz w:val="40"/>
          <w:szCs w:val="40"/>
        </w:rPr>
      </w:pPr>
    </w:p>
    <w:p w14:paraId="06448EE0" w14:textId="77777777" w:rsidR="000E2724" w:rsidRPr="002D6B08" w:rsidRDefault="000E2724" w:rsidP="000E2724">
      <w:pPr>
        <w:pStyle w:val="Default"/>
        <w:jc w:val="center"/>
        <w:rPr>
          <w:b/>
          <w:bCs/>
          <w:i/>
          <w:iCs/>
          <w:color w:val="000000" w:themeColor="text1"/>
          <w:sz w:val="40"/>
          <w:szCs w:val="40"/>
        </w:rPr>
      </w:pPr>
    </w:p>
    <w:p w14:paraId="78AA701A" w14:textId="5346C8F3" w:rsidR="000E2724" w:rsidRPr="002D6B08" w:rsidRDefault="000E2724" w:rsidP="000E2724">
      <w:pPr>
        <w:pStyle w:val="Default"/>
        <w:jc w:val="center"/>
        <w:rPr>
          <w:b/>
          <w:bCs/>
          <w:i/>
          <w:iCs/>
          <w:color w:val="000000" w:themeColor="text1"/>
          <w:sz w:val="40"/>
          <w:szCs w:val="40"/>
        </w:rPr>
      </w:pPr>
    </w:p>
    <w:p w14:paraId="5D97EBF7" w14:textId="77777777" w:rsidR="000E2724" w:rsidRPr="002D6B08" w:rsidRDefault="000E2724" w:rsidP="000E2724">
      <w:pPr>
        <w:pStyle w:val="Default"/>
        <w:jc w:val="center"/>
        <w:rPr>
          <w:b/>
          <w:bCs/>
          <w:i/>
          <w:iCs/>
          <w:color w:val="000000" w:themeColor="text1"/>
          <w:sz w:val="40"/>
          <w:szCs w:val="40"/>
        </w:rPr>
      </w:pPr>
    </w:p>
    <w:p w14:paraId="09DB552D" w14:textId="77777777" w:rsidR="000E2724" w:rsidRPr="002D6B08" w:rsidRDefault="00007CCA" w:rsidP="00007CCA">
      <w:pPr>
        <w:pStyle w:val="Title"/>
        <w:rPr>
          <w:rFonts w:ascii="Arial" w:hAnsi="Arial" w:cs="Arial"/>
          <w:i/>
          <w:iCs/>
          <w:color w:val="000000" w:themeColor="text1"/>
          <w:sz w:val="44"/>
          <w:szCs w:val="96"/>
        </w:rPr>
      </w:pPr>
      <w:r w:rsidRPr="002D6B08">
        <w:rPr>
          <w:rFonts w:ascii="Arial" w:hAnsi="Arial" w:cs="Arial"/>
          <w:i/>
          <w:iCs/>
          <w:color w:val="000000" w:themeColor="text1"/>
          <w:sz w:val="44"/>
          <w:szCs w:val="96"/>
        </w:rPr>
        <w:t xml:space="preserve">International </w:t>
      </w:r>
      <w:r w:rsidRPr="002D6B08">
        <w:rPr>
          <w:rFonts w:ascii="Arial" w:hAnsi="Arial" w:cs="Arial"/>
          <w:i/>
          <w:iCs/>
          <w:color w:val="000000" w:themeColor="text1"/>
          <w:sz w:val="44"/>
          <w:szCs w:val="32"/>
        </w:rPr>
        <w:t>Financial</w:t>
      </w:r>
      <w:r w:rsidRPr="002D6B08">
        <w:rPr>
          <w:rFonts w:ascii="Arial" w:hAnsi="Arial" w:cs="Arial"/>
          <w:i/>
          <w:iCs/>
          <w:color w:val="000000" w:themeColor="text1"/>
          <w:sz w:val="44"/>
          <w:szCs w:val="96"/>
        </w:rPr>
        <w:t xml:space="preserve"> Management </w:t>
      </w:r>
    </w:p>
    <w:p w14:paraId="1621C389" w14:textId="77777777" w:rsidR="000E2724" w:rsidRPr="002D6B08" w:rsidRDefault="000E2724" w:rsidP="00007CCA">
      <w:pPr>
        <w:pStyle w:val="Title"/>
        <w:rPr>
          <w:rFonts w:ascii="Arial" w:hAnsi="Arial" w:cs="Arial"/>
          <w:i/>
          <w:iCs/>
          <w:color w:val="000000" w:themeColor="text1"/>
          <w:sz w:val="44"/>
          <w:szCs w:val="96"/>
        </w:rPr>
      </w:pPr>
      <w:r w:rsidRPr="002D6B08">
        <w:rPr>
          <w:rFonts w:ascii="Arial" w:hAnsi="Arial" w:cs="Arial"/>
          <w:i/>
          <w:iCs/>
          <w:color w:val="000000" w:themeColor="text1"/>
          <w:sz w:val="44"/>
          <w:szCs w:val="96"/>
        </w:rPr>
        <w:t>Assessment 1</w:t>
      </w:r>
    </w:p>
    <w:p w14:paraId="30FEDA11" w14:textId="0F29E7F7" w:rsidR="000E2724" w:rsidRPr="002D6B08" w:rsidRDefault="000E2724" w:rsidP="00007CCA">
      <w:pPr>
        <w:pStyle w:val="Title"/>
        <w:rPr>
          <w:rFonts w:ascii="Arial" w:hAnsi="Arial" w:cs="Arial"/>
          <w:i/>
          <w:iCs/>
          <w:color w:val="000000" w:themeColor="text1"/>
          <w:sz w:val="40"/>
          <w:szCs w:val="72"/>
        </w:rPr>
      </w:pPr>
    </w:p>
    <w:p w14:paraId="55B4B83C" w14:textId="110CB6E8" w:rsidR="000E2724" w:rsidRPr="002D6B08" w:rsidRDefault="000E2724" w:rsidP="000E2724">
      <w:pPr>
        <w:pStyle w:val="Normal1"/>
        <w:rPr>
          <w:color w:val="000000" w:themeColor="text1"/>
        </w:rPr>
      </w:pPr>
    </w:p>
    <w:p w14:paraId="2FD1A558" w14:textId="18C0EA40" w:rsidR="000E2724" w:rsidRPr="002D6B08" w:rsidRDefault="000E2724" w:rsidP="000E2724">
      <w:pPr>
        <w:pStyle w:val="Normal1"/>
        <w:rPr>
          <w:color w:val="000000" w:themeColor="text1"/>
        </w:rPr>
      </w:pPr>
    </w:p>
    <w:p w14:paraId="3BE76574" w14:textId="372BE291" w:rsidR="000E2724" w:rsidRPr="002D6B08" w:rsidRDefault="000E2724" w:rsidP="000E2724">
      <w:pPr>
        <w:pStyle w:val="Normal1"/>
        <w:rPr>
          <w:color w:val="000000" w:themeColor="text1"/>
        </w:rPr>
      </w:pPr>
    </w:p>
    <w:p w14:paraId="299F9CD5" w14:textId="28444CD5" w:rsidR="000E2724" w:rsidRPr="002D6B08" w:rsidRDefault="000E2724" w:rsidP="000E2724">
      <w:pPr>
        <w:pStyle w:val="Normal1"/>
        <w:rPr>
          <w:color w:val="000000" w:themeColor="text1"/>
        </w:rPr>
      </w:pPr>
    </w:p>
    <w:p w14:paraId="5F4442A5" w14:textId="58BDA7C8" w:rsidR="000E2724" w:rsidRPr="002D6B08" w:rsidRDefault="000E2724" w:rsidP="000E2724">
      <w:pPr>
        <w:pStyle w:val="Normal1"/>
        <w:rPr>
          <w:color w:val="000000" w:themeColor="text1"/>
        </w:rPr>
      </w:pPr>
    </w:p>
    <w:p w14:paraId="7EDA7673" w14:textId="77777777" w:rsidR="000E2724" w:rsidRPr="002D6B08" w:rsidRDefault="000E2724" w:rsidP="000E2724">
      <w:pPr>
        <w:pStyle w:val="Normal1"/>
        <w:rPr>
          <w:color w:val="000000" w:themeColor="text1"/>
        </w:rPr>
      </w:pPr>
    </w:p>
    <w:p w14:paraId="079E6852" w14:textId="6314D466" w:rsidR="000E2724" w:rsidRPr="002D6B08" w:rsidRDefault="000E2724" w:rsidP="000E2724">
      <w:pPr>
        <w:pStyle w:val="Normal1"/>
        <w:rPr>
          <w:color w:val="000000" w:themeColor="text1"/>
        </w:rPr>
      </w:pPr>
    </w:p>
    <w:p w14:paraId="31253941" w14:textId="7B2DA04A" w:rsidR="000E2724" w:rsidRPr="002D6B08" w:rsidRDefault="000E2724" w:rsidP="000E2724">
      <w:pPr>
        <w:pStyle w:val="Normal1"/>
        <w:rPr>
          <w:rFonts w:ascii="Arial" w:hAnsi="Arial" w:cs="Arial"/>
          <w:b/>
          <w:bCs/>
          <w:i/>
          <w:iCs/>
          <w:color w:val="000000" w:themeColor="text1"/>
          <w:sz w:val="32"/>
          <w:szCs w:val="32"/>
        </w:rPr>
      </w:pPr>
      <w:r w:rsidRPr="002D6B08">
        <w:rPr>
          <w:rFonts w:ascii="Arial" w:hAnsi="Arial" w:cs="Arial"/>
          <w:b/>
          <w:bCs/>
          <w:i/>
          <w:iCs/>
          <w:color w:val="000000" w:themeColor="text1"/>
          <w:sz w:val="32"/>
          <w:szCs w:val="32"/>
        </w:rPr>
        <w:t>STUDENT: CLAUDIA ION (1916922)</w:t>
      </w:r>
    </w:p>
    <w:p w14:paraId="206B4240" w14:textId="4100B5AF" w:rsidR="000E2724" w:rsidRPr="002D6B08" w:rsidRDefault="000E2724" w:rsidP="000E2724">
      <w:pPr>
        <w:pStyle w:val="Normal1"/>
        <w:rPr>
          <w:rFonts w:ascii="Arial" w:hAnsi="Arial" w:cs="Arial"/>
          <w:b/>
          <w:bCs/>
          <w:i/>
          <w:iCs/>
          <w:color w:val="000000" w:themeColor="text1"/>
          <w:sz w:val="32"/>
          <w:szCs w:val="32"/>
        </w:rPr>
      </w:pPr>
      <w:r w:rsidRPr="002D6B08">
        <w:rPr>
          <w:rFonts w:ascii="Arial" w:hAnsi="Arial" w:cs="Arial"/>
          <w:b/>
          <w:bCs/>
          <w:i/>
          <w:iCs/>
          <w:color w:val="000000" w:themeColor="text1"/>
          <w:sz w:val="32"/>
          <w:szCs w:val="32"/>
        </w:rPr>
        <w:t>LECTURER: TAYE OSADIYA</w:t>
      </w:r>
    </w:p>
    <w:p w14:paraId="7BAF9BD3" w14:textId="77777777" w:rsidR="000E2724" w:rsidRDefault="000E2724" w:rsidP="00007CCA">
      <w:pPr>
        <w:pStyle w:val="Title"/>
        <w:rPr>
          <w:rFonts w:ascii="Arial" w:hAnsi="Arial" w:cs="Arial"/>
          <w:i/>
          <w:iCs/>
          <w:color w:val="FF0000"/>
          <w:sz w:val="40"/>
          <w:szCs w:val="72"/>
        </w:rPr>
      </w:pPr>
    </w:p>
    <w:p w14:paraId="7E4F7D19" w14:textId="77777777" w:rsidR="000E2724" w:rsidRDefault="000E2724" w:rsidP="000E2724">
      <w:pPr>
        <w:pStyle w:val="Title"/>
        <w:jc w:val="left"/>
        <w:rPr>
          <w:rFonts w:ascii="Arial" w:hAnsi="Arial" w:cs="Arial"/>
          <w:i/>
          <w:iCs/>
          <w:color w:val="FF0000"/>
          <w:sz w:val="40"/>
          <w:szCs w:val="72"/>
        </w:rPr>
      </w:pPr>
    </w:p>
    <w:p w14:paraId="08848983" w14:textId="77777777" w:rsidR="000E2724" w:rsidRDefault="000E2724" w:rsidP="000E2724">
      <w:pPr>
        <w:pStyle w:val="Title"/>
        <w:jc w:val="left"/>
        <w:rPr>
          <w:rFonts w:ascii="Arial" w:hAnsi="Arial" w:cs="Arial"/>
          <w:i/>
          <w:iCs/>
          <w:color w:val="FF0000"/>
          <w:sz w:val="40"/>
          <w:szCs w:val="72"/>
        </w:rPr>
      </w:pPr>
    </w:p>
    <w:p w14:paraId="77FD52EC" w14:textId="4A7F163A" w:rsidR="00007CCA" w:rsidRPr="000E2724" w:rsidRDefault="00007CCA" w:rsidP="000E2724">
      <w:pPr>
        <w:pStyle w:val="Title"/>
        <w:jc w:val="left"/>
        <w:rPr>
          <w:sz w:val="40"/>
          <w:szCs w:val="72"/>
        </w:rPr>
      </w:pPr>
      <w:r w:rsidRPr="000E2724">
        <w:rPr>
          <w:sz w:val="40"/>
          <w:szCs w:val="72"/>
        </w:rPr>
        <w:br w:type="page"/>
      </w:r>
    </w:p>
    <w:sdt>
      <w:sdtPr>
        <w:rPr>
          <w:rFonts w:ascii="Times New Roman" w:eastAsia="Times New Roman" w:hAnsi="Times New Roman" w:cs="Times New Roman"/>
          <w:b w:val="0"/>
          <w:bCs w:val="0"/>
          <w:color w:val="auto"/>
          <w:sz w:val="24"/>
          <w:szCs w:val="24"/>
          <w:lang w:val="en-GB" w:eastAsia="en-GB"/>
        </w:rPr>
        <w:id w:val="130729744"/>
        <w:docPartObj>
          <w:docPartGallery w:val="Table of Contents"/>
          <w:docPartUnique/>
        </w:docPartObj>
      </w:sdtPr>
      <w:sdtEndPr/>
      <w:sdtContent>
        <w:p w14:paraId="4C6313DB" w14:textId="35553684" w:rsidR="00007CCA" w:rsidRDefault="00007CCA" w:rsidP="00007CCA">
          <w:pPr>
            <w:pStyle w:val="TOCHeading"/>
            <w:jc w:val="center"/>
            <w:rPr>
              <w:rFonts w:ascii="Times New Roman" w:hAnsi="Times New Roman" w:cs="Times New Roman"/>
              <w:color w:val="auto"/>
              <w:sz w:val="32"/>
              <w:szCs w:val="32"/>
              <w:lang w:val="en-GB"/>
            </w:rPr>
          </w:pPr>
          <w:r w:rsidRPr="000E2724">
            <w:rPr>
              <w:rFonts w:ascii="Times New Roman" w:hAnsi="Times New Roman" w:cs="Times New Roman"/>
              <w:color w:val="auto"/>
              <w:sz w:val="32"/>
              <w:szCs w:val="32"/>
              <w:lang w:val="en-GB"/>
            </w:rPr>
            <w:t>Table of Contents</w:t>
          </w:r>
        </w:p>
        <w:p w14:paraId="21194484" w14:textId="77777777" w:rsidR="000E2724" w:rsidRPr="000E2724" w:rsidRDefault="000E2724" w:rsidP="000E2724">
          <w:pPr>
            <w:rPr>
              <w:lang w:eastAsia="en-US"/>
            </w:rPr>
          </w:pPr>
        </w:p>
        <w:p w14:paraId="0FFD9699" w14:textId="13260236" w:rsidR="00007CCA" w:rsidRPr="000E2724" w:rsidRDefault="00007CCA" w:rsidP="000E2724">
          <w:pPr>
            <w:pStyle w:val="TOC1"/>
            <w:tabs>
              <w:tab w:val="right" w:leader="dot" w:pos="9019"/>
            </w:tabs>
            <w:spacing w:line="480" w:lineRule="auto"/>
            <w:rPr>
              <w:noProof/>
              <w:sz w:val="28"/>
              <w:szCs w:val="28"/>
            </w:rPr>
          </w:pPr>
          <w:r w:rsidRPr="000E2724">
            <w:rPr>
              <w:sz w:val="28"/>
              <w:szCs w:val="28"/>
            </w:rPr>
            <w:fldChar w:fldCharType="begin"/>
          </w:r>
          <w:r w:rsidRPr="000E2724">
            <w:rPr>
              <w:sz w:val="28"/>
              <w:szCs w:val="28"/>
            </w:rPr>
            <w:instrText xml:space="preserve"> TOC \o "1-3" \h \z \u </w:instrText>
          </w:r>
          <w:r w:rsidRPr="000E2724">
            <w:rPr>
              <w:sz w:val="28"/>
              <w:szCs w:val="28"/>
            </w:rPr>
            <w:fldChar w:fldCharType="separate"/>
          </w:r>
          <w:hyperlink w:anchor="_Toc100955714" w:history="1">
            <w:r w:rsidRPr="000E2724">
              <w:rPr>
                <w:rStyle w:val="Hyperlink"/>
                <w:noProof/>
                <w:sz w:val="28"/>
                <w:szCs w:val="28"/>
              </w:rPr>
              <w:t>Introduction</w:t>
            </w:r>
            <w:r w:rsidRPr="000E2724">
              <w:rPr>
                <w:noProof/>
                <w:webHidden/>
                <w:sz w:val="28"/>
                <w:szCs w:val="28"/>
              </w:rPr>
              <w:tab/>
            </w:r>
            <w:r w:rsidRPr="000E2724">
              <w:rPr>
                <w:noProof/>
                <w:webHidden/>
                <w:sz w:val="28"/>
                <w:szCs w:val="28"/>
              </w:rPr>
              <w:fldChar w:fldCharType="begin"/>
            </w:r>
            <w:r w:rsidRPr="000E2724">
              <w:rPr>
                <w:noProof/>
                <w:webHidden/>
                <w:sz w:val="28"/>
                <w:szCs w:val="28"/>
              </w:rPr>
              <w:instrText xml:space="preserve"> PAGEREF _Toc100955714 \h </w:instrText>
            </w:r>
            <w:r w:rsidRPr="000E2724">
              <w:rPr>
                <w:noProof/>
                <w:webHidden/>
                <w:sz w:val="28"/>
                <w:szCs w:val="28"/>
              </w:rPr>
            </w:r>
            <w:r w:rsidRPr="000E2724">
              <w:rPr>
                <w:noProof/>
                <w:webHidden/>
                <w:sz w:val="28"/>
                <w:szCs w:val="28"/>
              </w:rPr>
              <w:fldChar w:fldCharType="separate"/>
            </w:r>
            <w:r w:rsidR="00BE7336">
              <w:rPr>
                <w:noProof/>
                <w:webHidden/>
                <w:sz w:val="28"/>
                <w:szCs w:val="28"/>
              </w:rPr>
              <w:t>3</w:t>
            </w:r>
            <w:r w:rsidRPr="000E2724">
              <w:rPr>
                <w:noProof/>
                <w:webHidden/>
                <w:sz w:val="28"/>
                <w:szCs w:val="28"/>
              </w:rPr>
              <w:fldChar w:fldCharType="end"/>
            </w:r>
          </w:hyperlink>
        </w:p>
        <w:p w14:paraId="0E871D7D" w14:textId="5A6F84B4" w:rsidR="00007CCA" w:rsidRPr="000E2724" w:rsidRDefault="002271D2" w:rsidP="000E2724">
          <w:pPr>
            <w:pStyle w:val="TOC1"/>
            <w:tabs>
              <w:tab w:val="right" w:leader="dot" w:pos="9019"/>
            </w:tabs>
            <w:spacing w:line="480" w:lineRule="auto"/>
            <w:rPr>
              <w:noProof/>
              <w:sz w:val="28"/>
              <w:szCs w:val="28"/>
            </w:rPr>
          </w:pPr>
          <w:hyperlink w:anchor="_Toc100955715" w:history="1">
            <w:r w:rsidR="00007CCA" w:rsidRPr="000E2724">
              <w:rPr>
                <w:rStyle w:val="Hyperlink"/>
                <w:noProof/>
                <w:sz w:val="28"/>
                <w:szCs w:val="28"/>
              </w:rPr>
              <w:t>Main body</w:t>
            </w:r>
            <w:r w:rsidR="00007CCA" w:rsidRPr="000E2724">
              <w:rPr>
                <w:noProof/>
                <w:webHidden/>
                <w:sz w:val="28"/>
                <w:szCs w:val="28"/>
              </w:rPr>
              <w:tab/>
            </w:r>
            <w:r w:rsidR="00007CCA" w:rsidRPr="000E2724">
              <w:rPr>
                <w:noProof/>
                <w:webHidden/>
                <w:sz w:val="28"/>
                <w:szCs w:val="28"/>
              </w:rPr>
              <w:fldChar w:fldCharType="begin"/>
            </w:r>
            <w:r w:rsidR="00007CCA" w:rsidRPr="000E2724">
              <w:rPr>
                <w:noProof/>
                <w:webHidden/>
                <w:sz w:val="28"/>
                <w:szCs w:val="28"/>
              </w:rPr>
              <w:instrText xml:space="preserve"> PAGEREF _Toc100955715 \h </w:instrText>
            </w:r>
            <w:r w:rsidR="00007CCA" w:rsidRPr="000E2724">
              <w:rPr>
                <w:noProof/>
                <w:webHidden/>
                <w:sz w:val="28"/>
                <w:szCs w:val="28"/>
              </w:rPr>
            </w:r>
            <w:r w:rsidR="00007CCA" w:rsidRPr="000E2724">
              <w:rPr>
                <w:noProof/>
                <w:webHidden/>
                <w:sz w:val="28"/>
                <w:szCs w:val="28"/>
              </w:rPr>
              <w:fldChar w:fldCharType="separate"/>
            </w:r>
            <w:r w:rsidR="00BE7336">
              <w:rPr>
                <w:noProof/>
                <w:webHidden/>
                <w:sz w:val="28"/>
                <w:szCs w:val="28"/>
              </w:rPr>
              <w:t>3</w:t>
            </w:r>
            <w:r w:rsidR="00007CCA" w:rsidRPr="000E2724">
              <w:rPr>
                <w:noProof/>
                <w:webHidden/>
                <w:sz w:val="28"/>
                <w:szCs w:val="28"/>
              </w:rPr>
              <w:fldChar w:fldCharType="end"/>
            </w:r>
          </w:hyperlink>
        </w:p>
        <w:p w14:paraId="7082F6D6" w14:textId="2F602C15" w:rsidR="00007CCA" w:rsidRPr="000E2724" w:rsidRDefault="002271D2" w:rsidP="000E2724">
          <w:pPr>
            <w:pStyle w:val="TOC1"/>
            <w:tabs>
              <w:tab w:val="right" w:leader="dot" w:pos="9019"/>
            </w:tabs>
            <w:spacing w:line="480" w:lineRule="auto"/>
            <w:rPr>
              <w:noProof/>
              <w:sz w:val="28"/>
              <w:szCs w:val="28"/>
            </w:rPr>
          </w:pPr>
          <w:hyperlink w:anchor="_Toc100955716" w:history="1">
            <w:r w:rsidR="00007CCA" w:rsidRPr="000E2724">
              <w:rPr>
                <w:rStyle w:val="Hyperlink"/>
                <w:noProof/>
                <w:sz w:val="28"/>
                <w:szCs w:val="28"/>
              </w:rPr>
              <w:t>Conclusion</w:t>
            </w:r>
            <w:r w:rsidR="00007CCA" w:rsidRPr="000E2724">
              <w:rPr>
                <w:noProof/>
                <w:webHidden/>
                <w:sz w:val="28"/>
                <w:szCs w:val="28"/>
              </w:rPr>
              <w:tab/>
            </w:r>
            <w:r w:rsidR="00007CCA" w:rsidRPr="000E2724">
              <w:rPr>
                <w:noProof/>
                <w:webHidden/>
                <w:sz w:val="28"/>
                <w:szCs w:val="28"/>
              </w:rPr>
              <w:fldChar w:fldCharType="begin"/>
            </w:r>
            <w:r w:rsidR="00007CCA" w:rsidRPr="000E2724">
              <w:rPr>
                <w:noProof/>
                <w:webHidden/>
                <w:sz w:val="28"/>
                <w:szCs w:val="28"/>
              </w:rPr>
              <w:instrText xml:space="preserve"> PAGEREF _Toc100955716 \h </w:instrText>
            </w:r>
            <w:r w:rsidR="00007CCA" w:rsidRPr="000E2724">
              <w:rPr>
                <w:noProof/>
                <w:webHidden/>
                <w:sz w:val="28"/>
                <w:szCs w:val="28"/>
              </w:rPr>
            </w:r>
            <w:r w:rsidR="00007CCA" w:rsidRPr="000E2724">
              <w:rPr>
                <w:noProof/>
                <w:webHidden/>
                <w:sz w:val="28"/>
                <w:szCs w:val="28"/>
              </w:rPr>
              <w:fldChar w:fldCharType="separate"/>
            </w:r>
            <w:r w:rsidR="00BE7336">
              <w:rPr>
                <w:noProof/>
                <w:webHidden/>
                <w:sz w:val="28"/>
                <w:szCs w:val="28"/>
              </w:rPr>
              <w:t>7</w:t>
            </w:r>
            <w:r w:rsidR="00007CCA" w:rsidRPr="000E2724">
              <w:rPr>
                <w:noProof/>
                <w:webHidden/>
                <w:sz w:val="28"/>
                <w:szCs w:val="28"/>
              </w:rPr>
              <w:fldChar w:fldCharType="end"/>
            </w:r>
          </w:hyperlink>
        </w:p>
        <w:p w14:paraId="6B4452F2" w14:textId="7FF813D4" w:rsidR="00007CCA" w:rsidRPr="000E2724" w:rsidRDefault="002271D2" w:rsidP="000E2724">
          <w:pPr>
            <w:pStyle w:val="TOC1"/>
            <w:tabs>
              <w:tab w:val="right" w:leader="dot" w:pos="9019"/>
            </w:tabs>
            <w:spacing w:line="480" w:lineRule="auto"/>
            <w:rPr>
              <w:noProof/>
              <w:sz w:val="28"/>
              <w:szCs w:val="28"/>
            </w:rPr>
          </w:pPr>
          <w:hyperlink w:anchor="_Toc100955717" w:history="1">
            <w:r w:rsidR="00007CCA" w:rsidRPr="000E2724">
              <w:rPr>
                <w:rStyle w:val="Hyperlink"/>
                <w:noProof/>
                <w:sz w:val="28"/>
                <w:szCs w:val="28"/>
              </w:rPr>
              <w:t>References</w:t>
            </w:r>
            <w:r w:rsidR="00007CCA" w:rsidRPr="000E2724">
              <w:rPr>
                <w:noProof/>
                <w:webHidden/>
                <w:sz w:val="28"/>
                <w:szCs w:val="28"/>
              </w:rPr>
              <w:tab/>
            </w:r>
            <w:r w:rsidR="00007CCA" w:rsidRPr="000E2724">
              <w:rPr>
                <w:noProof/>
                <w:webHidden/>
                <w:sz w:val="28"/>
                <w:szCs w:val="28"/>
              </w:rPr>
              <w:fldChar w:fldCharType="begin"/>
            </w:r>
            <w:r w:rsidR="00007CCA" w:rsidRPr="000E2724">
              <w:rPr>
                <w:noProof/>
                <w:webHidden/>
                <w:sz w:val="28"/>
                <w:szCs w:val="28"/>
              </w:rPr>
              <w:instrText xml:space="preserve"> PAGEREF _Toc100955717 \h </w:instrText>
            </w:r>
            <w:r w:rsidR="00007CCA" w:rsidRPr="000E2724">
              <w:rPr>
                <w:noProof/>
                <w:webHidden/>
                <w:sz w:val="28"/>
                <w:szCs w:val="28"/>
              </w:rPr>
            </w:r>
            <w:r w:rsidR="00007CCA" w:rsidRPr="000E2724">
              <w:rPr>
                <w:noProof/>
                <w:webHidden/>
                <w:sz w:val="28"/>
                <w:szCs w:val="28"/>
              </w:rPr>
              <w:fldChar w:fldCharType="separate"/>
            </w:r>
            <w:r w:rsidR="00BE7336">
              <w:rPr>
                <w:noProof/>
                <w:webHidden/>
                <w:sz w:val="28"/>
                <w:szCs w:val="28"/>
              </w:rPr>
              <w:t>8</w:t>
            </w:r>
            <w:r w:rsidR="00007CCA" w:rsidRPr="000E2724">
              <w:rPr>
                <w:noProof/>
                <w:webHidden/>
                <w:sz w:val="28"/>
                <w:szCs w:val="28"/>
              </w:rPr>
              <w:fldChar w:fldCharType="end"/>
            </w:r>
          </w:hyperlink>
        </w:p>
        <w:p w14:paraId="372EFAA3" w14:textId="77777777" w:rsidR="00007CCA" w:rsidRPr="00007CCA" w:rsidRDefault="00007CCA" w:rsidP="000E2724">
          <w:pPr>
            <w:spacing w:line="480" w:lineRule="auto"/>
          </w:pPr>
          <w:r w:rsidRPr="000E2724">
            <w:rPr>
              <w:sz w:val="28"/>
              <w:szCs w:val="28"/>
            </w:rPr>
            <w:fldChar w:fldCharType="end"/>
          </w:r>
        </w:p>
      </w:sdtContent>
    </w:sdt>
    <w:p w14:paraId="20520846" w14:textId="77777777" w:rsidR="00007CCA" w:rsidRPr="00007CCA" w:rsidRDefault="00007CCA">
      <w:pPr>
        <w:rPr>
          <w:b/>
        </w:rPr>
      </w:pPr>
      <w:r w:rsidRPr="00007CCA">
        <w:br w:type="page"/>
      </w:r>
    </w:p>
    <w:p w14:paraId="06141CBB" w14:textId="77777777" w:rsidR="009E6421" w:rsidRPr="00007CCA" w:rsidRDefault="00083923">
      <w:pPr>
        <w:pStyle w:val="Heading1"/>
      </w:pPr>
      <w:bookmarkStart w:id="0" w:name="_Toc100955714"/>
      <w:r w:rsidRPr="00007CCA">
        <w:lastRenderedPageBreak/>
        <w:t>Introduction</w:t>
      </w:r>
      <w:bookmarkEnd w:id="0"/>
      <w:r w:rsidRPr="00007CCA">
        <w:t xml:space="preserve"> </w:t>
      </w:r>
    </w:p>
    <w:p w14:paraId="4C9EE75B" w14:textId="16842464" w:rsidR="009E6421" w:rsidRPr="00007CCA" w:rsidRDefault="00083923">
      <w:pPr>
        <w:pStyle w:val="Normal1"/>
      </w:pPr>
      <w:r w:rsidRPr="00007CCA">
        <w:t>International financial management is considered as a management process in which the company opt to manage its finance in the international market (</w:t>
      </w:r>
      <w:proofErr w:type="spellStart"/>
      <w:r w:rsidRPr="00007CCA">
        <w:rPr>
          <w:color w:val="222222"/>
          <w:highlight w:val="white"/>
        </w:rPr>
        <w:t>Fakhry</w:t>
      </w:r>
      <w:proofErr w:type="spellEnd"/>
      <w:r w:rsidRPr="00007CCA">
        <w:rPr>
          <w:color w:val="222222"/>
          <w:highlight w:val="white"/>
        </w:rPr>
        <w:t>, 2016)</w:t>
      </w:r>
      <w:r w:rsidRPr="00007CCA">
        <w:t xml:space="preserve">. It involves trading, FDI as well as exchange of foreign currencies. In this report, the consideration </w:t>
      </w:r>
      <w:r w:rsidR="00007CCA" w:rsidRPr="00007CCA">
        <w:t>of AstraZeneca</w:t>
      </w:r>
      <w:r w:rsidRPr="00007CCA">
        <w:t xml:space="preserve"> PLC </w:t>
      </w:r>
      <w:r w:rsidR="00007CCA" w:rsidRPr="00007CCA">
        <w:t>will be</w:t>
      </w:r>
      <w:r w:rsidRPr="00007CCA">
        <w:t xml:space="preserve"> done which is a UK based MNC in the pharmaceutical and biotechnology industry. The headquarters of the company is located in England. The annual revenue of the company in 2021 was reported to be over </w:t>
      </w:r>
      <w:r w:rsidR="00BE7336">
        <w:t>$</w:t>
      </w:r>
      <w:r w:rsidRPr="00007CCA">
        <w:t>37.4 b</w:t>
      </w:r>
      <w:r w:rsidR="00BE7336">
        <w:t>n</w:t>
      </w:r>
      <w:r w:rsidRPr="00007CCA">
        <w:t xml:space="preserve"> (Astrazeneca.com, 2022). It is among the largest pharmaceutical companies across the globe. In this report the analysis of the significance of IFM will be done along with the challenges that companies like AstraZeneca face in terms of international financial markets. The dividend distribution policy of AstraZeneca will also be explained aligning with market hypothesis theory. </w:t>
      </w:r>
    </w:p>
    <w:p w14:paraId="071E7B75" w14:textId="77777777" w:rsidR="009E6421" w:rsidRPr="00007CCA" w:rsidRDefault="00083923">
      <w:pPr>
        <w:pStyle w:val="Heading1"/>
      </w:pPr>
      <w:bookmarkStart w:id="1" w:name="_sqysbx2p8zjz" w:colFirst="0" w:colLast="0"/>
      <w:bookmarkStart w:id="2" w:name="_Toc100955715"/>
      <w:bookmarkEnd w:id="1"/>
      <w:r w:rsidRPr="00007CCA">
        <w:t>Main body</w:t>
      </w:r>
      <w:bookmarkEnd w:id="2"/>
    </w:p>
    <w:p w14:paraId="3772F279" w14:textId="2B326067" w:rsidR="009E6421" w:rsidRDefault="00083923">
      <w:pPr>
        <w:pStyle w:val="Normal1"/>
      </w:pPr>
      <w:r w:rsidRPr="00007CCA">
        <w:t xml:space="preserve">In the ever-changing globalised era, the financial crisis and fluctuation in the business environment of the companies makes the financial management a complex process. International finances management tends to play a crucial role in international trading as well as the exchange of product and services in the international markets. It helps in the calculation of exchange rates of currencies of different nations. It also allows the corporations to compare the inflation rates of different countries and get an insight of the investing in “International debt securities”. The implementation of </w:t>
      </w:r>
      <w:r w:rsidRPr="003160D4">
        <w:rPr>
          <w:bCs/>
          <w:i/>
        </w:rPr>
        <w:t>“International Financial Reporting System (IFRS)”</w:t>
      </w:r>
      <w:r w:rsidRPr="003160D4">
        <w:rPr>
          <w:bCs/>
        </w:rPr>
        <w:t xml:space="preserve"> </w:t>
      </w:r>
      <w:r w:rsidRPr="00007CCA">
        <w:t>helps in facilitating the comparison of the financial statements which are made by a range of countries (</w:t>
      </w:r>
      <w:proofErr w:type="spellStart"/>
      <w:r w:rsidRPr="00007CCA">
        <w:rPr>
          <w:color w:val="222222"/>
          <w:highlight w:val="white"/>
        </w:rPr>
        <w:t>Fakhry</w:t>
      </w:r>
      <w:proofErr w:type="spellEnd"/>
      <w:r w:rsidRPr="00007CCA">
        <w:rPr>
          <w:color w:val="222222"/>
          <w:highlight w:val="white"/>
        </w:rPr>
        <w:t>, 2016)</w:t>
      </w:r>
      <w:r w:rsidRPr="00007CCA">
        <w:t xml:space="preserve">. IFM allows the companies to gain a proper understanding of basic international organisations as well as maintain a proper balance among them which ensures globalisation of firms. IFM is also highly significant in terms of ensuring growth of world trade as well as the development process of nations. </w:t>
      </w:r>
    </w:p>
    <w:p w14:paraId="3A616D7A" w14:textId="77777777" w:rsidR="003160D4" w:rsidRPr="00007CCA" w:rsidRDefault="003160D4">
      <w:pPr>
        <w:pStyle w:val="Normal1"/>
      </w:pPr>
    </w:p>
    <w:p w14:paraId="4FCCE3EC" w14:textId="46B1C008" w:rsidR="009E6421" w:rsidRDefault="00083923">
      <w:pPr>
        <w:pStyle w:val="Normal1"/>
      </w:pPr>
      <w:r w:rsidRPr="00007CCA">
        <w:t xml:space="preserve">There are a range of challenges which the company needs to face when operating its businesses in the international financial markets.  One of the major challenges is related to the changes in the </w:t>
      </w:r>
      <w:r w:rsidR="00007CCA" w:rsidRPr="00007CCA">
        <w:t>foreign</w:t>
      </w:r>
      <w:r w:rsidRPr="00007CCA">
        <w:t xml:space="preserve"> laws and regulation. When a company operates in the global market, understanding different policies and regulations of different countries in which it is operating becomes important (</w:t>
      </w:r>
      <w:proofErr w:type="spellStart"/>
      <w:r w:rsidRPr="00007CCA">
        <w:rPr>
          <w:color w:val="222222"/>
          <w:highlight w:val="white"/>
        </w:rPr>
        <w:t>Næss</w:t>
      </w:r>
      <w:proofErr w:type="spellEnd"/>
      <w:r w:rsidRPr="00007CCA">
        <w:rPr>
          <w:color w:val="222222"/>
          <w:highlight w:val="white"/>
        </w:rPr>
        <w:t>, 2020)</w:t>
      </w:r>
      <w:r w:rsidRPr="00007CCA">
        <w:t xml:space="preserve">. A comprehensive understanding of the laws and </w:t>
      </w:r>
      <w:r w:rsidR="00007CCA" w:rsidRPr="00007CCA">
        <w:t>regulation of</w:t>
      </w:r>
      <w:r w:rsidRPr="00007CCA">
        <w:t xml:space="preserve"> the target market is crucial which comprises tax implications through trading laws, legal requirements, trade agreements, tariffs as well as other legal costs which are associated with </w:t>
      </w:r>
      <w:r w:rsidRPr="00007CCA">
        <w:lastRenderedPageBreak/>
        <w:t xml:space="preserve">the new markets. </w:t>
      </w:r>
      <w:r w:rsidR="00007CCA" w:rsidRPr="00007CCA">
        <w:t xml:space="preserve">It also becomes highly challenging yet crucial for the company to understand the employment and labour requirements which also </w:t>
      </w:r>
      <w:r w:rsidR="00007CCA">
        <w:t xml:space="preserve">different </w:t>
      </w:r>
      <w:r w:rsidR="00007CCA" w:rsidRPr="00007CCA">
        <w:t xml:space="preserve">by nations.  </w:t>
      </w:r>
    </w:p>
    <w:p w14:paraId="2C20C8A0" w14:textId="77777777" w:rsidR="003160D4" w:rsidRPr="00007CCA" w:rsidRDefault="003160D4">
      <w:pPr>
        <w:pStyle w:val="Normal1"/>
      </w:pPr>
    </w:p>
    <w:p w14:paraId="0250B805" w14:textId="00BD742D" w:rsidR="009E6421" w:rsidRDefault="00083923">
      <w:pPr>
        <w:pStyle w:val="Normal1"/>
      </w:pPr>
      <w:r w:rsidRPr="00007CCA">
        <w:t xml:space="preserve">Apart from that setting the product prices and pricing strategies is also a challenging factor while operating in the global market. The company needs to consider the costs which remain competitive while gaining profits. A thorough research regarding the process of local competitors allows the companies to benchmark. </w:t>
      </w:r>
    </w:p>
    <w:p w14:paraId="7F1E91D9" w14:textId="77777777" w:rsidR="003160D4" w:rsidRPr="00007CCA" w:rsidRDefault="003160D4">
      <w:pPr>
        <w:pStyle w:val="Normal1"/>
      </w:pPr>
    </w:p>
    <w:p w14:paraId="6DB03EC7" w14:textId="6D2652BB" w:rsidR="009E6421" w:rsidRDefault="00083923">
      <w:pPr>
        <w:pStyle w:val="Normal1"/>
      </w:pPr>
      <w:r w:rsidRPr="00007CCA">
        <w:t xml:space="preserve">In addition, fluctuation in the currency rate is also a challenging factor which MNCs like AstraZeneca </w:t>
      </w:r>
      <w:r w:rsidR="003160D4" w:rsidRPr="00007CCA">
        <w:t>must</w:t>
      </w:r>
      <w:r w:rsidRPr="00007CCA">
        <w:t xml:space="preserve"> face while operating in the global market (Astrazeneca.com, 2022). Monitoring the exchange rates of the different markets becomes </w:t>
      </w:r>
      <w:r w:rsidR="00007CCA" w:rsidRPr="00007CCA">
        <w:t>crucial;</w:t>
      </w:r>
      <w:r w:rsidRPr="00007CCA">
        <w:t xml:space="preserve"> however, volatility in the global economy makes it difficult for the companies to forecast profits, especially when the </w:t>
      </w:r>
      <w:r w:rsidR="00007CCA" w:rsidRPr="00007CCA">
        <w:t>fluctuation in the rates is</w:t>
      </w:r>
      <w:r w:rsidRPr="00007CCA">
        <w:t xml:space="preserve"> highly unpredictable. </w:t>
      </w:r>
    </w:p>
    <w:p w14:paraId="7240B7DB" w14:textId="77777777" w:rsidR="003160D4" w:rsidRPr="00007CCA" w:rsidRDefault="003160D4">
      <w:pPr>
        <w:pStyle w:val="Normal1"/>
      </w:pPr>
    </w:p>
    <w:p w14:paraId="1D654385" w14:textId="20E612EE" w:rsidR="009E6421" w:rsidRDefault="00083923">
      <w:pPr>
        <w:pStyle w:val="Normal1"/>
      </w:pPr>
      <w:r w:rsidRPr="00007CCA">
        <w:t xml:space="preserve">AstraZeneca is one of the </w:t>
      </w:r>
      <w:r w:rsidR="003160D4" w:rsidRPr="00007CCA">
        <w:t>well-known</w:t>
      </w:r>
      <w:r w:rsidRPr="00007CCA">
        <w:t xml:space="preserve"> MNC in the biotechnology and pharmaceutical industry across the globe. The company has an effective dividend distribution </w:t>
      </w:r>
      <w:r w:rsidR="00007CCA" w:rsidRPr="00007CCA">
        <w:t>policy;</w:t>
      </w:r>
      <w:r w:rsidRPr="00007CCA">
        <w:t xml:space="preserve"> the aim of the board of directors is to strike a balance between the company’s interest, their financial creditors as well as shareholders. The company ranked 7th position in the FTSE listed companies with a score of 3.30 (Astrazeneca.com, 2022). It depicts the strong performance of the company in terms of corporate governance, R&amp;</w:t>
      </w:r>
      <w:r w:rsidR="00BE7336" w:rsidRPr="00007CCA">
        <w:t>D,</w:t>
      </w:r>
      <w:r w:rsidRPr="00007CCA">
        <w:t xml:space="preserve"> and product delivery. The dividend rate of the company is also attractive that is 1.453 GBP, 1.970 USD and 18.00 SEK. The board of directors has proposed to offer a second interim dividend of </w:t>
      </w:r>
      <w:r w:rsidR="00007CCA" w:rsidRPr="00007CCA">
        <w:t>over $</w:t>
      </w:r>
      <w:r w:rsidRPr="00007CCA">
        <w:t>1.97 which is to be paid on 28</w:t>
      </w:r>
      <w:r w:rsidRPr="003160D4">
        <w:rPr>
          <w:vertAlign w:val="superscript"/>
        </w:rPr>
        <w:t>th</w:t>
      </w:r>
      <w:r w:rsidR="003160D4">
        <w:t xml:space="preserve"> of</w:t>
      </w:r>
      <w:r w:rsidRPr="00007CCA">
        <w:t xml:space="preserve"> </w:t>
      </w:r>
      <w:r w:rsidR="003160D4">
        <w:t>M</w:t>
      </w:r>
      <w:r w:rsidRPr="00007CCA">
        <w:t xml:space="preserve">arch 2022. It provides a $2.87 full-year dividend (Astrazeneca.com, 2022). The company has a dividend cover ratio of over 0.03:1 in the year 2021, which is 0.9:1 in 2020. In terms of Core </w:t>
      </w:r>
      <w:r w:rsidR="00007CCA" w:rsidRPr="00007CCA">
        <w:t>Earnings</w:t>
      </w:r>
      <w:r w:rsidRPr="00007CCA">
        <w:t xml:space="preserve"> per share, the company has a dividend cover ratio of 1.84:1 in 2021 which was 1.44:1 in the year 2020 (Astrazeneca.com, 2022). It shows that the </w:t>
      </w:r>
      <w:r w:rsidR="00753B08">
        <w:t>board of directors intends to grow dividends sustainably through a consistent and progressive dividend policy.</w:t>
      </w:r>
      <w:r w:rsidRPr="00007CCA">
        <w:t xml:space="preserve"> </w:t>
      </w:r>
    </w:p>
    <w:p w14:paraId="29A03554" w14:textId="022AA8E4" w:rsidR="003160D4" w:rsidRDefault="003160D4">
      <w:pPr>
        <w:pStyle w:val="Normal1"/>
      </w:pPr>
    </w:p>
    <w:p w14:paraId="399DF058" w14:textId="7B1A3EAD" w:rsidR="003160D4" w:rsidRDefault="003160D4">
      <w:pPr>
        <w:pStyle w:val="Normal1"/>
      </w:pPr>
    </w:p>
    <w:p w14:paraId="38E37A78" w14:textId="0663ECD4" w:rsidR="003160D4" w:rsidRDefault="003160D4">
      <w:pPr>
        <w:pStyle w:val="Normal1"/>
      </w:pPr>
    </w:p>
    <w:p w14:paraId="42813B9C" w14:textId="4F824770" w:rsidR="002D6B08" w:rsidRDefault="002D6B08">
      <w:pPr>
        <w:pStyle w:val="Normal1"/>
      </w:pPr>
    </w:p>
    <w:p w14:paraId="53FB728C" w14:textId="77777777" w:rsidR="00753B08" w:rsidRPr="00007CCA" w:rsidRDefault="00753B08">
      <w:pPr>
        <w:pStyle w:val="Normal1"/>
      </w:pPr>
    </w:p>
    <w:p w14:paraId="50DC0D06" w14:textId="1C3FB067" w:rsidR="009E6421" w:rsidRDefault="00753B08">
      <w:pPr>
        <w:pStyle w:val="Normal1"/>
      </w:pPr>
      <w:r>
        <w:t>To strike a balance between the interests of its stakeholders, the company also consistently reviews its distribution policy and financial strategy</w:t>
      </w:r>
      <w:r w:rsidR="00083923" w:rsidRPr="00007CCA">
        <w:t>. With respect to business investment, th</w:t>
      </w:r>
      <w:r w:rsidR="00007CCA">
        <w:t xml:space="preserve">e </w:t>
      </w:r>
      <w:r w:rsidR="00007CCA">
        <w:lastRenderedPageBreak/>
        <w:t>company requires to fund progre</w:t>
      </w:r>
      <w:r w:rsidR="00083923" w:rsidRPr="00007CCA">
        <w:t xml:space="preserve">ssive dividend policy and consistently meet its debt service obligations. The board of directors of AstraZeneca believes that is beneficial and appropriate for the company to continue its suspension of share repurchase program that was announced in the year 2012. The company also reviews </w:t>
      </w:r>
      <w:r w:rsidR="00007CCA" w:rsidRPr="00007CCA">
        <w:t>its distributable reserves annually that support</w:t>
      </w:r>
      <w:r w:rsidR="00083923" w:rsidRPr="00007CCA">
        <w:t xml:space="preserve"> the dividend payments. In 2021, the PL account reserve of the company reported over $11,563 million available for distribution which is also subject to filing the financial statement with “Companies House”. While undertaking the distribution process with the shareholders, the company also ensures the profits which are available for distribution referring to guidance on realised and distributable profits under the “Companies Act 2006” (Astrazeneca.com, 2022).  </w:t>
      </w:r>
    </w:p>
    <w:p w14:paraId="4C3B613F" w14:textId="77777777" w:rsidR="003160D4" w:rsidRPr="00007CCA" w:rsidRDefault="003160D4">
      <w:pPr>
        <w:pStyle w:val="Normal1"/>
      </w:pPr>
    </w:p>
    <w:p w14:paraId="24EC7280" w14:textId="77777777" w:rsidR="009E6421" w:rsidRPr="00007CCA" w:rsidRDefault="00083923">
      <w:pPr>
        <w:pStyle w:val="Normal1"/>
      </w:pPr>
      <w:r w:rsidRPr="00007CCA">
        <w:rPr>
          <w:b/>
        </w:rPr>
        <w:t>Market hypothesis</w:t>
      </w:r>
      <w:r w:rsidRPr="00007CCA">
        <w:t xml:space="preserve"> is considered as an investment hypothesis which is based on the belief that the prices of the financial assets like stocks of the company tend to reflect all the required information as well as the consistent alpha collection is impossible. As per the theory financial assets like stocks are traded at the fair value which makes it impossible for the investor to buy undervalued stocks for the inflated prices. In addition, the outperformance of the overall market with the help of expert stock selection is also impossible. The only way the investor can strive to generate higher returns is by undertaking high risk investments. There are 3 levels of EMH which are strong, semi-strong and weak. </w:t>
      </w:r>
    </w:p>
    <w:p w14:paraId="1DF171BE" w14:textId="77777777" w:rsidR="009E6421" w:rsidRPr="00007CCA" w:rsidRDefault="00083923">
      <w:pPr>
        <w:pStyle w:val="Normal1"/>
        <w:jc w:val="center"/>
      </w:pPr>
      <w:r w:rsidRPr="00007CCA">
        <w:rPr>
          <w:noProof/>
        </w:rPr>
        <w:drawing>
          <wp:inline distT="114300" distB="114300" distL="114300" distR="114300" wp14:anchorId="1DA1F166" wp14:editId="1F9F87BA">
            <wp:extent cx="5471160" cy="2476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471160" cy="2476500"/>
                    </a:xfrm>
                    <a:prstGeom prst="rect">
                      <a:avLst/>
                    </a:prstGeom>
                    <a:ln/>
                  </pic:spPr>
                </pic:pic>
              </a:graphicData>
            </a:graphic>
          </wp:inline>
        </w:drawing>
      </w:r>
    </w:p>
    <w:p w14:paraId="52A54650" w14:textId="77777777" w:rsidR="009E6421" w:rsidRPr="00007CCA" w:rsidRDefault="00083923">
      <w:pPr>
        <w:pStyle w:val="Normal1"/>
        <w:jc w:val="center"/>
        <w:rPr>
          <w:b/>
        </w:rPr>
      </w:pPr>
      <w:r w:rsidRPr="00007CCA">
        <w:rPr>
          <w:b/>
        </w:rPr>
        <w:t>Figure 1: Market hypothesis</w:t>
      </w:r>
    </w:p>
    <w:p w14:paraId="29873F0F" w14:textId="77777777" w:rsidR="009E6421" w:rsidRPr="00007CCA" w:rsidRDefault="00083923">
      <w:pPr>
        <w:pStyle w:val="Normal1"/>
        <w:jc w:val="center"/>
      </w:pPr>
      <w:r w:rsidRPr="00007CCA">
        <w:t xml:space="preserve">(Source: </w:t>
      </w:r>
      <w:r w:rsidRPr="00007CCA">
        <w:rPr>
          <w:color w:val="222222"/>
          <w:highlight w:val="white"/>
        </w:rPr>
        <w:t>Rossi, 2015)</w:t>
      </w:r>
    </w:p>
    <w:p w14:paraId="5317A99E" w14:textId="77777777" w:rsidR="003160D4" w:rsidRDefault="003160D4">
      <w:pPr>
        <w:pStyle w:val="Normal1"/>
      </w:pPr>
    </w:p>
    <w:p w14:paraId="32BA4F6F" w14:textId="77777777" w:rsidR="003160D4" w:rsidRDefault="003160D4">
      <w:pPr>
        <w:pStyle w:val="Normal1"/>
      </w:pPr>
    </w:p>
    <w:p w14:paraId="448AEDAD" w14:textId="06A06FDD" w:rsidR="009E6421" w:rsidRDefault="00116B84">
      <w:pPr>
        <w:pStyle w:val="Normal1"/>
      </w:pPr>
      <w:r>
        <w:t>In the case of</w:t>
      </w:r>
      <w:r w:rsidR="00083923" w:rsidRPr="00007CCA">
        <w:t xml:space="preserve"> </w:t>
      </w:r>
      <w:r>
        <w:t xml:space="preserve">strong </w:t>
      </w:r>
      <w:r w:rsidR="00083923" w:rsidRPr="00007CCA">
        <w:t xml:space="preserve">EMH, all the data of both public and private companies is discounted in the current price of the strokes. In such cases, the EMH depicts a perfect market where the </w:t>
      </w:r>
      <w:r w:rsidR="00007CCA" w:rsidRPr="00007CCA">
        <w:lastRenderedPageBreak/>
        <w:t>investors do</w:t>
      </w:r>
      <w:r w:rsidR="00083923" w:rsidRPr="00007CCA">
        <w:t xml:space="preserve"> not have any edge over the market. It makes it practically impossible to ensure higher returns as compared to the market benchmark (</w:t>
      </w:r>
      <w:r w:rsidR="00083923" w:rsidRPr="00007CCA">
        <w:rPr>
          <w:color w:val="222222"/>
          <w:highlight w:val="white"/>
        </w:rPr>
        <w:t>Rossi, 2015)</w:t>
      </w:r>
      <w:r w:rsidR="00083923" w:rsidRPr="00007CCA">
        <w:t xml:space="preserve">. </w:t>
      </w:r>
    </w:p>
    <w:p w14:paraId="236DD6BB" w14:textId="77777777" w:rsidR="003160D4" w:rsidRPr="00007CCA" w:rsidRDefault="003160D4">
      <w:pPr>
        <w:pStyle w:val="Normal1"/>
      </w:pPr>
    </w:p>
    <w:p w14:paraId="20CCEDC7" w14:textId="1B9AE8EA" w:rsidR="009E6421" w:rsidRPr="00007CCA" w:rsidRDefault="00083923">
      <w:pPr>
        <w:pStyle w:val="Normal1"/>
      </w:pPr>
      <w:r w:rsidRPr="00007CCA">
        <w:t xml:space="preserve">On the other hand, in semi-strong EMH, it is considered a highly plausible scenario, where the semi-strong EMH states that the relevant public information reflects the price of strokes which is picked up as well as processed by the market participants so that the development of a new equilibrium can be done. </w:t>
      </w:r>
      <w:r w:rsidR="00757AFC">
        <w:t>This results in new values for supply and demand.</w:t>
      </w:r>
      <w:r w:rsidRPr="00007CCA">
        <w:t xml:space="preserve"> </w:t>
      </w:r>
    </w:p>
    <w:p w14:paraId="70CA9C4B" w14:textId="77777777" w:rsidR="009E6421" w:rsidRPr="00007CCA" w:rsidRDefault="009E6421">
      <w:pPr>
        <w:pStyle w:val="Normal1"/>
      </w:pPr>
    </w:p>
    <w:p w14:paraId="27DAE182" w14:textId="39353339" w:rsidR="009E6421" w:rsidRDefault="00083923">
      <w:pPr>
        <w:pStyle w:val="Normal1"/>
      </w:pPr>
      <w:r w:rsidRPr="00007CCA">
        <w:t xml:space="preserve">There are a range of methods that can be implemented by </w:t>
      </w:r>
      <w:r w:rsidR="00007CCA" w:rsidRPr="00007CCA">
        <w:t>AstraZeneca</w:t>
      </w:r>
      <w:r w:rsidRPr="00007CCA">
        <w:t xml:space="preserve"> for evaluating their projects in order to make informed investment decisions. The company strives to consider economic analysis within which they </w:t>
      </w:r>
      <w:r w:rsidR="003160D4" w:rsidRPr="00007CCA">
        <w:t>can</w:t>
      </w:r>
      <w:r w:rsidRPr="00007CCA">
        <w:t xml:space="preserve"> understand the requirements for raw materials, capacity utilisation, estimated sales</w:t>
      </w:r>
      <w:r w:rsidR="003160D4">
        <w:t>,</w:t>
      </w:r>
      <w:r w:rsidRPr="00007CCA">
        <w:t xml:space="preserve"> and expenses with probable profitability. Under this method the calculation of required sales in order to generate targeted profitability is done. The demand for a specific product is also estimated by the company </w:t>
      </w:r>
      <w:r w:rsidR="003160D4" w:rsidRPr="00007CCA">
        <w:t>to</w:t>
      </w:r>
      <w:r w:rsidRPr="00007CCA">
        <w:t xml:space="preserve"> understand the </w:t>
      </w:r>
      <w:r w:rsidR="00007CCA">
        <w:t>anticipated</w:t>
      </w:r>
      <w:r w:rsidRPr="00007CCA">
        <w:t xml:space="preserve"> sales volume (</w:t>
      </w:r>
      <w:proofErr w:type="spellStart"/>
      <w:r w:rsidRPr="00007CCA">
        <w:rPr>
          <w:color w:val="222222"/>
          <w:highlight w:val="white"/>
        </w:rPr>
        <w:t>Næss</w:t>
      </w:r>
      <w:proofErr w:type="spellEnd"/>
      <w:r w:rsidRPr="00007CCA">
        <w:rPr>
          <w:color w:val="222222"/>
          <w:highlight w:val="white"/>
        </w:rPr>
        <w:t>, 2020)</w:t>
      </w:r>
      <w:r w:rsidRPr="00007CCA">
        <w:t xml:space="preserve">. </w:t>
      </w:r>
    </w:p>
    <w:p w14:paraId="48FAD73E" w14:textId="77777777" w:rsidR="003160D4" w:rsidRPr="00007CCA" w:rsidRDefault="003160D4">
      <w:pPr>
        <w:pStyle w:val="Normal1"/>
      </w:pPr>
    </w:p>
    <w:p w14:paraId="130A003C" w14:textId="4626B6D9" w:rsidR="009E6421" w:rsidRDefault="00007CCA">
      <w:pPr>
        <w:pStyle w:val="Normal1"/>
      </w:pPr>
      <w:r w:rsidRPr="00007CCA">
        <w:t>AstraZeneca</w:t>
      </w:r>
      <w:r w:rsidR="00083923" w:rsidRPr="00007CCA">
        <w:t xml:space="preserve"> also conducts financial analysis for the appraisal of its projects. Finance is considered a significant prerequisite that helps establish a company. The cash flow statement of the company helps them determine the overall inflows and outflows of cash so that smooth functioning of operations can be ensured (Astrazeneca.com, 2022). Apart from that the NPV method is also implemented to understand the cost, </w:t>
      </w:r>
      <w:proofErr w:type="gramStart"/>
      <w:r w:rsidR="00083923" w:rsidRPr="00007CCA">
        <w:t>benefits</w:t>
      </w:r>
      <w:proofErr w:type="gramEnd"/>
      <w:r w:rsidR="00083923" w:rsidRPr="00007CCA">
        <w:t xml:space="preserve"> and cash flows of several projects so that investment on profitable projects can be done. The company also opted to implement a benefit cost ratio which helps them determine the discounted cash inflows and outflows. </w:t>
      </w:r>
    </w:p>
    <w:p w14:paraId="56417939" w14:textId="77777777" w:rsidR="003160D4" w:rsidRPr="00007CCA" w:rsidRDefault="003160D4">
      <w:pPr>
        <w:pStyle w:val="Normal1"/>
      </w:pPr>
    </w:p>
    <w:p w14:paraId="01B7C6A2" w14:textId="77777777" w:rsidR="009E6421" w:rsidRPr="00007CCA" w:rsidRDefault="00083923">
      <w:pPr>
        <w:pStyle w:val="Normal1"/>
      </w:pPr>
      <w:r w:rsidRPr="00007CCA">
        <w:t>In addition, the company also opted to implement the IRR method which is a metric utilised in the financial analysis that allows the company to estimate its profitability of the projects and or investment</w:t>
      </w:r>
      <w:r w:rsidR="00007CCA" w:rsidRPr="00007CCA">
        <w:t>.</w:t>
      </w:r>
      <w:r w:rsidRPr="00007CCA">
        <w:t xml:space="preserve"> AstraZeneca undertakes the IRR value into the consideration which allows them to make informed decisions regarding a particular project. </w:t>
      </w:r>
    </w:p>
    <w:p w14:paraId="024BD73F" w14:textId="28D46A1B" w:rsidR="009E6421" w:rsidRDefault="00083923">
      <w:pPr>
        <w:pStyle w:val="Heading1"/>
      </w:pPr>
      <w:bookmarkStart w:id="3" w:name="_tjlmkg68lskt" w:colFirst="0" w:colLast="0"/>
      <w:bookmarkStart w:id="4" w:name="_Toc100955716"/>
      <w:bookmarkEnd w:id="3"/>
      <w:r w:rsidRPr="00007CCA">
        <w:t>Conclusion</w:t>
      </w:r>
      <w:bookmarkEnd w:id="4"/>
      <w:r w:rsidRPr="00007CCA">
        <w:t xml:space="preserve"> </w:t>
      </w:r>
    </w:p>
    <w:p w14:paraId="77F764F2" w14:textId="77777777" w:rsidR="003160D4" w:rsidRPr="003160D4" w:rsidRDefault="003160D4" w:rsidP="003160D4">
      <w:pPr>
        <w:pStyle w:val="Normal1"/>
      </w:pPr>
    </w:p>
    <w:p w14:paraId="328D4DAD" w14:textId="77777777" w:rsidR="009E6421" w:rsidRPr="00007CCA" w:rsidRDefault="00083923">
      <w:pPr>
        <w:pStyle w:val="Normal1"/>
      </w:pPr>
      <w:r w:rsidRPr="00007CCA">
        <w:t xml:space="preserve">In conclusion, it can be stated that it is important for the companies like AstraZeneca to understand the importance of effective international finance management so that they can </w:t>
      </w:r>
      <w:r w:rsidRPr="00007CCA">
        <w:lastRenderedPageBreak/>
        <w:t xml:space="preserve">operate in the international market in a more effective manner. Apart from that, the implementation of a range of methods for dividend distribution, stock performance as well as project appraisal also allows the company to perform well in the global markets. </w:t>
      </w:r>
      <w:r w:rsidRPr="00007CCA">
        <w:br w:type="page"/>
      </w:r>
    </w:p>
    <w:p w14:paraId="71E9C2C0" w14:textId="77777777" w:rsidR="009E6421" w:rsidRPr="00007CCA" w:rsidRDefault="00083923">
      <w:pPr>
        <w:pStyle w:val="Heading1"/>
      </w:pPr>
      <w:bookmarkStart w:id="5" w:name="_i6e1h86zvo6e" w:colFirst="0" w:colLast="0"/>
      <w:bookmarkStart w:id="6" w:name="_Toc100955717"/>
      <w:bookmarkEnd w:id="5"/>
      <w:r w:rsidRPr="00007CCA">
        <w:lastRenderedPageBreak/>
        <w:t>References</w:t>
      </w:r>
      <w:bookmarkEnd w:id="6"/>
      <w:r w:rsidRPr="00007CCA">
        <w:t xml:space="preserve"> </w:t>
      </w:r>
    </w:p>
    <w:p w14:paraId="2FE1414D" w14:textId="77777777" w:rsidR="00007CCA" w:rsidRPr="00007CCA" w:rsidRDefault="00007CCA" w:rsidP="002D6B08">
      <w:pPr>
        <w:pStyle w:val="Normal1"/>
        <w:spacing w:before="120" w:after="120"/>
      </w:pPr>
      <w:r w:rsidRPr="00007CCA">
        <w:t xml:space="preserve">Astrazeneca.com, 2022 </w:t>
      </w:r>
      <w:r w:rsidRPr="00007CCA">
        <w:rPr>
          <w:i/>
        </w:rPr>
        <w:t>dividend policy</w:t>
      </w:r>
      <w:r w:rsidRPr="00007CCA">
        <w:t xml:space="preserve"> [Online] Available at: &lt;https://www.astrazeneca.com/investor-relations/dividend-policy.html&gt; [Accessed on 15th April] </w:t>
      </w:r>
    </w:p>
    <w:p w14:paraId="6F93030F" w14:textId="77777777" w:rsidR="00007CCA" w:rsidRPr="00007CCA" w:rsidRDefault="00007CCA" w:rsidP="002D6B08">
      <w:pPr>
        <w:pStyle w:val="Normal1"/>
        <w:spacing w:before="120" w:after="120"/>
      </w:pPr>
      <w:r w:rsidRPr="00007CCA">
        <w:t xml:space="preserve">Astrazeneca.com, 2022 </w:t>
      </w:r>
      <w:r w:rsidRPr="00007CCA">
        <w:rPr>
          <w:i/>
        </w:rPr>
        <w:t>Full-year 2020 results</w:t>
      </w:r>
      <w:r w:rsidRPr="00007CCA">
        <w:t xml:space="preserve"> [Online] Available at: &lt;https://www.astrazeneca.com/content/dam/az/PDF/2020/full-year/Full-year_2020_results_announcement.pdf&gt; [Accessed on 15th April] </w:t>
      </w:r>
    </w:p>
    <w:p w14:paraId="75E9395A" w14:textId="77777777" w:rsidR="00007CCA" w:rsidRPr="00007CCA" w:rsidRDefault="00007CCA" w:rsidP="002D6B08">
      <w:pPr>
        <w:pStyle w:val="Normal1"/>
        <w:spacing w:before="120" w:after="120"/>
      </w:pPr>
      <w:r w:rsidRPr="00007CCA">
        <w:t xml:space="preserve">Astrazeneca.com, 2022 </w:t>
      </w:r>
      <w:r w:rsidRPr="00007CCA">
        <w:rPr>
          <w:i/>
        </w:rPr>
        <w:t>Global policy Framework</w:t>
      </w:r>
      <w:r w:rsidRPr="00007CCA">
        <w:t xml:space="preserve"> [Online] Available at: &lt;https://www.astrazeneca.com/content/dam/az/our-company/Documents/Safety-health-and-the-environment.pdf&gt; [Accessed on 15th April] </w:t>
      </w:r>
    </w:p>
    <w:p w14:paraId="0F4A28E9" w14:textId="77777777" w:rsidR="00007CCA" w:rsidRPr="00007CCA" w:rsidRDefault="00007CCA" w:rsidP="002D6B08">
      <w:pPr>
        <w:pStyle w:val="Normal1"/>
        <w:spacing w:before="120" w:after="120"/>
      </w:pPr>
      <w:r w:rsidRPr="00007CCA">
        <w:t xml:space="preserve">Astrazeneca.com, 2022 </w:t>
      </w:r>
      <w:r w:rsidRPr="00007CCA">
        <w:rPr>
          <w:i/>
        </w:rPr>
        <w:t>Shareholder information</w:t>
      </w:r>
      <w:r w:rsidRPr="00007CCA">
        <w:t xml:space="preserve"> [Online] Available at: &lt;https://www.astrazeneca.com/investor-relations/shareholder-information.html#:~:text=Shareholder%20information-,Dividend%20policy,paid%20as%20a%20second%20interm&gt; [Accessed on 15th April] </w:t>
      </w:r>
    </w:p>
    <w:p w14:paraId="2B1025D2" w14:textId="77777777" w:rsidR="00007CCA" w:rsidRPr="00007CCA" w:rsidRDefault="00007CCA" w:rsidP="002D6B08">
      <w:pPr>
        <w:pStyle w:val="Normal1"/>
        <w:spacing w:before="120" w:after="120"/>
        <w:rPr>
          <w:color w:val="222222"/>
          <w:highlight w:val="white"/>
        </w:rPr>
      </w:pPr>
      <w:proofErr w:type="spellStart"/>
      <w:r w:rsidRPr="00007CCA">
        <w:rPr>
          <w:color w:val="222222"/>
          <w:highlight w:val="white"/>
        </w:rPr>
        <w:t>Fakhry</w:t>
      </w:r>
      <w:proofErr w:type="spellEnd"/>
      <w:r w:rsidRPr="00007CCA">
        <w:rPr>
          <w:color w:val="222222"/>
          <w:highlight w:val="white"/>
        </w:rPr>
        <w:t xml:space="preserve">, B., 2016. A literature review of the efficient market hypothesis. </w:t>
      </w:r>
      <w:r w:rsidRPr="00007CCA">
        <w:rPr>
          <w:i/>
          <w:color w:val="222222"/>
          <w:highlight w:val="white"/>
        </w:rPr>
        <w:t>Turkish Economic Review</w:t>
      </w:r>
      <w:r w:rsidRPr="00007CCA">
        <w:rPr>
          <w:color w:val="222222"/>
          <w:highlight w:val="white"/>
        </w:rPr>
        <w:t xml:space="preserve">, </w:t>
      </w:r>
      <w:r w:rsidRPr="00007CCA">
        <w:rPr>
          <w:i/>
          <w:color w:val="222222"/>
          <w:highlight w:val="white"/>
        </w:rPr>
        <w:t>3</w:t>
      </w:r>
      <w:r w:rsidRPr="00007CCA">
        <w:rPr>
          <w:color w:val="222222"/>
          <w:highlight w:val="white"/>
        </w:rPr>
        <w:t>(3), pp.431-442.</w:t>
      </w:r>
    </w:p>
    <w:p w14:paraId="2587C574" w14:textId="68E8A1A1" w:rsidR="00007CCA" w:rsidRPr="00007CCA" w:rsidRDefault="00007CCA" w:rsidP="002D6B08">
      <w:pPr>
        <w:pStyle w:val="Normal1"/>
        <w:spacing w:before="120" w:after="120"/>
        <w:rPr>
          <w:color w:val="222222"/>
          <w:highlight w:val="white"/>
        </w:rPr>
      </w:pPr>
      <w:proofErr w:type="spellStart"/>
      <w:r w:rsidRPr="00007CCA">
        <w:rPr>
          <w:color w:val="222222"/>
          <w:highlight w:val="white"/>
        </w:rPr>
        <w:t>Næss</w:t>
      </w:r>
      <w:proofErr w:type="spellEnd"/>
      <w:r w:rsidRPr="00007CCA">
        <w:rPr>
          <w:color w:val="222222"/>
          <w:highlight w:val="white"/>
        </w:rPr>
        <w:t xml:space="preserve">, P., 2020. Project appraisal methods: Tools for optimizing or for informed political debate. In </w:t>
      </w:r>
      <w:r w:rsidRPr="00007CCA">
        <w:rPr>
          <w:i/>
          <w:color w:val="222222"/>
          <w:highlight w:val="white"/>
        </w:rPr>
        <w:t>Advances in Transport Policy and Planning</w:t>
      </w:r>
      <w:r w:rsidRPr="00007CCA">
        <w:rPr>
          <w:color w:val="222222"/>
          <w:highlight w:val="white"/>
        </w:rPr>
        <w:t xml:space="preserve"> (Vol. 6, pp. 287-318). Academic Press.</w:t>
      </w:r>
    </w:p>
    <w:p w14:paraId="64AEB6A6" w14:textId="77777777" w:rsidR="00007CCA" w:rsidRPr="00007CCA" w:rsidRDefault="00007CCA" w:rsidP="002D6B08">
      <w:pPr>
        <w:pStyle w:val="Normal1"/>
        <w:spacing w:before="120" w:after="120"/>
        <w:rPr>
          <w:color w:val="222222"/>
          <w:highlight w:val="white"/>
        </w:rPr>
      </w:pPr>
      <w:r w:rsidRPr="00007CCA">
        <w:rPr>
          <w:color w:val="222222"/>
          <w:highlight w:val="white"/>
        </w:rPr>
        <w:t xml:space="preserve">Rossi, M., 2015. The efficient market hypothesis and calendar anomalies: a literature review. </w:t>
      </w:r>
      <w:r w:rsidRPr="00007CCA">
        <w:rPr>
          <w:i/>
          <w:color w:val="222222"/>
          <w:highlight w:val="white"/>
        </w:rPr>
        <w:t>International Journal of Managerial and Financial Accounting</w:t>
      </w:r>
      <w:r w:rsidRPr="00007CCA">
        <w:rPr>
          <w:color w:val="222222"/>
          <w:highlight w:val="white"/>
        </w:rPr>
        <w:t xml:space="preserve">, </w:t>
      </w:r>
      <w:r w:rsidRPr="00007CCA">
        <w:rPr>
          <w:i/>
          <w:color w:val="222222"/>
          <w:highlight w:val="white"/>
        </w:rPr>
        <w:t>7</w:t>
      </w:r>
      <w:r w:rsidRPr="00007CCA">
        <w:rPr>
          <w:color w:val="222222"/>
          <w:highlight w:val="white"/>
        </w:rPr>
        <w:t>(3-4), pp.285-296.</w:t>
      </w:r>
    </w:p>
    <w:sectPr w:rsidR="00007CCA" w:rsidRPr="00007CCA" w:rsidSect="009E6421">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F86F7" w14:textId="77777777" w:rsidR="002271D2" w:rsidRDefault="002271D2" w:rsidP="00007CCA">
      <w:pPr>
        <w:spacing w:line="240" w:lineRule="auto"/>
      </w:pPr>
      <w:r>
        <w:separator/>
      </w:r>
    </w:p>
  </w:endnote>
  <w:endnote w:type="continuationSeparator" w:id="0">
    <w:p w14:paraId="0B43CE2B" w14:textId="77777777" w:rsidR="002271D2" w:rsidRDefault="002271D2" w:rsidP="00007C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29743"/>
      <w:docPartObj>
        <w:docPartGallery w:val="Page Numbers (Bottom of Page)"/>
        <w:docPartUnique/>
      </w:docPartObj>
    </w:sdtPr>
    <w:sdtEndPr/>
    <w:sdtContent>
      <w:p w14:paraId="07C03C16" w14:textId="77777777" w:rsidR="00007CCA" w:rsidRDefault="00A87E35">
        <w:pPr>
          <w:pStyle w:val="Footer"/>
          <w:jc w:val="right"/>
        </w:pPr>
        <w:r>
          <w:fldChar w:fldCharType="begin"/>
        </w:r>
        <w:r>
          <w:instrText xml:space="preserve"> PAGE   \* MERGEFORMAT </w:instrText>
        </w:r>
        <w:r>
          <w:fldChar w:fldCharType="separate"/>
        </w:r>
        <w:r w:rsidR="00007CCA">
          <w:rPr>
            <w:noProof/>
          </w:rPr>
          <w:t>2</w:t>
        </w:r>
        <w:r>
          <w:rPr>
            <w:noProof/>
          </w:rPr>
          <w:fldChar w:fldCharType="end"/>
        </w:r>
      </w:p>
    </w:sdtContent>
  </w:sdt>
  <w:p w14:paraId="74CDCB9D" w14:textId="77777777" w:rsidR="00007CCA" w:rsidRDefault="00007C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8EF7" w14:textId="77777777" w:rsidR="002271D2" w:rsidRDefault="002271D2" w:rsidP="00007CCA">
      <w:pPr>
        <w:spacing w:line="240" w:lineRule="auto"/>
      </w:pPr>
      <w:r>
        <w:separator/>
      </w:r>
    </w:p>
  </w:footnote>
  <w:footnote w:type="continuationSeparator" w:id="0">
    <w:p w14:paraId="640C7DD9" w14:textId="77777777" w:rsidR="002271D2" w:rsidRDefault="002271D2" w:rsidP="00007CC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21"/>
    <w:rsid w:val="00007CCA"/>
    <w:rsid w:val="00083923"/>
    <w:rsid w:val="000E2724"/>
    <w:rsid w:val="00116B84"/>
    <w:rsid w:val="002271D2"/>
    <w:rsid w:val="002D6B08"/>
    <w:rsid w:val="003160D4"/>
    <w:rsid w:val="00753B08"/>
    <w:rsid w:val="00757AFC"/>
    <w:rsid w:val="009E6421"/>
    <w:rsid w:val="00A87E35"/>
    <w:rsid w:val="00BE7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6628E"/>
  <w15:docId w15:val="{8155DF26-81D4-4A36-AB58-EAC924AF6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E6421"/>
    <w:pPr>
      <w:keepNext/>
      <w:keepLines/>
      <w:spacing w:before="400" w:after="120"/>
      <w:outlineLvl w:val="0"/>
    </w:pPr>
    <w:rPr>
      <w:b/>
    </w:rPr>
  </w:style>
  <w:style w:type="paragraph" w:styleId="Heading2">
    <w:name w:val="heading 2"/>
    <w:basedOn w:val="Normal1"/>
    <w:next w:val="Normal1"/>
    <w:rsid w:val="009E6421"/>
    <w:pPr>
      <w:keepNext/>
      <w:keepLines/>
      <w:spacing w:before="360" w:after="120"/>
      <w:outlineLvl w:val="1"/>
    </w:pPr>
    <w:rPr>
      <w:sz w:val="32"/>
      <w:szCs w:val="32"/>
    </w:rPr>
  </w:style>
  <w:style w:type="paragraph" w:styleId="Heading3">
    <w:name w:val="heading 3"/>
    <w:basedOn w:val="Normal1"/>
    <w:next w:val="Normal1"/>
    <w:rsid w:val="009E6421"/>
    <w:pPr>
      <w:keepNext/>
      <w:keepLines/>
      <w:spacing w:before="320" w:after="80"/>
      <w:outlineLvl w:val="2"/>
    </w:pPr>
    <w:rPr>
      <w:color w:val="434343"/>
      <w:sz w:val="28"/>
      <w:szCs w:val="28"/>
    </w:rPr>
  </w:style>
  <w:style w:type="paragraph" w:styleId="Heading4">
    <w:name w:val="heading 4"/>
    <w:basedOn w:val="Normal1"/>
    <w:next w:val="Normal1"/>
    <w:rsid w:val="009E6421"/>
    <w:pPr>
      <w:keepNext/>
      <w:keepLines/>
      <w:spacing w:before="280" w:after="80"/>
      <w:outlineLvl w:val="3"/>
    </w:pPr>
    <w:rPr>
      <w:color w:val="666666"/>
    </w:rPr>
  </w:style>
  <w:style w:type="paragraph" w:styleId="Heading5">
    <w:name w:val="heading 5"/>
    <w:basedOn w:val="Normal1"/>
    <w:next w:val="Normal1"/>
    <w:rsid w:val="009E6421"/>
    <w:pPr>
      <w:keepNext/>
      <w:keepLines/>
      <w:spacing w:before="240" w:after="80"/>
      <w:outlineLvl w:val="4"/>
    </w:pPr>
    <w:rPr>
      <w:color w:val="666666"/>
      <w:sz w:val="22"/>
      <w:szCs w:val="22"/>
    </w:rPr>
  </w:style>
  <w:style w:type="paragraph" w:styleId="Heading6">
    <w:name w:val="heading 6"/>
    <w:basedOn w:val="Normal1"/>
    <w:next w:val="Normal1"/>
    <w:rsid w:val="009E642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E6421"/>
  </w:style>
  <w:style w:type="paragraph" w:styleId="Title">
    <w:name w:val="Title"/>
    <w:basedOn w:val="Normal1"/>
    <w:next w:val="Normal1"/>
    <w:rsid w:val="00007CCA"/>
    <w:pPr>
      <w:keepNext/>
      <w:keepLines/>
      <w:spacing w:after="60"/>
      <w:jc w:val="center"/>
    </w:pPr>
    <w:rPr>
      <w:b/>
      <w:sz w:val="32"/>
      <w:szCs w:val="52"/>
    </w:rPr>
  </w:style>
  <w:style w:type="paragraph" w:styleId="Subtitle">
    <w:name w:val="Subtitle"/>
    <w:basedOn w:val="Normal1"/>
    <w:next w:val="Normal1"/>
    <w:rsid w:val="009E6421"/>
    <w:pPr>
      <w:keepNext/>
      <w:keepLines/>
      <w:spacing w:after="320"/>
    </w:pPr>
    <w:rPr>
      <w:rFonts w:ascii="Arial" w:eastAsia="Arial" w:hAnsi="Arial" w:cs="Arial"/>
      <w:color w:val="666666"/>
      <w:sz w:val="30"/>
      <w:szCs w:val="30"/>
    </w:rPr>
  </w:style>
  <w:style w:type="paragraph" w:customStyle="1" w:styleId="Default">
    <w:name w:val="Default"/>
    <w:rsid w:val="00007CCA"/>
    <w:pPr>
      <w:autoSpaceDE w:val="0"/>
      <w:autoSpaceDN w:val="0"/>
      <w:adjustRightInd w:val="0"/>
      <w:spacing w:line="240" w:lineRule="auto"/>
      <w:jc w:val="left"/>
    </w:pPr>
    <w:rPr>
      <w:rFonts w:ascii="Arial" w:hAnsi="Arial" w:cs="Arial"/>
      <w:color w:val="000000"/>
    </w:rPr>
  </w:style>
  <w:style w:type="paragraph" w:styleId="Header">
    <w:name w:val="header"/>
    <w:basedOn w:val="Normal"/>
    <w:link w:val="HeaderChar"/>
    <w:uiPriority w:val="99"/>
    <w:semiHidden/>
    <w:unhideWhenUsed/>
    <w:rsid w:val="00007CC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007CCA"/>
  </w:style>
  <w:style w:type="paragraph" w:styleId="Footer">
    <w:name w:val="footer"/>
    <w:basedOn w:val="Normal"/>
    <w:link w:val="FooterChar"/>
    <w:uiPriority w:val="99"/>
    <w:unhideWhenUsed/>
    <w:rsid w:val="00007CCA"/>
    <w:pPr>
      <w:tabs>
        <w:tab w:val="center" w:pos="4513"/>
        <w:tab w:val="right" w:pos="9026"/>
      </w:tabs>
      <w:spacing w:line="240" w:lineRule="auto"/>
    </w:pPr>
  </w:style>
  <w:style w:type="character" w:customStyle="1" w:styleId="FooterChar">
    <w:name w:val="Footer Char"/>
    <w:basedOn w:val="DefaultParagraphFont"/>
    <w:link w:val="Footer"/>
    <w:uiPriority w:val="99"/>
    <w:rsid w:val="00007CCA"/>
  </w:style>
  <w:style w:type="paragraph" w:styleId="TOCHeading">
    <w:name w:val="TOC Heading"/>
    <w:basedOn w:val="Heading1"/>
    <w:next w:val="Normal"/>
    <w:uiPriority w:val="39"/>
    <w:semiHidden/>
    <w:unhideWhenUsed/>
    <w:qFormat/>
    <w:rsid w:val="00007CC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007CCA"/>
    <w:pPr>
      <w:spacing w:after="100"/>
    </w:pPr>
  </w:style>
  <w:style w:type="character" w:styleId="Hyperlink">
    <w:name w:val="Hyperlink"/>
    <w:basedOn w:val="DefaultParagraphFont"/>
    <w:uiPriority w:val="99"/>
    <w:unhideWhenUsed/>
    <w:rsid w:val="00007CCA"/>
    <w:rPr>
      <w:color w:val="0000FF" w:themeColor="hyperlink"/>
      <w:u w:val="single"/>
    </w:rPr>
  </w:style>
  <w:style w:type="paragraph" w:styleId="BalloonText">
    <w:name w:val="Balloon Text"/>
    <w:basedOn w:val="Normal"/>
    <w:link w:val="BalloonTextChar"/>
    <w:uiPriority w:val="99"/>
    <w:semiHidden/>
    <w:unhideWhenUsed/>
    <w:rsid w:val="00007C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7C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B9958-CB8A-4A48-ADDE-2B7061B6D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dc:creator>
  <cp:lastModifiedBy>Cristian Ghiburcea</cp:lastModifiedBy>
  <cp:revision>4</cp:revision>
  <dcterms:created xsi:type="dcterms:W3CDTF">2022-04-27T17:43:00Z</dcterms:created>
  <dcterms:modified xsi:type="dcterms:W3CDTF">2022-04-27T18:07:00Z</dcterms:modified>
</cp:coreProperties>
</file>