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68"/>
      </w:pPr>
    </w:p>
    <w:p>
      <w:pPr>
        <w:spacing w:line="499" w:lineRule="auto" w:before="0"/>
        <w:ind w:left="570" w:right="927" w:firstLine="0"/>
        <w:jc w:val="center"/>
        <w:rPr>
          <w:b/>
          <w:sz w:val="24"/>
        </w:rPr>
      </w:pPr>
      <w:r>
        <w:rPr>
          <w:b/>
          <w:sz w:val="24"/>
        </w:rPr>
        <w:t>Management</w:t>
      </w:r>
      <w:r>
        <w:rPr>
          <w:b/>
          <w:spacing w:val="-15"/>
          <w:sz w:val="24"/>
        </w:rPr>
        <w:t> </w:t>
      </w:r>
      <w:r>
        <w:rPr>
          <w:b/>
          <w:sz w:val="24"/>
        </w:rPr>
        <w:t>Accounting</w:t>
      </w:r>
      <w:r>
        <w:rPr>
          <w:b/>
          <w:spacing w:val="-15"/>
          <w:sz w:val="24"/>
        </w:rPr>
        <w:t> </w:t>
      </w:r>
      <w:r>
        <w:rPr>
          <w:b/>
          <w:sz w:val="24"/>
        </w:rPr>
        <w:t>Tools</w:t>
      </w:r>
      <w:r>
        <w:rPr>
          <w:b/>
          <w:spacing w:val="-13"/>
          <w:sz w:val="24"/>
        </w:rPr>
        <w:t> </w:t>
      </w:r>
      <w:r>
        <w:rPr>
          <w:b/>
          <w:sz w:val="24"/>
        </w:rPr>
        <w:t>and</w:t>
      </w:r>
      <w:r>
        <w:rPr>
          <w:b/>
          <w:spacing w:val="-9"/>
          <w:sz w:val="24"/>
        </w:rPr>
        <w:t> </w:t>
      </w:r>
      <w:r>
        <w:rPr>
          <w:b/>
          <w:sz w:val="24"/>
        </w:rPr>
        <w:t>Financial</w:t>
      </w:r>
      <w:r>
        <w:rPr>
          <w:b/>
          <w:spacing w:val="-9"/>
          <w:sz w:val="24"/>
        </w:rPr>
        <w:t> </w:t>
      </w:r>
      <w:r>
        <w:rPr>
          <w:b/>
          <w:sz w:val="24"/>
        </w:rPr>
        <w:t>Decision-Making</w:t>
      </w:r>
      <w:r>
        <w:rPr>
          <w:b/>
          <w:spacing w:val="-9"/>
          <w:sz w:val="24"/>
        </w:rPr>
        <w:t> </w:t>
      </w:r>
      <w:r>
        <w:rPr>
          <w:b/>
          <w:sz w:val="24"/>
        </w:rPr>
        <w:t>at</w:t>
      </w:r>
      <w:r>
        <w:rPr>
          <w:b/>
          <w:spacing w:val="-9"/>
          <w:sz w:val="24"/>
        </w:rPr>
        <w:t> </w:t>
      </w:r>
      <w:r>
        <w:rPr>
          <w:b/>
          <w:sz w:val="24"/>
        </w:rPr>
        <w:t>Morrisons 2000 Words</w:t>
      </w:r>
    </w:p>
    <w:p>
      <w:pPr>
        <w:spacing w:line="499" w:lineRule="auto" w:before="0"/>
        <w:ind w:left="2466" w:right="2824" w:firstLine="0"/>
        <w:jc w:val="center"/>
        <w:rPr>
          <w:b/>
          <w:sz w:val="24"/>
        </w:rPr>
      </w:pPr>
      <w:r>
        <w:rPr>
          <w:b/>
          <w:sz w:val="24"/>
        </w:rPr>
        <w:t>Submitted</w:t>
      </w:r>
      <w:r>
        <w:rPr>
          <w:b/>
          <w:spacing w:val="-15"/>
          <w:sz w:val="24"/>
        </w:rPr>
        <w:t> </w:t>
      </w:r>
      <w:r>
        <w:rPr>
          <w:b/>
          <w:sz w:val="24"/>
        </w:rPr>
        <w:t>By:</w:t>
      </w:r>
      <w:r>
        <w:rPr>
          <w:b/>
          <w:spacing w:val="-15"/>
          <w:sz w:val="24"/>
        </w:rPr>
        <w:t> </w:t>
      </w:r>
      <w:r>
        <w:rPr>
          <w:b/>
          <w:sz w:val="24"/>
        </w:rPr>
        <w:t>Arsith</w:t>
      </w:r>
      <w:r>
        <w:rPr>
          <w:b/>
          <w:spacing w:val="-11"/>
          <w:sz w:val="24"/>
        </w:rPr>
        <w:t> </w:t>
      </w:r>
      <w:r>
        <w:rPr>
          <w:b/>
          <w:sz w:val="24"/>
        </w:rPr>
        <w:t>Iulian</w:t>
      </w:r>
      <w:r>
        <w:rPr>
          <w:b/>
          <w:spacing w:val="-10"/>
          <w:sz w:val="24"/>
        </w:rPr>
        <w:t> </w:t>
      </w:r>
      <w:r>
        <w:rPr>
          <w:b/>
          <w:sz w:val="24"/>
        </w:rPr>
        <w:t>Gabriel Student ID: 2418622</w:t>
      </w:r>
    </w:p>
    <w:p>
      <w:pPr>
        <w:spacing w:after="0" w:line="499" w:lineRule="auto"/>
        <w:jc w:val="center"/>
        <w:rPr>
          <w:b/>
          <w:sz w:val="24"/>
        </w:rPr>
        <w:sectPr>
          <w:headerReference w:type="default" r:id="rId5"/>
          <w:footerReference w:type="default" r:id="rId6"/>
          <w:type w:val="continuous"/>
          <w:pgSz w:w="12240" w:h="15840"/>
          <w:pgMar w:header="780" w:footer="1060" w:top="1680" w:bottom="1260" w:left="1440" w:right="1080"/>
          <w:pgNumType w:start="1"/>
        </w:sectPr>
      </w:pPr>
    </w:p>
    <w:p>
      <w:pPr>
        <w:spacing w:before="79"/>
        <w:ind w:left="3614" w:right="0" w:firstLine="0"/>
        <w:jc w:val="left"/>
        <w:rPr>
          <w:b/>
          <w:sz w:val="28"/>
        </w:rPr>
      </w:pPr>
      <w:r>
        <w:rPr>
          <w:b/>
          <w:sz w:val="28"/>
        </w:rPr>
        <w:t>Table</w:t>
      </w:r>
      <w:r>
        <w:rPr>
          <w:b/>
          <w:spacing w:val="-6"/>
          <w:sz w:val="28"/>
        </w:rPr>
        <w:t> </w:t>
      </w:r>
      <w:r>
        <w:rPr>
          <w:b/>
          <w:sz w:val="28"/>
        </w:rPr>
        <w:t>of</w:t>
      </w:r>
      <w:r>
        <w:rPr>
          <w:b/>
          <w:spacing w:val="-5"/>
          <w:sz w:val="28"/>
        </w:rPr>
        <w:t> </w:t>
      </w:r>
      <w:r>
        <w:rPr>
          <w:b/>
          <w:spacing w:val="-2"/>
          <w:sz w:val="28"/>
        </w:rPr>
        <w:t>Contents</w:t>
      </w:r>
    </w:p>
    <w:sdt>
      <w:sdtPr>
        <w:docPartObj>
          <w:docPartGallery w:val="Table of Contents"/>
          <w:docPartUnique/>
        </w:docPartObj>
      </w:sdtPr>
      <w:sdtEndPr/>
      <w:sdtContent>
        <w:p>
          <w:pPr>
            <w:pStyle w:val="TOC1"/>
            <w:numPr>
              <w:ilvl w:val="0"/>
              <w:numId w:val="1"/>
            </w:numPr>
            <w:tabs>
              <w:tab w:pos="240" w:val="left" w:leader="none"/>
              <w:tab w:pos="9351" w:val="right" w:leader="dot"/>
            </w:tabs>
            <w:spacing w:line="240" w:lineRule="auto" w:before="161" w:after="0"/>
            <w:ind w:left="240" w:right="0" w:hanging="240"/>
            <w:jc w:val="left"/>
          </w:pPr>
          <w:r>
            <w:fldChar w:fldCharType="begin"/>
          </w:r>
          <w:r>
            <w:instrText>TOC \o "1-2" \h \z \u </w:instrText>
          </w:r>
          <w:r>
            <w:fldChar w:fldCharType="separate"/>
          </w:r>
          <w:hyperlink w:history="true" w:anchor="_bookmark0">
            <w:r>
              <w:rPr>
                <w:spacing w:val="-2"/>
              </w:rPr>
              <w:t>Introduction</w:t>
            </w:r>
            <w:r>
              <w:rPr/>
              <w:tab/>
            </w:r>
            <w:r>
              <w:rPr>
                <w:spacing w:val="-10"/>
              </w:rPr>
              <w:t>3</w:t>
            </w:r>
          </w:hyperlink>
        </w:p>
        <w:p>
          <w:pPr>
            <w:pStyle w:val="TOC1"/>
            <w:numPr>
              <w:ilvl w:val="0"/>
              <w:numId w:val="1"/>
            </w:numPr>
            <w:tabs>
              <w:tab w:pos="240" w:val="left" w:leader="none"/>
              <w:tab w:pos="9351" w:val="right" w:leader="dot"/>
            </w:tabs>
            <w:spacing w:line="240" w:lineRule="auto" w:before="239" w:after="0"/>
            <w:ind w:left="240" w:right="0" w:hanging="240"/>
            <w:jc w:val="left"/>
          </w:pPr>
          <w:hyperlink w:history="true" w:anchor="_bookmark1">
            <w:r>
              <w:rPr/>
              <w:t>Cost</w:t>
            </w:r>
            <w:r>
              <w:rPr>
                <w:spacing w:val="-15"/>
              </w:rPr>
              <w:t> </w:t>
            </w:r>
            <w:r>
              <w:rPr/>
              <w:t>Analysis</w:t>
            </w:r>
            <w:r>
              <w:rPr>
                <w:spacing w:val="-4"/>
              </w:rPr>
              <w:t> </w:t>
            </w:r>
            <w:r>
              <w:rPr/>
              <w:t>and</w:t>
            </w:r>
            <w:r>
              <w:rPr>
                <w:spacing w:val="-3"/>
              </w:rPr>
              <w:t> </w:t>
            </w:r>
            <w:r>
              <w:rPr/>
              <w:t>Business</w:t>
            </w:r>
            <w:r>
              <w:rPr>
                <w:spacing w:val="-3"/>
              </w:rPr>
              <w:t> </w:t>
            </w:r>
            <w:r>
              <w:rPr>
                <w:spacing w:val="-2"/>
              </w:rPr>
              <w:t>Model</w:t>
            </w:r>
            <w:r>
              <w:rPr/>
              <w:tab/>
            </w:r>
            <w:r>
              <w:rPr>
                <w:spacing w:val="-10"/>
              </w:rPr>
              <w:t>3</w:t>
            </w:r>
          </w:hyperlink>
        </w:p>
        <w:p>
          <w:pPr>
            <w:pStyle w:val="TOC1"/>
            <w:numPr>
              <w:ilvl w:val="0"/>
              <w:numId w:val="1"/>
            </w:numPr>
            <w:tabs>
              <w:tab w:pos="240" w:val="left" w:leader="none"/>
              <w:tab w:pos="9351" w:val="right" w:leader="dot"/>
            </w:tabs>
            <w:spacing w:line="240" w:lineRule="auto" w:before="238" w:after="0"/>
            <w:ind w:left="240" w:right="0" w:hanging="240"/>
            <w:jc w:val="left"/>
          </w:pPr>
          <w:hyperlink w:history="true" w:anchor="_bookmark2">
            <w:r>
              <w:rPr/>
              <w:t>Budgeting</w:t>
            </w:r>
            <w:r>
              <w:rPr>
                <w:spacing w:val="-1"/>
              </w:rPr>
              <w:t> </w:t>
            </w:r>
            <w:r>
              <w:rPr/>
              <w:t>and</w:t>
            </w:r>
            <w:r>
              <w:rPr>
                <w:spacing w:val="-1"/>
              </w:rPr>
              <w:t> </w:t>
            </w:r>
            <w:r>
              <w:rPr/>
              <w:t>Financial </w:t>
            </w:r>
            <w:r>
              <w:rPr>
                <w:spacing w:val="-2"/>
              </w:rPr>
              <w:t>Planning</w:t>
            </w:r>
            <w:r>
              <w:rPr/>
              <w:tab/>
            </w:r>
            <w:r>
              <w:rPr>
                <w:spacing w:val="-10"/>
              </w:rPr>
              <w:t>5</w:t>
            </w:r>
          </w:hyperlink>
        </w:p>
        <w:p>
          <w:pPr>
            <w:pStyle w:val="TOC2"/>
            <w:tabs>
              <w:tab w:pos="9351" w:val="right" w:leader="dot"/>
            </w:tabs>
          </w:pPr>
          <w:hyperlink w:history="true" w:anchor="_bookmark3">
            <w:r>
              <w:rPr/>
              <w:t>Financial</w:t>
            </w:r>
            <w:r>
              <w:rPr>
                <w:spacing w:val="-1"/>
              </w:rPr>
              <w:t> </w:t>
            </w:r>
            <w:r>
              <w:rPr/>
              <w:t>planning and</w:t>
            </w:r>
            <w:r>
              <w:rPr>
                <w:spacing w:val="-1"/>
              </w:rPr>
              <w:t> </w:t>
            </w:r>
            <w:r>
              <w:rPr/>
              <w:t>operating cost </w:t>
            </w:r>
            <w:r>
              <w:rPr>
                <w:spacing w:val="-2"/>
              </w:rPr>
              <w:t>indicators</w:t>
            </w:r>
            <w:r>
              <w:rPr/>
              <w:tab/>
            </w:r>
            <w:r>
              <w:rPr>
                <w:spacing w:val="-10"/>
              </w:rPr>
              <w:t>5</w:t>
            </w:r>
          </w:hyperlink>
        </w:p>
        <w:p>
          <w:pPr>
            <w:pStyle w:val="TOC1"/>
            <w:numPr>
              <w:ilvl w:val="0"/>
              <w:numId w:val="1"/>
            </w:numPr>
            <w:tabs>
              <w:tab w:pos="240" w:val="left" w:leader="none"/>
              <w:tab w:pos="9351" w:val="right" w:leader="dot"/>
            </w:tabs>
            <w:spacing w:line="240" w:lineRule="auto" w:before="239" w:after="0"/>
            <w:ind w:left="240" w:right="0" w:hanging="240"/>
            <w:jc w:val="left"/>
          </w:pPr>
          <w:hyperlink w:history="true" w:anchor="_bookmark4">
            <w:r>
              <w:rPr/>
              <w:t>Performance</w:t>
            </w:r>
            <w:r>
              <w:rPr>
                <w:spacing w:val="-3"/>
              </w:rPr>
              <w:t> </w:t>
            </w:r>
            <w:r>
              <w:rPr/>
              <w:t>Measurement</w:t>
            </w:r>
            <w:r>
              <w:rPr>
                <w:spacing w:val="-2"/>
              </w:rPr>
              <w:t> </w:t>
            </w:r>
            <w:r>
              <w:rPr/>
              <w:t>and</w:t>
            </w:r>
            <w:r>
              <w:rPr>
                <w:spacing w:val="-2"/>
              </w:rPr>
              <w:t> </w:t>
            </w:r>
            <w:r>
              <w:rPr/>
              <w:t>Decision-</w:t>
            </w:r>
            <w:r>
              <w:rPr>
                <w:spacing w:val="-2"/>
              </w:rPr>
              <w:t>Making</w:t>
            </w:r>
            <w:r>
              <w:rPr/>
              <w:tab/>
            </w:r>
            <w:r>
              <w:rPr>
                <w:spacing w:val="-10"/>
              </w:rPr>
              <w:t>7</w:t>
            </w:r>
          </w:hyperlink>
        </w:p>
        <w:p>
          <w:pPr>
            <w:pStyle w:val="TOC1"/>
            <w:numPr>
              <w:ilvl w:val="0"/>
              <w:numId w:val="1"/>
            </w:numPr>
            <w:tabs>
              <w:tab w:pos="240" w:val="left" w:leader="none"/>
              <w:tab w:pos="9351" w:val="right" w:leader="dot"/>
            </w:tabs>
            <w:spacing w:line="240" w:lineRule="auto" w:before="238" w:after="0"/>
            <w:ind w:left="240" w:right="0" w:hanging="240"/>
            <w:jc w:val="left"/>
          </w:pPr>
          <w:hyperlink w:history="true" w:anchor="_bookmark5">
            <w:r>
              <w:rPr/>
              <w:t>Sustainability</w:t>
            </w:r>
            <w:r>
              <w:rPr>
                <w:spacing w:val="-1"/>
              </w:rPr>
              <w:t> </w:t>
            </w:r>
            <w:r>
              <w:rPr/>
              <w:t>and</w:t>
            </w:r>
            <w:r>
              <w:rPr>
                <w:spacing w:val="-1"/>
              </w:rPr>
              <w:t> </w:t>
            </w:r>
            <w:r>
              <w:rPr/>
              <w:t>Ethical </w:t>
            </w:r>
            <w:r>
              <w:rPr>
                <w:spacing w:val="-2"/>
              </w:rPr>
              <w:t>Considerations</w:t>
            </w:r>
            <w:r>
              <w:rPr/>
              <w:tab/>
            </w:r>
            <w:r>
              <w:rPr>
                <w:spacing w:val="-10"/>
              </w:rPr>
              <w:t>8</w:t>
            </w:r>
          </w:hyperlink>
        </w:p>
        <w:p>
          <w:pPr>
            <w:pStyle w:val="TOC1"/>
            <w:numPr>
              <w:ilvl w:val="0"/>
              <w:numId w:val="1"/>
            </w:numPr>
            <w:tabs>
              <w:tab w:pos="240" w:val="left" w:leader="none"/>
              <w:tab w:pos="9351" w:val="right" w:leader="dot"/>
            </w:tabs>
            <w:spacing w:line="240" w:lineRule="auto" w:before="237" w:after="0"/>
            <w:ind w:left="240" w:right="0" w:hanging="240"/>
            <w:jc w:val="left"/>
          </w:pPr>
          <w:hyperlink w:history="true" w:anchor="_bookmark6">
            <w:r>
              <w:rPr/>
              <w:t>Conclusion</w:t>
            </w:r>
            <w:r>
              <w:rPr>
                <w:spacing w:val="-1"/>
              </w:rPr>
              <w:t> </w:t>
            </w:r>
            <w:r>
              <w:rPr/>
              <w:t>and</w:t>
            </w:r>
            <w:r>
              <w:rPr>
                <w:spacing w:val="-1"/>
              </w:rPr>
              <w:t> </w:t>
            </w:r>
            <w:r>
              <w:rPr>
                <w:spacing w:val="-2"/>
              </w:rPr>
              <w:t>Recommendations</w:t>
            </w:r>
            <w:r>
              <w:rPr/>
              <w:tab/>
            </w:r>
            <w:r>
              <w:rPr>
                <w:spacing w:val="-10"/>
              </w:rPr>
              <w:t>9</w:t>
            </w:r>
          </w:hyperlink>
        </w:p>
        <w:p>
          <w:pPr>
            <w:pStyle w:val="TOC1"/>
            <w:tabs>
              <w:tab w:pos="9342" w:val="right" w:leader="dot"/>
            </w:tabs>
            <w:ind w:left="0" w:firstLine="0"/>
          </w:pPr>
          <w:hyperlink w:history="true" w:anchor="_bookmark7">
            <w:r>
              <w:rPr/>
              <w:t>Reference</w:t>
            </w:r>
            <w:r>
              <w:rPr>
                <w:spacing w:val="-1"/>
              </w:rPr>
              <w:t> </w:t>
            </w:r>
            <w:r>
              <w:rPr>
                <w:spacing w:val="-4"/>
              </w:rPr>
              <w:t>List</w:t>
            </w:r>
            <w:r>
              <w:rPr/>
              <w:tab/>
            </w:r>
            <w:r>
              <w:rPr>
                <w:spacing w:val="-5"/>
              </w:rPr>
              <w:t>11</w:t>
            </w:r>
          </w:hyperlink>
        </w:p>
        <w:p>
          <w:pPr/>
          <w:r>
            <w:fldChar w:fldCharType="end"/>
          </w:r>
        </w:p>
      </w:sdtContent>
    </w:sdt>
    <w:p>
      <w:pPr>
        <w:spacing w:after="0"/>
        <w:sectPr>
          <w:pgSz w:w="12240" w:h="15840"/>
          <w:pgMar w:header="780" w:footer="1060" w:top="1680" w:bottom="1260" w:left="1440" w:right="1080"/>
        </w:sectPr>
      </w:pPr>
    </w:p>
    <w:p>
      <w:pPr>
        <w:pStyle w:val="Heading1"/>
        <w:numPr>
          <w:ilvl w:val="0"/>
          <w:numId w:val="2"/>
        </w:numPr>
        <w:tabs>
          <w:tab w:pos="240" w:val="left" w:leader="none"/>
        </w:tabs>
        <w:spacing w:line="240" w:lineRule="auto" w:before="80" w:after="0"/>
        <w:ind w:left="240" w:right="0" w:hanging="240"/>
        <w:jc w:val="both"/>
      </w:pPr>
      <w:bookmarkStart w:name="1. Introduction" w:id="1"/>
      <w:bookmarkEnd w:id="1"/>
      <w:r>
        <w:rPr>
          <w:b w:val="0"/>
        </w:rPr>
      </w:r>
      <w:bookmarkStart w:name="_bookmark0" w:id="2"/>
      <w:bookmarkEnd w:id="2"/>
      <w:r>
        <w:rPr>
          <w:b w:val="0"/>
        </w:rPr>
      </w:r>
      <w:r>
        <w:rPr>
          <w:spacing w:val="-2"/>
        </w:rPr>
        <w:t>Introduction</w:t>
      </w:r>
    </w:p>
    <w:p>
      <w:pPr>
        <w:pStyle w:val="BodyText"/>
        <w:spacing w:line="360" w:lineRule="auto" w:before="258"/>
        <w:ind w:right="357"/>
        <w:jc w:val="both"/>
      </w:pPr>
      <w:r>
        <w:rPr/>
        <w:t>Wm Morrison Supermarkets Limited (trading as Morrisons) is a supermarket company based in Bradford, UK. It is primarily engaged in providing retail food, clothing, general goods, and fuel outlets</w:t>
      </w:r>
      <w:r>
        <w:rPr>
          <w:spacing w:val="-2"/>
        </w:rPr>
        <w:t> </w:t>
      </w:r>
      <w:r>
        <w:rPr/>
        <w:t>throughout</w:t>
      </w:r>
      <w:r>
        <w:rPr>
          <w:spacing w:val="-1"/>
        </w:rPr>
        <w:t> </w:t>
      </w:r>
      <w:r>
        <w:rPr/>
        <w:t>the</w:t>
      </w:r>
      <w:r>
        <w:rPr>
          <w:spacing w:val="-2"/>
        </w:rPr>
        <w:t> </w:t>
      </w:r>
      <w:r>
        <w:rPr/>
        <w:t>UK</w:t>
      </w:r>
      <w:r>
        <w:rPr>
          <w:spacing w:val="-2"/>
        </w:rPr>
        <w:t> </w:t>
      </w:r>
      <w:r>
        <w:rPr/>
        <w:t>(Morrison,</w:t>
      </w:r>
      <w:r>
        <w:rPr>
          <w:spacing w:val="-1"/>
        </w:rPr>
        <w:t> </w:t>
      </w:r>
      <w:r>
        <w:rPr/>
        <w:t>2026).</w:t>
      </w:r>
      <w:r>
        <w:rPr>
          <w:spacing w:val="-1"/>
        </w:rPr>
        <w:t> </w:t>
      </w:r>
      <w:r>
        <w:rPr/>
        <w:t>Morrisons</w:t>
      </w:r>
      <w:r>
        <w:rPr>
          <w:spacing w:val="-2"/>
        </w:rPr>
        <w:t> </w:t>
      </w:r>
      <w:r>
        <w:rPr/>
        <w:t>is</w:t>
      </w:r>
      <w:r>
        <w:rPr>
          <w:spacing w:val="-2"/>
        </w:rPr>
        <w:t> </w:t>
      </w:r>
      <w:r>
        <w:rPr/>
        <w:t>also</w:t>
      </w:r>
      <w:r>
        <w:rPr>
          <w:spacing w:val="-2"/>
        </w:rPr>
        <w:t> </w:t>
      </w:r>
      <w:r>
        <w:rPr/>
        <w:t>unique</w:t>
      </w:r>
      <w:r>
        <w:rPr>
          <w:spacing w:val="-2"/>
        </w:rPr>
        <w:t> </w:t>
      </w:r>
      <w:r>
        <w:rPr/>
        <w:t>in</w:t>
      </w:r>
      <w:r>
        <w:rPr>
          <w:spacing w:val="-2"/>
        </w:rPr>
        <w:t> </w:t>
      </w:r>
      <w:r>
        <w:rPr/>
        <w:t>that</w:t>
      </w:r>
      <w:r>
        <w:rPr>
          <w:spacing w:val="-1"/>
        </w:rPr>
        <w:t> </w:t>
      </w:r>
      <w:r>
        <w:rPr/>
        <w:t>they</w:t>
      </w:r>
      <w:r>
        <w:rPr>
          <w:spacing w:val="-1"/>
        </w:rPr>
        <w:t> </w:t>
      </w:r>
      <w:r>
        <w:rPr/>
        <w:t>are</w:t>
      </w:r>
      <w:r>
        <w:rPr>
          <w:spacing w:val="-2"/>
        </w:rPr>
        <w:t> </w:t>
      </w:r>
      <w:r>
        <w:rPr/>
        <w:t>a</w:t>
      </w:r>
      <w:r>
        <w:rPr>
          <w:spacing w:val="-1"/>
        </w:rPr>
        <w:t> </w:t>
      </w:r>
      <w:r>
        <w:rPr/>
        <w:t>retailer,</w:t>
      </w:r>
      <w:r>
        <w:rPr>
          <w:spacing w:val="-3"/>
        </w:rPr>
        <w:t> </w:t>
      </w:r>
      <w:r>
        <w:rPr/>
        <w:t>a distributor,</w:t>
      </w:r>
      <w:r>
        <w:rPr>
          <w:spacing w:val="-12"/>
        </w:rPr>
        <w:t> </w:t>
      </w:r>
      <w:r>
        <w:rPr/>
        <w:t>a</w:t>
      </w:r>
      <w:r>
        <w:rPr>
          <w:spacing w:val="-13"/>
        </w:rPr>
        <w:t> </w:t>
      </w:r>
      <w:r>
        <w:rPr/>
        <w:t>wholesaler,</w:t>
      </w:r>
      <w:r>
        <w:rPr>
          <w:spacing w:val="-13"/>
        </w:rPr>
        <w:t> </w:t>
      </w:r>
      <w:r>
        <w:rPr/>
        <w:t>and</w:t>
      </w:r>
      <w:r>
        <w:rPr>
          <w:spacing w:val="-11"/>
        </w:rPr>
        <w:t> </w:t>
      </w:r>
      <w:r>
        <w:rPr/>
        <w:t>a</w:t>
      </w:r>
      <w:r>
        <w:rPr>
          <w:spacing w:val="-11"/>
        </w:rPr>
        <w:t> </w:t>
      </w:r>
      <w:r>
        <w:rPr/>
        <w:t>food</w:t>
      </w:r>
      <w:r>
        <w:rPr>
          <w:spacing w:val="-12"/>
        </w:rPr>
        <w:t> </w:t>
      </w:r>
      <w:r>
        <w:rPr/>
        <w:t>manufacturer,</w:t>
      </w:r>
      <w:r>
        <w:rPr>
          <w:spacing w:val="-12"/>
        </w:rPr>
        <w:t> </w:t>
      </w:r>
      <w:r>
        <w:rPr/>
        <w:t>with</w:t>
      </w:r>
      <w:r>
        <w:rPr>
          <w:spacing w:val="-11"/>
        </w:rPr>
        <w:t> </w:t>
      </w:r>
      <w:r>
        <w:rPr/>
        <w:t>a</w:t>
      </w:r>
      <w:r>
        <w:rPr>
          <w:spacing w:val="-11"/>
        </w:rPr>
        <w:t> </w:t>
      </w:r>
      <w:r>
        <w:rPr/>
        <w:t>heavy</w:t>
      </w:r>
      <w:r>
        <w:rPr>
          <w:spacing w:val="-12"/>
        </w:rPr>
        <w:t> </w:t>
      </w:r>
      <w:r>
        <w:rPr/>
        <w:t>focus</w:t>
      </w:r>
      <w:r>
        <w:rPr>
          <w:spacing w:val="-12"/>
        </w:rPr>
        <w:t> </w:t>
      </w:r>
      <w:r>
        <w:rPr/>
        <w:t>on</w:t>
      </w:r>
      <w:r>
        <w:rPr>
          <w:spacing w:val="-12"/>
        </w:rPr>
        <w:t> </w:t>
      </w:r>
      <w:r>
        <w:rPr/>
        <w:t>fresh</w:t>
      </w:r>
      <w:r>
        <w:rPr>
          <w:spacing w:val="-12"/>
        </w:rPr>
        <w:t> </w:t>
      </w:r>
      <w:r>
        <w:rPr/>
        <w:t>food,</w:t>
      </w:r>
      <w:r>
        <w:rPr>
          <w:spacing w:val="-12"/>
        </w:rPr>
        <w:t> </w:t>
      </w:r>
      <w:r>
        <w:rPr/>
        <w:t>Market</w:t>
      </w:r>
      <w:r>
        <w:rPr>
          <w:spacing w:val="-11"/>
        </w:rPr>
        <w:t> </w:t>
      </w:r>
      <w:r>
        <w:rPr/>
        <w:t>Street counters,</w:t>
      </w:r>
      <w:r>
        <w:rPr>
          <w:spacing w:val="-7"/>
        </w:rPr>
        <w:t> </w:t>
      </w:r>
      <w:r>
        <w:rPr/>
        <w:t>British</w:t>
      </w:r>
      <w:r>
        <w:rPr>
          <w:spacing w:val="-6"/>
        </w:rPr>
        <w:t> </w:t>
      </w:r>
      <w:r>
        <w:rPr/>
        <w:t>farmers,</w:t>
      </w:r>
      <w:r>
        <w:rPr>
          <w:spacing w:val="-7"/>
        </w:rPr>
        <w:t> </w:t>
      </w:r>
      <w:r>
        <w:rPr/>
        <w:t>and</w:t>
      </w:r>
      <w:r>
        <w:rPr>
          <w:spacing w:val="-7"/>
        </w:rPr>
        <w:t> </w:t>
      </w:r>
      <w:r>
        <w:rPr/>
        <w:t>in-house</w:t>
      </w:r>
      <w:r>
        <w:rPr>
          <w:spacing w:val="-7"/>
        </w:rPr>
        <w:t> </w:t>
      </w:r>
      <w:r>
        <w:rPr/>
        <w:t>production.</w:t>
      </w:r>
      <w:r>
        <w:rPr>
          <w:spacing w:val="-11"/>
        </w:rPr>
        <w:t> </w:t>
      </w:r>
      <w:r>
        <w:rPr/>
        <w:t>Thus,</w:t>
      </w:r>
      <w:r>
        <w:rPr>
          <w:spacing w:val="-7"/>
        </w:rPr>
        <w:t> </w:t>
      </w:r>
      <w:r>
        <w:rPr/>
        <w:t>it's</w:t>
      </w:r>
      <w:r>
        <w:rPr>
          <w:spacing w:val="-6"/>
        </w:rPr>
        <w:t> </w:t>
      </w:r>
      <w:r>
        <w:rPr/>
        <w:t>a</w:t>
      </w:r>
      <w:r>
        <w:rPr>
          <w:spacing w:val="-6"/>
        </w:rPr>
        <w:t> </w:t>
      </w:r>
      <w:r>
        <w:rPr/>
        <w:t>more</w:t>
      </w:r>
      <w:r>
        <w:rPr>
          <w:spacing w:val="-7"/>
        </w:rPr>
        <w:t> </w:t>
      </w:r>
      <w:r>
        <w:rPr/>
        <w:t>vertically</w:t>
      </w:r>
      <w:r>
        <w:rPr>
          <w:spacing w:val="-7"/>
        </w:rPr>
        <w:t> </w:t>
      </w:r>
      <w:r>
        <w:rPr/>
        <w:t>integrated</w:t>
      </w:r>
      <w:r>
        <w:rPr>
          <w:spacing w:val="-6"/>
        </w:rPr>
        <w:t> </w:t>
      </w:r>
      <w:r>
        <w:rPr/>
        <w:t>business than many supermarket competitors.</w:t>
      </w:r>
    </w:p>
    <w:p>
      <w:pPr>
        <w:pStyle w:val="BodyText"/>
        <w:spacing w:line="360" w:lineRule="auto" w:before="160"/>
        <w:ind w:right="356"/>
        <w:jc w:val="both"/>
      </w:pPr>
      <w:r>
        <w:rPr/>
        <w:t>Morrisons' own statement identifies it as focusing on the 4 key areas of providing the right price, friendly colleagues, Market Street service counters, and sustainably sourced fresh produce. Management accounting is the process by which both financial and nonfinancial information is collected</w:t>
      </w:r>
      <w:r>
        <w:rPr>
          <w:spacing w:val="-15"/>
        </w:rPr>
        <w:t> </w:t>
      </w:r>
      <w:r>
        <w:rPr/>
        <w:t>and</w:t>
      </w:r>
      <w:r>
        <w:rPr>
          <w:spacing w:val="-15"/>
        </w:rPr>
        <w:t> </w:t>
      </w:r>
      <w:r>
        <w:rPr/>
        <w:t>analysed</w:t>
      </w:r>
      <w:r>
        <w:rPr>
          <w:spacing w:val="-15"/>
        </w:rPr>
        <w:t> </w:t>
      </w:r>
      <w:r>
        <w:rPr/>
        <w:t>for</w:t>
      </w:r>
      <w:r>
        <w:rPr>
          <w:spacing w:val="-15"/>
        </w:rPr>
        <w:t> </w:t>
      </w:r>
      <w:r>
        <w:rPr/>
        <w:t>internal</w:t>
      </w:r>
      <w:r>
        <w:rPr>
          <w:spacing w:val="-15"/>
        </w:rPr>
        <w:t> </w:t>
      </w:r>
      <w:r>
        <w:rPr/>
        <w:t>planning,</w:t>
      </w:r>
      <w:r>
        <w:rPr>
          <w:spacing w:val="-15"/>
        </w:rPr>
        <w:t> </w:t>
      </w:r>
      <w:r>
        <w:rPr/>
        <w:t>controlling,</w:t>
      </w:r>
      <w:r>
        <w:rPr>
          <w:spacing w:val="-15"/>
        </w:rPr>
        <w:t> </w:t>
      </w:r>
      <w:r>
        <w:rPr/>
        <w:t>and</w:t>
      </w:r>
      <w:r>
        <w:rPr>
          <w:spacing w:val="-15"/>
        </w:rPr>
        <w:t> </w:t>
      </w:r>
      <w:r>
        <w:rPr/>
        <w:t>decision-making</w:t>
      </w:r>
      <w:r>
        <w:rPr>
          <w:spacing w:val="-15"/>
        </w:rPr>
        <w:t> </w:t>
      </w:r>
      <w:r>
        <w:rPr/>
        <w:t>purposes.</w:t>
      </w:r>
      <w:r>
        <w:rPr>
          <w:spacing w:val="-15"/>
        </w:rPr>
        <w:t> </w:t>
      </w:r>
      <w:r>
        <w:rPr/>
        <w:t>Tools</w:t>
      </w:r>
      <w:r>
        <w:rPr>
          <w:spacing w:val="-15"/>
        </w:rPr>
        <w:t> </w:t>
      </w:r>
      <w:r>
        <w:rPr/>
        <w:t>like cost analysis, budgeting, variance analysis, KPI dashboards, and sustainability accounting tools enable</w:t>
      </w:r>
      <w:r>
        <w:rPr>
          <w:spacing w:val="-10"/>
        </w:rPr>
        <w:t> </w:t>
      </w:r>
      <w:r>
        <w:rPr/>
        <w:t>managers</w:t>
      </w:r>
      <w:r>
        <w:rPr>
          <w:spacing w:val="-10"/>
        </w:rPr>
        <w:t> </w:t>
      </w:r>
      <w:r>
        <w:rPr/>
        <w:t>to</w:t>
      </w:r>
      <w:r>
        <w:rPr>
          <w:spacing w:val="-10"/>
        </w:rPr>
        <w:t> </w:t>
      </w:r>
      <w:r>
        <w:rPr/>
        <w:t>make</w:t>
      </w:r>
      <w:r>
        <w:rPr>
          <w:spacing w:val="-10"/>
        </w:rPr>
        <w:t> </w:t>
      </w:r>
      <w:r>
        <w:rPr/>
        <w:t>decisions</w:t>
      </w:r>
      <w:r>
        <w:rPr>
          <w:spacing w:val="-10"/>
        </w:rPr>
        <w:t> </w:t>
      </w:r>
      <w:r>
        <w:rPr/>
        <w:t>on</w:t>
      </w:r>
      <w:r>
        <w:rPr>
          <w:spacing w:val="-11"/>
        </w:rPr>
        <w:t> </w:t>
      </w:r>
      <w:r>
        <w:rPr/>
        <w:t>where</w:t>
      </w:r>
      <w:r>
        <w:rPr>
          <w:spacing w:val="-10"/>
        </w:rPr>
        <w:t> </w:t>
      </w:r>
      <w:r>
        <w:rPr/>
        <w:t>to</w:t>
      </w:r>
      <w:r>
        <w:rPr>
          <w:spacing w:val="-11"/>
        </w:rPr>
        <w:t> </w:t>
      </w:r>
      <w:r>
        <w:rPr/>
        <w:t>reduce</w:t>
      </w:r>
      <w:r>
        <w:rPr>
          <w:spacing w:val="-11"/>
        </w:rPr>
        <w:t> </w:t>
      </w:r>
      <w:r>
        <w:rPr/>
        <w:t>waste,</w:t>
      </w:r>
      <w:r>
        <w:rPr>
          <w:spacing w:val="-11"/>
        </w:rPr>
        <w:t> </w:t>
      </w:r>
      <w:r>
        <w:rPr/>
        <w:t>where</w:t>
      </w:r>
      <w:r>
        <w:rPr>
          <w:spacing w:val="-10"/>
        </w:rPr>
        <w:t> </w:t>
      </w:r>
      <w:r>
        <w:rPr/>
        <w:t>to</w:t>
      </w:r>
      <w:r>
        <w:rPr>
          <w:spacing w:val="-11"/>
        </w:rPr>
        <w:t> </w:t>
      </w:r>
      <w:r>
        <w:rPr/>
        <w:t>invest,</w:t>
      </w:r>
      <w:r>
        <w:rPr>
          <w:spacing w:val="-11"/>
        </w:rPr>
        <w:t> </w:t>
      </w:r>
      <w:r>
        <w:rPr/>
        <w:t>and</w:t>
      </w:r>
      <w:r>
        <w:rPr>
          <w:spacing w:val="-10"/>
        </w:rPr>
        <w:t> </w:t>
      </w:r>
      <w:r>
        <w:rPr/>
        <w:t>how</w:t>
      </w:r>
      <w:r>
        <w:rPr>
          <w:spacing w:val="-11"/>
        </w:rPr>
        <w:t> </w:t>
      </w:r>
      <w:r>
        <w:rPr/>
        <w:t>to</w:t>
      </w:r>
      <w:r>
        <w:rPr>
          <w:spacing w:val="-10"/>
        </w:rPr>
        <w:t> </w:t>
      </w:r>
      <w:r>
        <w:rPr/>
        <w:t>squeeze more customer value into a business while still keeping it profitable (Dahal, 2024).</w:t>
      </w:r>
    </w:p>
    <w:p>
      <w:pPr>
        <w:pStyle w:val="Heading1"/>
        <w:numPr>
          <w:ilvl w:val="0"/>
          <w:numId w:val="2"/>
        </w:numPr>
        <w:tabs>
          <w:tab w:pos="240" w:val="left" w:leader="none"/>
        </w:tabs>
        <w:spacing w:line="240" w:lineRule="auto" w:before="160" w:after="0"/>
        <w:ind w:left="240" w:right="0" w:hanging="240"/>
        <w:jc w:val="both"/>
      </w:pPr>
      <w:bookmarkStart w:name="2. Cost Analysis and Business Model" w:id="3"/>
      <w:bookmarkEnd w:id="3"/>
      <w:r>
        <w:rPr>
          <w:b w:val="0"/>
        </w:rPr>
      </w:r>
      <w:bookmarkStart w:name="_bookmark1" w:id="4"/>
      <w:bookmarkEnd w:id="4"/>
      <w:r>
        <w:rPr>
          <w:b w:val="0"/>
        </w:rPr>
      </w:r>
      <w:r>
        <w:rPr/>
        <w:t>Cost</w:t>
      </w:r>
      <w:r>
        <w:rPr>
          <w:spacing w:val="-15"/>
        </w:rPr>
        <w:t> </w:t>
      </w:r>
      <w:r>
        <w:rPr/>
        <w:t>Analysis</w:t>
      </w:r>
      <w:r>
        <w:rPr>
          <w:spacing w:val="-4"/>
        </w:rPr>
        <w:t> </w:t>
      </w:r>
      <w:r>
        <w:rPr/>
        <w:t>and</w:t>
      </w:r>
      <w:r>
        <w:rPr>
          <w:spacing w:val="-4"/>
        </w:rPr>
        <w:t> </w:t>
      </w:r>
      <w:r>
        <w:rPr/>
        <w:t>Business</w:t>
      </w:r>
      <w:r>
        <w:rPr>
          <w:spacing w:val="-2"/>
        </w:rPr>
        <w:t> Model</w:t>
      </w:r>
    </w:p>
    <w:p>
      <w:pPr>
        <w:pStyle w:val="BodyText"/>
        <w:spacing w:line="360" w:lineRule="auto" w:before="258"/>
        <w:ind w:right="359"/>
        <w:jc w:val="both"/>
      </w:pPr>
      <w:r>
        <w:rPr/>
        <w:t>Morrisons' business model relies primarily on food and grocery retail sales, with fuel sales, clothing and general merchandise, wholesale, online sales and convenience retail sales, via Morrisons</w:t>
      </w:r>
      <w:r>
        <w:rPr>
          <w:spacing w:val="18"/>
        </w:rPr>
        <w:t> </w:t>
      </w:r>
      <w:r>
        <w:rPr/>
        <w:t>Daily,</w:t>
      </w:r>
      <w:r>
        <w:rPr>
          <w:spacing w:val="19"/>
        </w:rPr>
        <w:t> </w:t>
      </w:r>
      <w:r>
        <w:rPr/>
        <w:t>also</w:t>
      </w:r>
      <w:r>
        <w:rPr>
          <w:spacing w:val="19"/>
        </w:rPr>
        <w:t> </w:t>
      </w:r>
      <w:r>
        <w:rPr/>
        <w:t>contributing.</w:t>
      </w:r>
      <w:r>
        <w:rPr>
          <w:spacing w:val="19"/>
        </w:rPr>
        <w:t> </w:t>
      </w:r>
      <w:r>
        <w:rPr/>
        <w:t>Its</w:t>
      </w:r>
      <w:r>
        <w:rPr>
          <w:spacing w:val="19"/>
        </w:rPr>
        <w:t> </w:t>
      </w:r>
      <w:r>
        <w:rPr/>
        <w:t>older</w:t>
      </w:r>
      <w:r>
        <w:rPr>
          <w:spacing w:val="19"/>
        </w:rPr>
        <w:t> </w:t>
      </w:r>
      <w:r>
        <w:rPr/>
        <w:t>audited</w:t>
      </w:r>
      <w:r>
        <w:rPr>
          <w:spacing w:val="19"/>
        </w:rPr>
        <w:t> </w:t>
      </w:r>
      <w:r>
        <w:rPr/>
        <w:t>financial</w:t>
      </w:r>
      <w:r>
        <w:rPr>
          <w:spacing w:val="18"/>
        </w:rPr>
        <w:t> </w:t>
      </w:r>
      <w:r>
        <w:rPr/>
        <w:t>statements</w:t>
      </w:r>
      <w:r>
        <w:rPr>
          <w:spacing w:val="20"/>
        </w:rPr>
        <w:t> </w:t>
      </w:r>
      <w:r>
        <w:rPr/>
        <w:t>show</w:t>
      </w:r>
      <w:r>
        <w:rPr>
          <w:spacing w:val="19"/>
        </w:rPr>
        <w:t> </w:t>
      </w:r>
      <w:r>
        <w:rPr/>
        <w:t>total</w:t>
      </w:r>
      <w:r>
        <w:rPr>
          <w:spacing w:val="19"/>
        </w:rPr>
        <w:t> </w:t>
      </w:r>
      <w:r>
        <w:rPr/>
        <w:t>revenue</w:t>
      </w:r>
      <w:r>
        <w:rPr>
          <w:spacing w:val="19"/>
        </w:rPr>
        <w:t> </w:t>
      </w:r>
      <w:r>
        <w:rPr>
          <w:spacing w:val="-5"/>
        </w:rPr>
        <w:t>of</w:t>
      </w:r>
    </w:p>
    <w:p>
      <w:pPr>
        <w:pStyle w:val="BodyText"/>
        <w:spacing w:line="360" w:lineRule="auto"/>
        <w:ind w:right="356"/>
        <w:jc w:val="both"/>
      </w:pPr>
      <w:r>
        <w:rPr/>
        <w:t>£18.358bn in 2022/23, including £14.885bn sales excluding fuel and £3.473bn from fuel.</w:t>
      </w:r>
      <w:r>
        <w:rPr>
          <w:spacing w:val="-10"/>
        </w:rPr>
        <w:t> </w:t>
      </w:r>
      <w:r>
        <w:rPr/>
        <w:t>As per the</w:t>
      </w:r>
      <w:r>
        <w:rPr>
          <w:spacing w:val="-5"/>
        </w:rPr>
        <w:t> </w:t>
      </w:r>
      <w:r>
        <w:rPr/>
        <w:t>latest</w:t>
      </w:r>
      <w:r>
        <w:rPr>
          <w:spacing w:val="-5"/>
        </w:rPr>
        <w:t> </w:t>
      </w:r>
      <w:r>
        <w:rPr/>
        <w:t>2024/25</w:t>
      </w:r>
      <w:r>
        <w:rPr>
          <w:spacing w:val="-5"/>
        </w:rPr>
        <w:t> </w:t>
      </w:r>
      <w:r>
        <w:rPr/>
        <w:t>trading</w:t>
      </w:r>
      <w:r>
        <w:rPr>
          <w:spacing w:val="-6"/>
        </w:rPr>
        <w:t> </w:t>
      </w:r>
      <w:r>
        <w:rPr/>
        <w:t>update,</w:t>
      </w:r>
      <w:r>
        <w:rPr>
          <w:spacing w:val="-6"/>
        </w:rPr>
        <w:t> </w:t>
      </w:r>
      <w:r>
        <w:rPr/>
        <w:t>total</w:t>
      </w:r>
      <w:r>
        <w:rPr>
          <w:spacing w:val="-5"/>
        </w:rPr>
        <w:t> </w:t>
      </w:r>
      <w:r>
        <w:rPr/>
        <w:t>revenue</w:t>
      </w:r>
      <w:r>
        <w:rPr>
          <w:spacing w:val="-6"/>
        </w:rPr>
        <w:t> </w:t>
      </w:r>
      <w:r>
        <w:rPr/>
        <w:t>is</w:t>
      </w:r>
      <w:r>
        <w:rPr>
          <w:spacing w:val="-6"/>
        </w:rPr>
        <w:t> </w:t>
      </w:r>
      <w:r>
        <w:rPr/>
        <w:t>£15.8bn,</w:t>
      </w:r>
      <w:r>
        <w:rPr>
          <w:spacing w:val="-6"/>
        </w:rPr>
        <w:t> </w:t>
      </w:r>
      <w:r>
        <w:rPr/>
        <w:t>which</w:t>
      </w:r>
      <w:r>
        <w:rPr>
          <w:spacing w:val="-6"/>
        </w:rPr>
        <w:t> </w:t>
      </w:r>
      <w:r>
        <w:rPr/>
        <w:t>is</w:t>
      </w:r>
      <w:r>
        <w:rPr>
          <w:spacing w:val="-5"/>
        </w:rPr>
        <w:t> </w:t>
      </w:r>
      <w:r>
        <w:rPr/>
        <w:t>a</w:t>
      </w:r>
      <w:r>
        <w:rPr>
          <w:spacing w:val="-6"/>
        </w:rPr>
        <w:t> </w:t>
      </w:r>
      <w:r>
        <w:rPr/>
        <w:t>3.2%</w:t>
      </w:r>
      <w:r>
        <w:rPr>
          <w:spacing w:val="-5"/>
        </w:rPr>
        <w:t> </w:t>
      </w:r>
      <w:r>
        <w:rPr/>
        <w:t>increase,</w:t>
      </w:r>
      <w:r>
        <w:rPr>
          <w:spacing w:val="-7"/>
        </w:rPr>
        <w:t> </w:t>
      </w:r>
      <w:r>
        <w:rPr/>
        <w:t>and</w:t>
      </w:r>
      <w:r>
        <w:rPr>
          <w:spacing w:val="-6"/>
        </w:rPr>
        <w:t> </w:t>
      </w:r>
      <w:r>
        <w:rPr/>
        <w:t>like-for-like sales are a 2.8% increase (Morrisons, 2023).</w:t>
      </w:r>
    </w:p>
    <w:p>
      <w:pPr>
        <w:pStyle w:val="BodyText"/>
        <w:spacing w:before="10"/>
        <w:rPr>
          <w:sz w:val="13"/>
        </w:rPr>
      </w:pPr>
    </w:p>
    <w:tbl>
      <w:tblPr>
        <w:tblW w:w="0" w:type="auto"/>
        <w:jc w:val="left"/>
        <w:tblInd w:w="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top w:w="0" w:type="dxa"/>
          <w:left w:w="0" w:type="dxa"/>
          <w:bottom w:w="0" w:type="dxa"/>
          <w:right w:w="0" w:type="dxa"/>
        </w:tblCellMar>
        <w:tblLook w:val="01E0"/>
      </w:tblPr>
      <w:tblGrid>
        <w:gridCol w:w="2426"/>
        <w:gridCol w:w="6926"/>
      </w:tblGrid>
      <w:tr>
        <w:trPr>
          <w:trHeight w:val="574" w:hRule="atLeast"/>
        </w:trPr>
        <w:tc>
          <w:tcPr>
            <w:tcW w:w="2426" w:type="dxa"/>
          </w:tcPr>
          <w:p>
            <w:pPr>
              <w:pStyle w:val="TableParagraph"/>
              <w:spacing w:before="1"/>
              <w:rPr>
                <w:b/>
                <w:sz w:val="24"/>
              </w:rPr>
            </w:pPr>
            <w:r>
              <w:rPr>
                <w:b/>
                <w:spacing w:val="-4"/>
                <w:sz w:val="24"/>
              </w:rPr>
              <w:t>Area</w:t>
            </w:r>
          </w:p>
        </w:tc>
        <w:tc>
          <w:tcPr>
            <w:tcW w:w="6926" w:type="dxa"/>
          </w:tcPr>
          <w:p>
            <w:pPr>
              <w:pStyle w:val="TableParagraph"/>
              <w:spacing w:before="1"/>
              <w:rPr>
                <w:b/>
                <w:sz w:val="24"/>
              </w:rPr>
            </w:pPr>
            <w:r>
              <w:rPr>
                <w:b/>
                <w:sz w:val="24"/>
              </w:rPr>
              <w:t>Management accounting </w:t>
            </w:r>
            <w:r>
              <w:rPr>
                <w:b/>
                <w:spacing w:val="-2"/>
                <w:sz w:val="24"/>
              </w:rPr>
              <w:t>relevance</w:t>
            </w:r>
          </w:p>
        </w:tc>
      </w:tr>
      <w:tr>
        <w:trPr>
          <w:trHeight w:val="988" w:hRule="atLeast"/>
        </w:trPr>
        <w:tc>
          <w:tcPr>
            <w:tcW w:w="2426" w:type="dxa"/>
          </w:tcPr>
          <w:p>
            <w:pPr>
              <w:pStyle w:val="TableParagraph"/>
              <w:rPr>
                <w:sz w:val="24"/>
              </w:rPr>
            </w:pPr>
            <w:r>
              <w:rPr>
                <w:sz w:val="24"/>
              </w:rPr>
              <w:t>Core</w:t>
            </w:r>
            <w:r>
              <w:rPr>
                <w:spacing w:val="-1"/>
                <w:sz w:val="24"/>
              </w:rPr>
              <w:t> </w:t>
            </w:r>
            <w:r>
              <w:rPr>
                <w:sz w:val="24"/>
              </w:rPr>
              <w:t>grocery </w:t>
            </w:r>
            <w:r>
              <w:rPr>
                <w:spacing w:val="-2"/>
                <w:sz w:val="24"/>
              </w:rPr>
              <w:t>sales</w:t>
            </w:r>
          </w:p>
        </w:tc>
        <w:tc>
          <w:tcPr>
            <w:tcW w:w="6926" w:type="dxa"/>
          </w:tcPr>
          <w:p>
            <w:pPr>
              <w:pStyle w:val="TableParagraph"/>
              <w:spacing w:line="360" w:lineRule="auto"/>
              <w:rPr>
                <w:sz w:val="24"/>
              </w:rPr>
            </w:pPr>
            <w:r>
              <w:rPr>
                <w:sz w:val="24"/>
              </w:rPr>
              <w:t>Requires</w:t>
            </w:r>
            <w:r>
              <w:rPr>
                <w:spacing w:val="30"/>
                <w:sz w:val="24"/>
              </w:rPr>
              <w:t> </w:t>
            </w:r>
            <w:r>
              <w:rPr>
                <w:sz w:val="24"/>
              </w:rPr>
              <w:t>margin</w:t>
            </w:r>
            <w:r>
              <w:rPr>
                <w:spacing w:val="30"/>
                <w:sz w:val="24"/>
              </w:rPr>
              <w:t> </w:t>
            </w:r>
            <w:r>
              <w:rPr>
                <w:sz w:val="24"/>
              </w:rPr>
              <w:t>control,</w:t>
            </w:r>
            <w:r>
              <w:rPr>
                <w:spacing w:val="30"/>
                <w:sz w:val="24"/>
              </w:rPr>
              <w:t> </w:t>
            </w:r>
            <w:r>
              <w:rPr>
                <w:sz w:val="24"/>
              </w:rPr>
              <w:t>demand</w:t>
            </w:r>
            <w:r>
              <w:rPr>
                <w:spacing w:val="31"/>
                <w:sz w:val="24"/>
              </w:rPr>
              <w:t> </w:t>
            </w:r>
            <w:r>
              <w:rPr>
                <w:sz w:val="24"/>
              </w:rPr>
              <w:t>forecasting,</w:t>
            </w:r>
            <w:r>
              <w:rPr>
                <w:spacing w:val="28"/>
                <w:sz w:val="24"/>
              </w:rPr>
              <w:t> </w:t>
            </w:r>
            <w:r>
              <w:rPr>
                <w:sz w:val="24"/>
              </w:rPr>
              <w:t>and</w:t>
            </w:r>
            <w:r>
              <w:rPr>
                <w:spacing w:val="30"/>
                <w:sz w:val="24"/>
              </w:rPr>
              <w:t> </w:t>
            </w:r>
            <w:r>
              <w:rPr>
                <w:sz w:val="24"/>
              </w:rPr>
              <w:t>price</w:t>
            </w:r>
            <w:r>
              <w:rPr>
                <w:spacing w:val="30"/>
                <w:sz w:val="24"/>
              </w:rPr>
              <w:t> </w:t>
            </w:r>
            <w:r>
              <w:rPr>
                <w:sz w:val="24"/>
              </w:rPr>
              <w:t>investment </w:t>
            </w:r>
            <w:r>
              <w:rPr>
                <w:spacing w:val="-2"/>
                <w:sz w:val="24"/>
              </w:rPr>
              <w:t>decisions.</w:t>
            </w:r>
          </w:p>
        </w:tc>
      </w:tr>
      <w:tr>
        <w:trPr>
          <w:trHeight w:val="573" w:hRule="atLeast"/>
        </w:trPr>
        <w:tc>
          <w:tcPr>
            <w:tcW w:w="2426" w:type="dxa"/>
          </w:tcPr>
          <w:p>
            <w:pPr>
              <w:pStyle w:val="TableParagraph"/>
              <w:rPr>
                <w:sz w:val="24"/>
              </w:rPr>
            </w:pPr>
            <w:r>
              <w:rPr>
                <w:sz w:val="24"/>
              </w:rPr>
              <w:t>Fuel </w:t>
            </w:r>
            <w:r>
              <w:rPr>
                <w:spacing w:val="-2"/>
                <w:sz w:val="24"/>
              </w:rPr>
              <w:t>sales</w:t>
            </w:r>
          </w:p>
        </w:tc>
        <w:tc>
          <w:tcPr>
            <w:tcW w:w="6926" w:type="dxa"/>
          </w:tcPr>
          <w:p>
            <w:pPr>
              <w:pStyle w:val="TableParagraph"/>
              <w:rPr>
                <w:sz w:val="24"/>
              </w:rPr>
            </w:pPr>
            <w:r>
              <w:rPr>
                <w:sz w:val="24"/>
              </w:rPr>
              <w:t>Exposed</w:t>
            </w:r>
            <w:r>
              <w:rPr>
                <w:spacing w:val="-2"/>
                <w:sz w:val="24"/>
              </w:rPr>
              <w:t> </w:t>
            </w:r>
            <w:r>
              <w:rPr>
                <w:sz w:val="24"/>
              </w:rPr>
              <w:t>to</w:t>
            </w:r>
            <w:r>
              <w:rPr>
                <w:spacing w:val="-2"/>
                <w:sz w:val="24"/>
              </w:rPr>
              <w:t> </w:t>
            </w:r>
            <w:r>
              <w:rPr>
                <w:sz w:val="24"/>
              </w:rPr>
              <w:t>volatile</w:t>
            </w:r>
            <w:r>
              <w:rPr>
                <w:spacing w:val="-2"/>
                <w:sz w:val="24"/>
              </w:rPr>
              <w:t> </w:t>
            </w:r>
            <w:r>
              <w:rPr>
                <w:sz w:val="24"/>
              </w:rPr>
              <w:t>oil</w:t>
            </w:r>
            <w:r>
              <w:rPr>
                <w:spacing w:val="-2"/>
                <w:sz w:val="24"/>
              </w:rPr>
              <w:t> </w:t>
            </w:r>
            <w:r>
              <w:rPr>
                <w:sz w:val="24"/>
              </w:rPr>
              <w:t>prices</w:t>
            </w:r>
            <w:r>
              <w:rPr>
                <w:spacing w:val="-3"/>
                <w:sz w:val="24"/>
              </w:rPr>
              <w:t> </w:t>
            </w:r>
            <w:r>
              <w:rPr>
                <w:sz w:val="24"/>
              </w:rPr>
              <w:t>and</w:t>
            </w:r>
            <w:r>
              <w:rPr>
                <w:spacing w:val="-2"/>
                <w:sz w:val="24"/>
              </w:rPr>
              <w:t> </w:t>
            </w:r>
            <w:r>
              <w:rPr>
                <w:sz w:val="24"/>
              </w:rPr>
              <w:t>lower</w:t>
            </w:r>
            <w:r>
              <w:rPr>
                <w:spacing w:val="-2"/>
                <w:sz w:val="24"/>
              </w:rPr>
              <w:t> </w:t>
            </w:r>
            <w:r>
              <w:rPr>
                <w:sz w:val="24"/>
              </w:rPr>
              <w:t>margin</w:t>
            </w:r>
            <w:r>
              <w:rPr>
                <w:spacing w:val="-1"/>
                <w:sz w:val="24"/>
              </w:rPr>
              <w:t> </w:t>
            </w:r>
            <w:r>
              <w:rPr>
                <w:spacing w:val="-2"/>
                <w:sz w:val="24"/>
              </w:rPr>
              <w:t>variability.</w:t>
            </w:r>
          </w:p>
        </w:tc>
      </w:tr>
      <w:tr>
        <w:trPr>
          <w:trHeight w:val="988" w:hRule="atLeast"/>
        </w:trPr>
        <w:tc>
          <w:tcPr>
            <w:tcW w:w="2426" w:type="dxa"/>
          </w:tcPr>
          <w:p>
            <w:pPr>
              <w:pStyle w:val="TableParagraph"/>
              <w:tabs>
                <w:tab w:pos="1970" w:val="left" w:leader="none"/>
              </w:tabs>
              <w:spacing w:before="1"/>
              <w:rPr>
                <w:sz w:val="24"/>
              </w:rPr>
            </w:pPr>
            <w:r>
              <w:rPr>
                <w:spacing w:val="-2"/>
                <w:sz w:val="24"/>
              </w:rPr>
              <w:t>Online</w:t>
            </w:r>
            <w:r>
              <w:rPr>
                <w:sz w:val="24"/>
              </w:rPr>
              <w:tab/>
            </w:r>
            <w:r>
              <w:rPr>
                <w:spacing w:val="-5"/>
                <w:sz w:val="24"/>
              </w:rPr>
              <w:t>and</w:t>
            </w:r>
          </w:p>
          <w:p>
            <w:pPr>
              <w:pStyle w:val="TableParagraph"/>
              <w:spacing w:before="138"/>
              <w:rPr>
                <w:sz w:val="24"/>
              </w:rPr>
            </w:pPr>
            <w:r>
              <w:rPr>
                <w:spacing w:val="-2"/>
                <w:sz w:val="24"/>
              </w:rPr>
              <w:t>convenience</w:t>
            </w:r>
          </w:p>
        </w:tc>
        <w:tc>
          <w:tcPr>
            <w:tcW w:w="6926" w:type="dxa"/>
          </w:tcPr>
          <w:p>
            <w:pPr>
              <w:pStyle w:val="TableParagraph"/>
              <w:spacing w:before="1"/>
              <w:rPr>
                <w:sz w:val="24"/>
              </w:rPr>
            </w:pPr>
            <w:r>
              <w:rPr>
                <w:sz w:val="24"/>
              </w:rPr>
              <w:t>Needs</w:t>
            </w:r>
            <w:r>
              <w:rPr>
                <w:spacing w:val="-3"/>
                <w:sz w:val="24"/>
              </w:rPr>
              <w:t> </w:t>
            </w:r>
            <w:r>
              <w:rPr>
                <w:sz w:val="24"/>
              </w:rPr>
              <w:t>delivery</w:t>
            </w:r>
            <w:r>
              <w:rPr>
                <w:spacing w:val="-2"/>
                <w:sz w:val="24"/>
              </w:rPr>
              <w:t> </w:t>
            </w:r>
            <w:r>
              <w:rPr>
                <w:sz w:val="24"/>
              </w:rPr>
              <w:t>cost</w:t>
            </w:r>
            <w:r>
              <w:rPr>
                <w:spacing w:val="-3"/>
                <w:sz w:val="24"/>
              </w:rPr>
              <w:t> </w:t>
            </w:r>
            <w:r>
              <w:rPr>
                <w:sz w:val="24"/>
              </w:rPr>
              <w:t>analysis</w:t>
            </w:r>
            <w:r>
              <w:rPr>
                <w:spacing w:val="-2"/>
                <w:sz w:val="24"/>
              </w:rPr>
              <w:t> </w:t>
            </w:r>
            <w:r>
              <w:rPr>
                <w:sz w:val="24"/>
              </w:rPr>
              <w:t>and</w:t>
            </w:r>
            <w:r>
              <w:rPr>
                <w:spacing w:val="-2"/>
                <w:sz w:val="24"/>
              </w:rPr>
              <w:t> </w:t>
            </w:r>
            <w:r>
              <w:rPr>
                <w:sz w:val="24"/>
              </w:rPr>
              <w:t>channel</w:t>
            </w:r>
            <w:r>
              <w:rPr>
                <w:spacing w:val="-2"/>
                <w:sz w:val="24"/>
              </w:rPr>
              <w:t> </w:t>
            </w:r>
            <w:r>
              <w:rPr>
                <w:sz w:val="24"/>
              </w:rPr>
              <w:t>profitability</w:t>
            </w:r>
            <w:r>
              <w:rPr>
                <w:spacing w:val="-2"/>
                <w:sz w:val="24"/>
              </w:rPr>
              <w:t> review.</w:t>
            </w:r>
          </w:p>
        </w:tc>
      </w:tr>
    </w:tbl>
    <w:p>
      <w:pPr>
        <w:pStyle w:val="TableParagraph"/>
        <w:spacing w:after="0"/>
        <w:rPr>
          <w:sz w:val="24"/>
        </w:rPr>
        <w:sectPr>
          <w:pgSz w:w="12240" w:h="15840"/>
          <w:pgMar w:header="780" w:footer="1060" w:top="1680" w:bottom="1260" w:left="1440" w:right="1080"/>
        </w:sectPr>
      </w:pPr>
    </w:p>
    <w:p>
      <w:pPr>
        <w:pStyle w:val="BodyText"/>
        <w:spacing w:before="10"/>
        <w:rPr>
          <w:sz w:val="6"/>
        </w:rPr>
      </w:pPr>
    </w:p>
    <w:tbl>
      <w:tblPr>
        <w:tblW w:w="0" w:type="auto"/>
        <w:jc w:val="left"/>
        <w:tblInd w:w="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top w:w="0" w:type="dxa"/>
          <w:left w:w="0" w:type="dxa"/>
          <w:bottom w:w="0" w:type="dxa"/>
          <w:right w:w="0" w:type="dxa"/>
        </w:tblCellMar>
        <w:tblLook w:val="01E0"/>
      </w:tblPr>
      <w:tblGrid>
        <w:gridCol w:w="2426"/>
        <w:gridCol w:w="6926"/>
      </w:tblGrid>
      <w:tr>
        <w:trPr>
          <w:trHeight w:val="574" w:hRule="atLeast"/>
        </w:trPr>
        <w:tc>
          <w:tcPr>
            <w:tcW w:w="2426" w:type="dxa"/>
          </w:tcPr>
          <w:p>
            <w:pPr>
              <w:pStyle w:val="TableParagraph"/>
              <w:rPr>
                <w:sz w:val="24"/>
              </w:rPr>
            </w:pPr>
            <w:r>
              <w:rPr>
                <w:spacing w:val="-2"/>
                <w:sz w:val="24"/>
              </w:rPr>
              <w:t>Manufacturing</w:t>
            </w:r>
          </w:p>
        </w:tc>
        <w:tc>
          <w:tcPr>
            <w:tcW w:w="6926" w:type="dxa"/>
          </w:tcPr>
          <w:p>
            <w:pPr>
              <w:pStyle w:val="TableParagraph"/>
              <w:rPr>
                <w:sz w:val="24"/>
              </w:rPr>
            </w:pPr>
            <w:r>
              <w:rPr>
                <w:sz w:val="24"/>
              </w:rPr>
              <w:t>Supports</w:t>
            </w:r>
            <w:r>
              <w:rPr>
                <w:spacing w:val="-2"/>
                <w:sz w:val="24"/>
              </w:rPr>
              <w:t> </w:t>
            </w:r>
            <w:r>
              <w:rPr>
                <w:sz w:val="24"/>
              </w:rPr>
              <w:t>quality</w:t>
            </w:r>
            <w:r>
              <w:rPr>
                <w:spacing w:val="-1"/>
                <w:sz w:val="24"/>
              </w:rPr>
              <w:t> </w:t>
            </w:r>
            <w:r>
              <w:rPr>
                <w:sz w:val="24"/>
              </w:rPr>
              <w:t>and</w:t>
            </w:r>
            <w:r>
              <w:rPr>
                <w:spacing w:val="-1"/>
                <w:sz w:val="24"/>
              </w:rPr>
              <w:t> </w:t>
            </w:r>
            <w:r>
              <w:rPr>
                <w:sz w:val="24"/>
              </w:rPr>
              <w:t>margin</w:t>
            </w:r>
            <w:r>
              <w:rPr>
                <w:spacing w:val="-2"/>
                <w:sz w:val="24"/>
              </w:rPr>
              <w:t> </w:t>
            </w:r>
            <w:r>
              <w:rPr>
                <w:sz w:val="24"/>
              </w:rPr>
              <w:t>control</w:t>
            </w:r>
            <w:r>
              <w:rPr>
                <w:spacing w:val="-1"/>
                <w:sz w:val="24"/>
              </w:rPr>
              <w:t> </w:t>
            </w:r>
            <w:r>
              <w:rPr>
                <w:sz w:val="24"/>
              </w:rPr>
              <w:t>but</w:t>
            </w:r>
            <w:r>
              <w:rPr>
                <w:spacing w:val="-2"/>
                <w:sz w:val="24"/>
              </w:rPr>
              <w:t> </w:t>
            </w:r>
            <w:r>
              <w:rPr>
                <w:sz w:val="24"/>
              </w:rPr>
              <w:t>increases</w:t>
            </w:r>
            <w:r>
              <w:rPr>
                <w:spacing w:val="-1"/>
                <w:sz w:val="24"/>
              </w:rPr>
              <w:t> </w:t>
            </w:r>
            <w:r>
              <w:rPr>
                <w:sz w:val="24"/>
              </w:rPr>
              <w:t>fixed-cost</w:t>
            </w:r>
            <w:r>
              <w:rPr>
                <w:spacing w:val="-2"/>
                <w:sz w:val="24"/>
              </w:rPr>
              <w:t> risk.</w:t>
            </w:r>
          </w:p>
        </w:tc>
      </w:tr>
      <w:tr>
        <w:trPr>
          <w:trHeight w:val="574" w:hRule="atLeast"/>
        </w:trPr>
        <w:tc>
          <w:tcPr>
            <w:tcW w:w="2426" w:type="dxa"/>
          </w:tcPr>
          <w:p>
            <w:pPr>
              <w:pStyle w:val="TableParagraph"/>
              <w:rPr>
                <w:sz w:val="24"/>
              </w:rPr>
            </w:pPr>
            <w:r>
              <w:rPr>
                <w:sz w:val="24"/>
              </w:rPr>
              <w:t>Market</w:t>
            </w:r>
            <w:r>
              <w:rPr>
                <w:spacing w:val="-3"/>
                <w:sz w:val="24"/>
              </w:rPr>
              <w:t> </w:t>
            </w:r>
            <w:r>
              <w:rPr>
                <w:sz w:val="24"/>
              </w:rPr>
              <w:t>Street</w:t>
            </w:r>
            <w:r>
              <w:rPr>
                <w:spacing w:val="-1"/>
                <w:sz w:val="24"/>
              </w:rPr>
              <w:t> </w:t>
            </w:r>
            <w:r>
              <w:rPr>
                <w:spacing w:val="-2"/>
                <w:sz w:val="24"/>
              </w:rPr>
              <w:t>counters</w:t>
            </w:r>
          </w:p>
        </w:tc>
        <w:tc>
          <w:tcPr>
            <w:tcW w:w="6926" w:type="dxa"/>
          </w:tcPr>
          <w:p>
            <w:pPr>
              <w:pStyle w:val="TableParagraph"/>
              <w:rPr>
                <w:sz w:val="24"/>
              </w:rPr>
            </w:pPr>
            <w:r>
              <w:rPr>
                <w:sz w:val="24"/>
              </w:rPr>
              <w:t>Differentiates</w:t>
            </w:r>
            <w:r>
              <w:rPr>
                <w:spacing w:val="-2"/>
                <w:sz w:val="24"/>
              </w:rPr>
              <w:t> </w:t>
            </w:r>
            <w:r>
              <w:rPr>
                <w:sz w:val="24"/>
              </w:rPr>
              <w:t>the</w:t>
            </w:r>
            <w:r>
              <w:rPr>
                <w:spacing w:val="-1"/>
                <w:sz w:val="24"/>
              </w:rPr>
              <w:t> </w:t>
            </w:r>
            <w:r>
              <w:rPr>
                <w:sz w:val="24"/>
              </w:rPr>
              <w:t>brand</w:t>
            </w:r>
            <w:r>
              <w:rPr>
                <w:spacing w:val="-3"/>
                <w:sz w:val="24"/>
              </w:rPr>
              <w:t> </w:t>
            </w:r>
            <w:r>
              <w:rPr>
                <w:sz w:val="24"/>
              </w:rPr>
              <w:t>but</w:t>
            </w:r>
            <w:r>
              <w:rPr>
                <w:spacing w:val="-1"/>
                <w:sz w:val="24"/>
              </w:rPr>
              <w:t> </w:t>
            </w:r>
            <w:r>
              <w:rPr>
                <w:sz w:val="24"/>
              </w:rPr>
              <w:t>requires</w:t>
            </w:r>
            <w:r>
              <w:rPr>
                <w:spacing w:val="-2"/>
                <w:sz w:val="24"/>
              </w:rPr>
              <w:t> </w:t>
            </w:r>
            <w:r>
              <w:rPr>
                <w:sz w:val="24"/>
              </w:rPr>
              <w:t>labour</w:t>
            </w:r>
            <w:r>
              <w:rPr>
                <w:spacing w:val="-1"/>
                <w:sz w:val="24"/>
              </w:rPr>
              <w:t> </w:t>
            </w:r>
            <w:r>
              <w:rPr>
                <w:sz w:val="24"/>
              </w:rPr>
              <w:t>and</w:t>
            </w:r>
            <w:r>
              <w:rPr>
                <w:spacing w:val="-2"/>
                <w:sz w:val="24"/>
              </w:rPr>
              <w:t> </w:t>
            </w:r>
            <w:r>
              <w:rPr>
                <w:sz w:val="24"/>
              </w:rPr>
              <w:t>waste</w:t>
            </w:r>
            <w:r>
              <w:rPr>
                <w:spacing w:val="-1"/>
                <w:sz w:val="24"/>
              </w:rPr>
              <w:t> </w:t>
            </w:r>
            <w:r>
              <w:rPr>
                <w:spacing w:val="-2"/>
                <w:sz w:val="24"/>
              </w:rPr>
              <w:t>control.</w:t>
            </w:r>
          </w:p>
        </w:tc>
      </w:tr>
    </w:tbl>
    <w:p>
      <w:pPr>
        <w:pStyle w:val="BodyText"/>
      </w:pPr>
    </w:p>
    <w:p>
      <w:pPr>
        <w:pStyle w:val="BodyText"/>
        <w:spacing w:before="23"/>
      </w:pPr>
    </w:p>
    <w:p>
      <w:pPr>
        <w:pStyle w:val="BodyText"/>
        <w:spacing w:line="360" w:lineRule="auto"/>
        <w:ind w:right="357"/>
        <w:jc w:val="both"/>
      </w:pPr>
      <w:r>
        <w:rPr/>
        <w:t>Morrisons' main expenses are cost of goods sold, store labour, distribution, energy, rent and depreciation, warehousing, manufacturing, marketing, IT, finance costs and admin costs. In 2022/23,</w:t>
      </w:r>
      <w:r>
        <w:rPr>
          <w:spacing w:val="-15"/>
        </w:rPr>
        <w:t> </w:t>
      </w:r>
      <w:r>
        <w:rPr/>
        <w:t>cost</w:t>
      </w:r>
      <w:r>
        <w:rPr>
          <w:spacing w:val="-14"/>
        </w:rPr>
        <w:t> </w:t>
      </w:r>
      <w:r>
        <w:rPr/>
        <w:t>of</w:t>
      </w:r>
      <w:r>
        <w:rPr>
          <w:spacing w:val="-15"/>
        </w:rPr>
        <w:t> </w:t>
      </w:r>
      <w:r>
        <w:rPr/>
        <w:t>sales</w:t>
      </w:r>
      <w:r>
        <w:rPr>
          <w:spacing w:val="-15"/>
        </w:rPr>
        <w:t> </w:t>
      </w:r>
      <w:r>
        <w:rPr/>
        <w:t>was</w:t>
      </w:r>
      <w:r>
        <w:rPr>
          <w:spacing w:val="-15"/>
        </w:rPr>
        <w:t> </w:t>
      </w:r>
      <w:r>
        <w:rPr/>
        <w:t>£17.883bn</w:t>
      </w:r>
      <w:r>
        <w:rPr>
          <w:spacing w:val="-14"/>
        </w:rPr>
        <w:t> </w:t>
      </w:r>
      <w:r>
        <w:rPr/>
        <w:t>against</w:t>
      </w:r>
      <w:r>
        <w:rPr>
          <w:spacing w:val="-15"/>
        </w:rPr>
        <w:t> </w:t>
      </w:r>
      <w:r>
        <w:rPr/>
        <w:t>revenue</w:t>
      </w:r>
      <w:r>
        <w:rPr>
          <w:spacing w:val="-14"/>
        </w:rPr>
        <w:t> </w:t>
      </w:r>
      <w:r>
        <w:rPr/>
        <w:t>of</w:t>
      </w:r>
      <w:r>
        <w:rPr>
          <w:spacing w:val="-15"/>
        </w:rPr>
        <w:t> </w:t>
      </w:r>
      <w:r>
        <w:rPr/>
        <w:t>£18.358bn,</w:t>
      </w:r>
      <w:r>
        <w:rPr>
          <w:spacing w:val="-15"/>
        </w:rPr>
        <w:t> </w:t>
      </w:r>
      <w:r>
        <w:rPr/>
        <w:t>leaving</w:t>
      </w:r>
      <w:r>
        <w:rPr>
          <w:spacing w:val="-14"/>
        </w:rPr>
        <w:t> </w:t>
      </w:r>
      <w:r>
        <w:rPr/>
        <w:t>gross</w:t>
      </w:r>
      <w:r>
        <w:rPr>
          <w:spacing w:val="-15"/>
        </w:rPr>
        <w:t> </w:t>
      </w:r>
      <w:r>
        <w:rPr/>
        <w:t>profit</w:t>
      </w:r>
      <w:r>
        <w:rPr>
          <w:spacing w:val="-14"/>
        </w:rPr>
        <w:t> </w:t>
      </w:r>
      <w:r>
        <w:rPr/>
        <w:t>of</w:t>
      </w:r>
      <w:r>
        <w:rPr>
          <w:spacing w:val="-15"/>
        </w:rPr>
        <w:t> </w:t>
      </w:r>
      <w:r>
        <w:rPr/>
        <w:t>£475m. Administrative expenses were £501m and operating profit was £89m (Morrisons PLC, 2024). These</w:t>
      </w:r>
      <w:r>
        <w:rPr>
          <w:spacing w:val="-2"/>
        </w:rPr>
        <w:t> </w:t>
      </w:r>
      <w:r>
        <w:rPr/>
        <w:t>figures</w:t>
      </w:r>
      <w:r>
        <w:rPr>
          <w:spacing w:val="-2"/>
        </w:rPr>
        <w:t> </w:t>
      </w:r>
      <w:r>
        <w:rPr/>
        <w:t>provide</w:t>
      </w:r>
      <w:r>
        <w:rPr>
          <w:spacing w:val="-3"/>
        </w:rPr>
        <w:t> </w:t>
      </w:r>
      <w:r>
        <w:rPr/>
        <w:t>an</w:t>
      </w:r>
      <w:r>
        <w:rPr>
          <w:spacing w:val="-3"/>
        </w:rPr>
        <w:t> </w:t>
      </w:r>
      <w:r>
        <w:rPr/>
        <w:t>insight</w:t>
      </w:r>
      <w:r>
        <w:rPr>
          <w:spacing w:val="-2"/>
        </w:rPr>
        <w:t> </w:t>
      </w:r>
      <w:r>
        <w:rPr/>
        <w:t>into</w:t>
      </w:r>
      <w:r>
        <w:rPr>
          <w:spacing w:val="-3"/>
        </w:rPr>
        <w:t> </w:t>
      </w:r>
      <w:r>
        <w:rPr/>
        <w:t>the</w:t>
      </w:r>
      <w:r>
        <w:rPr>
          <w:spacing w:val="-2"/>
        </w:rPr>
        <w:t> </w:t>
      </w:r>
      <w:r>
        <w:rPr/>
        <w:t>thin</w:t>
      </w:r>
      <w:r>
        <w:rPr>
          <w:spacing w:val="-2"/>
        </w:rPr>
        <w:t> </w:t>
      </w:r>
      <w:r>
        <w:rPr/>
        <w:t>margins</w:t>
      </w:r>
      <w:r>
        <w:rPr>
          <w:spacing w:val="-2"/>
        </w:rPr>
        <w:t> </w:t>
      </w:r>
      <w:r>
        <w:rPr/>
        <w:t>which</w:t>
      </w:r>
      <w:r>
        <w:rPr>
          <w:spacing w:val="-3"/>
        </w:rPr>
        <w:t> </w:t>
      </w:r>
      <w:r>
        <w:rPr/>
        <w:t>can</w:t>
      </w:r>
      <w:r>
        <w:rPr>
          <w:spacing w:val="-2"/>
        </w:rPr>
        <w:t> </w:t>
      </w:r>
      <w:r>
        <w:rPr/>
        <w:t>be</w:t>
      </w:r>
      <w:r>
        <w:rPr>
          <w:spacing w:val="-2"/>
        </w:rPr>
        <w:t> </w:t>
      </w:r>
      <w:r>
        <w:rPr/>
        <w:t>experienced</w:t>
      </w:r>
      <w:r>
        <w:rPr>
          <w:spacing w:val="-2"/>
        </w:rPr>
        <w:t> </w:t>
      </w:r>
      <w:r>
        <w:rPr/>
        <w:t>in</w:t>
      </w:r>
      <w:r>
        <w:rPr>
          <w:spacing w:val="-3"/>
        </w:rPr>
        <w:t> </w:t>
      </w:r>
      <w:r>
        <w:rPr/>
        <w:t>a</w:t>
      </w:r>
      <w:r>
        <w:rPr>
          <w:spacing w:val="-2"/>
        </w:rPr>
        <w:t> </w:t>
      </w:r>
      <w:r>
        <w:rPr/>
        <w:t>supermarket and the necessity of management accounting – any cost fluctuations can make a significant difference to profit.</w:t>
      </w:r>
    </w:p>
    <w:p>
      <w:pPr>
        <w:spacing w:before="160"/>
        <w:ind w:left="0" w:right="0" w:firstLine="0"/>
        <w:jc w:val="both"/>
        <w:rPr>
          <w:b/>
          <w:sz w:val="24"/>
        </w:rPr>
      </w:pPr>
      <w:r>
        <w:rPr>
          <w:b/>
          <w:sz w:val="24"/>
        </w:rPr>
        <w:t>Cost</w:t>
      </w:r>
      <w:r>
        <w:rPr>
          <w:b/>
          <w:spacing w:val="-5"/>
          <w:sz w:val="24"/>
        </w:rPr>
        <w:t> </w:t>
      </w:r>
      <w:r>
        <w:rPr>
          <w:b/>
          <w:spacing w:val="-2"/>
          <w:sz w:val="24"/>
        </w:rPr>
        <w:t>Table</w:t>
      </w:r>
    </w:p>
    <w:p>
      <w:pPr>
        <w:pStyle w:val="BodyText"/>
        <w:spacing w:before="67"/>
        <w:rPr>
          <w:b/>
          <w:sz w:val="20"/>
        </w:rPr>
      </w:pPr>
    </w:p>
    <w:tbl>
      <w:tblPr>
        <w:tblW w:w="0" w:type="auto"/>
        <w:jc w:val="left"/>
        <w:tblInd w:w="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top w:w="0" w:type="dxa"/>
          <w:left w:w="0" w:type="dxa"/>
          <w:bottom w:w="0" w:type="dxa"/>
          <w:right w:w="0" w:type="dxa"/>
        </w:tblCellMar>
        <w:tblLook w:val="01E0"/>
      </w:tblPr>
      <w:tblGrid>
        <w:gridCol w:w="1432"/>
        <w:gridCol w:w="3836"/>
        <w:gridCol w:w="4084"/>
      </w:tblGrid>
      <w:tr>
        <w:trPr>
          <w:trHeight w:val="574" w:hRule="atLeast"/>
        </w:trPr>
        <w:tc>
          <w:tcPr>
            <w:tcW w:w="1432" w:type="dxa"/>
          </w:tcPr>
          <w:p>
            <w:pPr>
              <w:pStyle w:val="TableParagraph"/>
              <w:spacing w:before="1"/>
              <w:rPr>
                <w:b/>
                <w:sz w:val="24"/>
              </w:rPr>
            </w:pPr>
            <w:r>
              <w:rPr>
                <w:b/>
                <w:sz w:val="24"/>
              </w:rPr>
              <w:t>Cost </w:t>
            </w:r>
            <w:r>
              <w:rPr>
                <w:b/>
                <w:spacing w:val="-4"/>
                <w:sz w:val="24"/>
              </w:rPr>
              <w:t>type</w:t>
            </w:r>
          </w:p>
        </w:tc>
        <w:tc>
          <w:tcPr>
            <w:tcW w:w="3836" w:type="dxa"/>
          </w:tcPr>
          <w:p>
            <w:pPr>
              <w:pStyle w:val="TableParagraph"/>
              <w:spacing w:before="1"/>
              <w:rPr>
                <w:b/>
                <w:sz w:val="24"/>
              </w:rPr>
            </w:pPr>
            <w:r>
              <w:rPr>
                <w:b/>
                <w:sz w:val="24"/>
              </w:rPr>
              <w:t>Morrisons</w:t>
            </w:r>
            <w:r>
              <w:rPr>
                <w:b/>
                <w:spacing w:val="-5"/>
                <w:sz w:val="24"/>
              </w:rPr>
              <w:t> </w:t>
            </w:r>
            <w:r>
              <w:rPr>
                <w:b/>
                <w:spacing w:val="-2"/>
                <w:sz w:val="24"/>
              </w:rPr>
              <w:t>examples</w:t>
            </w:r>
          </w:p>
        </w:tc>
        <w:tc>
          <w:tcPr>
            <w:tcW w:w="4084" w:type="dxa"/>
          </w:tcPr>
          <w:p>
            <w:pPr>
              <w:pStyle w:val="TableParagraph"/>
              <w:spacing w:before="1"/>
              <w:rPr>
                <w:b/>
                <w:sz w:val="24"/>
              </w:rPr>
            </w:pPr>
            <w:r>
              <w:rPr>
                <w:b/>
                <w:sz w:val="24"/>
              </w:rPr>
              <w:t>Decision-making</w:t>
            </w:r>
            <w:r>
              <w:rPr>
                <w:b/>
                <w:spacing w:val="-4"/>
                <w:sz w:val="24"/>
              </w:rPr>
              <w:t> </w:t>
            </w:r>
            <w:r>
              <w:rPr>
                <w:b/>
                <w:spacing w:val="-2"/>
                <w:sz w:val="24"/>
              </w:rPr>
              <w:t>implication</w:t>
            </w:r>
          </w:p>
        </w:tc>
      </w:tr>
      <w:tr>
        <w:trPr>
          <w:trHeight w:val="1402" w:hRule="atLeast"/>
        </w:trPr>
        <w:tc>
          <w:tcPr>
            <w:tcW w:w="1432" w:type="dxa"/>
          </w:tcPr>
          <w:p>
            <w:pPr>
              <w:pStyle w:val="TableParagraph"/>
              <w:rPr>
                <w:b/>
                <w:sz w:val="24"/>
              </w:rPr>
            </w:pPr>
            <w:r>
              <w:rPr>
                <w:b/>
                <w:sz w:val="24"/>
              </w:rPr>
              <w:t>Fixed</w:t>
            </w:r>
            <w:r>
              <w:rPr>
                <w:b/>
                <w:spacing w:val="-5"/>
                <w:sz w:val="24"/>
              </w:rPr>
              <w:t> </w:t>
            </w:r>
            <w:r>
              <w:rPr>
                <w:b/>
                <w:spacing w:val="-2"/>
                <w:sz w:val="24"/>
              </w:rPr>
              <w:t>costs</w:t>
            </w:r>
          </w:p>
        </w:tc>
        <w:tc>
          <w:tcPr>
            <w:tcW w:w="3836" w:type="dxa"/>
          </w:tcPr>
          <w:p>
            <w:pPr>
              <w:pStyle w:val="TableParagraph"/>
              <w:spacing w:line="360" w:lineRule="auto"/>
              <w:ind w:right="96"/>
              <w:jc w:val="both"/>
              <w:rPr>
                <w:sz w:val="24"/>
              </w:rPr>
            </w:pPr>
            <w:r>
              <w:rPr>
                <w:sz w:val="24"/>
              </w:rPr>
              <w:t>Store</w:t>
            </w:r>
            <w:r>
              <w:rPr>
                <w:spacing w:val="-14"/>
                <w:sz w:val="24"/>
              </w:rPr>
              <w:t> </w:t>
            </w:r>
            <w:r>
              <w:rPr>
                <w:sz w:val="24"/>
              </w:rPr>
              <w:t>leases,</w:t>
            </w:r>
            <w:r>
              <w:rPr>
                <w:spacing w:val="-15"/>
                <w:sz w:val="24"/>
              </w:rPr>
              <w:t> </w:t>
            </w:r>
            <w:r>
              <w:rPr>
                <w:sz w:val="24"/>
              </w:rPr>
              <w:t>depreciation,</w:t>
            </w:r>
            <w:r>
              <w:rPr>
                <w:spacing w:val="-14"/>
                <w:sz w:val="24"/>
              </w:rPr>
              <w:t> </w:t>
            </w:r>
            <w:r>
              <w:rPr>
                <w:sz w:val="24"/>
              </w:rPr>
              <w:t>head</w:t>
            </w:r>
            <w:r>
              <w:rPr>
                <w:spacing w:val="-14"/>
                <w:sz w:val="24"/>
              </w:rPr>
              <w:t> </w:t>
            </w:r>
            <w:r>
              <w:rPr>
                <w:sz w:val="24"/>
              </w:rPr>
              <w:t>office costs, core IT systems and manufacturing facilities</w:t>
            </w:r>
          </w:p>
        </w:tc>
        <w:tc>
          <w:tcPr>
            <w:tcW w:w="4084" w:type="dxa"/>
          </w:tcPr>
          <w:p>
            <w:pPr>
              <w:pStyle w:val="TableParagraph"/>
              <w:spacing w:line="360" w:lineRule="auto"/>
              <w:ind w:right="99"/>
              <w:jc w:val="both"/>
              <w:rPr>
                <w:sz w:val="24"/>
              </w:rPr>
            </w:pPr>
            <w:r>
              <w:rPr>
                <w:sz w:val="24"/>
              </w:rPr>
              <w:t>Must be covered by sufficient </w:t>
            </w:r>
            <w:r>
              <w:rPr>
                <w:sz w:val="24"/>
              </w:rPr>
              <w:t>sales volume; weak utilisation can damage </w:t>
            </w:r>
            <w:r>
              <w:rPr>
                <w:spacing w:val="-2"/>
                <w:sz w:val="24"/>
              </w:rPr>
              <w:t>margins.</w:t>
            </w:r>
          </w:p>
        </w:tc>
      </w:tr>
      <w:tr>
        <w:trPr>
          <w:trHeight w:val="1401" w:hRule="atLeast"/>
        </w:trPr>
        <w:tc>
          <w:tcPr>
            <w:tcW w:w="1432" w:type="dxa"/>
          </w:tcPr>
          <w:p>
            <w:pPr>
              <w:pStyle w:val="TableParagraph"/>
              <w:spacing w:line="360" w:lineRule="auto"/>
              <w:ind w:right="433"/>
              <w:rPr>
                <w:b/>
                <w:sz w:val="24"/>
              </w:rPr>
            </w:pPr>
            <w:r>
              <w:rPr>
                <w:b/>
                <w:spacing w:val="-4"/>
                <w:sz w:val="24"/>
              </w:rPr>
              <w:t>Variable </w:t>
            </w:r>
            <w:r>
              <w:rPr>
                <w:b/>
                <w:spacing w:val="-2"/>
                <w:sz w:val="24"/>
              </w:rPr>
              <w:t>costs</w:t>
            </w:r>
          </w:p>
        </w:tc>
        <w:tc>
          <w:tcPr>
            <w:tcW w:w="3836" w:type="dxa"/>
          </w:tcPr>
          <w:p>
            <w:pPr>
              <w:pStyle w:val="TableParagraph"/>
              <w:spacing w:line="360" w:lineRule="auto"/>
              <w:ind w:right="95"/>
              <w:jc w:val="both"/>
              <w:rPr>
                <w:sz w:val="24"/>
              </w:rPr>
            </w:pPr>
            <w:r>
              <w:rPr>
                <w:sz w:val="24"/>
              </w:rPr>
              <w:t>Food products, packaging, </w:t>
            </w:r>
            <w:r>
              <w:rPr>
                <w:sz w:val="24"/>
              </w:rPr>
              <w:t>fuel purchases, carrier charges and some promotional costs</w:t>
            </w:r>
          </w:p>
        </w:tc>
        <w:tc>
          <w:tcPr>
            <w:tcW w:w="4084" w:type="dxa"/>
          </w:tcPr>
          <w:p>
            <w:pPr>
              <w:pStyle w:val="TableParagraph"/>
              <w:spacing w:line="360" w:lineRule="auto"/>
              <w:ind w:right="97"/>
              <w:jc w:val="both"/>
              <w:rPr>
                <w:sz w:val="24"/>
              </w:rPr>
            </w:pPr>
            <w:r>
              <w:rPr>
                <w:sz w:val="24"/>
              </w:rPr>
              <w:t>Increase with sales volume and must be controlled through supplier negotiation and wastage reduction.</w:t>
            </w:r>
          </w:p>
        </w:tc>
      </w:tr>
      <w:tr>
        <w:trPr>
          <w:trHeight w:val="1402" w:hRule="atLeast"/>
        </w:trPr>
        <w:tc>
          <w:tcPr>
            <w:tcW w:w="1432" w:type="dxa"/>
          </w:tcPr>
          <w:p>
            <w:pPr>
              <w:pStyle w:val="TableParagraph"/>
              <w:spacing w:line="360" w:lineRule="auto"/>
              <w:ind w:right="433"/>
              <w:rPr>
                <w:b/>
                <w:sz w:val="24"/>
              </w:rPr>
            </w:pPr>
            <w:r>
              <w:rPr>
                <w:b/>
                <w:spacing w:val="-2"/>
                <w:sz w:val="24"/>
              </w:rPr>
              <w:t>Semi-variable costs</w:t>
            </w:r>
          </w:p>
        </w:tc>
        <w:tc>
          <w:tcPr>
            <w:tcW w:w="3836" w:type="dxa"/>
          </w:tcPr>
          <w:p>
            <w:pPr>
              <w:pStyle w:val="TableParagraph"/>
              <w:tabs>
                <w:tab w:pos="1512" w:val="left" w:leader="none"/>
                <w:tab w:pos="2867" w:val="left" w:leader="none"/>
              </w:tabs>
              <w:spacing w:line="360" w:lineRule="auto"/>
              <w:ind w:right="95"/>
              <w:jc w:val="both"/>
              <w:rPr>
                <w:sz w:val="24"/>
              </w:rPr>
            </w:pPr>
            <w:r>
              <w:rPr>
                <w:spacing w:val="-2"/>
                <w:sz w:val="24"/>
              </w:rPr>
              <w:t>Labour,</w:t>
            </w:r>
            <w:r>
              <w:rPr>
                <w:sz w:val="24"/>
              </w:rPr>
              <w:tab/>
            </w:r>
            <w:r>
              <w:rPr>
                <w:spacing w:val="-2"/>
                <w:sz w:val="24"/>
              </w:rPr>
              <w:t>energy,</w:t>
            </w:r>
            <w:r>
              <w:rPr>
                <w:sz w:val="24"/>
              </w:rPr>
              <w:tab/>
            </w:r>
            <w:r>
              <w:rPr>
                <w:spacing w:val="-2"/>
                <w:sz w:val="24"/>
              </w:rPr>
              <w:t>logistics, </w:t>
            </w:r>
            <w:r>
              <w:rPr>
                <w:sz w:val="24"/>
              </w:rPr>
              <w:t>refrigeration and warehouse </w:t>
            </w:r>
            <w:r>
              <w:rPr>
                <w:spacing w:val="-2"/>
                <w:sz w:val="24"/>
              </w:rPr>
              <w:t>operations</w:t>
            </w:r>
          </w:p>
        </w:tc>
        <w:tc>
          <w:tcPr>
            <w:tcW w:w="4084" w:type="dxa"/>
          </w:tcPr>
          <w:p>
            <w:pPr>
              <w:pStyle w:val="TableParagraph"/>
              <w:spacing w:line="360" w:lineRule="auto"/>
              <w:ind w:right="99"/>
              <w:jc w:val="both"/>
              <w:rPr>
                <w:sz w:val="24"/>
              </w:rPr>
            </w:pPr>
            <w:r>
              <w:rPr>
                <w:sz w:val="24"/>
              </w:rPr>
              <w:t>Require flexible budgets because </w:t>
            </w:r>
            <w:r>
              <w:rPr>
                <w:sz w:val="24"/>
              </w:rPr>
              <w:t>they contain both base-level and volume-driven elements.</w:t>
            </w:r>
          </w:p>
        </w:tc>
      </w:tr>
    </w:tbl>
    <w:p>
      <w:pPr>
        <w:pStyle w:val="BodyText"/>
        <w:rPr>
          <w:b/>
        </w:rPr>
      </w:pPr>
    </w:p>
    <w:p>
      <w:pPr>
        <w:pStyle w:val="BodyText"/>
        <w:spacing w:before="23"/>
        <w:rPr>
          <w:b/>
        </w:rPr>
      </w:pPr>
    </w:p>
    <w:p>
      <w:pPr>
        <w:pStyle w:val="BodyText"/>
        <w:spacing w:line="360" w:lineRule="auto"/>
        <w:ind w:right="357"/>
        <w:jc w:val="both"/>
      </w:pPr>
      <w:r>
        <w:rPr/>
        <w:t>The</w:t>
      </w:r>
      <w:r>
        <w:rPr>
          <w:spacing w:val="-7"/>
        </w:rPr>
        <w:t> </w:t>
      </w:r>
      <w:r>
        <w:rPr/>
        <w:t>classification</w:t>
      </w:r>
      <w:r>
        <w:rPr>
          <w:spacing w:val="-7"/>
        </w:rPr>
        <w:t> </w:t>
      </w:r>
      <w:r>
        <w:rPr/>
        <w:t>above</w:t>
      </w:r>
      <w:r>
        <w:rPr>
          <w:spacing w:val="-8"/>
        </w:rPr>
        <w:t> </w:t>
      </w:r>
      <w:r>
        <w:rPr/>
        <w:t>provides</w:t>
      </w:r>
      <w:r>
        <w:rPr>
          <w:spacing w:val="-7"/>
        </w:rPr>
        <w:t> </w:t>
      </w:r>
      <w:r>
        <w:rPr/>
        <w:t>direct</w:t>
      </w:r>
      <w:r>
        <w:rPr>
          <w:spacing w:val="-7"/>
        </w:rPr>
        <w:t> </w:t>
      </w:r>
      <w:r>
        <w:rPr/>
        <w:t>support</w:t>
      </w:r>
      <w:r>
        <w:rPr>
          <w:spacing w:val="-7"/>
        </w:rPr>
        <w:t> </w:t>
      </w:r>
      <w:r>
        <w:rPr/>
        <w:t>to</w:t>
      </w:r>
      <w:r>
        <w:rPr>
          <w:spacing w:val="-8"/>
        </w:rPr>
        <w:t> </w:t>
      </w:r>
      <w:r>
        <w:rPr/>
        <w:t>the</w:t>
      </w:r>
      <w:r>
        <w:rPr>
          <w:spacing w:val="-7"/>
        </w:rPr>
        <w:t> </w:t>
      </w:r>
      <w:r>
        <w:rPr/>
        <w:t>fixed</w:t>
      </w:r>
      <w:r>
        <w:rPr>
          <w:spacing w:val="-7"/>
        </w:rPr>
        <w:t> </w:t>
      </w:r>
      <w:r>
        <w:rPr/>
        <w:t>versus</w:t>
      </w:r>
      <w:r>
        <w:rPr>
          <w:spacing w:val="-7"/>
        </w:rPr>
        <w:t> </w:t>
      </w:r>
      <w:r>
        <w:rPr/>
        <w:t>variable</w:t>
      </w:r>
      <w:r>
        <w:rPr>
          <w:spacing w:val="-8"/>
        </w:rPr>
        <w:t> </w:t>
      </w:r>
      <w:r>
        <w:rPr/>
        <w:t>requirement</w:t>
      </w:r>
      <w:r>
        <w:rPr>
          <w:spacing w:val="-7"/>
        </w:rPr>
        <w:t> </w:t>
      </w:r>
      <w:r>
        <w:rPr/>
        <w:t>set</w:t>
      </w:r>
      <w:r>
        <w:rPr>
          <w:spacing w:val="-7"/>
        </w:rPr>
        <w:t> </w:t>
      </w:r>
      <w:r>
        <w:rPr/>
        <w:t>out</w:t>
      </w:r>
      <w:r>
        <w:rPr>
          <w:spacing w:val="-8"/>
        </w:rPr>
        <w:t> </w:t>
      </w:r>
      <w:r>
        <w:rPr/>
        <w:t>in the brief. However, the cost behavior of Morrisons is much more complicated than this. Wages, refrigeration, energy, logistics, and manufacturing overheads are different types of cost and act differently</w:t>
      </w:r>
      <w:r>
        <w:rPr>
          <w:spacing w:val="-12"/>
        </w:rPr>
        <w:t> </w:t>
      </w:r>
      <w:r>
        <w:rPr/>
        <w:t>for</w:t>
      </w:r>
      <w:r>
        <w:rPr>
          <w:spacing w:val="-12"/>
        </w:rPr>
        <w:t> </w:t>
      </w:r>
      <w:r>
        <w:rPr/>
        <w:t>different</w:t>
      </w:r>
      <w:r>
        <w:rPr>
          <w:spacing w:val="-11"/>
        </w:rPr>
        <w:t> </w:t>
      </w:r>
      <w:r>
        <w:rPr/>
        <w:t>sales</w:t>
      </w:r>
      <w:r>
        <w:rPr>
          <w:spacing w:val="-12"/>
        </w:rPr>
        <w:t> </w:t>
      </w:r>
      <w:r>
        <w:rPr/>
        <w:t>volumes</w:t>
      </w:r>
      <w:r>
        <w:rPr>
          <w:spacing w:val="-10"/>
        </w:rPr>
        <w:t> </w:t>
      </w:r>
      <w:r>
        <w:rPr/>
        <w:t>(Bashatweh,</w:t>
      </w:r>
      <w:r>
        <w:rPr>
          <w:spacing w:val="-12"/>
        </w:rPr>
        <w:t> </w:t>
      </w:r>
      <w:r>
        <w:rPr/>
        <w:t>2024).</w:t>
      </w:r>
      <w:r>
        <w:rPr>
          <w:spacing w:val="-12"/>
        </w:rPr>
        <w:t> </w:t>
      </w:r>
      <w:r>
        <w:rPr/>
        <w:t>For</w:t>
      </w:r>
      <w:r>
        <w:rPr>
          <w:spacing w:val="-11"/>
        </w:rPr>
        <w:t> </w:t>
      </w:r>
      <w:r>
        <w:rPr/>
        <w:t>instance,</w:t>
      </w:r>
      <w:r>
        <w:rPr>
          <w:spacing w:val="-11"/>
        </w:rPr>
        <w:t> </w:t>
      </w:r>
      <w:r>
        <w:rPr/>
        <w:t>fresh</w:t>
      </w:r>
      <w:r>
        <w:rPr>
          <w:spacing w:val="-11"/>
        </w:rPr>
        <w:t> </w:t>
      </w:r>
      <w:r>
        <w:rPr/>
        <w:t>food</w:t>
      </w:r>
      <w:r>
        <w:rPr>
          <w:spacing w:val="-13"/>
        </w:rPr>
        <w:t> </w:t>
      </w:r>
      <w:r>
        <w:rPr/>
        <w:t>production</w:t>
      </w:r>
      <w:r>
        <w:rPr>
          <w:spacing w:val="-11"/>
        </w:rPr>
        <w:t> </w:t>
      </w:r>
      <w:r>
        <w:rPr>
          <w:spacing w:val="-5"/>
        </w:rPr>
        <w:t>may</w:t>
      </w:r>
    </w:p>
    <w:p>
      <w:pPr>
        <w:pStyle w:val="BodyText"/>
        <w:spacing w:after="0" w:line="360" w:lineRule="auto"/>
        <w:jc w:val="both"/>
        <w:sectPr>
          <w:pgSz w:w="12240" w:h="15840"/>
          <w:pgMar w:header="780" w:footer="1060" w:top="1680" w:bottom="1260" w:left="1440" w:right="1080"/>
        </w:sectPr>
      </w:pPr>
    </w:p>
    <w:p>
      <w:pPr>
        <w:pStyle w:val="BodyText"/>
        <w:spacing w:line="360" w:lineRule="auto" w:before="80"/>
        <w:ind w:right="356"/>
        <w:jc w:val="both"/>
      </w:pPr>
      <w:r>
        <w:rPr/>
        <w:t>produce quality benefits; however, it also introduces potential labour scheduling and capacity utilisation</w:t>
      </w:r>
      <w:r>
        <w:rPr>
          <w:spacing w:val="-1"/>
        </w:rPr>
        <w:t> </w:t>
      </w:r>
      <w:r>
        <w:rPr/>
        <w:t>issues and wastage</w:t>
      </w:r>
      <w:r>
        <w:rPr>
          <w:spacing w:val="-1"/>
        </w:rPr>
        <w:t> </w:t>
      </w:r>
      <w:r>
        <w:rPr/>
        <w:t>risks.</w:t>
      </w:r>
      <w:r>
        <w:rPr>
          <w:spacing w:val="-11"/>
        </w:rPr>
        <w:t> </w:t>
      </w:r>
      <w:r>
        <w:rPr/>
        <w:t>Activity-based costing therefore</w:t>
      </w:r>
      <w:r>
        <w:rPr>
          <w:spacing w:val="-1"/>
        </w:rPr>
        <w:t> </w:t>
      </w:r>
      <w:r>
        <w:rPr/>
        <w:t>is valuable as</w:t>
      </w:r>
      <w:r>
        <w:rPr>
          <w:spacing w:val="-1"/>
        </w:rPr>
        <w:t> </w:t>
      </w:r>
      <w:r>
        <w:rPr/>
        <w:t>it</w:t>
      </w:r>
      <w:r>
        <w:rPr>
          <w:spacing w:val="-2"/>
        </w:rPr>
        <w:t> </w:t>
      </w:r>
      <w:r>
        <w:rPr/>
        <w:t>relates</w:t>
      </w:r>
      <w:r>
        <w:rPr>
          <w:spacing w:val="-1"/>
        </w:rPr>
        <w:t> </w:t>
      </w:r>
      <w:r>
        <w:rPr/>
        <w:t>costs to activities like product handling, chilled storage, delivery, counter service, waste management and</w:t>
      </w:r>
      <w:r>
        <w:rPr>
          <w:spacing w:val="-15"/>
        </w:rPr>
        <w:t> </w:t>
      </w:r>
      <w:r>
        <w:rPr/>
        <w:t>online</w:t>
      </w:r>
      <w:r>
        <w:rPr>
          <w:spacing w:val="-13"/>
        </w:rPr>
        <w:t> </w:t>
      </w:r>
      <w:r>
        <w:rPr/>
        <w:t>fulfilment.</w:t>
      </w:r>
      <w:r>
        <w:rPr>
          <w:spacing w:val="-15"/>
        </w:rPr>
        <w:t> </w:t>
      </w:r>
      <w:r>
        <w:rPr/>
        <w:t>This</w:t>
      </w:r>
      <w:r>
        <w:rPr>
          <w:spacing w:val="-14"/>
        </w:rPr>
        <w:t> </w:t>
      </w:r>
      <w:r>
        <w:rPr/>
        <w:t>helps</w:t>
      </w:r>
      <w:r>
        <w:rPr>
          <w:spacing w:val="-14"/>
        </w:rPr>
        <w:t> </w:t>
      </w:r>
      <w:r>
        <w:rPr/>
        <w:t>to</w:t>
      </w:r>
      <w:r>
        <w:rPr>
          <w:spacing w:val="-15"/>
        </w:rPr>
        <w:t> </w:t>
      </w:r>
      <w:r>
        <w:rPr/>
        <w:t>make</w:t>
      </w:r>
      <w:r>
        <w:rPr>
          <w:spacing w:val="-13"/>
        </w:rPr>
        <w:t> </w:t>
      </w:r>
      <w:r>
        <w:rPr/>
        <w:t>more</w:t>
      </w:r>
      <w:r>
        <w:rPr>
          <w:spacing w:val="-14"/>
        </w:rPr>
        <w:t> </w:t>
      </w:r>
      <w:r>
        <w:rPr/>
        <w:t>accurate</w:t>
      </w:r>
      <w:r>
        <w:rPr>
          <w:spacing w:val="-14"/>
        </w:rPr>
        <w:t> </w:t>
      </w:r>
      <w:r>
        <w:rPr/>
        <w:t>decisions</w:t>
      </w:r>
      <w:r>
        <w:rPr>
          <w:spacing w:val="-14"/>
        </w:rPr>
        <w:t> </w:t>
      </w:r>
      <w:r>
        <w:rPr/>
        <w:t>compared</w:t>
      </w:r>
      <w:r>
        <w:rPr>
          <w:spacing w:val="-14"/>
        </w:rPr>
        <w:t> </w:t>
      </w:r>
      <w:r>
        <w:rPr/>
        <w:t>to</w:t>
      </w:r>
      <w:r>
        <w:rPr>
          <w:spacing w:val="-14"/>
        </w:rPr>
        <w:t> </w:t>
      </w:r>
      <w:r>
        <w:rPr/>
        <w:t>the</w:t>
      </w:r>
      <w:r>
        <w:rPr>
          <w:spacing w:val="-14"/>
        </w:rPr>
        <w:t> </w:t>
      </w:r>
      <w:r>
        <w:rPr/>
        <w:t>general</w:t>
      </w:r>
      <w:r>
        <w:rPr>
          <w:spacing w:val="-14"/>
        </w:rPr>
        <w:t> </w:t>
      </w:r>
      <w:r>
        <w:rPr/>
        <w:t>average costing method (Roffia et al., 2024).</w:t>
      </w:r>
    </w:p>
    <w:p>
      <w:pPr>
        <w:pStyle w:val="BodyText"/>
        <w:spacing w:line="360" w:lineRule="auto" w:before="160"/>
        <w:ind w:right="356"/>
        <w:jc w:val="both"/>
      </w:pPr>
      <w:r>
        <w:rPr/>
        <w:t>But</w:t>
      </w:r>
      <w:r>
        <w:rPr>
          <w:spacing w:val="-10"/>
        </w:rPr>
        <w:t> </w:t>
      </w:r>
      <w:r>
        <w:rPr/>
        <w:t>aggressive</w:t>
      </w:r>
      <w:r>
        <w:rPr>
          <w:spacing w:val="-10"/>
        </w:rPr>
        <w:t> </w:t>
      </w:r>
      <w:r>
        <w:rPr/>
        <w:t>price</w:t>
      </w:r>
      <w:r>
        <w:rPr>
          <w:spacing w:val="-10"/>
        </w:rPr>
        <w:t> </w:t>
      </w:r>
      <w:r>
        <w:rPr/>
        <w:t>discounting</w:t>
      </w:r>
      <w:r>
        <w:rPr>
          <w:spacing w:val="-10"/>
        </w:rPr>
        <w:t> </w:t>
      </w:r>
      <w:r>
        <w:rPr/>
        <w:t>can</w:t>
      </w:r>
      <w:r>
        <w:rPr>
          <w:spacing w:val="-10"/>
        </w:rPr>
        <w:t> </w:t>
      </w:r>
      <w:r>
        <w:rPr/>
        <w:t>be</w:t>
      </w:r>
      <w:r>
        <w:rPr>
          <w:spacing w:val="-10"/>
        </w:rPr>
        <w:t> </w:t>
      </w:r>
      <w:r>
        <w:rPr/>
        <w:t>risky</w:t>
      </w:r>
      <w:r>
        <w:rPr>
          <w:spacing w:val="-10"/>
        </w:rPr>
        <w:t> </w:t>
      </w:r>
      <w:r>
        <w:rPr/>
        <w:t>when</w:t>
      </w:r>
      <w:r>
        <w:rPr>
          <w:spacing w:val="-10"/>
        </w:rPr>
        <w:t> </w:t>
      </w:r>
      <w:r>
        <w:rPr/>
        <w:t>it</w:t>
      </w:r>
      <w:r>
        <w:rPr>
          <w:spacing w:val="-10"/>
        </w:rPr>
        <w:t> </w:t>
      </w:r>
      <w:r>
        <w:rPr/>
        <w:t>comes</w:t>
      </w:r>
      <w:r>
        <w:rPr>
          <w:spacing w:val="-10"/>
        </w:rPr>
        <w:t> </w:t>
      </w:r>
      <w:r>
        <w:rPr/>
        <w:t>to</w:t>
      </w:r>
      <w:r>
        <w:rPr>
          <w:spacing w:val="-10"/>
        </w:rPr>
        <w:t> </w:t>
      </w:r>
      <w:r>
        <w:rPr/>
        <w:t>brand</w:t>
      </w:r>
      <w:r>
        <w:rPr>
          <w:spacing w:val="-10"/>
        </w:rPr>
        <w:t> </w:t>
      </w:r>
      <w:r>
        <w:rPr/>
        <w:t>damage.</w:t>
      </w:r>
      <w:r>
        <w:rPr>
          <w:spacing w:val="-10"/>
        </w:rPr>
        <w:t> </w:t>
      </w:r>
      <w:r>
        <w:rPr/>
        <w:t>It's</w:t>
      </w:r>
      <w:r>
        <w:rPr>
          <w:spacing w:val="-10"/>
        </w:rPr>
        <w:t> </w:t>
      </w:r>
      <w:r>
        <w:rPr/>
        <w:t>not</w:t>
      </w:r>
      <w:r>
        <w:rPr>
          <w:spacing w:val="-10"/>
        </w:rPr>
        <w:t> </w:t>
      </w:r>
      <w:r>
        <w:rPr/>
        <w:t>just</w:t>
      </w:r>
      <w:r>
        <w:rPr>
          <w:spacing w:val="-10"/>
        </w:rPr>
        <w:t> </w:t>
      </w:r>
      <w:r>
        <w:rPr/>
        <w:t>a</w:t>
      </w:r>
      <w:r>
        <w:rPr>
          <w:spacing w:val="-10"/>
        </w:rPr>
        <w:t> </w:t>
      </w:r>
      <w:r>
        <w:rPr/>
        <w:t>matter of low prices; it's fresh food and service counters, the hallmark of Morrisons. It is therefore essential to examine critically the recent steps taken towards cost reduction (Susilowati, 2023). While there is potential for cost savings that may positively impact Ebita, if the formula is simplified</w:t>
      </w:r>
      <w:r>
        <w:rPr>
          <w:spacing w:val="-10"/>
        </w:rPr>
        <w:t> </w:t>
      </w:r>
      <w:r>
        <w:rPr/>
        <w:t>too</w:t>
      </w:r>
      <w:r>
        <w:rPr>
          <w:spacing w:val="-10"/>
        </w:rPr>
        <w:t> </w:t>
      </w:r>
      <w:r>
        <w:rPr/>
        <w:t>much,</w:t>
      </w:r>
      <w:r>
        <w:rPr>
          <w:spacing w:val="-10"/>
        </w:rPr>
        <w:t> </w:t>
      </w:r>
      <w:r>
        <w:rPr/>
        <w:t>then</w:t>
      </w:r>
      <w:r>
        <w:rPr>
          <w:spacing w:val="-10"/>
        </w:rPr>
        <w:t> </w:t>
      </w:r>
      <w:r>
        <w:rPr/>
        <w:t>you</w:t>
      </w:r>
      <w:r>
        <w:rPr>
          <w:spacing w:val="-10"/>
        </w:rPr>
        <w:t> </w:t>
      </w:r>
      <w:r>
        <w:rPr/>
        <w:t>might</w:t>
      </w:r>
      <w:r>
        <w:rPr>
          <w:spacing w:val="-10"/>
        </w:rPr>
        <w:t> </w:t>
      </w:r>
      <w:r>
        <w:rPr/>
        <w:t>end</w:t>
      </w:r>
      <w:r>
        <w:rPr>
          <w:spacing w:val="-10"/>
        </w:rPr>
        <w:t> </w:t>
      </w:r>
      <w:r>
        <w:rPr/>
        <w:t>up</w:t>
      </w:r>
      <w:r>
        <w:rPr>
          <w:spacing w:val="-10"/>
        </w:rPr>
        <w:t> </w:t>
      </w:r>
      <w:r>
        <w:rPr/>
        <w:t>impacting</w:t>
      </w:r>
      <w:r>
        <w:rPr>
          <w:spacing w:val="-10"/>
        </w:rPr>
        <w:t> </w:t>
      </w:r>
      <w:r>
        <w:rPr/>
        <w:t>the</w:t>
      </w:r>
      <w:r>
        <w:rPr>
          <w:spacing w:val="-10"/>
        </w:rPr>
        <w:t> </w:t>
      </w:r>
      <w:r>
        <w:rPr/>
        <w:t>customer</w:t>
      </w:r>
      <w:r>
        <w:rPr>
          <w:spacing w:val="-10"/>
        </w:rPr>
        <w:t> </w:t>
      </w:r>
      <w:r>
        <w:rPr/>
        <w:t>experience,</w:t>
      </w:r>
      <w:r>
        <w:rPr>
          <w:spacing w:val="-10"/>
        </w:rPr>
        <w:t> </w:t>
      </w:r>
      <w:r>
        <w:rPr/>
        <w:t>particularly</w:t>
      </w:r>
      <w:r>
        <w:rPr>
          <w:spacing w:val="-10"/>
        </w:rPr>
        <w:t> </w:t>
      </w:r>
      <w:r>
        <w:rPr/>
        <w:t>given the fierce debate on price and availability at Aldi, Lidl, Tesco, and Sainsbury's. Strategic cost management does not aim at the elimination of features that generate customer loyalty but at the identification of waste and inefficiency (León et al., 2024).</w:t>
      </w:r>
    </w:p>
    <w:p>
      <w:pPr>
        <w:pStyle w:val="Heading1"/>
        <w:numPr>
          <w:ilvl w:val="0"/>
          <w:numId w:val="2"/>
        </w:numPr>
        <w:tabs>
          <w:tab w:pos="240" w:val="left" w:leader="none"/>
        </w:tabs>
        <w:spacing w:line="240" w:lineRule="auto" w:before="160" w:after="0"/>
        <w:ind w:left="240" w:right="0" w:hanging="240"/>
        <w:jc w:val="both"/>
      </w:pPr>
      <w:bookmarkStart w:name="3. Budgeting and Financial Planning" w:id="5"/>
      <w:bookmarkEnd w:id="5"/>
      <w:r>
        <w:rPr>
          <w:b w:val="0"/>
        </w:rPr>
      </w:r>
      <w:bookmarkStart w:name="_bookmark2" w:id="6"/>
      <w:bookmarkEnd w:id="6"/>
      <w:r>
        <w:rPr>
          <w:b w:val="0"/>
        </w:rPr>
      </w:r>
      <w:r>
        <w:rPr/>
        <w:t>Budgeting</w:t>
      </w:r>
      <w:r>
        <w:rPr>
          <w:spacing w:val="-3"/>
        </w:rPr>
        <w:t> </w:t>
      </w:r>
      <w:r>
        <w:rPr/>
        <w:t>and</w:t>
      </w:r>
      <w:r>
        <w:rPr>
          <w:spacing w:val="-4"/>
        </w:rPr>
        <w:t> </w:t>
      </w:r>
      <w:r>
        <w:rPr/>
        <w:t>Financial</w:t>
      </w:r>
      <w:r>
        <w:rPr>
          <w:spacing w:val="-1"/>
        </w:rPr>
        <w:t> </w:t>
      </w:r>
      <w:r>
        <w:rPr>
          <w:spacing w:val="-2"/>
        </w:rPr>
        <w:t>Planning</w:t>
      </w:r>
    </w:p>
    <w:p>
      <w:pPr>
        <w:pStyle w:val="Heading2"/>
        <w:rPr>
          <w:i/>
        </w:rPr>
      </w:pPr>
      <w:bookmarkStart w:name="Financial planning and operating cost in" w:id="7"/>
      <w:bookmarkEnd w:id="7"/>
      <w:r>
        <w:rPr>
          <w:b w:val="0"/>
          <w:i w:val="0"/>
        </w:rPr>
      </w:r>
      <w:bookmarkStart w:name="_bookmark3" w:id="8"/>
      <w:bookmarkEnd w:id="8"/>
      <w:r>
        <w:rPr>
          <w:b w:val="0"/>
          <w:i w:val="0"/>
        </w:rPr>
      </w:r>
      <w:r>
        <w:rPr>
          <w:i/>
        </w:rPr>
        <w:t>Financial</w:t>
      </w:r>
      <w:r>
        <w:rPr>
          <w:i/>
          <w:spacing w:val="-1"/>
        </w:rPr>
        <w:t> </w:t>
      </w:r>
      <w:r>
        <w:rPr>
          <w:i/>
        </w:rPr>
        <w:t>planning</w:t>
      </w:r>
      <w:r>
        <w:rPr>
          <w:i/>
          <w:spacing w:val="-1"/>
        </w:rPr>
        <w:t> </w:t>
      </w:r>
      <w:r>
        <w:rPr>
          <w:i/>
        </w:rPr>
        <w:t>and operating</w:t>
      </w:r>
      <w:r>
        <w:rPr>
          <w:i/>
          <w:spacing w:val="-1"/>
        </w:rPr>
        <w:t> </w:t>
      </w:r>
      <w:r>
        <w:rPr>
          <w:i/>
        </w:rPr>
        <w:t>cost </w:t>
      </w:r>
      <w:r>
        <w:rPr>
          <w:i/>
          <w:spacing w:val="-2"/>
        </w:rPr>
        <w:t>indicators</w:t>
      </w:r>
    </w:p>
    <w:p>
      <w:pPr>
        <w:pStyle w:val="BodyText"/>
        <w:spacing w:before="28"/>
        <w:rPr>
          <w:b/>
          <w:i/>
          <w:sz w:val="20"/>
        </w:rPr>
      </w:pPr>
    </w:p>
    <w:tbl>
      <w:tblPr>
        <w:tblW w:w="0" w:type="auto"/>
        <w:jc w:val="left"/>
        <w:tblInd w:w="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top w:w="0" w:type="dxa"/>
          <w:left w:w="0" w:type="dxa"/>
          <w:bottom w:w="0" w:type="dxa"/>
          <w:right w:w="0" w:type="dxa"/>
        </w:tblCellMar>
        <w:tblLook w:val="01E0"/>
      </w:tblPr>
      <w:tblGrid>
        <w:gridCol w:w="2510"/>
        <w:gridCol w:w="1095"/>
        <w:gridCol w:w="1094"/>
        <w:gridCol w:w="1093"/>
        <w:gridCol w:w="3563"/>
      </w:tblGrid>
      <w:tr>
        <w:trPr>
          <w:trHeight w:val="1402" w:hRule="atLeast"/>
        </w:trPr>
        <w:tc>
          <w:tcPr>
            <w:tcW w:w="2510" w:type="dxa"/>
          </w:tcPr>
          <w:p>
            <w:pPr>
              <w:pStyle w:val="TableParagraph"/>
              <w:spacing w:line="360" w:lineRule="auto" w:before="1"/>
              <w:rPr>
                <w:b/>
                <w:sz w:val="24"/>
              </w:rPr>
            </w:pPr>
            <w:r>
              <w:rPr>
                <w:b/>
                <w:spacing w:val="-2"/>
                <w:sz w:val="24"/>
              </w:rPr>
              <w:t>Operating expense/planning indicator</w:t>
            </w:r>
          </w:p>
        </w:tc>
        <w:tc>
          <w:tcPr>
            <w:tcW w:w="1095" w:type="dxa"/>
          </w:tcPr>
          <w:p>
            <w:pPr>
              <w:pStyle w:val="TableParagraph"/>
              <w:spacing w:before="1"/>
              <w:rPr>
                <w:sz w:val="24"/>
              </w:rPr>
            </w:pPr>
            <w:r>
              <w:rPr>
                <w:spacing w:val="-2"/>
                <w:sz w:val="24"/>
              </w:rPr>
              <w:t>2022/23</w:t>
            </w:r>
          </w:p>
          <w:p>
            <w:pPr>
              <w:pStyle w:val="TableParagraph"/>
              <w:spacing w:before="138"/>
              <w:rPr>
                <w:sz w:val="24"/>
              </w:rPr>
            </w:pPr>
            <w:r>
              <w:rPr>
                <w:spacing w:val="-5"/>
                <w:sz w:val="24"/>
              </w:rPr>
              <w:t>£m</w:t>
            </w:r>
          </w:p>
        </w:tc>
        <w:tc>
          <w:tcPr>
            <w:tcW w:w="1094" w:type="dxa"/>
          </w:tcPr>
          <w:p>
            <w:pPr>
              <w:pStyle w:val="TableParagraph"/>
              <w:spacing w:before="1"/>
              <w:ind w:left="106"/>
              <w:rPr>
                <w:sz w:val="24"/>
              </w:rPr>
            </w:pPr>
            <w:r>
              <w:rPr>
                <w:spacing w:val="-2"/>
                <w:sz w:val="24"/>
              </w:rPr>
              <w:t>2021/22</w:t>
            </w:r>
          </w:p>
          <w:p>
            <w:pPr>
              <w:pStyle w:val="TableParagraph"/>
              <w:spacing w:before="138"/>
              <w:ind w:left="106"/>
              <w:rPr>
                <w:sz w:val="24"/>
              </w:rPr>
            </w:pPr>
            <w:r>
              <w:rPr>
                <w:spacing w:val="-5"/>
                <w:sz w:val="24"/>
              </w:rPr>
              <w:t>£m</w:t>
            </w:r>
          </w:p>
        </w:tc>
        <w:tc>
          <w:tcPr>
            <w:tcW w:w="1093" w:type="dxa"/>
          </w:tcPr>
          <w:p>
            <w:pPr>
              <w:pStyle w:val="TableParagraph"/>
              <w:spacing w:before="1"/>
              <w:ind w:left="106"/>
              <w:rPr>
                <w:sz w:val="24"/>
              </w:rPr>
            </w:pPr>
            <w:r>
              <w:rPr>
                <w:spacing w:val="-2"/>
                <w:sz w:val="24"/>
              </w:rPr>
              <w:t>Change</w:t>
            </w:r>
          </w:p>
        </w:tc>
        <w:tc>
          <w:tcPr>
            <w:tcW w:w="3563" w:type="dxa"/>
          </w:tcPr>
          <w:p>
            <w:pPr>
              <w:pStyle w:val="TableParagraph"/>
              <w:spacing w:line="360" w:lineRule="auto" w:before="1"/>
              <w:ind w:left="105" w:right="1077"/>
              <w:rPr>
                <w:sz w:val="24"/>
              </w:rPr>
            </w:pPr>
            <w:r>
              <w:rPr>
                <w:sz w:val="24"/>
              </w:rPr>
              <w:t>Management</w:t>
            </w:r>
            <w:r>
              <w:rPr>
                <w:spacing w:val="-15"/>
                <w:sz w:val="24"/>
              </w:rPr>
              <w:t> </w:t>
            </w:r>
            <w:r>
              <w:rPr>
                <w:sz w:val="24"/>
              </w:rPr>
              <w:t>accounting </w:t>
            </w:r>
            <w:r>
              <w:rPr>
                <w:spacing w:val="-2"/>
                <w:sz w:val="24"/>
              </w:rPr>
              <w:t>interpretation</w:t>
            </w:r>
          </w:p>
        </w:tc>
      </w:tr>
      <w:tr>
        <w:trPr>
          <w:trHeight w:val="1401" w:hRule="atLeast"/>
        </w:trPr>
        <w:tc>
          <w:tcPr>
            <w:tcW w:w="2510" w:type="dxa"/>
          </w:tcPr>
          <w:p>
            <w:pPr>
              <w:pStyle w:val="TableParagraph"/>
              <w:rPr>
                <w:b/>
                <w:sz w:val="24"/>
              </w:rPr>
            </w:pPr>
            <w:r>
              <w:rPr>
                <w:b/>
                <w:spacing w:val="-2"/>
                <w:sz w:val="24"/>
              </w:rPr>
              <w:t>Revenue</w:t>
            </w:r>
          </w:p>
        </w:tc>
        <w:tc>
          <w:tcPr>
            <w:tcW w:w="1095" w:type="dxa"/>
          </w:tcPr>
          <w:p>
            <w:pPr>
              <w:pStyle w:val="TableParagraph"/>
              <w:rPr>
                <w:sz w:val="24"/>
              </w:rPr>
            </w:pPr>
            <w:r>
              <w:rPr>
                <w:spacing w:val="-2"/>
                <w:sz w:val="24"/>
              </w:rPr>
              <w:t>18,358</w:t>
            </w:r>
          </w:p>
        </w:tc>
        <w:tc>
          <w:tcPr>
            <w:tcW w:w="1094" w:type="dxa"/>
          </w:tcPr>
          <w:p>
            <w:pPr>
              <w:pStyle w:val="TableParagraph"/>
              <w:ind w:left="106"/>
              <w:rPr>
                <w:sz w:val="24"/>
              </w:rPr>
            </w:pPr>
            <w:r>
              <w:rPr>
                <w:spacing w:val="-2"/>
                <w:sz w:val="24"/>
              </w:rPr>
              <w:t>18,479</w:t>
            </w:r>
          </w:p>
        </w:tc>
        <w:tc>
          <w:tcPr>
            <w:tcW w:w="1093" w:type="dxa"/>
          </w:tcPr>
          <w:p>
            <w:pPr>
              <w:pStyle w:val="TableParagraph"/>
              <w:ind w:left="106"/>
              <w:rPr>
                <w:sz w:val="24"/>
              </w:rPr>
            </w:pPr>
            <w:r>
              <w:rPr>
                <w:sz w:val="24"/>
              </w:rPr>
              <w:t>-</w:t>
            </w:r>
            <w:r>
              <w:rPr>
                <w:spacing w:val="-4"/>
                <w:sz w:val="24"/>
              </w:rPr>
              <w:t>0.7%</w:t>
            </w:r>
          </w:p>
        </w:tc>
        <w:tc>
          <w:tcPr>
            <w:tcW w:w="3563" w:type="dxa"/>
          </w:tcPr>
          <w:p>
            <w:pPr>
              <w:pStyle w:val="TableParagraph"/>
              <w:spacing w:line="360" w:lineRule="auto"/>
              <w:ind w:left="105" w:right="77"/>
              <w:rPr>
                <w:sz w:val="24"/>
              </w:rPr>
            </w:pPr>
            <w:r>
              <w:rPr>
                <w:sz w:val="24"/>
              </w:rPr>
              <w:t>Lower fuel revenue reduced total revenue</w:t>
            </w:r>
            <w:r>
              <w:rPr>
                <w:spacing w:val="-10"/>
                <w:sz w:val="24"/>
              </w:rPr>
              <w:t> </w:t>
            </w:r>
            <w:r>
              <w:rPr>
                <w:sz w:val="24"/>
              </w:rPr>
              <w:t>despite</w:t>
            </w:r>
            <w:r>
              <w:rPr>
                <w:spacing w:val="-10"/>
                <w:sz w:val="24"/>
              </w:rPr>
              <w:t> </w:t>
            </w:r>
            <w:r>
              <w:rPr>
                <w:sz w:val="24"/>
              </w:rPr>
              <w:t>stronger</w:t>
            </w:r>
            <w:r>
              <w:rPr>
                <w:spacing w:val="-10"/>
                <w:sz w:val="24"/>
              </w:rPr>
              <w:t> </w:t>
            </w:r>
            <w:r>
              <w:rPr>
                <w:sz w:val="24"/>
              </w:rPr>
              <w:t>store</w:t>
            </w:r>
            <w:r>
              <w:rPr>
                <w:spacing w:val="-10"/>
                <w:sz w:val="24"/>
              </w:rPr>
              <w:t> </w:t>
            </w:r>
            <w:r>
              <w:rPr>
                <w:sz w:val="24"/>
              </w:rPr>
              <w:t>and online sales.</w:t>
            </w:r>
          </w:p>
        </w:tc>
      </w:tr>
      <w:tr>
        <w:trPr>
          <w:trHeight w:val="1402" w:hRule="atLeast"/>
        </w:trPr>
        <w:tc>
          <w:tcPr>
            <w:tcW w:w="2510" w:type="dxa"/>
          </w:tcPr>
          <w:p>
            <w:pPr>
              <w:pStyle w:val="TableParagraph"/>
              <w:spacing w:before="1"/>
              <w:rPr>
                <w:b/>
                <w:sz w:val="24"/>
              </w:rPr>
            </w:pPr>
            <w:r>
              <w:rPr>
                <w:b/>
                <w:sz w:val="24"/>
              </w:rPr>
              <w:t>Cost of </w:t>
            </w:r>
            <w:r>
              <w:rPr>
                <w:b/>
                <w:spacing w:val="-2"/>
                <w:sz w:val="24"/>
              </w:rPr>
              <w:t>sales</w:t>
            </w:r>
          </w:p>
        </w:tc>
        <w:tc>
          <w:tcPr>
            <w:tcW w:w="1095" w:type="dxa"/>
          </w:tcPr>
          <w:p>
            <w:pPr>
              <w:pStyle w:val="TableParagraph"/>
              <w:spacing w:before="1"/>
              <w:rPr>
                <w:sz w:val="24"/>
              </w:rPr>
            </w:pPr>
            <w:r>
              <w:rPr>
                <w:spacing w:val="-2"/>
                <w:sz w:val="24"/>
              </w:rPr>
              <w:t>17,883</w:t>
            </w:r>
          </w:p>
        </w:tc>
        <w:tc>
          <w:tcPr>
            <w:tcW w:w="1094" w:type="dxa"/>
          </w:tcPr>
          <w:p>
            <w:pPr>
              <w:pStyle w:val="TableParagraph"/>
              <w:spacing w:before="1"/>
              <w:ind w:left="106"/>
              <w:rPr>
                <w:sz w:val="24"/>
              </w:rPr>
            </w:pPr>
            <w:r>
              <w:rPr>
                <w:spacing w:val="-2"/>
                <w:sz w:val="24"/>
              </w:rPr>
              <w:t>18,088</w:t>
            </w:r>
          </w:p>
        </w:tc>
        <w:tc>
          <w:tcPr>
            <w:tcW w:w="1093" w:type="dxa"/>
          </w:tcPr>
          <w:p>
            <w:pPr>
              <w:pStyle w:val="TableParagraph"/>
              <w:spacing w:before="1"/>
              <w:ind w:left="106"/>
              <w:rPr>
                <w:sz w:val="24"/>
              </w:rPr>
            </w:pPr>
            <w:r>
              <w:rPr>
                <w:sz w:val="24"/>
              </w:rPr>
              <w:t>-</w:t>
            </w:r>
            <w:r>
              <w:rPr>
                <w:spacing w:val="-4"/>
                <w:sz w:val="24"/>
              </w:rPr>
              <w:t>1.1%</w:t>
            </w:r>
          </w:p>
        </w:tc>
        <w:tc>
          <w:tcPr>
            <w:tcW w:w="3563" w:type="dxa"/>
          </w:tcPr>
          <w:p>
            <w:pPr>
              <w:pStyle w:val="TableParagraph"/>
              <w:spacing w:line="360" w:lineRule="auto" w:before="1"/>
              <w:ind w:left="105" w:right="280"/>
              <w:jc w:val="both"/>
              <w:rPr>
                <w:sz w:val="24"/>
              </w:rPr>
            </w:pPr>
            <w:r>
              <w:rPr>
                <w:sz w:val="24"/>
              </w:rPr>
              <w:t>Cost</w:t>
            </w:r>
            <w:r>
              <w:rPr>
                <w:spacing w:val="-10"/>
                <w:sz w:val="24"/>
              </w:rPr>
              <w:t> </w:t>
            </w:r>
            <w:r>
              <w:rPr>
                <w:sz w:val="24"/>
              </w:rPr>
              <w:t>pressure</w:t>
            </w:r>
            <w:r>
              <w:rPr>
                <w:spacing w:val="-10"/>
                <w:sz w:val="24"/>
              </w:rPr>
              <w:t> </w:t>
            </w:r>
            <w:r>
              <w:rPr>
                <w:sz w:val="24"/>
              </w:rPr>
              <w:t>remained</w:t>
            </w:r>
            <w:r>
              <w:rPr>
                <w:spacing w:val="-10"/>
                <w:sz w:val="24"/>
              </w:rPr>
              <w:t> </w:t>
            </w:r>
            <w:r>
              <w:rPr>
                <w:sz w:val="24"/>
              </w:rPr>
              <w:t>high,</w:t>
            </w:r>
            <w:r>
              <w:rPr>
                <w:spacing w:val="-10"/>
                <w:sz w:val="24"/>
              </w:rPr>
              <w:t> </w:t>
            </w:r>
            <w:r>
              <w:rPr>
                <w:sz w:val="24"/>
              </w:rPr>
              <w:t>but lower</w:t>
            </w:r>
            <w:r>
              <w:rPr>
                <w:spacing w:val="-5"/>
                <w:sz w:val="24"/>
              </w:rPr>
              <w:t> </w:t>
            </w:r>
            <w:r>
              <w:rPr>
                <w:sz w:val="24"/>
              </w:rPr>
              <w:t>fuel</w:t>
            </w:r>
            <w:r>
              <w:rPr>
                <w:spacing w:val="-5"/>
                <w:sz w:val="24"/>
              </w:rPr>
              <w:t> </w:t>
            </w:r>
            <w:r>
              <w:rPr>
                <w:sz w:val="24"/>
              </w:rPr>
              <w:t>prices</w:t>
            </w:r>
            <w:r>
              <w:rPr>
                <w:spacing w:val="-6"/>
                <w:sz w:val="24"/>
              </w:rPr>
              <w:t> </w:t>
            </w:r>
            <w:r>
              <w:rPr>
                <w:sz w:val="24"/>
              </w:rPr>
              <w:t>and</w:t>
            </w:r>
            <w:r>
              <w:rPr>
                <w:spacing w:val="-5"/>
                <w:sz w:val="24"/>
              </w:rPr>
              <w:t> </w:t>
            </w:r>
            <w:r>
              <w:rPr>
                <w:sz w:val="24"/>
              </w:rPr>
              <w:t>normalised supply chain conditions helped.</w:t>
            </w:r>
          </w:p>
        </w:tc>
      </w:tr>
      <w:tr>
        <w:trPr>
          <w:trHeight w:val="1402" w:hRule="atLeast"/>
        </w:trPr>
        <w:tc>
          <w:tcPr>
            <w:tcW w:w="2510" w:type="dxa"/>
          </w:tcPr>
          <w:p>
            <w:pPr>
              <w:pStyle w:val="TableParagraph"/>
              <w:spacing w:line="360" w:lineRule="auto"/>
              <w:ind w:right="17"/>
              <w:rPr>
                <w:b/>
                <w:sz w:val="24"/>
              </w:rPr>
            </w:pPr>
            <w:r>
              <w:rPr>
                <w:b/>
                <w:spacing w:val="-2"/>
                <w:sz w:val="24"/>
              </w:rPr>
              <w:t>Administrative expenses</w:t>
            </w:r>
          </w:p>
        </w:tc>
        <w:tc>
          <w:tcPr>
            <w:tcW w:w="1095" w:type="dxa"/>
          </w:tcPr>
          <w:p>
            <w:pPr>
              <w:pStyle w:val="TableParagraph"/>
              <w:rPr>
                <w:sz w:val="24"/>
              </w:rPr>
            </w:pPr>
            <w:r>
              <w:rPr>
                <w:spacing w:val="-5"/>
                <w:sz w:val="24"/>
              </w:rPr>
              <w:t>501</w:t>
            </w:r>
          </w:p>
        </w:tc>
        <w:tc>
          <w:tcPr>
            <w:tcW w:w="1094" w:type="dxa"/>
          </w:tcPr>
          <w:p>
            <w:pPr>
              <w:pStyle w:val="TableParagraph"/>
              <w:ind w:left="106"/>
              <w:rPr>
                <w:sz w:val="24"/>
              </w:rPr>
            </w:pPr>
            <w:r>
              <w:rPr>
                <w:spacing w:val="-5"/>
                <w:sz w:val="24"/>
              </w:rPr>
              <w:t>506</w:t>
            </w:r>
          </w:p>
        </w:tc>
        <w:tc>
          <w:tcPr>
            <w:tcW w:w="1093" w:type="dxa"/>
          </w:tcPr>
          <w:p>
            <w:pPr>
              <w:pStyle w:val="TableParagraph"/>
              <w:ind w:left="106"/>
              <w:rPr>
                <w:sz w:val="24"/>
              </w:rPr>
            </w:pPr>
            <w:r>
              <w:rPr>
                <w:sz w:val="24"/>
              </w:rPr>
              <w:t>-</w:t>
            </w:r>
            <w:r>
              <w:rPr>
                <w:spacing w:val="-4"/>
                <w:sz w:val="24"/>
              </w:rPr>
              <w:t>1.0%</w:t>
            </w:r>
          </w:p>
        </w:tc>
        <w:tc>
          <w:tcPr>
            <w:tcW w:w="3563" w:type="dxa"/>
          </w:tcPr>
          <w:p>
            <w:pPr>
              <w:pStyle w:val="TableParagraph"/>
              <w:spacing w:line="360" w:lineRule="auto"/>
              <w:ind w:left="105" w:right="77"/>
              <w:rPr>
                <w:sz w:val="24"/>
              </w:rPr>
            </w:pPr>
            <w:r>
              <w:rPr>
                <w:sz w:val="24"/>
              </w:rPr>
              <w:t>Slight</w:t>
            </w:r>
            <w:r>
              <w:rPr>
                <w:spacing w:val="-13"/>
                <w:sz w:val="24"/>
              </w:rPr>
              <w:t> </w:t>
            </w:r>
            <w:r>
              <w:rPr>
                <w:sz w:val="24"/>
              </w:rPr>
              <w:t>decrease</w:t>
            </w:r>
            <w:r>
              <w:rPr>
                <w:spacing w:val="-13"/>
                <w:sz w:val="24"/>
              </w:rPr>
              <w:t> </w:t>
            </w:r>
            <w:r>
              <w:rPr>
                <w:sz w:val="24"/>
              </w:rPr>
              <w:t>suggests</w:t>
            </w:r>
            <w:r>
              <w:rPr>
                <w:spacing w:val="-14"/>
                <w:sz w:val="24"/>
              </w:rPr>
              <w:t> </w:t>
            </w:r>
            <w:r>
              <w:rPr>
                <w:sz w:val="24"/>
              </w:rPr>
              <w:t>overhead discipline, but savings were </w:t>
            </w:r>
            <w:r>
              <w:rPr>
                <w:spacing w:val="-2"/>
                <w:sz w:val="24"/>
              </w:rPr>
              <w:t>limited.</w:t>
            </w:r>
          </w:p>
        </w:tc>
      </w:tr>
    </w:tbl>
    <w:p>
      <w:pPr>
        <w:pStyle w:val="TableParagraph"/>
        <w:spacing w:after="0" w:line="360" w:lineRule="auto"/>
        <w:rPr>
          <w:sz w:val="24"/>
        </w:rPr>
        <w:sectPr>
          <w:pgSz w:w="12240" w:h="15840"/>
          <w:pgMar w:header="780" w:footer="1060" w:top="1680" w:bottom="1260" w:left="1440" w:right="1080"/>
        </w:sectPr>
      </w:pPr>
    </w:p>
    <w:p>
      <w:pPr>
        <w:pStyle w:val="BodyText"/>
        <w:spacing w:before="10"/>
        <w:rPr>
          <w:b/>
          <w:i/>
          <w:sz w:val="6"/>
        </w:rPr>
      </w:pPr>
    </w:p>
    <w:tbl>
      <w:tblPr>
        <w:tblW w:w="0" w:type="auto"/>
        <w:jc w:val="left"/>
        <w:tblInd w:w="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top w:w="0" w:type="dxa"/>
          <w:left w:w="0" w:type="dxa"/>
          <w:bottom w:w="0" w:type="dxa"/>
          <w:right w:w="0" w:type="dxa"/>
        </w:tblCellMar>
        <w:tblLook w:val="01E0"/>
      </w:tblPr>
      <w:tblGrid>
        <w:gridCol w:w="2510"/>
        <w:gridCol w:w="1095"/>
        <w:gridCol w:w="1094"/>
        <w:gridCol w:w="1093"/>
        <w:gridCol w:w="3563"/>
      </w:tblGrid>
      <w:tr>
        <w:trPr>
          <w:trHeight w:val="1402" w:hRule="atLeast"/>
        </w:trPr>
        <w:tc>
          <w:tcPr>
            <w:tcW w:w="2510" w:type="dxa"/>
          </w:tcPr>
          <w:p>
            <w:pPr>
              <w:pStyle w:val="TableParagraph"/>
              <w:rPr>
                <w:b/>
                <w:sz w:val="24"/>
              </w:rPr>
            </w:pPr>
            <w:r>
              <w:rPr>
                <w:b/>
                <w:sz w:val="24"/>
              </w:rPr>
              <w:t>Total</w:t>
            </w:r>
            <w:r>
              <w:rPr>
                <w:b/>
                <w:spacing w:val="-12"/>
                <w:sz w:val="24"/>
              </w:rPr>
              <w:t> </w:t>
            </w:r>
            <w:r>
              <w:rPr>
                <w:b/>
                <w:sz w:val="24"/>
              </w:rPr>
              <w:t>operating</w:t>
            </w:r>
            <w:r>
              <w:rPr>
                <w:b/>
                <w:spacing w:val="-12"/>
                <w:sz w:val="24"/>
              </w:rPr>
              <w:t> </w:t>
            </w:r>
            <w:r>
              <w:rPr>
                <w:b/>
                <w:spacing w:val="-2"/>
                <w:sz w:val="24"/>
              </w:rPr>
              <w:t>costs</w:t>
            </w:r>
          </w:p>
        </w:tc>
        <w:tc>
          <w:tcPr>
            <w:tcW w:w="1095" w:type="dxa"/>
          </w:tcPr>
          <w:p>
            <w:pPr>
              <w:pStyle w:val="TableParagraph"/>
              <w:rPr>
                <w:sz w:val="24"/>
              </w:rPr>
            </w:pPr>
            <w:r>
              <w:rPr>
                <w:spacing w:val="-2"/>
                <w:sz w:val="24"/>
              </w:rPr>
              <w:t>18,384</w:t>
            </w:r>
          </w:p>
        </w:tc>
        <w:tc>
          <w:tcPr>
            <w:tcW w:w="1094" w:type="dxa"/>
          </w:tcPr>
          <w:p>
            <w:pPr>
              <w:pStyle w:val="TableParagraph"/>
              <w:ind w:left="106"/>
              <w:rPr>
                <w:sz w:val="24"/>
              </w:rPr>
            </w:pPr>
            <w:r>
              <w:rPr>
                <w:spacing w:val="-2"/>
                <w:sz w:val="24"/>
              </w:rPr>
              <w:t>18,594</w:t>
            </w:r>
          </w:p>
        </w:tc>
        <w:tc>
          <w:tcPr>
            <w:tcW w:w="1093" w:type="dxa"/>
          </w:tcPr>
          <w:p>
            <w:pPr>
              <w:pStyle w:val="TableParagraph"/>
              <w:ind w:left="106"/>
              <w:rPr>
                <w:sz w:val="24"/>
              </w:rPr>
            </w:pPr>
            <w:r>
              <w:rPr>
                <w:sz w:val="24"/>
              </w:rPr>
              <w:t>-</w:t>
            </w:r>
            <w:r>
              <w:rPr>
                <w:spacing w:val="-4"/>
                <w:sz w:val="24"/>
              </w:rPr>
              <w:t>1.1%</w:t>
            </w:r>
          </w:p>
        </w:tc>
        <w:tc>
          <w:tcPr>
            <w:tcW w:w="3563" w:type="dxa"/>
          </w:tcPr>
          <w:p>
            <w:pPr>
              <w:pStyle w:val="TableParagraph"/>
              <w:spacing w:line="360" w:lineRule="auto"/>
              <w:ind w:left="105" w:right="101"/>
              <w:jc w:val="both"/>
              <w:rPr>
                <w:sz w:val="24"/>
              </w:rPr>
            </w:pPr>
            <w:r>
              <w:rPr>
                <w:sz w:val="24"/>
              </w:rPr>
              <w:t>Overall operating cost </w:t>
            </w:r>
            <w:r>
              <w:rPr>
                <w:sz w:val="24"/>
              </w:rPr>
              <w:t>base reduced modestly, supporting operating profit improvement.</w:t>
            </w:r>
          </w:p>
        </w:tc>
      </w:tr>
      <w:tr>
        <w:trPr>
          <w:trHeight w:val="1401" w:hRule="atLeast"/>
        </w:trPr>
        <w:tc>
          <w:tcPr>
            <w:tcW w:w="2510" w:type="dxa"/>
          </w:tcPr>
          <w:p>
            <w:pPr>
              <w:pStyle w:val="TableParagraph"/>
              <w:rPr>
                <w:b/>
                <w:sz w:val="24"/>
              </w:rPr>
            </w:pPr>
            <w:r>
              <w:rPr>
                <w:b/>
                <w:sz w:val="24"/>
              </w:rPr>
              <w:t>Operating </w:t>
            </w:r>
            <w:r>
              <w:rPr>
                <w:b/>
                <w:spacing w:val="-2"/>
                <w:sz w:val="24"/>
              </w:rPr>
              <w:t>profit</w:t>
            </w:r>
          </w:p>
        </w:tc>
        <w:tc>
          <w:tcPr>
            <w:tcW w:w="1095" w:type="dxa"/>
          </w:tcPr>
          <w:p>
            <w:pPr>
              <w:pStyle w:val="TableParagraph"/>
              <w:rPr>
                <w:sz w:val="24"/>
              </w:rPr>
            </w:pPr>
            <w:r>
              <w:rPr>
                <w:spacing w:val="-5"/>
                <w:sz w:val="24"/>
              </w:rPr>
              <w:t>89</w:t>
            </w:r>
          </w:p>
        </w:tc>
        <w:tc>
          <w:tcPr>
            <w:tcW w:w="1094" w:type="dxa"/>
          </w:tcPr>
          <w:p>
            <w:pPr>
              <w:pStyle w:val="TableParagraph"/>
              <w:ind w:left="106"/>
              <w:rPr>
                <w:sz w:val="24"/>
              </w:rPr>
            </w:pPr>
            <w:r>
              <w:rPr>
                <w:spacing w:val="-5"/>
                <w:sz w:val="24"/>
              </w:rPr>
              <w:t>18</w:t>
            </w:r>
          </w:p>
        </w:tc>
        <w:tc>
          <w:tcPr>
            <w:tcW w:w="1093" w:type="dxa"/>
          </w:tcPr>
          <w:p>
            <w:pPr>
              <w:pStyle w:val="TableParagraph"/>
              <w:ind w:left="106"/>
              <w:rPr>
                <w:sz w:val="24"/>
              </w:rPr>
            </w:pPr>
            <w:r>
              <w:rPr>
                <w:spacing w:val="-2"/>
                <w:sz w:val="24"/>
              </w:rPr>
              <w:t>+394.4%</w:t>
            </w:r>
          </w:p>
        </w:tc>
        <w:tc>
          <w:tcPr>
            <w:tcW w:w="3563" w:type="dxa"/>
          </w:tcPr>
          <w:p>
            <w:pPr>
              <w:pStyle w:val="TableParagraph"/>
              <w:spacing w:line="360" w:lineRule="auto"/>
              <w:ind w:left="105" w:right="99"/>
              <w:jc w:val="both"/>
              <w:rPr>
                <w:sz w:val="24"/>
              </w:rPr>
            </w:pPr>
            <w:r>
              <w:rPr>
                <w:sz w:val="24"/>
              </w:rPr>
              <w:t>Improvement reflects better cost control and absence of prior-year supply chain disruption.</w:t>
            </w:r>
          </w:p>
        </w:tc>
      </w:tr>
    </w:tbl>
    <w:p>
      <w:pPr>
        <w:pStyle w:val="BodyText"/>
        <w:rPr>
          <w:b/>
          <w:i/>
        </w:rPr>
      </w:pPr>
    </w:p>
    <w:p>
      <w:pPr>
        <w:pStyle w:val="BodyText"/>
        <w:spacing w:before="24"/>
        <w:rPr>
          <w:b/>
          <w:i/>
        </w:rPr>
      </w:pPr>
    </w:p>
    <w:p>
      <w:pPr>
        <w:pStyle w:val="BodyText"/>
        <w:spacing w:line="360" w:lineRule="auto"/>
        <w:ind w:right="356"/>
        <w:jc w:val="both"/>
      </w:pPr>
      <w:r>
        <w:rPr/>
        <w:t>Morrisons has a core strategy of budgeting, as the company, operating in a food inflation and volatile</w:t>
      </w:r>
      <w:r>
        <w:rPr>
          <w:spacing w:val="-12"/>
        </w:rPr>
        <w:t> </w:t>
      </w:r>
      <w:r>
        <w:rPr/>
        <w:t>grocery</w:t>
      </w:r>
      <w:r>
        <w:rPr>
          <w:spacing w:val="-10"/>
        </w:rPr>
        <w:t> </w:t>
      </w:r>
      <w:r>
        <w:rPr/>
        <w:t>market</w:t>
      </w:r>
      <w:r>
        <w:rPr>
          <w:spacing w:val="-11"/>
        </w:rPr>
        <w:t> </w:t>
      </w:r>
      <w:r>
        <w:rPr/>
        <w:t>impacted</w:t>
      </w:r>
      <w:r>
        <w:rPr>
          <w:spacing w:val="-10"/>
        </w:rPr>
        <w:t> </w:t>
      </w:r>
      <w:r>
        <w:rPr/>
        <w:t>by</w:t>
      </w:r>
      <w:r>
        <w:rPr>
          <w:spacing w:val="-12"/>
        </w:rPr>
        <w:t> </w:t>
      </w:r>
      <w:r>
        <w:rPr/>
        <w:t>rising</w:t>
      </w:r>
      <w:r>
        <w:rPr>
          <w:spacing w:val="-11"/>
        </w:rPr>
        <w:t> </w:t>
      </w:r>
      <w:r>
        <w:rPr/>
        <w:t>wages,</w:t>
      </w:r>
      <w:r>
        <w:rPr>
          <w:spacing w:val="-11"/>
        </w:rPr>
        <w:t> </w:t>
      </w:r>
      <w:r>
        <w:rPr/>
        <w:t>energy</w:t>
      </w:r>
      <w:r>
        <w:rPr>
          <w:spacing w:val="-11"/>
        </w:rPr>
        <w:t> </w:t>
      </w:r>
      <w:r>
        <w:rPr/>
        <w:t>costs,</w:t>
      </w:r>
      <w:r>
        <w:rPr>
          <w:spacing w:val="-11"/>
        </w:rPr>
        <w:t> </w:t>
      </w:r>
      <w:r>
        <w:rPr/>
        <w:t>seasonality</w:t>
      </w:r>
      <w:r>
        <w:rPr>
          <w:spacing w:val="-11"/>
        </w:rPr>
        <w:t> </w:t>
      </w:r>
      <w:r>
        <w:rPr/>
        <w:t>and</w:t>
      </w:r>
      <w:r>
        <w:rPr>
          <w:spacing w:val="-10"/>
        </w:rPr>
        <w:t> </w:t>
      </w:r>
      <w:r>
        <w:rPr/>
        <w:t>supplier</w:t>
      </w:r>
      <w:r>
        <w:rPr>
          <w:spacing w:val="-10"/>
        </w:rPr>
        <w:t> </w:t>
      </w:r>
      <w:r>
        <w:rPr/>
        <w:t>day</w:t>
      </w:r>
      <w:r>
        <w:rPr>
          <w:spacing w:val="-12"/>
        </w:rPr>
        <w:t> </w:t>
      </w:r>
      <w:r>
        <w:rPr/>
        <w:t>rates, needs</w:t>
      </w:r>
      <w:r>
        <w:rPr>
          <w:spacing w:val="-8"/>
        </w:rPr>
        <w:t> </w:t>
      </w:r>
      <w:r>
        <w:rPr/>
        <w:t>to</w:t>
      </w:r>
      <w:r>
        <w:rPr>
          <w:spacing w:val="-8"/>
        </w:rPr>
        <w:t> </w:t>
      </w:r>
      <w:r>
        <w:rPr/>
        <w:t>keep</w:t>
      </w:r>
      <w:r>
        <w:rPr>
          <w:spacing w:val="-8"/>
        </w:rPr>
        <w:t> </w:t>
      </w:r>
      <w:r>
        <w:rPr/>
        <w:t>a</w:t>
      </w:r>
      <w:r>
        <w:rPr>
          <w:spacing w:val="-8"/>
        </w:rPr>
        <w:t> </w:t>
      </w:r>
      <w:r>
        <w:rPr/>
        <w:t>close</w:t>
      </w:r>
      <w:r>
        <w:rPr>
          <w:spacing w:val="-8"/>
        </w:rPr>
        <w:t> </w:t>
      </w:r>
      <w:r>
        <w:rPr/>
        <w:t>eye</w:t>
      </w:r>
      <w:r>
        <w:rPr>
          <w:spacing w:val="-9"/>
        </w:rPr>
        <w:t> </w:t>
      </w:r>
      <w:r>
        <w:rPr/>
        <w:t>on</w:t>
      </w:r>
      <w:r>
        <w:rPr>
          <w:spacing w:val="-8"/>
        </w:rPr>
        <w:t> </w:t>
      </w:r>
      <w:r>
        <w:rPr/>
        <w:t>costs.</w:t>
      </w:r>
      <w:r>
        <w:rPr>
          <w:spacing w:val="-8"/>
        </w:rPr>
        <w:t> </w:t>
      </w:r>
      <w:r>
        <w:rPr/>
        <w:t>It's</w:t>
      </w:r>
      <w:r>
        <w:rPr>
          <w:spacing w:val="-8"/>
        </w:rPr>
        <w:t> </w:t>
      </w:r>
      <w:r>
        <w:rPr/>
        <w:t>important</w:t>
      </w:r>
      <w:r>
        <w:rPr>
          <w:spacing w:val="-8"/>
        </w:rPr>
        <w:t> </w:t>
      </w:r>
      <w:r>
        <w:rPr/>
        <w:t>to</w:t>
      </w:r>
      <w:r>
        <w:rPr>
          <w:spacing w:val="-9"/>
        </w:rPr>
        <w:t> </w:t>
      </w:r>
      <w:r>
        <w:rPr/>
        <w:t>have</w:t>
      </w:r>
      <w:r>
        <w:rPr>
          <w:spacing w:val="-8"/>
        </w:rPr>
        <w:t> </w:t>
      </w:r>
      <w:r>
        <w:rPr/>
        <w:t>the</w:t>
      </w:r>
      <w:r>
        <w:rPr>
          <w:spacing w:val="-6"/>
        </w:rPr>
        <w:t> </w:t>
      </w:r>
      <w:r>
        <w:rPr/>
        <w:t>budget</w:t>
      </w:r>
      <w:r>
        <w:rPr>
          <w:spacing w:val="-8"/>
        </w:rPr>
        <w:t> </w:t>
      </w:r>
      <w:r>
        <w:rPr/>
        <w:t>inform</w:t>
      </w:r>
      <w:r>
        <w:rPr>
          <w:spacing w:val="-9"/>
        </w:rPr>
        <w:t> </w:t>
      </w:r>
      <w:r>
        <w:rPr/>
        <w:t>store</w:t>
      </w:r>
      <w:r>
        <w:rPr>
          <w:spacing w:val="-9"/>
        </w:rPr>
        <w:t> </w:t>
      </w:r>
      <w:r>
        <w:rPr/>
        <w:t>labour</w:t>
      </w:r>
      <w:r>
        <w:rPr>
          <w:spacing w:val="-9"/>
        </w:rPr>
        <w:t> </w:t>
      </w:r>
      <w:r>
        <w:rPr/>
        <w:t>allocation, inventory management, promotion spending, capital expenditure, energy usage, and supplier relations (Daowadueng, 2023). Morrisons' traditional budget approach will be too inflexible as food prices, demand trends, and competitor promotions are volatile. Rolling budgets or flexible budgets would be useful as they can be revised as sales volumes and costs of inputs, including inflationary expectations, vary (Imjai et al., 2023).</w:t>
      </w:r>
    </w:p>
    <w:p>
      <w:pPr>
        <w:pStyle w:val="BodyText"/>
        <w:spacing w:line="360" w:lineRule="auto" w:before="160"/>
        <w:ind w:right="356"/>
        <w:jc w:val="both"/>
      </w:pPr>
      <w:r>
        <w:rPr/>
        <w:t>Morrisons is no longer listed on the stock exchange as a result of a friendly takeover by Clayton, Dubilier &amp; Rice, so there is no up-to-date information on public operating expenses on Google Finance (Molnár and</w:t>
      </w:r>
      <w:r>
        <w:rPr>
          <w:spacing w:val="-1"/>
        </w:rPr>
        <w:t> </w:t>
      </w:r>
      <w:r>
        <w:rPr/>
        <w:t>Hajdú,</w:t>
      </w:r>
      <w:r>
        <w:rPr>
          <w:spacing w:val="-1"/>
        </w:rPr>
        <w:t> </w:t>
      </w:r>
      <w:r>
        <w:rPr/>
        <w:t>2023).</w:t>
      </w:r>
      <w:r>
        <w:rPr>
          <w:spacing w:val="-7"/>
        </w:rPr>
        <w:t> </w:t>
      </w:r>
      <w:r>
        <w:rPr/>
        <w:t>This</w:t>
      </w:r>
      <w:r>
        <w:rPr>
          <w:spacing w:val="-1"/>
        </w:rPr>
        <w:t> </w:t>
      </w:r>
      <w:r>
        <w:rPr/>
        <w:t>is</w:t>
      </w:r>
      <w:r>
        <w:rPr>
          <w:spacing w:val="-1"/>
        </w:rPr>
        <w:t> </w:t>
      </w:r>
      <w:r>
        <w:rPr/>
        <w:t>a</w:t>
      </w:r>
      <w:r>
        <w:rPr>
          <w:spacing w:val="-1"/>
        </w:rPr>
        <w:t> </w:t>
      </w:r>
      <w:r>
        <w:rPr/>
        <w:t>significant</w:t>
      </w:r>
      <w:r>
        <w:rPr>
          <w:spacing w:val="-1"/>
        </w:rPr>
        <w:t> </w:t>
      </w:r>
      <w:r>
        <w:rPr/>
        <w:t>constraint. Even</w:t>
      </w:r>
      <w:r>
        <w:rPr>
          <w:spacing w:val="-3"/>
        </w:rPr>
        <w:t> </w:t>
      </w:r>
      <w:r>
        <w:rPr/>
        <w:t>with</w:t>
      </w:r>
      <w:r>
        <w:rPr>
          <w:spacing w:val="-1"/>
        </w:rPr>
        <w:t> </w:t>
      </w:r>
      <w:r>
        <w:rPr/>
        <w:t>unexpected out-of-scope cost pressures, Morrisons was able to continue the positive trend of holding underlying EBITDA</w:t>
      </w:r>
      <w:r>
        <w:rPr>
          <w:spacing w:val="-15"/>
        </w:rPr>
        <w:t> </w:t>
      </w:r>
      <w:r>
        <w:rPr/>
        <w:t>at</w:t>
      </w:r>
      <w:r>
        <w:rPr>
          <w:spacing w:val="-15"/>
        </w:rPr>
        <w:t> </w:t>
      </w:r>
      <w:r>
        <w:rPr/>
        <w:t>£835m</w:t>
      </w:r>
      <w:r>
        <w:rPr>
          <w:spacing w:val="-15"/>
        </w:rPr>
        <w:t> </w:t>
      </w:r>
      <w:r>
        <w:rPr/>
        <w:t>in</w:t>
      </w:r>
      <w:r>
        <w:rPr>
          <w:spacing w:val="-15"/>
        </w:rPr>
        <w:t> </w:t>
      </w:r>
      <w:r>
        <w:rPr/>
        <w:t>2024/25;</w:t>
      </w:r>
      <w:r>
        <w:rPr>
          <w:spacing w:val="-15"/>
        </w:rPr>
        <w:t> </w:t>
      </w:r>
      <w:r>
        <w:rPr/>
        <w:t>the</w:t>
      </w:r>
      <w:r>
        <w:rPr>
          <w:spacing w:val="-12"/>
        </w:rPr>
        <w:t> </w:t>
      </w:r>
      <w:r>
        <w:rPr/>
        <w:t>latest</w:t>
      </w:r>
      <w:r>
        <w:rPr>
          <w:spacing w:val="-14"/>
        </w:rPr>
        <w:t> </w:t>
      </w:r>
      <w:r>
        <w:rPr/>
        <w:t>available</w:t>
      </w:r>
      <w:r>
        <w:rPr>
          <w:spacing w:val="-13"/>
        </w:rPr>
        <w:t> </w:t>
      </w:r>
      <w:r>
        <w:rPr/>
        <w:t>trading</w:t>
      </w:r>
      <w:r>
        <w:rPr>
          <w:spacing w:val="-13"/>
        </w:rPr>
        <w:t> </w:t>
      </w:r>
      <w:r>
        <w:rPr/>
        <w:t>update</w:t>
      </w:r>
      <w:r>
        <w:rPr>
          <w:spacing w:val="-12"/>
        </w:rPr>
        <w:t> </w:t>
      </w:r>
      <w:r>
        <w:rPr/>
        <w:t>shows.</w:t>
      </w:r>
      <w:r>
        <w:rPr>
          <w:spacing w:val="-14"/>
        </w:rPr>
        <w:t> </w:t>
      </w:r>
      <w:r>
        <w:rPr/>
        <w:t>It</w:t>
      </w:r>
      <w:r>
        <w:rPr>
          <w:spacing w:val="-12"/>
        </w:rPr>
        <w:t> </w:t>
      </w:r>
      <w:r>
        <w:rPr/>
        <w:t>also</w:t>
      </w:r>
      <w:r>
        <w:rPr>
          <w:spacing w:val="-12"/>
        </w:rPr>
        <w:t> </w:t>
      </w:r>
      <w:r>
        <w:rPr/>
        <w:t>added</w:t>
      </w:r>
      <w:r>
        <w:rPr>
          <w:spacing w:val="-14"/>
        </w:rPr>
        <w:t> </w:t>
      </w:r>
      <w:r>
        <w:rPr/>
        <w:t>cost</w:t>
      </w:r>
      <w:r>
        <w:rPr>
          <w:spacing w:val="-12"/>
        </w:rPr>
        <w:t> </w:t>
      </w:r>
      <w:r>
        <w:rPr/>
        <w:t>savings of £233m in the year, bringing the total cost savings to £845m (Morrisons PLC, 2024).</w:t>
      </w:r>
    </w:p>
    <w:p>
      <w:pPr>
        <w:pStyle w:val="BodyText"/>
        <w:spacing w:before="10"/>
        <w:rPr>
          <w:sz w:val="13"/>
        </w:rPr>
      </w:pPr>
    </w:p>
    <w:tbl>
      <w:tblPr>
        <w:tblW w:w="0" w:type="auto"/>
        <w:jc w:val="left"/>
        <w:tblInd w:w="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top w:w="0" w:type="dxa"/>
          <w:left w:w="0" w:type="dxa"/>
          <w:bottom w:w="0" w:type="dxa"/>
          <w:right w:w="0" w:type="dxa"/>
        </w:tblCellMar>
        <w:tblLook w:val="01E0"/>
      </w:tblPr>
      <w:tblGrid>
        <w:gridCol w:w="3605"/>
        <w:gridCol w:w="5746"/>
      </w:tblGrid>
      <w:tr>
        <w:trPr>
          <w:trHeight w:val="574" w:hRule="atLeast"/>
        </w:trPr>
        <w:tc>
          <w:tcPr>
            <w:tcW w:w="3605" w:type="dxa"/>
          </w:tcPr>
          <w:p>
            <w:pPr>
              <w:pStyle w:val="TableParagraph"/>
              <w:rPr>
                <w:b/>
                <w:sz w:val="24"/>
              </w:rPr>
            </w:pPr>
            <w:r>
              <w:rPr>
                <w:b/>
                <w:sz w:val="24"/>
              </w:rPr>
              <w:t>Cost </w:t>
            </w:r>
            <w:r>
              <w:rPr>
                <w:b/>
                <w:spacing w:val="-2"/>
                <w:sz w:val="24"/>
              </w:rPr>
              <w:t>Changes</w:t>
            </w:r>
          </w:p>
        </w:tc>
        <w:tc>
          <w:tcPr>
            <w:tcW w:w="5746" w:type="dxa"/>
          </w:tcPr>
          <w:p>
            <w:pPr>
              <w:pStyle w:val="TableParagraph"/>
              <w:ind w:left="106"/>
              <w:rPr>
                <w:b/>
                <w:sz w:val="24"/>
              </w:rPr>
            </w:pPr>
            <w:r>
              <w:rPr>
                <w:b/>
                <w:sz w:val="24"/>
              </w:rPr>
              <w:t>Management </w:t>
            </w:r>
            <w:r>
              <w:rPr>
                <w:b/>
                <w:spacing w:val="-2"/>
                <w:sz w:val="24"/>
              </w:rPr>
              <w:t>Decisions</w:t>
            </w:r>
          </w:p>
        </w:tc>
      </w:tr>
      <w:tr>
        <w:trPr>
          <w:trHeight w:val="987" w:hRule="atLeast"/>
        </w:trPr>
        <w:tc>
          <w:tcPr>
            <w:tcW w:w="3605" w:type="dxa"/>
          </w:tcPr>
          <w:p>
            <w:pPr>
              <w:pStyle w:val="TableParagraph"/>
              <w:rPr>
                <w:sz w:val="24"/>
              </w:rPr>
            </w:pPr>
            <w:r>
              <w:rPr>
                <w:sz w:val="24"/>
              </w:rPr>
              <w:t>Revenue up 3.2% to</w:t>
            </w:r>
            <w:r>
              <w:rPr>
                <w:spacing w:val="1"/>
                <w:sz w:val="24"/>
              </w:rPr>
              <w:t> </w:t>
            </w:r>
            <w:r>
              <w:rPr>
                <w:spacing w:val="-2"/>
                <w:sz w:val="24"/>
              </w:rPr>
              <w:t>£15.8bn</w:t>
            </w:r>
          </w:p>
        </w:tc>
        <w:tc>
          <w:tcPr>
            <w:tcW w:w="5746" w:type="dxa"/>
          </w:tcPr>
          <w:p>
            <w:pPr>
              <w:pStyle w:val="TableParagraph"/>
              <w:tabs>
                <w:tab w:pos="813" w:val="left" w:leader="none"/>
                <w:tab w:pos="1898" w:val="left" w:leader="none"/>
                <w:tab w:pos="2405" w:val="left" w:leader="none"/>
                <w:tab w:pos="3286" w:val="left" w:leader="none"/>
                <w:tab w:pos="4245" w:val="left" w:leader="none"/>
                <w:tab w:pos="5140" w:val="left" w:leader="none"/>
                <w:tab w:pos="5527" w:val="left" w:leader="none"/>
              </w:tabs>
              <w:spacing w:line="360" w:lineRule="auto"/>
              <w:ind w:left="106" w:right="100"/>
              <w:rPr>
                <w:sz w:val="24"/>
              </w:rPr>
            </w:pPr>
            <w:r>
              <w:rPr>
                <w:spacing w:val="-2"/>
                <w:sz w:val="24"/>
              </w:rPr>
              <w:t>Sales</w:t>
            </w:r>
            <w:r>
              <w:rPr>
                <w:sz w:val="24"/>
              </w:rPr>
              <w:tab/>
            </w:r>
            <w:r>
              <w:rPr>
                <w:spacing w:val="-2"/>
                <w:sz w:val="24"/>
              </w:rPr>
              <w:t>recovery,</w:t>
            </w:r>
            <w:r>
              <w:rPr>
                <w:sz w:val="24"/>
              </w:rPr>
              <w:tab/>
            </w:r>
            <w:r>
              <w:rPr>
                <w:spacing w:val="-4"/>
                <w:sz w:val="24"/>
              </w:rPr>
              <w:t>but</w:t>
            </w:r>
            <w:r>
              <w:rPr>
                <w:sz w:val="24"/>
              </w:rPr>
              <w:tab/>
            </w:r>
            <w:r>
              <w:rPr>
                <w:spacing w:val="-2"/>
                <w:sz w:val="24"/>
              </w:rPr>
              <w:t>growth</w:t>
            </w:r>
            <w:r>
              <w:rPr>
                <w:sz w:val="24"/>
              </w:rPr>
              <w:tab/>
            </w:r>
            <w:r>
              <w:rPr>
                <w:spacing w:val="-2"/>
                <w:sz w:val="24"/>
              </w:rPr>
              <w:t>remains</w:t>
            </w:r>
            <w:r>
              <w:rPr>
                <w:sz w:val="24"/>
              </w:rPr>
              <w:tab/>
            </w:r>
            <w:r>
              <w:rPr>
                <w:spacing w:val="-2"/>
                <w:sz w:val="24"/>
              </w:rPr>
              <w:t>modest</w:t>
            </w:r>
            <w:r>
              <w:rPr>
                <w:sz w:val="24"/>
              </w:rPr>
              <w:tab/>
            </w:r>
            <w:r>
              <w:rPr>
                <w:spacing w:val="-6"/>
                <w:sz w:val="24"/>
              </w:rPr>
              <w:t>in</w:t>
            </w:r>
            <w:r>
              <w:rPr>
                <w:sz w:val="24"/>
              </w:rPr>
              <w:tab/>
            </w:r>
            <w:r>
              <w:rPr>
                <w:spacing w:val="-10"/>
                <w:sz w:val="24"/>
              </w:rPr>
              <w:t>a </w:t>
            </w:r>
            <w:r>
              <w:rPr>
                <w:sz w:val="24"/>
              </w:rPr>
              <w:t>competitive market.</w:t>
            </w:r>
          </w:p>
        </w:tc>
      </w:tr>
      <w:tr>
        <w:trPr>
          <w:trHeight w:val="574" w:hRule="atLeast"/>
        </w:trPr>
        <w:tc>
          <w:tcPr>
            <w:tcW w:w="3605" w:type="dxa"/>
          </w:tcPr>
          <w:p>
            <w:pPr>
              <w:pStyle w:val="TableParagraph"/>
              <w:spacing w:before="1"/>
              <w:rPr>
                <w:sz w:val="24"/>
              </w:rPr>
            </w:pPr>
            <w:r>
              <w:rPr>
                <w:sz w:val="24"/>
              </w:rPr>
              <w:t>LFL</w:t>
            </w:r>
            <w:r>
              <w:rPr>
                <w:spacing w:val="-11"/>
                <w:sz w:val="24"/>
              </w:rPr>
              <w:t> </w:t>
            </w:r>
            <w:r>
              <w:rPr>
                <w:sz w:val="24"/>
              </w:rPr>
              <w:t>sales</w:t>
            </w:r>
            <w:r>
              <w:rPr>
                <w:spacing w:val="-2"/>
                <w:sz w:val="24"/>
              </w:rPr>
              <w:t> </w:t>
            </w:r>
            <w:r>
              <w:rPr>
                <w:sz w:val="24"/>
              </w:rPr>
              <w:t>up </w:t>
            </w:r>
            <w:r>
              <w:rPr>
                <w:spacing w:val="-4"/>
                <w:sz w:val="24"/>
              </w:rPr>
              <w:t>2.8%</w:t>
            </w:r>
          </w:p>
        </w:tc>
        <w:tc>
          <w:tcPr>
            <w:tcW w:w="5746" w:type="dxa"/>
          </w:tcPr>
          <w:p>
            <w:pPr>
              <w:pStyle w:val="TableParagraph"/>
              <w:spacing w:before="1"/>
              <w:ind w:left="106"/>
              <w:rPr>
                <w:sz w:val="24"/>
              </w:rPr>
            </w:pPr>
            <w:r>
              <w:rPr>
                <w:sz w:val="24"/>
              </w:rPr>
              <w:t>Existing-store</w:t>
            </w:r>
            <w:r>
              <w:rPr>
                <w:spacing w:val="-2"/>
                <w:sz w:val="24"/>
              </w:rPr>
              <w:t> </w:t>
            </w:r>
            <w:r>
              <w:rPr>
                <w:sz w:val="24"/>
              </w:rPr>
              <w:t>performance</w:t>
            </w:r>
            <w:r>
              <w:rPr>
                <w:spacing w:val="-2"/>
                <w:sz w:val="24"/>
              </w:rPr>
              <w:t> improved.</w:t>
            </w:r>
          </w:p>
        </w:tc>
      </w:tr>
    </w:tbl>
    <w:p>
      <w:pPr>
        <w:pStyle w:val="TableParagraph"/>
        <w:spacing w:after="0"/>
        <w:rPr>
          <w:sz w:val="24"/>
        </w:rPr>
        <w:sectPr>
          <w:pgSz w:w="12240" w:h="15840"/>
          <w:pgMar w:header="780" w:footer="1060" w:top="1680" w:bottom="1260" w:left="1440" w:right="1080"/>
        </w:sectPr>
      </w:pPr>
    </w:p>
    <w:p>
      <w:pPr>
        <w:pStyle w:val="BodyText"/>
        <w:spacing w:before="10"/>
        <w:rPr>
          <w:sz w:val="6"/>
        </w:rPr>
      </w:pPr>
    </w:p>
    <w:tbl>
      <w:tblPr>
        <w:tblW w:w="0" w:type="auto"/>
        <w:jc w:val="left"/>
        <w:tblInd w:w="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top w:w="0" w:type="dxa"/>
          <w:left w:w="0" w:type="dxa"/>
          <w:bottom w:w="0" w:type="dxa"/>
          <w:right w:w="0" w:type="dxa"/>
        </w:tblCellMar>
        <w:tblLook w:val="01E0"/>
      </w:tblPr>
      <w:tblGrid>
        <w:gridCol w:w="3605"/>
        <w:gridCol w:w="5746"/>
      </w:tblGrid>
      <w:tr>
        <w:trPr>
          <w:trHeight w:val="988" w:hRule="atLeast"/>
        </w:trPr>
        <w:tc>
          <w:tcPr>
            <w:tcW w:w="3605" w:type="dxa"/>
          </w:tcPr>
          <w:p>
            <w:pPr>
              <w:pStyle w:val="TableParagraph"/>
              <w:rPr>
                <w:sz w:val="24"/>
              </w:rPr>
            </w:pPr>
            <w:r>
              <w:rPr>
                <w:sz w:val="24"/>
              </w:rPr>
              <w:t>EBITDA</w:t>
            </w:r>
            <w:r>
              <w:rPr>
                <w:spacing w:val="-15"/>
                <w:sz w:val="24"/>
              </w:rPr>
              <w:t> </w:t>
            </w:r>
            <w:r>
              <w:rPr>
                <w:sz w:val="24"/>
              </w:rPr>
              <w:t>maintained</w:t>
            </w:r>
            <w:r>
              <w:rPr>
                <w:spacing w:val="-3"/>
                <w:sz w:val="24"/>
              </w:rPr>
              <w:t> </w:t>
            </w:r>
            <w:r>
              <w:rPr>
                <w:sz w:val="24"/>
              </w:rPr>
              <w:t>at</w:t>
            </w:r>
            <w:r>
              <w:rPr>
                <w:spacing w:val="-2"/>
                <w:sz w:val="24"/>
              </w:rPr>
              <w:t> £835m</w:t>
            </w:r>
          </w:p>
        </w:tc>
        <w:tc>
          <w:tcPr>
            <w:tcW w:w="5746" w:type="dxa"/>
          </w:tcPr>
          <w:p>
            <w:pPr>
              <w:pStyle w:val="TableParagraph"/>
              <w:tabs>
                <w:tab w:pos="776" w:val="left" w:leader="none"/>
                <w:tab w:pos="1898" w:val="left" w:leader="none"/>
                <w:tab w:pos="2593" w:val="left" w:leader="none"/>
                <w:tab w:pos="3365" w:val="left" w:leader="none"/>
                <w:tab w:pos="4341" w:val="left" w:leader="none"/>
                <w:tab w:pos="5290" w:val="left" w:leader="none"/>
              </w:tabs>
              <w:spacing w:line="360" w:lineRule="auto"/>
              <w:ind w:left="106" w:right="97"/>
              <w:rPr>
                <w:sz w:val="24"/>
              </w:rPr>
            </w:pPr>
            <w:r>
              <w:rPr>
                <w:spacing w:val="-4"/>
                <w:sz w:val="24"/>
              </w:rPr>
              <w:t>Cost</w:t>
            </w:r>
            <w:r>
              <w:rPr>
                <w:sz w:val="24"/>
              </w:rPr>
              <w:tab/>
            </w:r>
            <w:r>
              <w:rPr>
                <w:spacing w:val="-2"/>
                <w:sz w:val="24"/>
              </w:rPr>
              <w:t>pressures</w:t>
            </w:r>
            <w:r>
              <w:rPr>
                <w:sz w:val="24"/>
              </w:rPr>
              <w:tab/>
            </w:r>
            <w:r>
              <w:rPr>
                <w:spacing w:val="-4"/>
                <w:sz w:val="24"/>
              </w:rPr>
              <w:t>were</w:t>
            </w:r>
            <w:r>
              <w:rPr>
                <w:sz w:val="24"/>
              </w:rPr>
              <w:tab/>
            </w:r>
            <w:r>
              <w:rPr>
                <w:spacing w:val="-2"/>
                <w:sz w:val="24"/>
              </w:rPr>
              <w:t>offset</w:t>
            </w:r>
            <w:r>
              <w:rPr>
                <w:sz w:val="24"/>
              </w:rPr>
              <w:tab/>
            </w:r>
            <w:r>
              <w:rPr>
                <w:spacing w:val="-2"/>
                <w:sz w:val="24"/>
              </w:rPr>
              <w:t>through</w:t>
            </w:r>
            <w:r>
              <w:rPr>
                <w:sz w:val="24"/>
              </w:rPr>
              <w:tab/>
            </w:r>
            <w:r>
              <w:rPr>
                <w:spacing w:val="-2"/>
                <w:sz w:val="24"/>
              </w:rPr>
              <w:t>savings</w:t>
            </w:r>
            <w:r>
              <w:rPr>
                <w:sz w:val="24"/>
              </w:rPr>
              <w:tab/>
            </w:r>
            <w:r>
              <w:rPr>
                <w:spacing w:val="-4"/>
                <w:sz w:val="24"/>
              </w:rPr>
              <w:t>and </w:t>
            </w:r>
            <w:r>
              <w:rPr>
                <w:sz w:val="24"/>
              </w:rPr>
              <w:t>operational control.</w:t>
            </w:r>
          </w:p>
        </w:tc>
      </w:tr>
      <w:tr>
        <w:trPr>
          <w:trHeight w:val="573" w:hRule="atLeast"/>
        </w:trPr>
        <w:tc>
          <w:tcPr>
            <w:tcW w:w="3605" w:type="dxa"/>
          </w:tcPr>
          <w:p>
            <w:pPr>
              <w:pStyle w:val="TableParagraph"/>
              <w:rPr>
                <w:sz w:val="24"/>
              </w:rPr>
            </w:pPr>
            <w:r>
              <w:rPr>
                <w:sz w:val="24"/>
              </w:rPr>
              <w:t>£233m</w:t>
            </w:r>
            <w:r>
              <w:rPr>
                <w:spacing w:val="-2"/>
                <w:sz w:val="24"/>
              </w:rPr>
              <w:t> </w:t>
            </w:r>
            <w:r>
              <w:rPr>
                <w:sz w:val="24"/>
              </w:rPr>
              <w:t>in-year cost</w:t>
            </w:r>
            <w:r>
              <w:rPr>
                <w:spacing w:val="-1"/>
                <w:sz w:val="24"/>
              </w:rPr>
              <w:t> </w:t>
            </w:r>
            <w:r>
              <w:rPr>
                <w:spacing w:val="-2"/>
                <w:sz w:val="24"/>
              </w:rPr>
              <w:t>savings</w:t>
            </w:r>
          </w:p>
        </w:tc>
        <w:tc>
          <w:tcPr>
            <w:tcW w:w="5746" w:type="dxa"/>
          </w:tcPr>
          <w:p>
            <w:pPr>
              <w:pStyle w:val="TableParagraph"/>
              <w:ind w:left="106"/>
              <w:rPr>
                <w:sz w:val="24"/>
              </w:rPr>
            </w:pPr>
            <w:r>
              <w:rPr>
                <w:sz w:val="24"/>
              </w:rPr>
              <w:t>Management</w:t>
            </w:r>
            <w:r>
              <w:rPr>
                <w:spacing w:val="-2"/>
                <w:sz w:val="24"/>
              </w:rPr>
              <w:t> </w:t>
            </w:r>
            <w:r>
              <w:rPr>
                <w:sz w:val="24"/>
              </w:rPr>
              <w:t>focused</w:t>
            </w:r>
            <w:r>
              <w:rPr>
                <w:spacing w:val="-2"/>
                <w:sz w:val="24"/>
              </w:rPr>
              <w:t> </w:t>
            </w:r>
            <w:r>
              <w:rPr>
                <w:sz w:val="24"/>
              </w:rPr>
              <w:t>on</w:t>
            </w:r>
            <w:r>
              <w:rPr>
                <w:spacing w:val="-1"/>
                <w:sz w:val="24"/>
              </w:rPr>
              <w:t> </w:t>
            </w:r>
            <w:r>
              <w:rPr>
                <w:sz w:val="24"/>
              </w:rPr>
              <w:t>efficiency</w:t>
            </w:r>
            <w:r>
              <w:rPr>
                <w:spacing w:val="-2"/>
                <w:sz w:val="24"/>
              </w:rPr>
              <w:t> </w:t>
            </w:r>
            <w:r>
              <w:rPr>
                <w:sz w:val="24"/>
              </w:rPr>
              <w:t>and</w:t>
            </w:r>
            <w:r>
              <w:rPr>
                <w:spacing w:val="-1"/>
                <w:sz w:val="24"/>
              </w:rPr>
              <w:t> </w:t>
            </w:r>
            <w:r>
              <w:rPr>
                <w:spacing w:val="-2"/>
                <w:sz w:val="24"/>
              </w:rPr>
              <w:t>simplification.</w:t>
            </w:r>
          </w:p>
        </w:tc>
      </w:tr>
      <w:tr>
        <w:trPr>
          <w:trHeight w:val="988" w:hRule="atLeast"/>
        </w:trPr>
        <w:tc>
          <w:tcPr>
            <w:tcW w:w="3605" w:type="dxa"/>
          </w:tcPr>
          <w:p>
            <w:pPr>
              <w:pStyle w:val="TableParagraph"/>
              <w:tabs>
                <w:tab w:pos="978" w:val="left" w:leader="none"/>
                <w:tab w:pos="2210" w:val="left" w:leader="none"/>
                <w:tab w:pos="3109" w:val="left" w:leader="none"/>
              </w:tabs>
              <w:spacing w:line="360" w:lineRule="auto" w:before="1"/>
              <w:ind w:right="97"/>
              <w:rPr>
                <w:sz w:val="24"/>
              </w:rPr>
            </w:pPr>
            <w:r>
              <w:rPr>
                <w:spacing w:val="-2"/>
                <w:sz w:val="24"/>
              </w:rPr>
              <w:t>£200m</w:t>
            </w:r>
            <w:r>
              <w:rPr>
                <w:sz w:val="24"/>
              </w:rPr>
              <w:tab/>
            </w:r>
            <w:r>
              <w:rPr>
                <w:spacing w:val="-2"/>
                <w:sz w:val="24"/>
              </w:rPr>
              <w:t>annualised</w:t>
            </w:r>
            <w:r>
              <w:rPr>
                <w:sz w:val="24"/>
              </w:rPr>
              <w:tab/>
            </w:r>
            <w:r>
              <w:rPr>
                <w:spacing w:val="-2"/>
                <w:sz w:val="24"/>
              </w:rPr>
              <w:t>Budget</w:t>
            </w:r>
            <w:r>
              <w:rPr>
                <w:sz w:val="24"/>
              </w:rPr>
              <w:tab/>
            </w:r>
            <w:r>
              <w:rPr>
                <w:spacing w:val="-4"/>
                <w:sz w:val="24"/>
              </w:rPr>
              <w:t>cost </w:t>
            </w:r>
            <w:r>
              <w:rPr>
                <w:spacing w:val="-2"/>
                <w:sz w:val="24"/>
              </w:rPr>
              <w:t>headwind</w:t>
            </w:r>
          </w:p>
        </w:tc>
        <w:tc>
          <w:tcPr>
            <w:tcW w:w="5746" w:type="dxa"/>
          </w:tcPr>
          <w:p>
            <w:pPr>
              <w:pStyle w:val="TableParagraph"/>
              <w:spacing w:before="1"/>
              <w:ind w:left="106"/>
              <w:rPr>
                <w:sz w:val="24"/>
              </w:rPr>
            </w:pPr>
            <w:r>
              <w:rPr>
                <w:sz w:val="24"/>
              </w:rPr>
              <w:t>External</w:t>
            </w:r>
            <w:r>
              <w:rPr>
                <w:spacing w:val="-2"/>
                <w:sz w:val="24"/>
              </w:rPr>
              <w:t> </w:t>
            </w:r>
            <w:r>
              <w:rPr>
                <w:sz w:val="24"/>
              </w:rPr>
              <w:t>wage/tax</w:t>
            </w:r>
            <w:r>
              <w:rPr>
                <w:spacing w:val="-2"/>
                <w:sz w:val="24"/>
              </w:rPr>
              <w:t> </w:t>
            </w:r>
            <w:r>
              <w:rPr>
                <w:sz w:val="24"/>
              </w:rPr>
              <w:t>policy</w:t>
            </w:r>
            <w:r>
              <w:rPr>
                <w:spacing w:val="-2"/>
                <w:sz w:val="24"/>
              </w:rPr>
              <w:t> </w:t>
            </w:r>
            <w:r>
              <w:rPr>
                <w:sz w:val="24"/>
              </w:rPr>
              <w:t>affected</w:t>
            </w:r>
            <w:r>
              <w:rPr>
                <w:spacing w:val="-2"/>
                <w:sz w:val="24"/>
              </w:rPr>
              <w:t> </w:t>
            </w:r>
            <w:r>
              <w:rPr>
                <w:sz w:val="24"/>
              </w:rPr>
              <w:t>cost</w:t>
            </w:r>
            <w:r>
              <w:rPr>
                <w:spacing w:val="-1"/>
                <w:sz w:val="24"/>
              </w:rPr>
              <w:t> </w:t>
            </w:r>
            <w:r>
              <w:rPr>
                <w:spacing w:val="-2"/>
                <w:sz w:val="24"/>
              </w:rPr>
              <w:t>planning.</w:t>
            </w:r>
          </w:p>
        </w:tc>
      </w:tr>
    </w:tbl>
    <w:p>
      <w:pPr>
        <w:pStyle w:val="BodyText"/>
        <w:spacing w:line="360" w:lineRule="auto" w:before="2"/>
        <w:ind w:right="357"/>
        <w:jc w:val="both"/>
      </w:pPr>
      <w:r>
        <w:rPr/>
        <w:t>What matters is that this cost saving was not just an internal efficiency decision by Morrisons. Macro-economic pressures such as inflation, employment costs, and cyber incidents had to be addressed</w:t>
      </w:r>
      <w:r>
        <w:rPr>
          <w:spacing w:val="-7"/>
        </w:rPr>
        <w:t> </w:t>
      </w:r>
      <w:r>
        <w:rPr/>
        <w:t>by</w:t>
      </w:r>
      <w:r>
        <w:rPr>
          <w:spacing w:val="-6"/>
        </w:rPr>
        <w:t> </w:t>
      </w:r>
      <w:r>
        <w:rPr/>
        <w:t>the</w:t>
      </w:r>
      <w:r>
        <w:rPr>
          <w:spacing w:val="-6"/>
        </w:rPr>
        <w:t> </w:t>
      </w:r>
      <w:r>
        <w:rPr/>
        <w:t>management.</w:t>
      </w:r>
      <w:r>
        <w:rPr>
          <w:spacing w:val="-5"/>
        </w:rPr>
        <w:t> </w:t>
      </w:r>
      <w:r>
        <w:rPr/>
        <w:t>Morrisons</w:t>
      </w:r>
      <w:r>
        <w:rPr>
          <w:spacing w:val="-6"/>
        </w:rPr>
        <w:t> </w:t>
      </w:r>
      <w:r>
        <w:rPr/>
        <w:t>said</w:t>
      </w:r>
      <w:r>
        <w:rPr>
          <w:spacing w:val="-6"/>
        </w:rPr>
        <w:t> </w:t>
      </w:r>
      <w:r>
        <w:rPr/>
        <w:t>that</w:t>
      </w:r>
      <w:r>
        <w:rPr>
          <w:spacing w:val="-5"/>
        </w:rPr>
        <w:t> </w:t>
      </w:r>
      <w:r>
        <w:rPr/>
        <w:t>external</w:t>
      </w:r>
      <w:r>
        <w:rPr>
          <w:spacing w:val="-6"/>
        </w:rPr>
        <w:t> </w:t>
      </w:r>
      <w:r>
        <w:rPr/>
        <w:t>cost</w:t>
      </w:r>
      <w:r>
        <w:rPr>
          <w:spacing w:val="-5"/>
        </w:rPr>
        <w:t> </w:t>
      </w:r>
      <w:r>
        <w:rPr/>
        <w:t>headwinds</w:t>
      </w:r>
      <w:r>
        <w:rPr>
          <w:spacing w:val="-6"/>
        </w:rPr>
        <w:t> </w:t>
      </w:r>
      <w:r>
        <w:rPr/>
        <w:t>from</w:t>
      </w:r>
      <w:r>
        <w:rPr>
          <w:spacing w:val="-8"/>
        </w:rPr>
        <w:t> </w:t>
      </w:r>
      <w:r>
        <w:rPr/>
        <w:t>the</w:t>
      </w:r>
      <w:r>
        <w:rPr>
          <w:spacing w:val="-5"/>
        </w:rPr>
        <w:t> </w:t>
      </w:r>
      <w:r>
        <w:rPr/>
        <w:t>2024</w:t>
      </w:r>
      <w:r>
        <w:rPr>
          <w:spacing w:val="-6"/>
        </w:rPr>
        <w:t> </w:t>
      </w:r>
      <w:r>
        <w:rPr/>
        <w:t>Budget cost £200m over the year to date (Morrisons PLC, 2024). This is because controllable and uncontrollable costs need to be separated in variance analysis. Waste, planning labour and availability</w:t>
      </w:r>
      <w:r>
        <w:rPr>
          <w:spacing w:val="-14"/>
        </w:rPr>
        <w:t> </w:t>
      </w:r>
      <w:r>
        <w:rPr/>
        <w:t>of</w:t>
      </w:r>
      <w:r>
        <w:rPr>
          <w:spacing w:val="-14"/>
        </w:rPr>
        <w:t> </w:t>
      </w:r>
      <w:r>
        <w:rPr/>
        <w:t>stock</w:t>
      </w:r>
      <w:r>
        <w:rPr>
          <w:spacing w:val="-13"/>
        </w:rPr>
        <w:t> </w:t>
      </w:r>
      <w:r>
        <w:rPr/>
        <w:t>are</w:t>
      </w:r>
      <w:r>
        <w:rPr>
          <w:spacing w:val="-14"/>
        </w:rPr>
        <w:t> </w:t>
      </w:r>
      <w:r>
        <w:rPr/>
        <w:t>entirely</w:t>
      </w:r>
      <w:r>
        <w:rPr>
          <w:spacing w:val="-14"/>
        </w:rPr>
        <w:t> </w:t>
      </w:r>
      <w:r>
        <w:rPr/>
        <w:t>the</w:t>
      </w:r>
      <w:r>
        <w:rPr>
          <w:spacing w:val="-14"/>
        </w:rPr>
        <w:t> </w:t>
      </w:r>
      <w:r>
        <w:rPr/>
        <w:t>responsibility</w:t>
      </w:r>
      <w:r>
        <w:rPr>
          <w:spacing w:val="-14"/>
        </w:rPr>
        <w:t> </w:t>
      </w:r>
      <w:r>
        <w:rPr/>
        <w:t>of</w:t>
      </w:r>
      <w:r>
        <w:rPr>
          <w:spacing w:val="-14"/>
        </w:rPr>
        <w:t> </w:t>
      </w:r>
      <w:r>
        <w:rPr/>
        <w:t>store</w:t>
      </w:r>
      <w:r>
        <w:rPr>
          <w:spacing w:val="-13"/>
        </w:rPr>
        <w:t> </w:t>
      </w:r>
      <w:r>
        <w:rPr/>
        <w:t>managers,</w:t>
      </w:r>
      <w:r>
        <w:rPr>
          <w:spacing w:val="-13"/>
        </w:rPr>
        <w:t> </w:t>
      </w:r>
      <w:r>
        <w:rPr/>
        <w:t>but</w:t>
      </w:r>
      <w:r>
        <w:rPr>
          <w:spacing w:val="-13"/>
        </w:rPr>
        <w:t> </w:t>
      </w:r>
      <w:r>
        <w:rPr/>
        <w:t>not</w:t>
      </w:r>
      <w:r>
        <w:rPr>
          <w:spacing w:val="-13"/>
        </w:rPr>
        <w:t> </w:t>
      </w:r>
      <w:r>
        <w:rPr/>
        <w:t>the</w:t>
      </w:r>
      <w:r>
        <w:rPr>
          <w:spacing w:val="-12"/>
        </w:rPr>
        <w:t> </w:t>
      </w:r>
      <w:r>
        <w:rPr/>
        <w:t>national</w:t>
      </w:r>
      <w:r>
        <w:rPr>
          <w:spacing w:val="-12"/>
        </w:rPr>
        <w:t> </w:t>
      </w:r>
      <w:r>
        <w:rPr/>
        <w:t>insurance charge or general inflation (Dahal, 2024).</w:t>
      </w:r>
    </w:p>
    <w:p>
      <w:pPr>
        <w:pStyle w:val="BodyText"/>
        <w:spacing w:line="360" w:lineRule="auto" w:before="159"/>
        <w:ind w:right="358"/>
        <w:jc w:val="both"/>
      </w:pPr>
      <w:r>
        <w:rPr/>
        <w:t>Budgets also</w:t>
      </w:r>
      <w:r>
        <w:rPr>
          <w:spacing w:val="-1"/>
        </w:rPr>
        <w:t> </w:t>
      </w:r>
      <w:r>
        <w:rPr/>
        <w:t>assist in the strategic decisions regarding cuts in</w:t>
      </w:r>
      <w:r>
        <w:rPr>
          <w:spacing w:val="-1"/>
        </w:rPr>
        <w:t> </w:t>
      </w:r>
      <w:r>
        <w:rPr/>
        <w:t>prices. In January 2026, Morrisons announced yet more cuts to everyday prices, signifying a policy of price investment. This safeguards</w:t>
      </w:r>
      <w:r>
        <w:rPr>
          <w:spacing w:val="-15"/>
        </w:rPr>
        <w:t> </w:t>
      </w:r>
      <w:r>
        <w:rPr/>
        <w:t>customer</w:t>
      </w:r>
      <w:r>
        <w:rPr>
          <w:spacing w:val="-15"/>
        </w:rPr>
        <w:t> </w:t>
      </w:r>
      <w:r>
        <w:rPr/>
        <w:t>traffic</w:t>
      </w:r>
      <w:r>
        <w:rPr>
          <w:spacing w:val="-15"/>
        </w:rPr>
        <w:t> </w:t>
      </w:r>
      <w:r>
        <w:rPr/>
        <w:t>but</w:t>
      </w:r>
      <w:r>
        <w:rPr>
          <w:spacing w:val="-15"/>
        </w:rPr>
        <w:t> </w:t>
      </w:r>
      <w:r>
        <w:rPr/>
        <w:t>with</w:t>
      </w:r>
      <w:r>
        <w:rPr>
          <w:spacing w:val="-15"/>
        </w:rPr>
        <w:t> </w:t>
      </w:r>
      <w:r>
        <w:rPr/>
        <w:t>the</w:t>
      </w:r>
      <w:r>
        <w:rPr>
          <w:spacing w:val="-15"/>
        </w:rPr>
        <w:t> </w:t>
      </w:r>
      <w:r>
        <w:rPr/>
        <w:t>downside</w:t>
      </w:r>
      <w:r>
        <w:rPr>
          <w:spacing w:val="-15"/>
        </w:rPr>
        <w:t> </w:t>
      </w:r>
      <w:r>
        <w:rPr/>
        <w:t>of</w:t>
      </w:r>
      <w:r>
        <w:rPr>
          <w:spacing w:val="-15"/>
        </w:rPr>
        <w:t> </w:t>
      </w:r>
      <w:r>
        <w:rPr/>
        <w:t>lower</w:t>
      </w:r>
      <w:r>
        <w:rPr>
          <w:spacing w:val="-15"/>
        </w:rPr>
        <w:t> </w:t>
      </w:r>
      <w:r>
        <w:rPr/>
        <w:t>margin,</w:t>
      </w:r>
      <w:r>
        <w:rPr>
          <w:spacing w:val="-15"/>
        </w:rPr>
        <w:t> </w:t>
      </w:r>
      <w:r>
        <w:rPr/>
        <w:t>unless</w:t>
      </w:r>
      <w:r>
        <w:rPr>
          <w:spacing w:val="-15"/>
        </w:rPr>
        <w:t> </w:t>
      </w:r>
      <w:r>
        <w:rPr/>
        <w:t>compensated</w:t>
      </w:r>
      <w:r>
        <w:rPr>
          <w:spacing w:val="-15"/>
        </w:rPr>
        <w:t> </w:t>
      </w:r>
      <w:r>
        <w:rPr/>
        <w:t>by</w:t>
      </w:r>
      <w:r>
        <w:rPr>
          <w:spacing w:val="-15"/>
        </w:rPr>
        <w:t> </w:t>
      </w:r>
      <w:r>
        <w:rPr/>
        <w:t>volume growth,</w:t>
      </w:r>
      <w:r>
        <w:rPr>
          <w:spacing w:val="-15"/>
        </w:rPr>
        <w:t> </w:t>
      </w:r>
      <w:r>
        <w:rPr/>
        <w:t>supplier</w:t>
      </w:r>
      <w:r>
        <w:rPr>
          <w:spacing w:val="-15"/>
        </w:rPr>
        <w:t> </w:t>
      </w:r>
      <w:r>
        <w:rPr/>
        <w:t>funding/efficiency.</w:t>
      </w:r>
      <w:r>
        <w:rPr>
          <w:spacing w:val="-15"/>
        </w:rPr>
        <w:t> </w:t>
      </w:r>
      <w:r>
        <w:rPr/>
        <w:t>Therefore,</w:t>
      </w:r>
      <w:r>
        <w:rPr>
          <w:spacing w:val="-15"/>
        </w:rPr>
        <w:t> </w:t>
      </w:r>
      <w:r>
        <w:rPr/>
        <w:t>management</w:t>
      </w:r>
      <w:r>
        <w:rPr>
          <w:spacing w:val="-15"/>
        </w:rPr>
        <w:t> </w:t>
      </w:r>
      <w:r>
        <w:rPr/>
        <w:t>accounting</w:t>
      </w:r>
      <w:r>
        <w:rPr>
          <w:spacing w:val="-15"/>
        </w:rPr>
        <w:t> </w:t>
      </w:r>
      <w:r>
        <w:rPr/>
        <w:t>needs</w:t>
      </w:r>
      <w:r>
        <w:rPr>
          <w:spacing w:val="-15"/>
        </w:rPr>
        <w:t> </w:t>
      </w:r>
      <w:r>
        <w:rPr/>
        <w:t>to</w:t>
      </w:r>
      <w:r>
        <w:rPr>
          <w:spacing w:val="-15"/>
        </w:rPr>
        <w:t> </w:t>
      </w:r>
      <w:r>
        <w:rPr/>
        <w:t>evaluate</w:t>
      </w:r>
      <w:r>
        <w:rPr>
          <w:spacing w:val="-15"/>
        </w:rPr>
        <w:t> </w:t>
      </w:r>
      <w:r>
        <w:rPr/>
        <w:t>whether price reductions improve the customer lifetime value, or merely cut short-term profits (Ali and Shabn, 2024).</w:t>
      </w:r>
    </w:p>
    <w:p>
      <w:pPr>
        <w:pStyle w:val="Heading1"/>
        <w:numPr>
          <w:ilvl w:val="0"/>
          <w:numId w:val="2"/>
        </w:numPr>
        <w:tabs>
          <w:tab w:pos="240" w:val="left" w:leader="none"/>
        </w:tabs>
        <w:spacing w:line="240" w:lineRule="auto" w:before="161" w:after="0"/>
        <w:ind w:left="240" w:right="0" w:hanging="240"/>
        <w:jc w:val="both"/>
      </w:pPr>
      <w:bookmarkStart w:name="4. Performance Measurement and Decision-" w:id="9"/>
      <w:bookmarkEnd w:id="9"/>
      <w:r>
        <w:rPr>
          <w:b w:val="0"/>
        </w:rPr>
      </w:r>
      <w:bookmarkStart w:name="_bookmark4" w:id="10"/>
      <w:bookmarkEnd w:id="10"/>
      <w:r>
        <w:rPr>
          <w:b w:val="0"/>
        </w:rPr>
      </w:r>
      <w:r>
        <w:rPr/>
        <w:t>Performance</w:t>
      </w:r>
      <w:r>
        <w:rPr>
          <w:spacing w:val="-5"/>
        </w:rPr>
        <w:t> </w:t>
      </w:r>
      <w:r>
        <w:rPr/>
        <w:t>Measurement</w:t>
      </w:r>
      <w:r>
        <w:rPr>
          <w:spacing w:val="-4"/>
        </w:rPr>
        <w:t> </w:t>
      </w:r>
      <w:r>
        <w:rPr/>
        <w:t>and</w:t>
      </w:r>
      <w:r>
        <w:rPr>
          <w:spacing w:val="-5"/>
        </w:rPr>
        <w:t> </w:t>
      </w:r>
      <w:r>
        <w:rPr/>
        <w:t>Decision-</w:t>
      </w:r>
      <w:r>
        <w:rPr>
          <w:spacing w:val="-2"/>
        </w:rPr>
        <w:t>Making</w:t>
      </w:r>
    </w:p>
    <w:p>
      <w:pPr>
        <w:pStyle w:val="BodyText"/>
        <w:spacing w:line="360" w:lineRule="auto" w:before="258"/>
        <w:ind w:right="357"/>
        <w:jc w:val="both"/>
      </w:pPr>
      <w:r>
        <w:rPr/>
        <w:t>Therefore, Morrisons requires both financial and non-financial KPIs, as the success of supermarkets is not just driven by revenue (Holopainen, 2023).</w:t>
      </w:r>
    </w:p>
    <w:p>
      <w:pPr>
        <w:pStyle w:val="BodyText"/>
        <w:spacing w:before="10" w:after="1"/>
        <w:rPr>
          <w:sz w:val="13"/>
        </w:rPr>
      </w:pPr>
    </w:p>
    <w:tbl>
      <w:tblPr>
        <w:tblW w:w="0" w:type="auto"/>
        <w:jc w:val="left"/>
        <w:tblInd w:w="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top w:w="0" w:type="dxa"/>
          <w:left w:w="0" w:type="dxa"/>
          <w:bottom w:w="0" w:type="dxa"/>
          <w:right w:w="0" w:type="dxa"/>
        </w:tblCellMar>
        <w:tblLook w:val="01E0"/>
      </w:tblPr>
      <w:tblGrid>
        <w:gridCol w:w="2232"/>
        <w:gridCol w:w="2256"/>
        <w:gridCol w:w="4863"/>
      </w:tblGrid>
      <w:tr>
        <w:trPr>
          <w:trHeight w:val="573" w:hRule="atLeast"/>
        </w:trPr>
        <w:tc>
          <w:tcPr>
            <w:tcW w:w="2232" w:type="dxa"/>
          </w:tcPr>
          <w:p>
            <w:pPr>
              <w:pStyle w:val="TableParagraph"/>
              <w:rPr>
                <w:b/>
                <w:sz w:val="24"/>
              </w:rPr>
            </w:pPr>
            <w:r>
              <w:rPr>
                <w:b/>
                <w:spacing w:val="-5"/>
                <w:sz w:val="24"/>
              </w:rPr>
              <w:t>KPI</w:t>
            </w:r>
          </w:p>
        </w:tc>
        <w:tc>
          <w:tcPr>
            <w:tcW w:w="2256" w:type="dxa"/>
          </w:tcPr>
          <w:p>
            <w:pPr>
              <w:pStyle w:val="TableParagraph"/>
              <w:ind w:left="108"/>
              <w:rPr>
                <w:b/>
                <w:sz w:val="24"/>
              </w:rPr>
            </w:pPr>
            <w:r>
              <w:rPr>
                <w:b/>
                <w:spacing w:val="-2"/>
                <w:sz w:val="24"/>
              </w:rPr>
              <w:t>Evidence/measure</w:t>
            </w:r>
          </w:p>
        </w:tc>
        <w:tc>
          <w:tcPr>
            <w:tcW w:w="4863" w:type="dxa"/>
          </w:tcPr>
          <w:p>
            <w:pPr>
              <w:pStyle w:val="TableParagraph"/>
              <w:ind w:left="108"/>
              <w:rPr>
                <w:b/>
                <w:sz w:val="24"/>
              </w:rPr>
            </w:pPr>
            <w:r>
              <w:rPr>
                <w:b/>
                <w:sz w:val="24"/>
              </w:rPr>
              <w:t>Decision-making</w:t>
            </w:r>
            <w:r>
              <w:rPr>
                <w:b/>
                <w:spacing w:val="-3"/>
                <w:sz w:val="24"/>
              </w:rPr>
              <w:t> </w:t>
            </w:r>
            <w:r>
              <w:rPr>
                <w:b/>
                <w:spacing w:val="-5"/>
                <w:sz w:val="24"/>
              </w:rPr>
              <w:t>use</w:t>
            </w:r>
          </w:p>
        </w:tc>
      </w:tr>
      <w:tr>
        <w:trPr>
          <w:trHeight w:val="574" w:hRule="atLeast"/>
        </w:trPr>
        <w:tc>
          <w:tcPr>
            <w:tcW w:w="2232" w:type="dxa"/>
          </w:tcPr>
          <w:p>
            <w:pPr>
              <w:pStyle w:val="TableParagraph"/>
              <w:spacing w:before="1"/>
              <w:rPr>
                <w:sz w:val="24"/>
              </w:rPr>
            </w:pPr>
            <w:r>
              <w:rPr>
                <w:spacing w:val="-2"/>
                <w:sz w:val="24"/>
              </w:rPr>
              <w:t>Total</w:t>
            </w:r>
            <w:r>
              <w:rPr>
                <w:spacing w:val="-6"/>
                <w:sz w:val="24"/>
              </w:rPr>
              <w:t> </w:t>
            </w:r>
            <w:r>
              <w:rPr>
                <w:spacing w:val="-2"/>
                <w:sz w:val="24"/>
              </w:rPr>
              <w:t>revenue</w:t>
            </w:r>
          </w:p>
        </w:tc>
        <w:tc>
          <w:tcPr>
            <w:tcW w:w="2256" w:type="dxa"/>
          </w:tcPr>
          <w:p>
            <w:pPr>
              <w:pStyle w:val="TableParagraph"/>
              <w:spacing w:before="1"/>
              <w:ind w:left="108"/>
              <w:rPr>
                <w:sz w:val="24"/>
              </w:rPr>
            </w:pPr>
            <w:r>
              <w:rPr>
                <w:sz w:val="24"/>
              </w:rPr>
              <w:t>£15.8bn in </w:t>
            </w:r>
            <w:r>
              <w:rPr>
                <w:spacing w:val="-2"/>
                <w:sz w:val="24"/>
              </w:rPr>
              <w:t>2024/25</w:t>
            </w:r>
          </w:p>
        </w:tc>
        <w:tc>
          <w:tcPr>
            <w:tcW w:w="4863" w:type="dxa"/>
          </w:tcPr>
          <w:p>
            <w:pPr>
              <w:pStyle w:val="TableParagraph"/>
              <w:spacing w:before="1"/>
              <w:ind w:left="108"/>
              <w:rPr>
                <w:sz w:val="24"/>
              </w:rPr>
            </w:pPr>
            <w:r>
              <w:rPr>
                <w:sz w:val="24"/>
              </w:rPr>
              <w:t>Tracks</w:t>
            </w:r>
            <w:r>
              <w:rPr>
                <w:spacing w:val="-7"/>
                <w:sz w:val="24"/>
              </w:rPr>
              <w:t> </w:t>
            </w:r>
            <w:r>
              <w:rPr>
                <w:sz w:val="24"/>
              </w:rPr>
              <w:t>overall</w:t>
            </w:r>
            <w:r>
              <w:rPr>
                <w:spacing w:val="-2"/>
                <w:sz w:val="24"/>
              </w:rPr>
              <w:t> </w:t>
            </w:r>
            <w:r>
              <w:rPr>
                <w:sz w:val="24"/>
              </w:rPr>
              <w:t>business</w:t>
            </w:r>
            <w:r>
              <w:rPr>
                <w:spacing w:val="-5"/>
                <w:sz w:val="24"/>
              </w:rPr>
              <w:t> </w:t>
            </w:r>
            <w:r>
              <w:rPr>
                <w:sz w:val="24"/>
              </w:rPr>
              <w:t>scale</w:t>
            </w:r>
            <w:r>
              <w:rPr>
                <w:spacing w:val="-4"/>
                <w:sz w:val="24"/>
              </w:rPr>
              <w:t> </w:t>
            </w:r>
            <w:r>
              <w:rPr>
                <w:sz w:val="24"/>
              </w:rPr>
              <w:t>and</w:t>
            </w:r>
            <w:r>
              <w:rPr>
                <w:spacing w:val="-3"/>
                <w:sz w:val="24"/>
              </w:rPr>
              <w:t> </w:t>
            </w:r>
            <w:r>
              <w:rPr>
                <w:spacing w:val="-2"/>
                <w:sz w:val="24"/>
              </w:rPr>
              <w:t>growth.</w:t>
            </w:r>
          </w:p>
        </w:tc>
      </w:tr>
      <w:tr>
        <w:trPr>
          <w:trHeight w:val="574" w:hRule="atLeast"/>
        </w:trPr>
        <w:tc>
          <w:tcPr>
            <w:tcW w:w="2232" w:type="dxa"/>
          </w:tcPr>
          <w:p>
            <w:pPr>
              <w:pStyle w:val="TableParagraph"/>
              <w:rPr>
                <w:sz w:val="24"/>
              </w:rPr>
            </w:pPr>
            <w:r>
              <w:rPr>
                <w:sz w:val="24"/>
              </w:rPr>
              <w:t>Like-for-like</w:t>
            </w:r>
            <w:r>
              <w:rPr>
                <w:spacing w:val="-9"/>
                <w:sz w:val="24"/>
              </w:rPr>
              <w:t> </w:t>
            </w:r>
            <w:r>
              <w:rPr>
                <w:spacing w:val="-2"/>
                <w:sz w:val="24"/>
              </w:rPr>
              <w:t>sales</w:t>
            </w:r>
          </w:p>
        </w:tc>
        <w:tc>
          <w:tcPr>
            <w:tcW w:w="2256" w:type="dxa"/>
          </w:tcPr>
          <w:p>
            <w:pPr>
              <w:pStyle w:val="TableParagraph"/>
              <w:ind w:left="108"/>
              <w:rPr>
                <w:sz w:val="24"/>
              </w:rPr>
            </w:pPr>
            <w:r>
              <w:rPr>
                <w:sz w:val="24"/>
              </w:rPr>
              <w:t>Up 2.8% in </w:t>
            </w:r>
            <w:r>
              <w:rPr>
                <w:spacing w:val="-2"/>
                <w:sz w:val="24"/>
              </w:rPr>
              <w:t>2024/25</w:t>
            </w:r>
          </w:p>
        </w:tc>
        <w:tc>
          <w:tcPr>
            <w:tcW w:w="4863" w:type="dxa"/>
          </w:tcPr>
          <w:p>
            <w:pPr>
              <w:pStyle w:val="TableParagraph"/>
              <w:ind w:left="108"/>
              <w:rPr>
                <w:sz w:val="24"/>
              </w:rPr>
            </w:pPr>
            <w:r>
              <w:rPr>
                <w:sz w:val="24"/>
              </w:rPr>
              <w:t>Measures</w:t>
            </w:r>
            <w:r>
              <w:rPr>
                <w:spacing w:val="-5"/>
                <w:sz w:val="24"/>
              </w:rPr>
              <w:t> </w:t>
            </w:r>
            <w:r>
              <w:rPr>
                <w:sz w:val="24"/>
              </w:rPr>
              <w:t>existing-store</w:t>
            </w:r>
            <w:r>
              <w:rPr>
                <w:spacing w:val="-4"/>
                <w:sz w:val="24"/>
              </w:rPr>
              <w:t> </w:t>
            </w:r>
            <w:r>
              <w:rPr>
                <w:spacing w:val="-2"/>
                <w:sz w:val="24"/>
              </w:rPr>
              <w:t>performance.</w:t>
            </w:r>
          </w:p>
        </w:tc>
      </w:tr>
      <w:tr>
        <w:trPr>
          <w:trHeight w:val="988" w:hRule="atLeast"/>
        </w:trPr>
        <w:tc>
          <w:tcPr>
            <w:tcW w:w="2232" w:type="dxa"/>
          </w:tcPr>
          <w:p>
            <w:pPr>
              <w:pStyle w:val="TableParagraph"/>
              <w:spacing w:line="360" w:lineRule="auto"/>
              <w:ind w:right="194"/>
              <w:rPr>
                <w:sz w:val="24"/>
              </w:rPr>
            </w:pPr>
            <w:r>
              <w:rPr>
                <w:spacing w:val="-2"/>
                <w:sz w:val="24"/>
              </w:rPr>
              <w:t>Underlying EBITDA</w:t>
            </w:r>
          </w:p>
        </w:tc>
        <w:tc>
          <w:tcPr>
            <w:tcW w:w="2256" w:type="dxa"/>
          </w:tcPr>
          <w:p>
            <w:pPr>
              <w:pStyle w:val="TableParagraph"/>
              <w:ind w:left="108"/>
              <w:rPr>
                <w:sz w:val="24"/>
              </w:rPr>
            </w:pPr>
            <w:r>
              <w:rPr>
                <w:spacing w:val="-2"/>
                <w:sz w:val="24"/>
              </w:rPr>
              <w:t>£835m</w:t>
            </w:r>
          </w:p>
        </w:tc>
        <w:tc>
          <w:tcPr>
            <w:tcW w:w="4863" w:type="dxa"/>
          </w:tcPr>
          <w:p>
            <w:pPr>
              <w:pStyle w:val="TableParagraph"/>
              <w:ind w:left="108"/>
              <w:rPr>
                <w:sz w:val="24"/>
              </w:rPr>
            </w:pPr>
            <w:r>
              <w:rPr>
                <w:sz w:val="24"/>
              </w:rPr>
              <w:t>Shows</w:t>
            </w:r>
            <w:r>
              <w:rPr>
                <w:spacing w:val="-3"/>
                <w:sz w:val="24"/>
              </w:rPr>
              <w:t> </w:t>
            </w:r>
            <w:r>
              <w:rPr>
                <w:sz w:val="24"/>
              </w:rPr>
              <w:t>operating</w:t>
            </w:r>
            <w:r>
              <w:rPr>
                <w:spacing w:val="-3"/>
                <w:sz w:val="24"/>
              </w:rPr>
              <w:t> </w:t>
            </w:r>
            <w:r>
              <w:rPr>
                <w:sz w:val="24"/>
              </w:rPr>
              <w:t>resilience</w:t>
            </w:r>
            <w:r>
              <w:rPr>
                <w:spacing w:val="-2"/>
                <w:sz w:val="24"/>
              </w:rPr>
              <w:t> </w:t>
            </w:r>
            <w:r>
              <w:rPr>
                <w:sz w:val="24"/>
              </w:rPr>
              <w:t>after</w:t>
            </w:r>
            <w:r>
              <w:rPr>
                <w:spacing w:val="-2"/>
                <w:sz w:val="24"/>
              </w:rPr>
              <w:t> </w:t>
            </w:r>
            <w:r>
              <w:rPr>
                <w:sz w:val="24"/>
              </w:rPr>
              <w:t>cost</w:t>
            </w:r>
            <w:r>
              <w:rPr>
                <w:spacing w:val="-1"/>
                <w:sz w:val="24"/>
              </w:rPr>
              <w:t> </w:t>
            </w:r>
            <w:r>
              <w:rPr>
                <w:spacing w:val="-2"/>
                <w:sz w:val="24"/>
              </w:rPr>
              <w:t>pressure.</w:t>
            </w:r>
          </w:p>
        </w:tc>
      </w:tr>
    </w:tbl>
    <w:p>
      <w:pPr>
        <w:pStyle w:val="TableParagraph"/>
        <w:spacing w:after="0"/>
        <w:rPr>
          <w:sz w:val="24"/>
        </w:rPr>
        <w:sectPr>
          <w:pgSz w:w="12240" w:h="15840"/>
          <w:pgMar w:header="780" w:footer="1060" w:top="1680" w:bottom="1260" w:left="1440" w:right="1080"/>
        </w:sectPr>
      </w:pPr>
    </w:p>
    <w:p>
      <w:pPr>
        <w:pStyle w:val="BodyText"/>
        <w:spacing w:before="10"/>
        <w:rPr>
          <w:sz w:val="6"/>
        </w:rPr>
      </w:pPr>
    </w:p>
    <w:tbl>
      <w:tblPr>
        <w:tblW w:w="0" w:type="auto"/>
        <w:jc w:val="left"/>
        <w:tblInd w:w="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CellMar>
          <w:top w:w="0" w:type="dxa"/>
          <w:left w:w="0" w:type="dxa"/>
          <w:bottom w:w="0" w:type="dxa"/>
          <w:right w:w="0" w:type="dxa"/>
        </w:tblCellMar>
        <w:tblLook w:val="01E0"/>
      </w:tblPr>
      <w:tblGrid>
        <w:gridCol w:w="2232"/>
        <w:gridCol w:w="2256"/>
        <w:gridCol w:w="4863"/>
      </w:tblGrid>
      <w:tr>
        <w:trPr>
          <w:trHeight w:val="988" w:hRule="atLeast"/>
        </w:trPr>
        <w:tc>
          <w:tcPr>
            <w:tcW w:w="2232" w:type="dxa"/>
          </w:tcPr>
          <w:p>
            <w:pPr>
              <w:pStyle w:val="TableParagraph"/>
              <w:tabs>
                <w:tab w:pos="1603" w:val="left" w:leader="none"/>
              </w:tabs>
              <w:spacing w:line="360" w:lineRule="auto"/>
              <w:ind w:right="96"/>
              <w:rPr>
                <w:sz w:val="24"/>
              </w:rPr>
            </w:pPr>
            <w:r>
              <w:rPr>
                <w:spacing w:val="-2"/>
                <w:sz w:val="24"/>
              </w:rPr>
              <w:t>Morrisons</w:t>
            </w:r>
            <w:r>
              <w:rPr>
                <w:sz w:val="24"/>
              </w:rPr>
              <w:tab/>
            </w:r>
            <w:r>
              <w:rPr>
                <w:spacing w:val="-4"/>
                <w:sz w:val="24"/>
              </w:rPr>
              <w:t>More </w:t>
            </w:r>
            <w:r>
              <w:rPr>
                <w:spacing w:val="-2"/>
                <w:sz w:val="24"/>
              </w:rPr>
              <w:t>users</w:t>
            </w:r>
          </w:p>
        </w:tc>
        <w:tc>
          <w:tcPr>
            <w:tcW w:w="2256" w:type="dxa"/>
          </w:tcPr>
          <w:p>
            <w:pPr>
              <w:pStyle w:val="TableParagraph"/>
              <w:ind w:left="108"/>
              <w:rPr>
                <w:sz w:val="24"/>
              </w:rPr>
            </w:pPr>
            <w:r>
              <w:rPr>
                <w:sz w:val="24"/>
              </w:rPr>
              <w:t>8</w:t>
            </w:r>
            <w:r>
              <w:rPr>
                <w:spacing w:val="-7"/>
                <w:sz w:val="24"/>
              </w:rPr>
              <w:t> </w:t>
            </w:r>
            <w:r>
              <w:rPr>
                <w:sz w:val="24"/>
              </w:rPr>
              <w:t>million</w:t>
            </w:r>
            <w:r>
              <w:rPr>
                <w:spacing w:val="-7"/>
                <w:sz w:val="24"/>
              </w:rPr>
              <w:t> </w:t>
            </w:r>
            <w:r>
              <w:rPr>
                <w:sz w:val="24"/>
              </w:rPr>
              <w:t>active</w:t>
            </w:r>
            <w:r>
              <w:rPr>
                <w:spacing w:val="-7"/>
                <w:sz w:val="24"/>
              </w:rPr>
              <w:t> </w:t>
            </w:r>
            <w:r>
              <w:rPr>
                <w:spacing w:val="-2"/>
                <w:sz w:val="24"/>
              </w:rPr>
              <w:t>users</w:t>
            </w:r>
          </w:p>
        </w:tc>
        <w:tc>
          <w:tcPr>
            <w:tcW w:w="4863" w:type="dxa"/>
          </w:tcPr>
          <w:p>
            <w:pPr>
              <w:pStyle w:val="TableParagraph"/>
              <w:spacing w:line="360" w:lineRule="auto"/>
              <w:ind w:left="108"/>
              <w:rPr>
                <w:sz w:val="24"/>
              </w:rPr>
            </w:pPr>
            <w:r>
              <w:rPr>
                <w:sz w:val="24"/>
              </w:rPr>
              <w:t>Supports loyalty, promotions and customer data </w:t>
            </w:r>
            <w:r>
              <w:rPr>
                <w:spacing w:val="-4"/>
                <w:sz w:val="24"/>
              </w:rPr>
              <w:t>use.</w:t>
            </w:r>
          </w:p>
        </w:tc>
      </w:tr>
      <w:tr>
        <w:trPr>
          <w:trHeight w:val="574" w:hRule="atLeast"/>
        </w:trPr>
        <w:tc>
          <w:tcPr>
            <w:tcW w:w="2232" w:type="dxa"/>
          </w:tcPr>
          <w:p>
            <w:pPr>
              <w:pStyle w:val="TableParagraph"/>
              <w:rPr>
                <w:sz w:val="24"/>
              </w:rPr>
            </w:pPr>
            <w:r>
              <w:rPr>
                <w:sz w:val="24"/>
              </w:rPr>
              <w:t>Market </w:t>
            </w:r>
            <w:r>
              <w:rPr>
                <w:spacing w:val="-2"/>
                <w:sz w:val="24"/>
              </w:rPr>
              <w:t>share</w:t>
            </w:r>
          </w:p>
        </w:tc>
        <w:tc>
          <w:tcPr>
            <w:tcW w:w="2256" w:type="dxa"/>
          </w:tcPr>
          <w:p>
            <w:pPr>
              <w:pStyle w:val="TableParagraph"/>
              <w:ind w:left="108"/>
              <w:rPr>
                <w:sz w:val="24"/>
              </w:rPr>
            </w:pPr>
            <w:r>
              <w:rPr>
                <w:sz w:val="24"/>
              </w:rPr>
              <w:t>8.5% in Dec</w:t>
            </w:r>
            <w:r>
              <w:rPr>
                <w:spacing w:val="-2"/>
                <w:sz w:val="24"/>
              </w:rPr>
              <w:t> </w:t>
            </w:r>
            <w:r>
              <w:rPr>
                <w:spacing w:val="-4"/>
                <w:sz w:val="24"/>
              </w:rPr>
              <w:t>2025</w:t>
            </w:r>
          </w:p>
        </w:tc>
        <w:tc>
          <w:tcPr>
            <w:tcW w:w="4863" w:type="dxa"/>
          </w:tcPr>
          <w:p>
            <w:pPr>
              <w:pStyle w:val="TableParagraph"/>
              <w:ind w:left="108"/>
              <w:rPr>
                <w:sz w:val="24"/>
              </w:rPr>
            </w:pPr>
            <w:r>
              <w:rPr>
                <w:sz w:val="24"/>
              </w:rPr>
              <w:t>Measures</w:t>
            </w:r>
            <w:r>
              <w:rPr>
                <w:spacing w:val="-6"/>
                <w:sz w:val="24"/>
              </w:rPr>
              <w:t> </w:t>
            </w:r>
            <w:r>
              <w:rPr>
                <w:sz w:val="24"/>
              </w:rPr>
              <w:t>competitive</w:t>
            </w:r>
            <w:r>
              <w:rPr>
                <w:spacing w:val="-5"/>
                <w:sz w:val="24"/>
              </w:rPr>
              <w:t> </w:t>
            </w:r>
            <w:r>
              <w:rPr>
                <w:spacing w:val="-2"/>
                <w:sz w:val="24"/>
              </w:rPr>
              <w:t>position.</w:t>
            </w:r>
          </w:p>
        </w:tc>
      </w:tr>
    </w:tbl>
    <w:p>
      <w:pPr>
        <w:pStyle w:val="BodyText"/>
      </w:pPr>
    </w:p>
    <w:p>
      <w:pPr>
        <w:pStyle w:val="BodyText"/>
        <w:spacing w:before="23"/>
      </w:pPr>
    </w:p>
    <w:p>
      <w:pPr>
        <w:pStyle w:val="BodyText"/>
        <w:spacing w:line="360" w:lineRule="auto"/>
        <w:ind w:right="356"/>
        <w:jc w:val="both"/>
      </w:pPr>
      <w:r>
        <w:rPr/>
        <w:t>Morrisons' market share was unchanged, not strongly up, despite the fact that it did have twelve quarters of positive like-for-like sales.</w:t>
      </w:r>
      <w:r>
        <w:rPr>
          <w:spacing w:val="-4"/>
        </w:rPr>
        <w:t> </w:t>
      </w:r>
      <w:r>
        <w:rPr/>
        <w:t>This indicates that management accounting shouldn't only consider</w:t>
      </w:r>
      <w:r>
        <w:rPr>
          <w:spacing w:val="-7"/>
        </w:rPr>
        <w:t> </w:t>
      </w:r>
      <w:r>
        <w:rPr/>
        <w:t>sales</w:t>
      </w:r>
      <w:r>
        <w:rPr>
          <w:spacing w:val="-8"/>
        </w:rPr>
        <w:t> </w:t>
      </w:r>
      <w:r>
        <w:rPr/>
        <w:t>growth</w:t>
      </w:r>
      <w:r>
        <w:rPr>
          <w:spacing w:val="-7"/>
        </w:rPr>
        <w:t> </w:t>
      </w:r>
      <w:r>
        <w:rPr/>
        <w:t>as</w:t>
      </w:r>
      <w:r>
        <w:rPr>
          <w:spacing w:val="-7"/>
        </w:rPr>
        <w:t> </w:t>
      </w:r>
      <w:r>
        <w:rPr/>
        <w:t>a</w:t>
      </w:r>
      <w:r>
        <w:rPr>
          <w:spacing w:val="-7"/>
        </w:rPr>
        <w:t> </w:t>
      </w:r>
      <w:r>
        <w:rPr/>
        <w:t>success.</w:t>
      </w:r>
      <w:r>
        <w:rPr>
          <w:spacing w:val="-10"/>
        </w:rPr>
        <w:t> </w:t>
      </w:r>
      <w:r>
        <w:rPr/>
        <w:t>When</w:t>
      </w:r>
      <w:r>
        <w:rPr>
          <w:spacing w:val="-7"/>
        </w:rPr>
        <w:t> </w:t>
      </w:r>
      <w:r>
        <w:rPr/>
        <w:t>there</w:t>
      </w:r>
      <w:r>
        <w:rPr>
          <w:spacing w:val="-7"/>
        </w:rPr>
        <w:t> </w:t>
      </w:r>
      <w:r>
        <w:rPr/>
        <w:t>is</w:t>
      </w:r>
      <w:r>
        <w:rPr>
          <w:spacing w:val="-7"/>
        </w:rPr>
        <w:t> </w:t>
      </w:r>
      <w:r>
        <w:rPr/>
        <w:t>inflation</w:t>
      </w:r>
      <w:r>
        <w:rPr>
          <w:spacing w:val="-7"/>
        </w:rPr>
        <w:t> </w:t>
      </w:r>
      <w:r>
        <w:rPr/>
        <w:t>throughout</w:t>
      </w:r>
      <w:r>
        <w:rPr>
          <w:spacing w:val="-7"/>
        </w:rPr>
        <w:t> </w:t>
      </w:r>
      <w:r>
        <w:rPr/>
        <w:t>the</w:t>
      </w:r>
      <w:r>
        <w:rPr>
          <w:spacing w:val="-6"/>
        </w:rPr>
        <w:t> </w:t>
      </w:r>
      <w:r>
        <w:rPr/>
        <w:t>market,</w:t>
      </w:r>
      <w:r>
        <w:rPr>
          <w:spacing w:val="-7"/>
        </w:rPr>
        <w:t> </w:t>
      </w:r>
      <w:r>
        <w:rPr/>
        <w:t>revenue</w:t>
      </w:r>
      <w:r>
        <w:rPr>
          <w:spacing w:val="-7"/>
        </w:rPr>
        <w:t> </w:t>
      </w:r>
      <w:r>
        <w:rPr/>
        <w:t>growth can also be</w:t>
      </w:r>
      <w:r>
        <w:rPr>
          <w:spacing w:val="-1"/>
        </w:rPr>
        <w:t> </w:t>
      </w:r>
      <w:r>
        <w:rPr/>
        <w:t>a result of low customer switching gains but masking low volume growth (Morrisons PLC, 2024). More recent Reuters reports also reveal Morrisons' like-for-like sales growth for Q2 2026 came in at 2.2% – less than the 2.6% growth seen in the previous quarter, and first-half EBITDA grew 5.7% to £323m. In addition, Reuters reports that Morrisons is the "UK's sixth biggest</w:t>
      </w:r>
      <w:r>
        <w:rPr>
          <w:spacing w:val="-7"/>
        </w:rPr>
        <w:t> </w:t>
      </w:r>
      <w:r>
        <w:rPr/>
        <w:t>grocer"</w:t>
      </w:r>
      <w:r>
        <w:rPr>
          <w:spacing w:val="-6"/>
        </w:rPr>
        <w:t> </w:t>
      </w:r>
      <w:r>
        <w:rPr/>
        <w:t>and</w:t>
      </w:r>
      <w:r>
        <w:rPr>
          <w:spacing w:val="-7"/>
        </w:rPr>
        <w:t> </w:t>
      </w:r>
      <w:r>
        <w:rPr/>
        <w:t>that</w:t>
      </w:r>
      <w:r>
        <w:rPr>
          <w:spacing w:val="-7"/>
        </w:rPr>
        <w:t> </w:t>
      </w:r>
      <w:r>
        <w:rPr/>
        <w:t>the</w:t>
      </w:r>
      <w:r>
        <w:rPr>
          <w:spacing w:val="-7"/>
        </w:rPr>
        <w:t> </w:t>
      </w:r>
      <w:r>
        <w:rPr/>
        <w:t>company</w:t>
      </w:r>
      <w:r>
        <w:rPr>
          <w:spacing w:val="-6"/>
        </w:rPr>
        <w:t> </w:t>
      </w:r>
      <w:r>
        <w:rPr/>
        <w:t>produces</w:t>
      </w:r>
      <w:r>
        <w:rPr>
          <w:spacing w:val="-7"/>
        </w:rPr>
        <w:t> </w:t>
      </w:r>
      <w:r>
        <w:rPr/>
        <w:t>about</w:t>
      </w:r>
      <w:r>
        <w:rPr>
          <w:spacing w:val="-7"/>
        </w:rPr>
        <w:t> </w:t>
      </w:r>
      <w:r>
        <w:rPr/>
        <w:t>half</w:t>
      </w:r>
      <w:r>
        <w:rPr>
          <w:spacing w:val="-7"/>
        </w:rPr>
        <w:t> </w:t>
      </w:r>
      <w:r>
        <w:rPr/>
        <w:t>of</w:t>
      </w:r>
      <w:r>
        <w:rPr>
          <w:spacing w:val="-8"/>
        </w:rPr>
        <w:t> </w:t>
      </w:r>
      <w:r>
        <w:rPr/>
        <w:t>the</w:t>
      </w:r>
      <w:r>
        <w:rPr>
          <w:spacing w:val="-7"/>
        </w:rPr>
        <w:t> </w:t>
      </w:r>
      <w:r>
        <w:rPr/>
        <w:t>fresh</w:t>
      </w:r>
      <w:r>
        <w:rPr>
          <w:spacing w:val="-7"/>
        </w:rPr>
        <w:t> </w:t>
      </w:r>
      <w:r>
        <w:rPr/>
        <w:t>food</w:t>
      </w:r>
      <w:r>
        <w:rPr>
          <w:spacing w:val="-7"/>
        </w:rPr>
        <w:t> </w:t>
      </w:r>
      <w:r>
        <w:rPr/>
        <w:t>it</w:t>
      </w:r>
      <w:r>
        <w:rPr>
          <w:spacing w:val="-7"/>
        </w:rPr>
        <w:t> </w:t>
      </w:r>
      <w:r>
        <w:rPr/>
        <w:t>sells.</w:t>
      </w:r>
      <w:r>
        <w:rPr>
          <w:spacing w:val="-10"/>
        </w:rPr>
        <w:t> </w:t>
      </w:r>
      <w:r>
        <w:rPr/>
        <w:t>This</w:t>
      </w:r>
      <w:r>
        <w:rPr>
          <w:spacing w:val="-7"/>
        </w:rPr>
        <w:t> </w:t>
      </w:r>
      <w:r>
        <w:rPr/>
        <w:t>reinforces a strategic need for Morrisons' vertical integration even as it can be cost-heavy (Davey, 2026).</w:t>
      </w:r>
    </w:p>
    <w:p>
      <w:pPr>
        <w:pStyle w:val="BodyText"/>
        <w:spacing w:line="360" w:lineRule="auto" w:before="160"/>
        <w:ind w:right="356"/>
        <w:jc w:val="both"/>
      </w:pPr>
      <w:r>
        <w:rPr/>
        <w:t>KPIs can be directly related to strategic decisions. First, there were price reductions for 2,500 products, and these were tied to customer KPIs like value perception, market share, and like-for-like</w:t>
      </w:r>
      <w:r>
        <w:rPr>
          <w:spacing w:val="-15"/>
        </w:rPr>
        <w:t> </w:t>
      </w:r>
      <w:r>
        <w:rPr/>
        <w:t>sales.</w:t>
      </w:r>
      <w:r>
        <w:rPr>
          <w:spacing w:val="-15"/>
        </w:rPr>
        <w:t> </w:t>
      </w:r>
      <w:r>
        <w:rPr/>
        <w:t>Second,</w:t>
      </w:r>
      <w:r>
        <w:rPr>
          <w:spacing w:val="-15"/>
        </w:rPr>
        <w:t> </w:t>
      </w:r>
      <w:r>
        <w:rPr/>
        <w:t>as</w:t>
      </w:r>
      <w:r>
        <w:rPr>
          <w:spacing w:val="-15"/>
        </w:rPr>
        <w:t> </w:t>
      </w:r>
      <w:r>
        <w:rPr/>
        <w:t>More</w:t>
      </w:r>
      <w:r>
        <w:rPr>
          <w:spacing w:val="-15"/>
        </w:rPr>
        <w:t> </w:t>
      </w:r>
      <w:r>
        <w:rPr/>
        <w:t>Card</w:t>
      </w:r>
      <w:r>
        <w:rPr>
          <w:spacing w:val="-15"/>
        </w:rPr>
        <w:t> </w:t>
      </w:r>
      <w:r>
        <w:rPr/>
        <w:t>users</w:t>
      </w:r>
      <w:r>
        <w:rPr>
          <w:spacing w:val="-15"/>
        </w:rPr>
        <w:t> </w:t>
      </w:r>
      <w:r>
        <w:rPr/>
        <w:t>grow,</w:t>
      </w:r>
      <w:r>
        <w:rPr>
          <w:spacing w:val="-15"/>
        </w:rPr>
        <w:t> </w:t>
      </w:r>
      <w:r>
        <w:rPr/>
        <w:t>there</w:t>
      </w:r>
      <w:r>
        <w:rPr>
          <w:spacing w:val="-14"/>
        </w:rPr>
        <w:t> </w:t>
      </w:r>
      <w:r>
        <w:rPr/>
        <w:t>are</w:t>
      </w:r>
      <w:r>
        <w:rPr>
          <w:spacing w:val="-15"/>
        </w:rPr>
        <w:t> </w:t>
      </w:r>
      <w:r>
        <w:rPr/>
        <w:t>data-driven</w:t>
      </w:r>
      <w:r>
        <w:rPr>
          <w:spacing w:val="-15"/>
        </w:rPr>
        <w:t> </w:t>
      </w:r>
      <w:r>
        <w:rPr/>
        <w:t>ways</w:t>
      </w:r>
      <w:r>
        <w:rPr>
          <w:spacing w:val="-14"/>
        </w:rPr>
        <w:t> </w:t>
      </w:r>
      <w:r>
        <w:rPr/>
        <w:t>of</w:t>
      </w:r>
      <w:r>
        <w:rPr>
          <w:spacing w:val="-15"/>
        </w:rPr>
        <w:t> </w:t>
      </w:r>
      <w:r>
        <w:rPr/>
        <w:t>promoting</w:t>
      </w:r>
      <w:r>
        <w:rPr>
          <w:spacing w:val="-15"/>
        </w:rPr>
        <w:t> </w:t>
      </w:r>
      <w:r>
        <w:rPr/>
        <w:t>and</w:t>
      </w:r>
      <w:r>
        <w:rPr>
          <w:spacing w:val="-15"/>
        </w:rPr>
        <w:t> </w:t>
      </w:r>
      <w:r>
        <w:rPr/>
        <w:t>retaining customers, but there need to be responsible marketing controls in place to prevent vulnerable customers from being targeted with unsuitable promotions (Yavuz et al., 2025).</w:t>
      </w:r>
      <w:r>
        <w:rPr>
          <w:spacing w:val="-2"/>
        </w:rPr>
        <w:t> </w:t>
      </w:r>
      <w:r>
        <w:rPr/>
        <w:t>Thirdly, internal process KPIs and customer convenience KPIs are the ones reflected in the online growth and </w:t>
      </w:r>
      <w:r>
        <w:rPr>
          <w:spacing w:val="-2"/>
        </w:rPr>
        <w:t>partnership</w:t>
      </w:r>
      <w:r>
        <w:rPr>
          <w:spacing w:val="-6"/>
        </w:rPr>
        <w:t> </w:t>
      </w:r>
      <w:r>
        <w:rPr>
          <w:spacing w:val="-2"/>
        </w:rPr>
        <w:t>with</w:t>
      </w:r>
      <w:r>
        <w:rPr>
          <w:spacing w:val="-13"/>
        </w:rPr>
        <w:t> </w:t>
      </w:r>
      <w:r>
        <w:rPr>
          <w:spacing w:val="-2"/>
        </w:rPr>
        <w:t>Amazon,</w:t>
      </w:r>
      <w:r>
        <w:rPr>
          <w:spacing w:val="-4"/>
        </w:rPr>
        <w:t> </w:t>
      </w:r>
      <w:r>
        <w:rPr>
          <w:spacing w:val="-2"/>
        </w:rPr>
        <w:t>Deliveroo,</w:t>
      </w:r>
      <w:r>
        <w:rPr>
          <w:spacing w:val="-4"/>
        </w:rPr>
        <w:t> </w:t>
      </w:r>
      <w:r>
        <w:rPr>
          <w:spacing w:val="-2"/>
        </w:rPr>
        <w:t>and</w:t>
      </w:r>
      <w:r>
        <w:rPr>
          <w:spacing w:val="-4"/>
        </w:rPr>
        <w:t> </w:t>
      </w:r>
      <w:r>
        <w:rPr>
          <w:spacing w:val="-2"/>
        </w:rPr>
        <w:t>other</w:t>
      </w:r>
      <w:r>
        <w:rPr>
          <w:spacing w:val="-3"/>
        </w:rPr>
        <w:t> </w:t>
      </w:r>
      <w:r>
        <w:rPr>
          <w:spacing w:val="-2"/>
        </w:rPr>
        <w:t>delivery</w:t>
      </w:r>
      <w:r>
        <w:rPr>
          <w:spacing w:val="-3"/>
        </w:rPr>
        <w:t> </w:t>
      </w:r>
      <w:r>
        <w:rPr>
          <w:spacing w:val="-2"/>
        </w:rPr>
        <w:t>services.</w:t>
      </w:r>
      <w:r>
        <w:rPr>
          <w:spacing w:val="-4"/>
        </w:rPr>
        <w:t> </w:t>
      </w:r>
      <w:r>
        <w:rPr>
          <w:spacing w:val="-2"/>
        </w:rPr>
        <w:t>Last</w:t>
      </w:r>
      <w:r>
        <w:rPr>
          <w:spacing w:val="-3"/>
        </w:rPr>
        <w:t> </w:t>
      </w:r>
      <w:r>
        <w:rPr>
          <w:spacing w:val="-2"/>
        </w:rPr>
        <w:t>but</w:t>
      </w:r>
      <w:r>
        <w:rPr>
          <w:spacing w:val="-3"/>
        </w:rPr>
        <w:t> </w:t>
      </w:r>
      <w:r>
        <w:rPr>
          <w:spacing w:val="-2"/>
        </w:rPr>
        <w:t>not</w:t>
      </w:r>
      <w:r>
        <w:rPr>
          <w:spacing w:val="-3"/>
        </w:rPr>
        <w:t> </w:t>
      </w:r>
      <w:r>
        <w:rPr>
          <w:spacing w:val="-2"/>
        </w:rPr>
        <w:t>least,</w:t>
      </w:r>
      <w:r>
        <w:rPr>
          <w:spacing w:val="-3"/>
        </w:rPr>
        <w:t> </w:t>
      </w:r>
      <w:r>
        <w:rPr>
          <w:spacing w:val="-2"/>
        </w:rPr>
        <w:t>the</w:t>
      </w:r>
      <w:r>
        <w:rPr>
          <w:spacing w:val="-4"/>
        </w:rPr>
        <w:t> </w:t>
      </w:r>
      <w:r>
        <w:rPr>
          <w:spacing w:val="-2"/>
        </w:rPr>
        <w:t>cost-saving </w:t>
      </w:r>
      <w:r>
        <w:rPr/>
        <w:t>programme</w:t>
      </w:r>
      <w:r>
        <w:rPr>
          <w:spacing w:val="-15"/>
        </w:rPr>
        <w:t> </w:t>
      </w:r>
      <w:r>
        <w:rPr/>
        <w:t>will</w:t>
      </w:r>
      <w:r>
        <w:rPr>
          <w:spacing w:val="-15"/>
        </w:rPr>
        <w:t> </w:t>
      </w:r>
      <w:r>
        <w:rPr/>
        <w:t>be</w:t>
      </w:r>
      <w:r>
        <w:rPr>
          <w:spacing w:val="-15"/>
        </w:rPr>
        <w:t> </w:t>
      </w:r>
      <w:r>
        <w:rPr/>
        <w:t>in</w:t>
      </w:r>
      <w:r>
        <w:rPr>
          <w:spacing w:val="-15"/>
        </w:rPr>
        <w:t> </w:t>
      </w:r>
      <w:r>
        <w:rPr/>
        <w:t>connection</w:t>
      </w:r>
      <w:r>
        <w:rPr>
          <w:spacing w:val="-15"/>
        </w:rPr>
        <w:t> </w:t>
      </w:r>
      <w:r>
        <w:rPr/>
        <w:t>with</w:t>
      </w:r>
      <w:r>
        <w:rPr>
          <w:spacing w:val="-15"/>
        </w:rPr>
        <w:t> </w:t>
      </w:r>
      <w:r>
        <w:rPr/>
        <w:t>the</w:t>
      </w:r>
      <w:r>
        <w:rPr>
          <w:spacing w:val="-15"/>
        </w:rPr>
        <w:t> </w:t>
      </w:r>
      <w:r>
        <w:rPr/>
        <w:t>EBITDA</w:t>
      </w:r>
      <w:r>
        <w:rPr>
          <w:spacing w:val="-15"/>
        </w:rPr>
        <w:t> </w:t>
      </w:r>
      <w:r>
        <w:rPr/>
        <w:t>protection,</w:t>
      </w:r>
      <w:r>
        <w:rPr>
          <w:spacing w:val="-15"/>
        </w:rPr>
        <w:t> </w:t>
      </w:r>
      <w:r>
        <w:rPr/>
        <w:t>and</w:t>
      </w:r>
      <w:r>
        <w:rPr>
          <w:spacing w:val="-15"/>
        </w:rPr>
        <w:t> </w:t>
      </w:r>
      <w:r>
        <w:rPr/>
        <w:t>will</w:t>
      </w:r>
      <w:r>
        <w:rPr>
          <w:spacing w:val="-15"/>
        </w:rPr>
        <w:t> </w:t>
      </w:r>
      <w:r>
        <w:rPr/>
        <w:t>have</w:t>
      </w:r>
      <w:r>
        <w:rPr>
          <w:spacing w:val="-15"/>
        </w:rPr>
        <w:t> </w:t>
      </w:r>
      <w:r>
        <w:rPr/>
        <w:t>to</w:t>
      </w:r>
      <w:r>
        <w:rPr>
          <w:spacing w:val="-15"/>
        </w:rPr>
        <w:t> </w:t>
      </w:r>
      <w:r>
        <w:rPr/>
        <w:t>be</w:t>
      </w:r>
      <w:r>
        <w:rPr>
          <w:spacing w:val="-15"/>
        </w:rPr>
        <w:t> </w:t>
      </w:r>
      <w:r>
        <w:rPr/>
        <w:t>monitored</w:t>
      </w:r>
      <w:r>
        <w:rPr>
          <w:spacing w:val="-15"/>
        </w:rPr>
        <w:t> </w:t>
      </w:r>
      <w:r>
        <w:rPr/>
        <w:t>using colleague turnover, service quality, and product availability. Short-term oriented accounting can motivate</w:t>
      </w:r>
      <w:r>
        <w:rPr>
          <w:spacing w:val="-2"/>
        </w:rPr>
        <w:t> </w:t>
      </w:r>
      <w:r>
        <w:rPr/>
        <w:t>short-term</w:t>
      </w:r>
      <w:r>
        <w:rPr>
          <w:spacing w:val="-3"/>
        </w:rPr>
        <w:t> </w:t>
      </w:r>
      <w:r>
        <w:rPr/>
        <w:t>saving,</w:t>
      </w:r>
      <w:r>
        <w:rPr>
          <w:spacing w:val="-1"/>
        </w:rPr>
        <w:t> </w:t>
      </w:r>
      <w:r>
        <w:rPr/>
        <w:t>and</w:t>
      </w:r>
      <w:r>
        <w:rPr>
          <w:spacing w:val="-2"/>
        </w:rPr>
        <w:t> </w:t>
      </w:r>
      <w:r>
        <w:rPr/>
        <w:t>at</w:t>
      </w:r>
      <w:r>
        <w:rPr>
          <w:spacing w:val="-2"/>
        </w:rPr>
        <w:t> </w:t>
      </w:r>
      <w:r>
        <w:rPr/>
        <w:t>the</w:t>
      </w:r>
      <w:r>
        <w:rPr>
          <w:spacing w:val="-1"/>
        </w:rPr>
        <w:t> </w:t>
      </w:r>
      <w:r>
        <w:rPr/>
        <w:t>same</w:t>
      </w:r>
      <w:r>
        <w:rPr>
          <w:spacing w:val="-1"/>
        </w:rPr>
        <w:t> </w:t>
      </w:r>
      <w:r>
        <w:rPr/>
        <w:t>time,</w:t>
      </w:r>
      <w:r>
        <w:rPr>
          <w:spacing w:val="-1"/>
        </w:rPr>
        <w:t> </w:t>
      </w:r>
      <w:r>
        <w:rPr/>
        <w:t>such</w:t>
      </w:r>
      <w:r>
        <w:rPr>
          <w:spacing w:val="-2"/>
        </w:rPr>
        <w:t> </w:t>
      </w:r>
      <w:r>
        <w:rPr/>
        <w:t>measures</w:t>
      </w:r>
      <w:r>
        <w:rPr>
          <w:spacing w:val="-3"/>
        </w:rPr>
        <w:t> </w:t>
      </w:r>
      <w:r>
        <w:rPr/>
        <w:t>can</w:t>
      </w:r>
      <w:r>
        <w:rPr>
          <w:spacing w:val="-2"/>
        </w:rPr>
        <w:t> </w:t>
      </w:r>
      <w:r>
        <w:rPr/>
        <w:t>lead</w:t>
      </w:r>
      <w:r>
        <w:rPr>
          <w:spacing w:val="-2"/>
        </w:rPr>
        <w:t> </w:t>
      </w:r>
      <w:r>
        <w:rPr/>
        <w:t>to</w:t>
      </w:r>
      <w:r>
        <w:rPr>
          <w:spacing w:val="-2"/>
        </w:rPr>
        <w:t> </w:t>
      </w:r>
      <w:r>
        <w:rPr/>
        <w:t>long-term</w:t>
      </w:r>
      <w:r>
        <w:rPr>
          <w:spacing w:val="-3"/>
        </w:rPr>
        <w:t> </w:t>
      </w:r>
      <w:r>
        <w:rPr/>
        <w:t>damage</w:t>
      </w:r>
      <w:r>
        <w:rPr>
          <w:spacing w:val="-1"/>
        </w:rPr>
        <w:t> </w:t>
      </w:r>
      <w:r>
        <w:rPr/>
        <w:t>to the brand (Valaskova et al., 2025).</w:t>
      </w:r>
    </w:p>
    <w:p>
      <w:pPr>
        <w:pStyle w:val="BodyText"/>
      </w:pPr>
    </w:p>
    <w:p>
      <w:pPr>
        <w:pStyle w:val="BodyText"/>
        <w:spacing w:before="182"/>
      </w:pPr>
    </w:p>
    <w:p>
      <w:pPr>
        <w:pStyle w:val="Heading1"/>
        <w:numPr>
          <w:ilvl w:val="0"/>
          <w:numId w:val="2"/>
        </w:numPr>
        <w:tabs>
          <w:tab w:pos="240" w:val="left" w:leader="none"/>
        </w:tabs>
        <w:spacing w:line="240" w:lineRule="auto" w:before="0" w:after="0"/>
        <w:ind w:left="240" w:right="0" w:hanging="240"/>
        <w:jc w:val="left"/>
      </w:pPr>
      <w:bookmarkStart w:name="5. Sustainability and Ethical Considerat" w:id="11"/>
      <w:bookmarkEnd w:id="11"/>
      <w:r>
        <w:rPr>
          <w:b w:val="0"/>
        </w:rPr>
      </w:r>
      <w:bookmarkStart w:name="_bookmark5" w:id="12"/>
      <w:bookmarkEnd w:id="12"/>
      <w:r>
        <w:rPr>
          <w:b w:val="0"/>
        </w:rPr>
      </w:r>
      <w:r>
        <w:rPr/>
        <w:t>Sustainability</w:t>
      </w:r>
      <w:r>
        <w:rPr>
          <w:spacing w:val="-2"/>
        </w:rPr>
        <w:t> </w:t>
      </w:r>
      <w:r>
        <w:rPr/>
        <w:t>and</w:t>
      </w:r>
      <w:r>
        <w:rPr>
          <w:spacing w:val="-2"/>
        </w:rPr>
        <w:t> </w:t>
      </w:r>
      <w:r>
        <w:rPr/>
        <w:t>Ethical</w:t>
      </w:r>
      <w:r>
        <w:rPr>
          <w:spacing w:val="-1"/>
        </w:rPr>
        <w:t> </w:t>
      </w:r>
      <w:r>
        <w:rPr>
          <w:spacing w:val="-2"/>
        </w:rPr>
        <w:t>Considerations</w:t>
      </w:r>
    </w:p>
    <w:p>
      <w:pPr>
        <w:pStyle w:val="BodyText"/>
        <w:spacing w:line="360" w:lineRule="auto" w:before="258"/>
        <w:ind w:right="359"/>
        <w:jc w:val="both"/>
      </w:pPr>
      <w:r>
        <w:rPr/>
        <w:t>Morrisons' Sustain programme is the vehicle for embedding sustainability into its financial decision-making,</w:t>
      </w:r>
      <w:r>
        <w:rPr>
          <w:spacing w:val="-17"/>
        </w:rPr>
        <w:t> </w:t>
      </w:r>
      <w:r>
        <w:rPr/>
        <w:t>and</w:t>
      </w:r>
      <w:r>
        <w:rPr>
          <w:spacing w:val="-14"/>
        </w:rPr>
        <w:t> </w:t>
      </w:r>
      <w:r>
        <w:rPr/>
        <w:t>addresses</w:t>
      </w:r>
      <w:r>
        <w:rPr>
          <w:spacing w:val="-14"/>
        </w:rPr>
        <w:t> </w:t>
      </w:r>
      <w:r>
        <w:rPr/>
        <w:t>energy</w:t>
      </w:r>
      <w:r>
        <w:rPr>
          <w:spacing w:val="-15"/>
        </w:rPr>
        <w:t> </w:t>
      </w:r>
      <w:r>
        <w:rPr/>
        <w:t>and</w:t>
      </w:r>
      <w:r>
        <w:rPr>
          <w:spacing w:val="-14"/>
        </w:rPr>
        <w:t> </w:t>
      </w:r>
      <w:r>
        <w:rPr/>
        <w:t>climate,</w:t>
      </w:r>
      <w:r>
        <w:rPr>
          <w:spacing w:val="-14"/>
        </w:rPr>
        <w:t> </w:t>
      </w:r>
      <w:r>
        <w:rPr/>
        <w:t>packaging,</w:t>
      </w:r>
      <w:r>
        <w:rPr>
          <w:spacing w:val="-15"/>
        </w:rPr>
        <w:t> </w:t>
      </w:r>
      <w:r>
        <w:rPr/>
        <w:t>waste,</w:t>
      </w:r>
      <w:r>
        <w:rPr>
          <w:spacing w:val="-14"/>
        </w:rPr>
        <w:t> </w:t>
      </w:r>
      <w:r>
        <w:rPr/>
        <w:t>water,</w:t>
      </w:r>
      <w:r>
        <w:rPr>
          <w:spacing w:val="-14"/>
        </w:rPr>
        <w:t> </w:t>
      </w:r>
      <w:r>
        <w:rPr/>
        <w:t>sustainable</w:t>
      </w:r>
      <w:r>
        <w:rPr>
          <w:spacing w:val="-14"/>
        </w:rPr>
        <w:t> </w:t>
      </w:r>
      <w:r>
        <w:rPr>
          <w:spacing w:val="-2"/>
        </w:rPr>
        <w:t>sourcing,</w:t>
      </w:r>
    </w:p>
    <w:p>
      <w:pPr>
        <w:pStyle w:val="BodyText"/>
        <w:spacing w:after="0" w:line="360" w:lineRule="auto"/>
        <w:jc w:val="both"/>
        <w:sectPr>
          <w:pgSz w:w="12240" w:h="15840"/>
          <w:pgMar w:header="780" w:footer="1060" w:top="1680" w:bottom="1260" w:left="1440" w:right="1080"/>
        </w:sectPr>
      </w:pPr>
    </w:p>
    <w:p>
      <w:pPr>
        <w:pStyle w:val="BodyText"/>
        <w:spacing w:line="360" w:lineRule="auto" w:before="80"/>
        <w:ind w:right="356"/>
        <w:jc w:val="both"/>
      </w:pPr>
      <w:r>
        <w:rPr/>
        <w:t>healthy diets and communities. The company says that a healthy planet and strong communities and trust (Morrisons PLC, 2026) are the foundation of affordable, good quality food. It has seen measurable progress in its 2023/24 sustainability report. Morrisons achieved a 22% total carbon footprint reduction from 2019, a 21% reduction in Scope 3 carbon footprint, a 26.75% reduction in operational Scope 1 and 2 emissions, and a reduction of energy use by 1.4% when compared with</w:t>
      </w:r>
      <w:r>
        <w:rPr>
          <w:spacing w:val="44"/>
        </w:rPr>
        <w:t> </w:t>
      </w:r>
      <w:r>
        <w:rPr/>
        <w:t>the</w:t>
      </w:r>
      <w:r>
        <w:rPr>
          <w:spacing w:val="47"/>
        </w:rPr>
        <w:t> </w:t>
      </w:r>
      <w:r>
        <w:rPr/>
        <w:t>previous</w:t>
      </w:r>
      <w:r>
        <w:rPr>
          <w:spacing w:val="47"/>
        </w:rPr>
        <w:t> </w:t>
      </w:r>
      <w:r>
        <w:rPr/>
        <w:t>year.</w:t>
      </w:r>
      <w:r>
        <w:rPr>
          <w:spacing w:val="45"/>
        </w:rPr>
        <w:t> </w:t>
      </w:r>
      <w:r>
        <w:rPr/>
        <w:t>It</w:t>
      </w:r>
      <w:r>
        <w:rPr>
          <w:spacing w:val="47"/>
        </w:rPr>
        <w:t> </w:t>
      </w:r>
      <w:r>
        <w:rPr/>
        <w:t>also</w:t>
      </w:r>
      <w:r>
        <w:rPr>
          <w:spacing w:val="47"/>
        </w:rPr>
        <w:t> </w:t>
      </w:r>
      <w:r>
        <w:rPr/>
        <w:t>featured</w:t>
      </w:r>
      <w:r>
        <w:rPr>
          <w:spacing w:val="46"/>
        </w:rPr>
        <w:t> </w:t>
      </w:r>
      <w:r>
        <w:rPr/>
        <w:t>more</w:t>
      </w:r>
      <w:r>
        <w:rPr>
          <w:spacing w:val="46"/>
        </w:rPr>
        <w:t> </w:t>
      </w:r>
      <w:r>
        <w:rPr/>
        <w:t>than</w:t>
      </w:r>
      <w:r>
        <w:rPr>
          <w:spacing w:val="47"/>
        </w:rPr>
        <w:t> </w:t>
      </w:r>
      <w:r>
        <w:rPr/>
        <w:t>108</w:t>
      </w:r>
      <w:r>
        <w:rPr>
          <w:spacing w:val="46"/>
        </w:rPr>
        <w:t> </w:t>
      </w:r>
      <w:r>
        <w:rPr/>
        <w:t>solar</w:t>
      </w:r>
      <w:r>
        <w:rPr>
          <w:spacing w:val="47"/>
        </w:rPr>
        <w:t> </w:t>
      </w:r>
      <w:r>
        <w:rPr/>
        <w:t>installations</w:t>
      </w:r>
      <w:r>
        <w:rPr>
          <w:spacing w:val="47"/>
        </w:rPr>
        <w:t> </w:t>
      </w:r>
      <w:r>
        <w:rPr/>
        <w:t>with</w:t>
      </w:r>
      <w:r>
        <w:rPr>
          <w:spacing w:val="47"/>
        </w:rPr>
        <w:t> </w:t>
      </w:r>
      <w:r>
        <w:rPr/>
        <w:t>an</w:t>
      </w:r>
      <w:r>
        <w:rPr>
          <w:spacing w:val="46"/>
        </w:rPr>
        <w:t> </w:t>
      </w:r>
      <w:r>
        <w:rPr>
          <w:spacing w:val="-2"/>
        </w:rPr>
        <w:t>additional</w:t>
      </w:r>
    </w:p>
    <w:p>
      <w:pPr>
        <w:pStyle w:val="BodyText"/>
        <w:spacing w:line="360" w:lineRule="auto"/>
        <w:ind w:right="356"/>
        <w:jc w:val="both"/>
      </w:pPr>
      <w:r>
        <w:rPr/>
        <w:t>18.7GWh of solar power produced (Morrisons, 2024). But there are cost trade-offs for sustainability. Some investments might involve the installation of solar panels, refining refrigeration, cutting back on packaging, and helping farmers, and these may take place in the beginning. Therefore, management accounting should employ life-cycle costing and environmental management accounting and not limit assessments of sustainability projects to short-term payback (Pumiviset, 2024). Food waste is particularly significant because it has a negative impact on both profitability and environmental outcomes concurrently (Olabode et al., </w:t>
      </w:r>
      <w:r>
        <w:rPr>
          <w:spacing w:val="-2"/>
        </w:rPr>
        <w:t>2025).</w:t>
      </w:r>
    </w:p>
    <w:p>
      <w:pPr>
        <w:pStyle w:val="BodyText"/>
        <w:spacing w:line="360" w:lineRule="auto" w:before="160"/>
        <w:ind w:right="356"/>
        <w:jc w:val="both"/>
      </w:pPr>
      <w:r>
        <w:rPr/>
        <w:t>From an ethical perspective, Morrisons should strive to be an affordable option all the while treating suppliers, farmers, employees, and customers fairly. While low prices can allow households to cope in a cost-of-living crisis, intense supplier pressure could impact farm sustainability. For this reason, the Morrisons Sustainable Farm Network (SFN) (2024), which includes</w:t>
      </w:r>
      <w:r>
        <w:rPr>
          <w:spacing w:val="-4"/>
        </w:rPr>
        <w:t> </w:t>
      </w:r>
      <w:r>
        <w:rPr/>
        <w:t>more</w:t>
      </w:r>
      <w:r>
        <w:rPr>
          <w:spacing w:val="-3"/>
        </w:rPr>
        <w:t> </w:t>
      </w:r>
      <w:r>
        <w:rPr/>
        <w:t>than</w:t>
      </w:r>
      <w:r>
        <w:rPr>
          <w:spacing w:val="-4"/>
        </w:rPr>
        <w:t> </w:t>
      </w:r>
      <w:r>
        <w:rPr/>
        <w:t>70</w:t>
      </w:r>
      <w:r>
        <w:rPr>
          <w:spacing w:val="-5"/>
        </w:rPr>
        <w:t> </w:t>
      </w:r>
      <w:r>
        <w:rPr/>
        <w:t>farmers,</w:t>
      </w:r>
      <w:r>
        <w:rPr>
          <w:spacing w:val="-5"/>
        </w:rPr>
        <w:t> </w:t>
      </w:r>
      <w:r>
        <w:rPr/>
        <w:t>is</w:t>
      </w:r>
      <w:r>
        <w:rPr>
          <w:spacing w:val="-4"/>
        </w:rPr>
        <w:t> </w:t>
      </w:r>
      <w:r>
        <w:rPr/>
        <w:t>strategically</w:t>
      </w:r>
      <w:r>
        <w:rPr>
          <w:spacing w:val="-5"/>
        </w:rPr>
        <w:t> </w:t>
      </w:r>
      <w:r>
        <w:rPr/>
        <w:t>relevant</w:t>
      </w:r>
      <w:r>
        <w:rPr>
          <w:spacing w:val="-5"/>
        </w:rPr>
        <w:t> </w:t>
      </w:r>
      <w:r>
        <w:rPr/>
        <w:t>in</w:t>
      </w:r>
      <w:r>
        <w:rPr>
          <w:spacing w:val="-4"/>
        </w:rPr>
        <w:t> </w:t>
      </w:r>
      <w:r>
        <w:rPr/>
        <w:t>relation</w:t>
      </w:r>
      <w:r>
        <w:rPr>
          <w:spacing w:val="-6"/>
        </w:rPr>
        <w:t> </w:t>
      </w:r>
      <w:r>
        <w:rPr/>
        <w:t>to</w:t>
      </w:r>
      <w:r>
        <w:rPr>
          <w:spacing w:val="-4"/>
        </w:rPr>
        <w:t> </w:t>
      </w:r>
      <w:r>
        <w:rPr/>
        <w:t>sourcing,</w:t>
      </w:r>
      <w:r>
        <w:rPr>
          <w:spacing w:val="-4"/>
        </w:rPr>
        <w:t> </w:t>
      </w:r>
      <w:r>
        <w:rPr/>
        <w:t>climate</w:t>
      </w:r>
      <w:r>
        <w:rPr>
          <w:spacing w:val="-4"/>
        </w:rPr>
        <w:t> </w:t>
      </w:r>
      <w:r>
        <w:rPr/>
        <w:t>action,</w:t>
      </w:r>
      <w:r>
        <w:rPr>
          <w:spacing w:val="-5"/>
        </w:rPr>
        <w:t> </w:t>
      </w:r>
      <w:r>
        <w:rPr/>
        <w:t>and supplier resilience (Morrison, 2024). Cost management can turn into cost transfer, which is an ethical challenge. If Morrisons can maintain margins by applying pressure to suppliers, reducing the number of employees, or cutting back on valuable services, the bottom line is likely to be healthier, but the value to the stakeholders is less. A more responsible approach would be the addition of supplier payment metrics, food waste rates, colleague turnover, customer complaints, carbon costs, and nutrition-related indicators in the management dashboards (Alawattage, 2024).</w:t>
      </w:r>
    </w:p>
    <w:p>
      <w:pPr>
        <w:pStyle w:val="Heading1"/>
        <w:numPr>
          <w:ilvl w:val="0"/>
          <w:numId w:val="2"/>
        </w:numPr>
        <w:tabs>
          <w:tab w:pos="240" w:val="left" w:leader="none"/>
        </w:tabs>
        <w:spacing w:line="240" w:lineRule="auto" w:before="160" w:after="0"/>
        <w:ind w:left="240" w:right="0" w:hanging="240"/>
        <w:jc w:val="both"/>
      </w:pPr>
      <w:bookmarkStart w:name="6. Conclusion and Recommendations" w:id="13"/>
      <w:bookmarkEnd w:id="13"/>
      <w:r>
        <w:rPr>
          <w:b w:val="0"/>
        </w:rPr>
      </w:r>
      <w:bookmarkStart w:name="_bookmark6" w:id="14"/>
      <w:bookmarkEnd w:id="14"/>
      <w:r>
        <w:rPr>
          <w:b w:val="0"/>
        </w:rPr>
      </w:r>
      <w:r>
        <w:rPr/>
        <w:t>Conclusion</w:t>
      </w:r>
      <w:r>
        <w:rPr>
          <w:spacing w:val="-4"/>
        </w:rPr>
        <w:t> </w:t>
      </w:r>
      <w:r>
        <w:rPr/>
        <w:t>and</w:t>
      </w:r>
      <w:r>
        <w:rPr>
          <w:spacing w:val="-3"/>
        </w:rPr>
        <w:t> </w:t>
      </w:r>
      <w:r>
        <w:rPr>
          <w:spacing w:val="-2"/>
        </w:rPr>
        <w:t>Recommendations</w:t>
      </w:r>
    </w:p>
    <w:p>
      <w:pPr>
        <w:pStyle w:val="BodyText"/>
        <w:spacing w:line="360" w:lineRule="auto" w:before="258"/>
        <w:ind w:right="359"/>
        <w:jc w:val="both"/>
      </w:pPr>
      <w:r>
        <w:rPr/>
        <w:t>Morrisons'</w:t>
      </w:r>
      <w:r>
        <w:rPr>
          <w:spacing w:val="-15"/>
        </w:rPr>
        <w:t> </w:t>
      </w:r>
      <w:r>
        <w:rPr/>
        <w:t>management</w:t>
      </w:r>
      <w:r>
        <w:rPr>
          <w:spacing w:val="-15"/>
        </w:rPr>
        <w:t> </w:t>
      </w:r>
      <w:r>
        <w:rPr/>
        <w:t>accounting</w:t>
      </w:r>
      <w:r>
        <w:rPr>
          <w:spacing w:val="-15"/>
        </w:rPr>
        <w:t> </w:t>
      </w:r>
      <w:r>
        <w:rPr/>
        <w:t>is</w:t>
      </w:r>
      <w:r>
        <w:rPr>
          <w:spacing w:val="-15"/>
        </w:rPr>
        <w:t> </w:t>
      </w:r>
      <w:r>
        <w:rPr/>
        <w:t>crucial</w:t>
      </w:r>
      <w:r>
        <w:rPr>
          <w:spacing w:val="-15"/>
        </w:rPr>
        <w:t> </w:t>
      </w:r>
      <w:r>
        <w:rPr/>
        <w:t>given</w:t>
      </w:r>
      <w:r>
        <w:rPr>
          <w:spacing w:val="-15"/>
        </w:rPr>
        <w:t> </w:t>
      </w:r>
      <w:r>
        <w:rPr/>
        <w:t>the</w:t>
      </w:r>
      <w:r>
        <w:rPr>
          <w:spacing w:val="-15"/>
        </w:rPr>
        <w:t> </w:t>
      </w:r>
      <w:r>
        <w:rPr/>
        <w:t>competitive</w:t>
      </w:r>
      <w:r>
        <w:rPr>
          <w:spacing w:val="-15"/>
        </w:rPr>
        <w:t> </w:t>
      </w:r>
      <w:r>
        <w:rPr/>
        <w:t>pricing</w:t>
      </w:r>
      <w:r>
        <w:rPr>
          <w:spacing w:val="-15"/>
        </w:rPr>
        <w:t> </w:t>
      </w:r>
      <w:r>
        <w:rPr/>
        <w:t>within</w:t>
      </w:r>
      <w:r>
        <w:rPr>
          <w:spacing w:val="-15"/>
        </w:rPr>
        <w:t> </w:t>
      </w:r>
      <w:r>
        <w:rPr/>
        <w:t>the</w:t>
      </w:r>
      <w:r>
        <w:rPr>
          <w:spacing w:val="-15"/>
        </w:rPr>
        <w:t> </w:t>
      </w:r>
      <w:r>
        <w:rPr/>
        <w:t>supermarket industry,</w:t>
      </w:r>
      <w:r>
        <w:rPr>
          <w:spacing w:val="-10"/>
        </w:rPr>
        <w:t> </w:t>
      </w:r>
      <w:r>
        <w:rPr/>
        <w:t>low</w:t>
      </w:r>
      <w:r>
        <w:rPr>
          <w:spacing w:val="-9"/>
        </w:rPr>
        <w:t> </w:t>
      </w:r>
      <w:r>
        <w:rPr/>
        <w:t>margins,</w:t>
      </w:r>
      <w:r>
        <w:rPr>
          <w:spacing w:val="-9"/>
        </w:rPr>
        <w:t> </w:t>
      </w:r>
      <w:r>
        <w:rPr/>
        <w:t>and</w:t>
      </w:r>
      <w:r>
        <w:rPr>
          <w:spacing w:val="-9"/>
        </w:rPr>
        <w:t> </w:t>
      </w:r>
      <w:r>
        <w:rPr/>
        <w:t>the</w:t>
      </w:r>
      <w:r>
        <w:rPr>
          <w:spacing w:val="-9"/>
        </w:rPr>
        <w:t> </w:t>
      </w:r>
      <w:r>
        <w:rPr/>
        <w:t>cost</w:t>
      </w:r>
      <w:r>
        <w:rPr>
          <w:spacing w:val="-9"/>
        </w:rPr>
        <w:t> </w:t>
      </w:r>
      <w:r>
        <w:rPr/>
        <w:t>of</w:t>
      </w:r>
      <w:r>
        <w:rPr>
          <w:spacing w:val="-10"/>
        </w:rPr>
        <w:t> </w:t>
      </w:r>
      <w:r>
        <w:rPr/>
        <w:t>running</w:t>
      </w:r>
      <w:r>
        <w:rPr>
          <w:spacing w:val="-9"/>
        </w:rPr>
        <w:t> </w:t>
      </w:r>
      <w:r>
        <w:rPr/>
        <w:t>the</w:t>
      </w:r>
      <w:r>
        <w:rPr>
          <w:spacing w:val="-9"/>
        </w:rPr>
        <w:t> </w:t>
      </w:r>
      <w:r>
        <w:rPr/>
        <w:t>business.</w:t>
      </w:r>
      <w:r>
        <w:rPr>
          <w:spacing w:val="-14"/>
        </w:rPr>
        <w:t> </w:t>
      </w:r>
      <w:r>
        <w:rPr/>
        <w:t>The</w:t>
      </w:r>
      <w:r>
        <w:rPr>
          <w:spacing w:val="-9"/>
        </w:rPr>
        <w:t> </w:t>
      </w:r>
      <w:r>
        <w:rPr/>
        <w:t>evidence</w:t>
      </w:r>
      <w:r>
        <w:rPr>
          <w:spacing w:val="-9"/>
        </w:rPr>
        <w:t> </w:t>
      </w:r>
      <w:r>
        <w:rPr/>
        <w:t>indicates</w:t>
      </w:r>
      <w:r>
        <w:rPr>
          <w:spacing w:val="-9"/>
        </w:rPr>
        <w:t> </w:t>
      </w:r>
      <w:r>
        <w:rPr/>
        <w:t>that</w:t>
      </w:r>
      <w:r>
        <w:rPr>
          <w:spacing w:val="-9"/>
        </w:rPr>
        <w:t> </w:t>
      </w:r>
      <w:r>
        <w:rPr/>
        <w:t>Morrisons has</w:t>
      </w:r>
      <w:r>
        <w:rPr>
          <w:spacing w:val="72"/>
        </w:rPr>
        <w:t> </w:t>
      </w:r>
      <w:r>
        <w:rPr/>
        <w:t>boosted</w:t>
      </w:r>
      <w:r>
        <w:rPr>
          <w:spacing w:val="72"/>
        </w:rPr>
        <w:t> </w:t>
      </w:r>
      <w:r>
        <w:rPr/>
        <w:t>its</w:t>
      </w:r>
      <w:r>
        <w:rPr>
          <w:spacing w:val="73"/>
        </w:rPr>
        <w:t> </w:t>
      </w:r>
      <w:r>
        <w:rPr/>
        <w:t>sales</w:t>
      </w:r>
      <w:r>
        <w:rPr>
          <w:spacing w:val="72"/>
        </w:rPr>
        <w:t> </w:t>
      </w:r>
      <w:r>
        <w:rPr/>
        <w:t>and</w:t>
      </w:r>
      <w:r>
        <w:rPr>
          <w:spacing w:val="74"/>
        </w:rPr>
        <w:t> </w:t>
      </w:r>
      <w:r>
        <w:rPr/>
        <w:t>maintained</w:t>
      </w:r>
      <w:r>
        <w:rPr>
          <w:spacing w:val="72"/>
        </w:rPr>
        <w:t> </w:t>
      </w:r>
      <w:r>
        <w:rPr/>
        <w:t>the</w:t>
      </w:r>
      <w:r>
        <w:rPr>
          <w:spacing w:val="72"/>
        </w:rPr>
        <w:t> </w:t>
      </w:r>
      <w:r>
        <w:rPr/>
        <w:t>earnings</w:t>
      </w:r>
      <w:r>
        <w:rPr>
          <w:spacing w:val="73"/>
        </w:rPr>
        <w:t> </w:t>
      </w:r>
      <w:r>
        <w:rPr/>
        <w:t>before</w:t>
      </w:r>
      <w:r>
        <w:rPr>
          <w:spacing w:val="72"/>
        </w:rPr>
        <w:t> </w:t>
      </w:r>
      <w:r>
        <w:rPr/>
        <w:t>interest,</w:t>
      </w:r>
      <w:r>
        <w:rPr>
          <w:spacing w:val="72"/>
        </w:rPr>
        <w:t> </w:t>
      </w:r>
      <w:r>
        <w:rPr/>
        <w:t>taxes,</w:t>
      </w:r>
      <w:r>
        <w:rPr>
          <w:spacing w:val="73"/>
        </w:rPr>
        <w:t> </w:t>
      </w:r>
      <w:r>
        <w:rPr/>
        <w:t>depreciation</w:t>
      </w:r>
      <w:r>
        <w:rPr>
          <w:spacing w:val="73"/>
        </w:rPr>
        <w:t> </w:t>
      </w:r>
      <w:r>
        <w:rPr>
          <w:spacing w:val="-5"/>
        </w:rPr>
        <w:t>and</w:t>
      </w:r>
    </w:p>
    <w:p>
      <w:pPr>
        <w:pStyle w:val="BodyText"/>
        <w:spacing w:after="0" w:line="360" w:lineRule="auto"/>
        <w:jc w:val="both"/>
        <w:sectPr>
          <w:pgSz w:w="12240" w:h="15840"/>
          <w:pgMar w:header="780" w:footer="1060" w:top="1680" w:bottom="1260" w:left="1440" w:right="1080"/>
        </w:sectPr>
      </w:pPr>
    </w:p>
    <w:p>
      <w:pPr>
        <w:pStyle w:val="BodyText"/>
        <w:spacing w:line="360" w:lineRule="auto" w:before="80"/>
        <w:ind w:right="357"/>
        <w:jc w:val="both"/>
      </w:pPr>
      <w:r>
        <w:rPr/>
        <w:t>amortisation (EBITDA) due to cost-saving strategies, which is, however, a measure to be taken with</w:t>
      </w:r>
      <w:r>
        <w:rPr>
          <w:spacing w:val="-2"/>
        </w:rPr>
        <w:t> </w:t>
      </w:r>
      <w:r>
        <w:rPr/>
        <w:t>caution</w:t>
      </w:r>
      <w:r>
        <w:rPr>
          <w:spacing w:val="-4"/>
        </w:rPr>
        <w:t> </w:t>
      </w:r>
      <w:r>
        <w:rPr/>
        <w:t>as</w:t>
      </w:r>
      <w:r>
        <w:rPr>
          <w:spacing w:val="-2"/>
        </w:rPr>
        <w:t> </w:t>
      </w:r>
      <w:r>
        <w:rPr/>
        <w:t>over-cost</w:t>
      </w:r>
      <w:r>
        <w:rPr>
          <w:spacing w:val="-3"/>
        </w:rPr>
        <w:t> </w:t>
      </w:r>
      <w:r>
        <w:rPr/>
        <w:t>cutting</w:t>
      </w:r>
      <w:r>
        <w:rPr>
          <w:spacing w:val="-3"/>
        </w:rPr>
        <w:t> </w:t>
      </w:r>
      <w:r>
        <w:rPr/>
        <w:t>could</w:t>
      </w:r>
      <w:r>
        <w:rPr>
          <w:spacing w:val="-3"/>
        </w:rPr>
        <w:t> </w:t>
      </w:r>
      <w:r>
        <w:rPr/>
        <w:t>harm</w:t>
      </w:r>
      <w:r>
        <w:rPr>
          <w:spacing w:val="-4"/>
        </w:rPr>
        <w:t> </w:t>
      </w:r>
      <w:r>
        <w:rPr/>
        <w:t>the</w:t>
      </w:r>
      <w:r>
        <w:rPr>
          <w:spacing w:val="-2"/>
        </w:rPr>
        <w:t> </w:t>
      </w:r>
      <w:r>
        <w:rPr/>
        <w:t>quality</w:t>
      </w:r>
      <w:r>
        <w:rPr>
          <w:spacing w:val="-2"/>
        </w:rPr>
        <w:t> </w:t>
      </w:r>
      <w:r>
        <w:rPr/>
        <w:t>of</w:t>
      </w:r>
      <w:r>
        <w:rPr>
          <w:spacing w:val="-3"/>
        </w:rPr>
        <w:t> </w:t>
      </w:r>
      <w:r>
        <w:rPr/>
        <w:t>services,</w:t>
      </w:r>
      <w:r>
        <w:rPr>
          <w:spacing w:val="-3"/>
        </w:rPr>
        <w:t> </w:t>
      </w:r>
      <w:r>
        <w:rPr/>
        <w:t>fresh</w:t>
      </w:r>
      <w:r>
        <w:rPr>
          <w:spacing w:val="-3"/>
        </w:rPr>
        <w:t> </w:t>
      </w:r>
      <w:r>
        <w:rPr/>
        <w:t>foods,</w:t>
      </w:r>
      <w:r>
        <w:rPr>
          <w:spacing w:val="-3"/>
        </w:rPr>
        <w:t> </w:t>
      </w:r>
      <w:r>
        <w:rPr/>
        <w:t>staffing</w:t>
      </w:r>
      <w:r>
        <w:rPr>
          <w:spacing w:val="-3"/>
        </w:rPr>
        <w:t> </w:t>
      </w:r>
      <w:r>
        <w:rPr/>
        <w:t>capacity and supplier relationships (Morrisons, 2026). When its sustainability journey is also taken into account, financial decisions can no longer just be based on short-term profit but must also take into account environmental impact (Pumiviset, 2024).</w:t>
      </w:r>
    </w:p>
    <w:p>
      <w:pPr>
        <w:pStyle w:val="BodyText"/>
        <w:spacing w:line="360" w:lineRule="auto" w:before="160"/>
        <w:ind w:right="356"/>
        <w:jc w:val="both"/>
      </w:pPr>
      <w:r>
        <w:rPr>
          <w:spacing w:val="-2"/>
        </w:rPr>
        <w:t>It</w:t>
      </w:r>
      <w:r>
        <w:rPr>
          <w:spacing w:val="-4"/>
        </w:rPr>
        <w:t> </w:t>
      </w:r>
      <w:r>
        <w:rPr>
          <w:spacing w:val="-2"/>
        </w:rPr>
        <w:t>is</w:t>
      </w:r>
      <w:r>
        <w:rPr>
          <w:spacing w:val="-4"/>
        </w:rPr>
        <w:t> </w:t>
      </w:r>
      <w:r>
        <w:rPr>
          <w:spacing w:val="-2"/>
        </w:rPr>
        <w:t>recommended</w:t>
      </w:r>
      <w:r>
        <w:rPr>
          <w:spacing w:val="-3"/>
        </w:rPr>
        <w:t> </w:t>
      </w:r>
      <w:r>
        <w:rPr>
          <w:spacing w:val="-2"/>
        </w:rPr>
        <w:t>that</w:t>
      </w:r>
      <w:r>
        <w:rPr>
          <w:spacing w:val="-4"/>
        </w:rPr>
        <w:t> </w:t>
      </w:r>
      <w:r>
        <w:rPr>
          <w:spacing w:val="-2"/>
        </w:rPr>
        <w:t>Morrisons</w:t>
      </w:r>
      <w:r>
        <w:rPr>
          <w:spacing w:val="-3"/>
        </w:rPr>
        <w:t> </w:t>
      </w:r>
      <w:r>
        <w:rPr>
          <w:spacing w:val="-2"/>
        </w:rPr>
        <w:t>should</w:t>
      </w:r>
      <w:r>
        <w:rPr>
          <w:spacing w:val="-3"/>
        </w:rPr>
        <w:t> </w:t>
      </w:r>
      <w:r>
        <w:rPr>
          <w:spacing w:val="-2"/>
        </w:rPr>
        <w:t>strengthens</w:t>
      </w:r>
      <w:r>
        <w:rPr>
          <w:spacing w:val="-3"/>
        </w:rPr>
        <w:t> </w:t>
      </w:r>
      <w:r>
        <w:rPr>
          <w:spacing w:val="-2"/>
        </w:rPr>
        <w:t>activity</w:t>
      </w:r>
      <w:r>
        <w:rPr>
          <w:spacing w:val="-4"/>
        </w:rPr>
        <w:t> </w:t>
      </w:r>
      <w:r>
        <w:rPr>
          <w:spacing w:val="-2"/>
        </w:rPr>
        <w:t>based</w:t>
      </w:r>
      <w:r>
        <w:rPr>
          <w:spacing w:val="-4"/>
        </w:rPr>
        <w:t> </w:t>
      </w:r>
      <w:r>
        <w:rPr>
          <w:spacing w:val="-2"/>
        </w:rPr>
        <w:t>costing</w:t>
      </w:r>
      <w:r>
        <w:rPr>
          <w:spacing w:val="-3"/>
        </w:rPr>
        <w:t> </w:t>
      </w:r>
      <w:r>
        <w:rPr>
          <w:spacing w:val="-2"/>
        </w:rPr>
        <w:t>throughout</w:t>
      </w:r>
      <w:r>
        <w:rPr>
          <w:spacing w:val="-3"/>
        </w:rPr>
        <w:t> </w:t>
      </w:r>
      <w:r>
        <w:rPr>
          <w:spacing w:val="-2"/>
        </w:rPr>
        <w:t>their</w:t>
      </w:r>
      <w:r>
        <w:rPr>
          <w:spacing w:val="-4"/>
        </w:rPr>
        <w:t> </w:t>
      </w:r>
      <w:r>
        <w:rPr>
          <w:spacing w:val="-2"/>
        </w:rPr>
        <w:t>stores, </w:t>
      </w:r>
      <w:r>
        <w:rPr/>
        <w:t>manufacturing, online fulfilment, and Market Street counters to determine the true product and channel profitability. Second, it must account for controllable inefficiencies along with external factors like wage hikes and inflation through rolling forecasts and variance analysis (Imjai et al., 2023). Lastly, the sustainability costs, such as food waste, energy consumption, and carbon emissions, should be considered in budget planning (Olabode et al., 2025).</w:t>
      </w:r>
    </w:p>
    <w:p>
      <w:pPr>
        <w:pStyle w:val="BodyText"/>
        <w:spacing w:after="0" w:line="360" w:lineRule="auto"/>
        <w:jc w:val="both"/>
        <w:sectPr>
          <w:pgSz w:w="12240" w:h="15840"/>
          <w:pgMar w:header="780" w:footer="1060" w:top="1680" w:bottom="1260" w:left="1440" w:right="1080"/>
        </w:sectPr>
      </w:pPr>
    </w:p>
    <w:p>
      <w:pPr>
        <w:pStyle w:val="Heading1"/>
        <w:spacing w:before="80"/>
        <w:ind w:left="0" w:firstLine="0"/>
        <w:jc w:val="left"/>
      </w:pPr>
      <w:bookmarkStart w:name="Reference List" w:id="15"/>
      <w:bookmarkEnd w:id="15"/>
      <w:r>
        <w:rPr>
          <w:b w:val="0"/>
        </w:rPr>
      </w:r>
      <w:bookmarkStart w:name="_bookmark7" w:id="16"/>
      <w:bookmarkEnd w:id="16"/>
      <w:r>
        <w:rPr>
          <w:b w:val="0"/>
        </w:rPr>
      </w:r>
      <w:r>
        <w:rPr/>
        <w:t>Reference</w:t>
      </w:r>
      <w:r>
        <w:rPr>
          <w:spacing w:val="-6"/>
        </w:rPr>
        <w:t> </w:t>
      </w:r>
      <w:r>
        <w:rPr>
          <w:spacing w:val="-4"/>
        </w:rPr>
        <w:t>List</w:t>
      </w:r>
    </w:p>
    <w:p>
      <w:pPr>
        <w:pStyle w:val="BodyText"/>
        <w:spacing w:before="258"/>
      </w:pPr>
      <w:r>
        <w:rPr/>
        <w:t>Alawattage,</w:t>
      </w:r>
      <w:r>
        <w:rPr>
          <w:spacing w:val="-3"/>
        </w:rPr>
        <w:t> </w:t>
      </w:r>
      <w:r>
        <w:rPr/>
        <w:t>C.</w:t>
      </w:r>
      <w:r>
        <w:rPr>
          <w:spacing w:val="-1"/>
        </w:rPr>
        <w:t> </w:t>
      </w:r>
      <w:r>
        <w:rPr/>
        <w:t>(2024)</w:t>
      </w:r>
      <w:r>
        <w:rPr>
          <w:spacing w:val="3"/>
        </w:rPr>
        <w:t> </w:t>
      </w:r>
      <w:r>
        <w:rPr/>
        <w:t>‘Teaching strategic</w:t>
      </w:r>
      <w:r>
        <w:rPr>
          <w:spacing w:val="1"/>
        </w:rPr>
        <w:t> </w:t>
      </w:r>
      <w:r>
        <w:rPr/>
        <w:t>management</w:t>
      </w:r>
      <w:r>
        <w:rPr>
          <w:spacing w:val="1"/>
        </w:rPr>
        <w:t> </w:t>
      </w:r>
      <w:r>
        <w:rPr/>
        <w:t>accounting</w:t>
      </w:r>
      <w:r>
        <w:rPr>
          <w:spacing w:val="1"/>
        </w:rPr>
        <w:t> </w:t>
      </w:r>
      <w:r>
        <w:rPr/>
        <w:t>for sustainable</w:t>
      </w:r>
      <w:r>
        <w:rPr>
          <w:spacing w:val="1"/>
        </w:rPr>
        <w:t> </w:t>
      </w:r>
      <w:r>
        <w:rPr>
          <w:spacing w:val="-2"/>
        </w:rPr>
        <w:t>development’,</w:t>
      </w:r>
    </w:p>
    <w:p>
      <w:pPr>
        <w:spacing w:before="138"/>
        <w:ind w:left="720" w:right="0" w:firstLine="0"/>
        <w:jc w:val="left"/>
        <w:rPr>
          <w:sz w:val="24"/>
        </w:rPr>
      </w:pPr>
      <w:r>
        <w:rPr>
          <w:i/>
          <w:sz w:val="24"/>
        </w:rPr>
        <w:t>Accounting</w:t>
      </w:r>
      <w:r>
        <w:rPr>
          <w:i/>
          <w:spacing w:val="-1"/>
          <w:sz w:val="24"/>
        </w:rPr>
        <w:t> </w:t>
      </w:r>
      <w:r>
        <w:rPr>
          <w:i/>
          <w:spacing w:val="-2"/>
          <w:sz w:val="24"/>
        </w:rPr>
        <w:t>Education</w:t>
      </w:r>
      <w:r>
        <w:rPr>
          <w:spacing w:val="-2"/>
          <w:sz w:val="24"/>
        </w:rPr>
        <w:t>.</w:t>
      </w:r>
    </w:p>
    <w:p>
      <w:pPr>
        <w:pStyle w:val="BodyText"/>
        <w:spacing w:before="21"/>
      </w:pPr>
    </w:p>
    <w:p>
      <w:pPr>
        <w:tabs>
          <w:tab w:pos="2908" w:val="left" w:leader="none"/>
          <w:tab w:pos="6203" w:val="left" w:leader="none"/>
          <w:tab w:pos="9120" w:val="left" w:leader="none"/>
        </w:tabs>
        <w:spacing w:line="360" w:lineRule="auto" w:before="1"/>
        <w:ind w:left="720" w:right="356" w:hanging="721"/>
        <w:jc w:val="both"/>
        <w:rPr>
          <w:sz w:val="24"/>
        </w:rPr>
      </w:pPr>
      <w:r>
        <w:rPr>
          <w:sz w:val="24"/>
        </w:rPr>
        <w:t>Ali, N. and Shabn, O.S. (2024).</w:t>
      </w:r>
      <w:r>
        <w:rPr>
          <w:spacing w:val="-2"/>
          <w:sz w:val="24"/>
        </w:rPr>
        <w:t> </w:t>
      </w:r>
      <w:r>
        <w:rPr>
          <w:i/>
          <w:sz w:val="24"/>
        </w:rPr>
        <w:t>Customer lifetime value (CLV) insights for strategic marketing</w:t>
      </w:r>
      <w:r>
        <w:rPr>
          <w:i/>
          <w:sz w:val="24"/>
        </w:rPr>
        <w:t> success</w:t>
      </w:r>
      <w:r>
        <w:rPr>
          <w:i/>
          <w:spacing w:val="-6"/>
          <w:sz w:val="24"/>
        </w:rPr>
        <w:t> </w:t>
      </w:r>
      <w:r>
        <w:rPr>
          <w:i/>
          <w:sz w:val="24"/>
        </w:rPr>
        <w:t>and</w:t>
      </w:r>
      <w:r>
        <w:rPr>
          <w:i/>
          <w:spacing w:val="-7"/>
          <w:sz w:val="24"/>
        </w:rPr>
        <w:t> </w:t>
      </w:r>
      <w:r>
        <w:rPr>
          <w:i/>
          <w:sz w:val="24"/>
        </w:rPr>
        <w:t>its</w:t>
      </w:r>
      <w:r>
        <w:rPr>
          <w:i/>
          <w:spacing w:val="-6"/>
          <w:sz w:val="24"/>
        </w:rPr>
        <w:t> </w:t>
      </w:r>
      <w:r>
        <w:rPr>
          <w:i/>
          <w:sz w:val="24"/>
        </w:rPr>
        <w:t>impact</w:t>
      </w:r>
      <w:r>
        <w:rPr>
          <w:i/>
          <w:spacing w:val="-6"/>
          <w:sz w:val="24"/>
        </w:rPr>
        <w:t> </w:t>
      </w:r>
      <w:r>
        <w:rPr>
          <w:i/>
          <w:sz w:val="24"/>
        </w:rPr>
        <w:t>on</w:t>
      </w:r>
      <w:r>
        <w:rPr>
          <w:i/>
          <w:spacing w:val="-7"/>
          <w:sz w:val="24"/>
        </w:rPr>
        <w:t> </w:t>
      </w:r>
      <w:r>
        <w:rPr>
          <w:i/>
          <w:sz w:val="24"/>
        </w:rPr>
        <w:t>organizational</w:t>
      </w:r>
      <w:r>
        <w:rPr>
          <w:i/>
          <w:spacing w:val="-6"/>
          <w:sz w:val="24"/>
        </w:rPr>
        <w:t> </w:t>
      </w:r>
      <w:r>
        <w:rPr>
          <w:i/>
          <w:sz w:val="24"/>
        </w:rPr>
        <w:t>financial</w:t>
      </w:r>
      <w:r>
        <w:rPr>
          <w:i/>
          <w:spacing w:val="-6"/>
          <w:sz w:val="24"/>
        </w:rPr>
        <w:t> </w:t>
      </w:r>
      <w:r>
        <w:rPr>
          <w:i/>
          <w:sz w:val="24"/>
        </w:rPr>
        <w:t>performance</w:t>
      </w:r>
      <w:r>
        <w:rPr>
          <w:sz w:val="24"/>
        </w:rPr>
        <w:t>.</w:t>
      </w:r>
      <w:r>
        <w:rPr>
          <w:spacing w:val="-7"/>
          <w:sz w:val="24"/>
        </w:rPr>
        <w:t> </w:t>
      </w:r>
      <w:r>
        <w:rPr>
          <w:sz w:val="24"/>
        </w:rPr>
        <w:t>[online]</w:t>
      </w:r>
      <w:r>
        <w:rPr>
          <w:spacing w:val="-7"/>
          <w:sz w:val="24"/>
        </w:rPr>
        <w:t> </w:t>
      </w:r>
      <w:r>
        <w:rPr>
          <w:sz w:val="24"/>
        </w:rPr>
        <w:t>Cogent</w:t>
      </w:r>
      <w:r>
        <w:rPr>
          <w:spacing w:val="-6"/>
          <w:sz w:val="24"/>
        </w:rPr>
        <w:t> </w:t>
      </w:r>
      <w:r>
        <w:rPr>
          <w:sz w:val="24"/>
        </w:rPr>
        <w:t>Business </w:t>
      </w:r>
      <w:r>
        <w:rPr>
          <w:spacing w:val="-10"/>
          <w:sz w:val="24"/>
        </w:rPr>
        <w:t>&amp;</w:t>
      </w:r>
      <w:r>
        <w:rPr>
          <w:sz w:val="24"/>
        </w:rPr>
        <w:tab/>
      </w:r>
      <w:r>
        <w:rPr>
          <w:spacing w:val="-2"/>
          <w:sz w:val="24"/>
        </w:rPr>
        <w:t>Management.</w:t>
      </w:r>
      <w:r>
        <w:rPr>
          <w:sz w:val="24"/>
        </w:rPr>
        <w:tab/>
      </w:r>
      <w:r>
        <w:rPr>
          <w:spacing w:val="-2"/>
          <w:sz w:val="24"/>
        </w:rPr>
        <w:t>Available</w:t>
      </w:r>
      <w:r>
        <w:rPr>
          <w:sz w:val="24"/>
        </w:rPr>
        <w:tab/>
      </w:r>
      <w:r>
        <w:rPr>
          <w:spacing w:val="-4"/>
          <w:sz w:val="24"/>
        </w:rPr>
        <w:t>at: </w:t>
      </w:r>
      <w:hyperlink r:id="rId7">
        <w:r>
          <w:rPr>
            <w:sz w:val="24"/>
          </w:rPr>
          <w:t>https://www.tandfonline.com/doi/full/10.1080/23311975.2024.2361321</w:t>
        </w:r>
      </w:hyperlink>
      <w:r>
        <w:rPr>
          <w:sz w:val="24"/>
        </w:rPr>
        <w:t> [Accessed 9 July </w:t>
      </w:r>
      <w:r>
        <w:rPr>
          <w:spacing w:val="-2"/>
          <w:sz w:val="24"/>
        </w:rPr>
        <w:t>2026].</w:t>
      </w:r>
    </w:p>
    <w:p>
      <w:pPr>
        <w:spacing w:line="360" w:lineRule="auto" w:before="159"/>
        <w:ind w:left="720" w:right="359" w:hanging="721"/>
        <w:jc w:val="both"/>
        <w:rPr>
          <w:sz w:val="24"/>
        </w:rPr>
      </w:pPr>
      <w:r>
        <w:rPr>
          <w:sz w:val="24"/>
        </w:rPr>
        <w:t>Bashatweh,</w:t>
      </w:r>
      <w:r>
        <w:rPr>
          <w:spacing w:val="-11"/>
          <w:sz w:val="24"/>
        </w:rPr>
        <w:t> </w:t>
      </w:r>
      <w:r>
        <w:rPr>
          <w:sz w:val="24"/>
        </w:rPr>
        <w:t>A. (2024) ‘Activity-based costing as a strategic tool for enhancing planning, control, decision-making and pricing’, </w:t>
      </w:r>
      <w:r>
        <w:rPr>
          <w:i/>
          <w:sz w:val="24"/>
        </w:rPr>
        <w:t>International Journal of Technology, Innovation and</w:t>
      </w:r>
      <w:r>
        <w:rPr>
          <w:i/>
          <w:sz w:val="24"/>
        </w:rPr>
        <w:t> </w:t>
      </w:r>
      <w:r>
        <w:rPr>
          <w:i/>
          <w:spacing w:val="-2"/>
          <w:sz w:val="24"/>
        </w:rPr>
        <w:t>Management</w:t>
      </w:r>
      <w:r>
        <w:rPr>
          <w:spacing w:val="-2"/>
          <w:sz w:val="24"/>
        </w:rPr>
        <w:t>.</w:t>
      </w:r>
    </w:p>
    <w:p>
      <w:pPr>
        <w:pStyle w:val="BodyText"/>
        <w:spacing w:line="360" w:lineRule="auto" w:before="161"/>
        <w:ind w:left="720" w:right="358" w:hanging="721"/>
        <w:jc w:val="both"/>
      </w:pPr>
      <w:r>
        <w:rPr/>
        <w:t>Dahal, R.K. (2024) ‘Management accounting’s role in decision-making and organizational performance’, </w:t>
      </w:r>
      <w:r>
        <w:rPr>
          <w:i/>
        </w:rPr>
        <w:t>Cogent Business &amp; Management</w:t>
      </w:r>
      <w:r>
        <w:rPr/>
        <w:t>, 11(1), 2433165.</w:t>
      </w:r>
    </w:p>
    <w:p>
      <w:pPr>
        <w:pStyle w:val="BodyText"/>
        <w:spacing w:line="360" w:lineRule="auto" w:before="160"/>
        <w:ind w:left="720" w:right="360" w:hanging="721"/>
        <w:jc w:val="both"/>
      </w:pPr>
      <w:r>
        <w:rPr/>
        <w:t>Daowadueng, P. (2023) ‘Do costing system design choices mediate the link between strategic orientation and cost information use?’, </w:t>
      </w:r>
      <w:r>
        <w:rPr>
          <w:i/>
        </w:rPr>
        <w:t>Management Accounting Research</w:t>
      </w:r>
      <w:r>
        <w:rPr/>
        <w:t>.</w:t>
      </w:r>
    </w:p>
    <w:p>
      <w:pPr>
        <w:spacing w:line="360" w:lineRule="auto" w:before="160"/>
        <w:ind w:left="720" w:right="355" w:hanging="721"/>
        <w:jc w:val="both"/>
        <w:rPr>
          <w:sz w:val="24"/>
        </w:rPr>
      </w:pPr>
      <w:r>
        <w:rPr>
          <w:sz w:val="24"/>
        </w:rPr>
        <w:t>Davey, J. (2026).</w:t>
      </w:r>
      <w:r>
        <w:rPr>
          <w:spacing w:val="-3"/>
          <w:sz w:val="24"/>
        </w:rPr>
        <w:t> </w:t>
      </w:r>
      <w:r>
        <w:rPr>
          <w:i/>
          <w:sz w:val="24"/>
        </w:rPr>
        <w:t>Morrisons” sales growth slows in “highly competitive” UK grocery market</w:t>
      </w:r>
      <w:r>
        <w:rPr>
          <w:sz w:val="24"/>
        </w:rPr>
        <w:t>. [online] Reuters. Available at: </w:t>
      </w:r>
      <w:hyperlink r:id="rId8">
        <w:r>
          <w:rPr>
            <w:sz w:val="24"/>
          </w:rPr>
          <w:t>https://www.reuters.com/world/uk/uk-supermarket-</w:t>
        </w:r>
      </w:hyperlink>
      <w:r>
        <w:rPr>
          <w:sz w:val="24"/>
        </w:rPr>
        <w:t>morrisons-sales-growth-slows-highly-competitive-market-2026-06-17/ [Accessed 9 July </w:t>
      </w:r>
      <w:r>
        <w:rPr>
          <w:spacing w:val="-2"/>
          <w:sz w:val="24"/>
        </w:rPr>
        <w:t>2026].</w:t>
      </w:r>
    </w:p>
    <w:p>
      <w:pPr>
        <w:pStyle w:val="BodyText"/>
        <w:spacing w:line="360" w:lineRule="auto" w:before="160"/>
        <w:ind w:left="720" w:right="359" w:hanging="721"/>
        <w:jc w:val="both"/>
      </w:pPr>
      <w:r>
        <w:rPr/>
        <w:t>Holopainen, M. (2023) ‘Facilitating performance measurement and management through digital business strategy’, </w:t>
      </w:r>
      <w:r>
        <w:rPr>
          <w:i/>
        </w:rPr>
        <w:t>Measuring Business Excellence</w:t>
      </w:r>
      <w:r>
        <w:rPr/>
        <w:t>, 27(2), pp. 246–260.</w:t>
      </w:r>
    </w:p>
    <w:p>
      <w:pPr>
        <w:spacing w:line="360" w:lineRule="auto" w:before="161"/>
        <w:ind w:left="720" w:right="358" w:hanging="721"/>
        <w:jc w:val="both"/>
        <w:rPr>
          <w:sz w:val="24"/>
        </w:rPr>
      </w:pPr>
      <w:r>
        <w:rPr>
          <w:sz w:val="24"/>
        </w:rPr>
        <w:t>Imjai, N., Aujirapongpan, S. and Mahadi, N. (2023) ‘The interplay of digital and management accounting competency to competitive performance in the open innovation era’, </w:t>
      </w:r>
      <w:r>
        <w:rPr>
          <w:i/>
          <w:sz w:val="24"/>
        </w:rPr>
        <w:t>Journal</w:t>
      </w:r>
      <w:r>
        <w:rPr>
          <w:i/>
          <w:sz w:val="24"/>
        </w:rPr>
        <w:t> of Open Innovation: Technology, Market, and Complexity</w:t>
      </w:r>
      <w:r>
        <w:rPr>
          <w:sz w:val="24"/>
        </w:rPr>
        <w:t>, 9(4), 100167.</w:t>
      </w:r>
    </w:p>
    <w:p>
      <w:pPr>
        <w:pStyle w:val="BodyText"/>
        <w:spacing w:line="360" w:lineRule="auto" w:before="159"/>
        <w:ind w:left="720" w:right="357" w:hanging="721"/>
        <w:jc w:val="both"/>
      </w:pPr>
      <w:r>
        <w:rPr/>
        <w:t>León-Bravo, V. and Caniato, F. (2024) ‘Sustainability performance measurement in the food supply chain: Trade-offs, institutional pressures, and contextual factors’, </w:t>
      </w:r>
      <w:r>
        <w:rPr>
          <w:i/>
        </w:rPr>
        <w:t>European</w:t>
      </w:r>
      <w:r>
        <w:rPr>
          <w:i/>
        </w:rPr>
        <w:t> Management Journal</w:t>
      </w:r>
      <w:r>
        <w:rPr/>
        <w:t>, 42(4), pp. 633–646.</w:t>
      </w:r>
    </w:p>
    <w:p>
      <w:pPr>
        <w:pStyle w:val="BodyText"/>
        <w:spacing w:after="0" w:line="360" w:lineRule="auto"/>
        <w:jc w:val="both"/>
        <w:sectPr>
          <w:pgSz w:w="12240" w:h="15840"/>
          <w:pgMar w:header="780" w:footer="1060" w:top="1680" w:bottom="1260" w:left="1440" w:right="1080"/>
        </w:sectPr>
      </w:pPr>
    </w:p>
    <w:p>
      <w:pPr>
        <w:pStyle w:val="BodyText"/>
        <w:spacing w:line="360" w:lineRule="auto" w:before="80"/>
        <w:ind w:left="720" w:right="354" w:hanging="721"/>
      </w:pPr>
      <w:r>
        <w:rPr/>
        <w:t>Molnár,</w:t>
      </w:r>
      <w:r>
        <w:rPr>
          <w:spacing w:val="-13"/>
        </w:rPr>
        <w:t> </w:t>
      </w:r>
      <w:r>
        <w:rPr/>
        <w:t>L.</w:t>
      </w:r>
      <w:r>
        <w:rPr>
          <w:spacing w:val="-13"/>
        </w:rPr>
        <w:t> </w:t>
      </w:r>
      <w:r>
        <w:rPr/>
        <w:t>and</w:t>
      </w:r>
      <w:r>
        <w:rPr>
          <w:spacing w:val="-13"/>
        </w:rPr>
        <w:t> </w:t>
      </w:r>
      <w:r>
        <w:rPr/>
        <w:t>Hajdú,</w:t>
      </w:r>
      <w:r>
        <w:rPr>
          <w:spacing w:val="-13"/>
        </w:rPr>
        <w:t> </w:t>
      </w:r>
      <w:r>
        <w:rPr/>
        <w:t>N.</w:t>
      </w:r>
      <w:r>
        <w:rPr>
          <w:spacing w:val="-12"/>
        </w:rPr>
        <w:t> </w:t>
      </w:r>
      <w:r>
        <w:rPr/>
        <w:t>(2023).</w:t>
      </w:r>
      <w:r>
        <w:rPr>
          <w:spacing w:val="-13"/>
        </w:rPr>
        <w:t> </w:t>
      </w:r>
      <w:r>
        <w:rPr/>
        <w:t>Food</w:t>
      </w:r>
      <w:r>
        <w:rPr>
          <w:spacing w:val="-13"/>
        </w:rPr>
        <w:t> </w:t>
      </w:r>
      <w:r>
        <w:rPr/>
        <w:t>consumption</w:t>
      </w:r>
      <w:r>
        <w:rPr>
          <w:spacing w:val="-13"/>
        </w:rPr>
        <w:t> </w:t>
      </w:r>
      <w:r>
        <w:rPr/>
        <w:t>patterns</w:t>
      </w:r>
      <w:r>
        <w:rPr>
          <w:spacing w:val="-13"/>
        </w:rPr>
        <w:t> </w:t>
      </w:r>
      <w:r>
        <w:rPr/>
        <w:t>and</w:t>
      </w:r>
      <w:r>
        <w:rPr>
          <w:spacing w:val="-13"/>
        </w:rPr>
        <w:t> </w:t>
      </w:r>
      <w:r>
        <w:rPr/>
        <w:t>trends</w:t>
      </w:r>
      <w:r>
        <w:rPr>
          <w:spacing w:val="-13"/>
        </w:rPr>
        <w:t> </w:t>
      </w:r>
      <w:r>
        <w:rPr/>
        <w:t>in</w:t>
      </w:r>
      <w:r>
        <w:rPr>
          <w:spacing w:val="-14"/>
        </w:rPr>
        <w:t> </w:t>
      </w:r>
      <w:r>
        <w:rPr/>
        <w:t>response</w:t>
      </w:r>
      <w:r>
        <w:rPr>
          <w:spacing w:val="-13"/>
        </w:rPr>
        <w:t> </w:t>
      </w:r>
      <w:r>
        <w:rPr/>
        <w:t>to</w:t>
      </w:r>
      <w:r>
        <w:rPr>
          <w:spacing w:val="-13"/>
        </w:rPr>
        <w:t> </w:t>
      </w:r>
      <w:r>
        <w:rPr/>
        <w:t>inflationary pressures. </w:t>
      </w:r>
      <w:r>
        <w:rPr>
          <w:i/>
        </w:rPr>
        <w:t>Prosperitas</w:t>
      </w:r>
      <w:r>
        <w:rPr/>
        <w:t>, [online] (In press), pp.1–13. doi:10.31570/prosp_2023_0079.</w:t>
      </w:r>
    </w:p>
    <w:p>
      <w:pPr>
        <w:tabs>
          <w:tab w:pos="2950" w:val="left" w:leader="none"/>
          <w:tab w:pos="5357" w:val="left" w:leader="none"/>
          <w:tab w:pos="7088" w:val="left" w:leader="none"/>
        </w:tabs>
        <w:spacing w:line="360" w:lineRule="auto" w:before="160"/>
        <w:ind w:left="720" w:right="354" w:hanging="721"/>
        <w:jc w:val="left"/>
        <w:rPr>
          <w:sz w:val="24"/>
        </w:rPr>
      </w:pPr>
      <w:r>
        <w:rPr>
          <w:sz w:val="24"/>
        </w:rPr>
        <w:t>Mor</w:t>
      </w:r>
      <w:r>
        <w:rPr>
          <w:spacing w:val="-1"/>
          <w:sz w:val="24"/>
        </w:rPr>
        <w:t>rison</w:t>
      </w:r>
      <w:r>
        <w:rPr>
          <w:sz w:val="24"/>
        </w:rPr>
        <w:t>s</w:t>
      </w:r>
      <w:r>
        <w:rPr>
          <w:spacing w:val="-1"/>
          <w:sz w:val="24"/>
        </w:rPr>
        <w:t> </w:t>
      </w:r>
      <w:r>
        <w:rPr>
          <w:sz w:val="24"/>
        </w:rPr>
        <w:t>(2023). </w:t>
      </w:r>
      <w:r>
        <w:rPr>
          <w:i/>
          <w:spacing w:val="-1"/>
          <w:sz w:val="24"/>
        </w:rPr>
        <w:t>W</w:t>
      </w:r>
      <w:r>
        <w:rPr>
          <w:i/>
          <w:sz w:val="24"/>
        </w:rPr>
        <w:t>m</w:t>
      </w:r>
      <w:r>
        <w:rPr>
          <w:i/>
          <w:spacing w:val="-1"/>
          <w:sz w:val="24"/>
        </w:rPr>
        <w:t> Mo</w:t>
      </w:r>
      <w:r>
        <w:rPr>
          <w:i/>
          <w:sz w:val="24"/>
        </w:rPr>
        <w:t>r</w:t>
      </w:r>
      <w:r>
        <w:rPr>
          <w:i/>
          <w:spacing w:val="-1"/>
          <w:sz w:val="24"/>
        </w:rPr>
        <w:t>ri</w:t>
      </w:r>
      <w:r>
        <w:rPr>
          <w:i/>
          <w:sz w:val="24"/>
        </w:rPr>
        <w:t>son S</w:t>
      </w:r>
      <w:r>
        <w:rPr>
          <w:i/>
          <w:spacing w:val="-2"/>
          <w:sz w:val="24"/>
        </w:rPr>
        <w:t>u</w:t>
      </w:r>
      <w:r>
        <w:rPr>
          <w:i/>
          <w:sz w:val="24"/>
        </w:rPr>
        <w:t>permarke</w:t>
      </w:r>
      <w:r>
        <w:rPr>
          <w:i/>
          <w:spacing w:val="1"/>
          <w:sz w:val="24"/>
        </w:rPr>
        <w:t>t</w:t>
      </w:r>
      <w:r>
        <w:rPr>
          <w:i/>
          <w:sz w:val="24"/>
        </w:rPr>
        <w:t>s</w:t>
      </w:r>
      <w:r>
        <w:rPr>
          <w:i/>
          <w:spacing w:val="-1"/>
          <w:sz w:val="24"/>
        </w:rPr>
        <w:t> </w:t>
      </w:r>
      <w:r>
        <w:rPr>
          <w:i/>
          <w:sz w:val="24"/>
        </w:rPr>
        <w:t>Limited</w:t>
      </w:r>
      <w:r>
        <w:rPr>
          <w:i/>
          <w:spacing w:val="-5"/>
          <w:sz w:val="24"/>
        </w:rPr>
        <w:t> </w:t>
      </w:r>
      <w:r>
        <w:rPr>
          <w:i/>
          <w:sz w:val="24"/>
        </w:rPr>
        <w:t>Annual Report and</w:t>
      </w:r>
      <w:r>
        <w:rPr>
          <w:i/>
          <w:spacing w:val="1"/>
          <w:sz w:val="24"/>
        </w:rPr>
        <w:t> </w:t>
      </w:r>
      <w:r>
        <w:rPr>
          <w:i/>
          <w:sz w:val="24"/>
        </w:rPr>
        <w:t>Financial Statements</w:t>
      </w:r>
      <w:r>
        <w:rPr>
          <w:sz w:val="24"/>
        </w:rPr>
        <w:t>. [online]</w:t>
        <w:tab/>
      </w:r>
      <w:r>
        <w:rPr>
          <w:spacing w:val="-19"/>
          <w:sz w:val="24"/>
        </w:rPr>
        <w:t>A</w:t>
      </w:r>
      <w:r>
        <w:rPr>
          <w:sz w:val="24"/>
        </w:rPr>
        <w:t>vai</w:t>
      </w:r>
      <w:r>
        <w:rPr>
          <w:spacing w:val="1"/>
          <w:sz w:val="24"/>
        </w:rPr>
        <w:t>l</w:t>
      </w:r>
      <w:r>
        <w:rPr>
          <w:sz w:val="24"/>
        </w:rPr>
        <w:t>able</w:t>
        <w:tab/>
        <w:t>at:</w:t>
        <w:tab/>
        <w:t>htt</w:t>
      </w:r>
      <w:r>
        <w:rPr>
          <w:spacing w:val="-1"/>
          <w:sz w:val="24"/>
        </w:rPr>
        <w:t>ps://ww</w:t>
      </w:r>
      <w:r>
        <w:rPr>
          <w:spacing w:val="-17"/>
          <w:sz w:val="24"/>
        </w:rPr>
        <w:t>w</w:t>
      </w:r>
      <w:r>
        <w:rPr>
          <w:sz w:val="24"/>
        </w:rPr>
        <w:t>.</w:t>
      </w:r>
      <w:r>
        <w:rPr>
          <w:spacing w:val="-2"/>
          <w:sz w:val="24"/>
        </w:rPr>
        <w:t>m</w:t>
      </w:r>
      <w:r>
        <w:rPr>
          <w:sz w:val="24"/>
        </w:rPr>
        <w:t>orr</w:t>
      </w:r>
      <w:r>
        <w:rPr>
          <w:spacing w:val="-1"/>
          <w:sz w:val="24"/>
        </w:rPr>
        <w:t>ison</w:t>
      </w:r>
      <w:r>
        <w:rPr>
          <w:spacing w:val="3"/>
          <w:sz w:val="24"/>
        </w:rPr>
        <w:t>s</w:t>
      </w:r>
      <w:r>
        <w:rPr>
          <w:sz w:val="24"/>
        </w:rPr>
        <w:t>-corporate.co</w:t>
      </w:r>
      <w:r>
        <w:rPr>
          <w:spacing w:val="-3"/>
          <w:sz w:val="24"/>
        </w:rPr>
        <w:t>m</w:t>
      </w:r>
      <w:r>
        <w:rPr>
          <w:sz w:val="24"/>
        </w:rPr>
        <w:t>/globala</w:t>
      </w:r>
      <w:r>
        <w:rPr>
          <w:spacing w:val="-1"/>
          <w:sz w:val="24"/>
        </w:rPr>
        <w:t>sset</w:t>
      </w:r>
      <w:r>
        <w:rPr>
          <w:sz w:val="24"/>
        </w:rPr>
        <w:t>s/corpo</w:t>
      </w:r>
      <w:r>
        <w:rPr>
          <w:spacing w:val="-1"/>
          <w:sz w:val="24"/>
        </w:rPr>
        <w:t>r</w:t>
      </w:r>
      <w:r>
        <w:rPr>
          <w:sz w:val="24"/>
        </w:rPr>
        <w:t>atesite/in</w:t>
      </w:r>
      <w:r>
        <w:rPr>
          <w:spacing w:val="-2"/>
          <w:sz w:val="24"/>
        </w:rPr>
        <w:t>v</w:t>
      </w:r>
      <w:r>
        <w:rPr>
          <w:sz w:val="24"/>
        </w:rPr>
        <w:t>est</w:t>
      </w:r>
      <w:r>
        <w:rPr>
          <w:spacing w:val="-2"/>
          <w:sz w:val="24"/>
        </w:rPr>
        <w:t>o</w:t>
      </w:r>
      <w:r>
        <w:rPr>
          <w:spacing w:val="-3"/>
          <w:sz w:val="24"/>
        </w:rPr>
        <w:t>r</w:t>
      </w:r>
      <w:r>
        <w:rPr>
          <w:sz w:val="24"/>
        </w:rPr>
        <w:t>-centre/</w:t>
      </w:r>
      <w:r>
        <w:rPr>
          <w:spacing w:val="-1"/>
          <w:sz w:val="24"/>
        </w:rPr>
        <w:t>f</w:t>
      </w:r>
      <w:r>
        <w:rPr>
          <w:sz w:val="24"/>
        </w:rPr>
        <w:t>inancialreports/</w:t>
      </w:r>
      <w:r>
        <w:rPr>
          <w:spacing w:val="-2"/>
          <w:sz w:val="24"/>
        </w:rPr>
        <w:t>d</w:t>
      </w:r>
      <w:r>
        <w:rPr>
          <w:sz w:val="24"/>
        </w:rPr>
        <w:t>ocu</w:t>
      </w:r>
      <w:r>
        <w:rPr>
          <w:spacing w:val="-2"/>
          <w:sz w:val="24"/>
        </w:rPr>
        <w:t>m</w:t>
      </w:r>
      <w:r>
        <w:rPr>
          <w:spacing w:val="-1"/>
          <w:sz w:val="24"/>
        </w:rPr>
        <w:t>ent</w:t>
      </w:r>
      <w:r>
        <w:rPr>
          <w:sz w:val="24"/>
        </w:rPr>
        <w:t>s/202</w:t>
      </w:r>
      <w:r>
        <w:rPr>
          <w:spacing w:val="1"/>
          <w:sz w:val="24"/>
        </w:rPr>
        <w:t>2</w:t>
      </w:r>
      <w:r>
        <w:rPr>
          <w:sz w:val="24"/>
        </w:rPr>
        <w:t>-23/w</w:t>
      </w:r>
      <w:r>
        <w:rPr>
          <w:spacing w:val="-2"/>
          <w:sz w:val="24"/>
        </w:rPr>
        <w:t>m</w:t>
      </w:r>
      <w:r>
        <w:rPr>
          <w:sz w:val="24"/>
        </w:rPr>
        <w:t>sl-updated-30</w:t>
      </w:r>
      <w:r>
        <w:rPr>
          <w:spacing w:val="-2"/>
          <w:sz w:val="24"/>
        </w:rPr>
        <w:t>.</w:t>
      </w:r>
      <w:r>
        <w:rPr>
          <w:sz w:val="24"/>
        </w:rPr>
        <w:t>01.2024-4.pd</w:t>
      </w:r>
      <w:r>
        <w:rPr>
          <w:spacing w:val="-1"/>
          <w:sz w:val="24"/>
        </w:rPr>
        <w:t>f</w:t>
      </w:r>
      <w:r>
        <w:rPr>
          <w:sz w:val="24"/>
        </w:rPr>
        <w:t>.</w:t>
      </w:r>
    </w:p>
    <w:p>
      <w:pPr>
        <w:spacing w:line="360" w:lineRule="auto" w:before="159"/>
        <w:ind w:left="720" w:right="356" w:hanging="721"/>
        <w:jc w:val="left"/>
        <w:rPr>
          <w:sz w:val="24"/>
        </w:rPr>
      </w:pPr>
      <w:r>
        <w:rPr>
          <w:sz w:val="24"/>
        </w:rPr>
        <w:t>Morrisons (2024) </w:t>
      </w:r>
      <w:r>
        <w:rPr>
          <w:i/>
          <w:sz w:val="24"/>
        </w:rPr>
        <w:t>Annual Report and Financial Statements for the 52 weeks ended 29 October</w:t>
      </w:r>
      <w:r>
        <w:rPr>
          <w:i/>
          <w:spacing w:val="40"/>
          <w:sz w:val="24"/>
        </w:rPr>
        <w:t> </w:t>
      </w:r>
      <w:r>
        <w:rPr>
          <w:i/>
          <w:sz w:val="24"/>
        </w:rPr>
        <w:t>2023</w:t>
      </w:r>
      <w:r>
        <w:rPr>
          <w:sz w:val="24"/>
        </w:rPr>
        <w:t>. Bradford: Wm Morrison Supermarkets Limited.</w:t>
      </w:r>
    </w:p>
    <w:p>
      <w:pPr>
        <w:pStyle w:val="BodyText"/>
        <w:tabs>
          <w:tab w:pos="2813" w:val="left" w:leader="none"/>
          <w:tab w:pos="4385" w:val="left" w:leader="none"/>
          <w:tab w:pos="6074" w:val="left" w:leader="none"/>
          <w:tab w:pos="7090" w:val="left" w:leader="none"/>
        </w:tabs>
        <w:spacing w:line="360" w:lineRule="auto" w:before="161"/>
        <w:ind w:left="720" w:right="356" w:hanging="721"/>
      </w:pPr>
      <w:r>
        <w:rPr/>
        <w:t>Morrisons</w:t>
      </w:r>
      <w:r>
        <w:rPr>
          <w:spacing w:val="80"/>
        </w:rPr>
        <w:t> </w:t>
      </w:r>
      <w:r>
        <w:rPr/>
        <w:t>(2024)</w:t>
      </w:r>
      <w:r>
        <w:rPr>
          <w:spacing w:val="80"/>
        </w:rPr>
        <w:t> </w:t>
      </w:r>
      <w:r>
        <w:rPr>
          <w:i/>
        </w:rPr>
        <w:t>Morrisons</w:t>
      </w:r>
      <w:r>
        <w:rPr>
          <w:i/>
          <w:spacing w:val="80"/>
        </w:rPr>
        <w:t> </w:t>
      </w:r>
      <w:r>
        <w:rPr>
          <w:i/>
        </w:rPr>
        <w:t>Sustainability</w:t>
      </w:r>
      <w:r>
        <w:rPr>
          <w:i/>
          <w:spacing w:val="80"/>
        </w:rPr>
        <w:t> </w:t>
      </w:r>
      <w:r>
        <w:rPr>
          <w:i/>
        </w:rPr>
        <w:t>Report</w:t>
      </w:r>
      <w:r>
        <w:rPr>
          <w:i/>
          <w:spacing w:val="80"/>
        </w:rPr>
        <w:t> </w:t>
      </w:r>
      <w:r>
        <w:rPr>
          <w:i/>
        </w:rPr>
        <w:t>2023/2024</w:t>
      </w:r>
      <w:r>
        <w:rPr/>
        <w:t>.</w:t>
      </w:r>
      <w:r>
        <w:rPr>
          <w:spacing w:val="80"/>
        </w:rPr>
        <w:t> </w:t>
      </w:r>
      <w:r>
        <w:rPr/>
        <w:t>Bradford:</w:t>
      </w:r>
      <w:r>
        <w:rPr>
          <w:spacing w:val="80"/>
        </w:rPr>
        <w:t> </w:t>
      </w:r>
      <w:r>
        <w:rPr/>
        <w:t>Wm</w:t>
      </w:r>
      <w:r>
        <w:rPr>
          <w:spacing w:val="80"/>
        </w:rPr>
        <w:t> </w:t>
      </w:r>
      <w:r>
        <w:rPr/>
        <w:t>Morrison</w:t>
      </w:r>
      <w:r>
        <w:rPr>
          <w:spacing w:val="80"/>
        </w:rPr>
        <w:t> </w:t>
      </w:r>
      <w:r>
        <w:rPr>
          <w:spacing w:val="-2"/>
        </w:rPr>
        <w:t>Supermarkets</w:t>
      </w:r>
      <w:r>
        <w:rPr/>
        <w:tab/>
      </w:r>
      <w:r>
        <w:rPr>
          <w:spacing w:val="-2"/>
        </w:rPr>
        <w:t>Limited.</w:t>
      </w:r>
      <w:r>
        <w:rPr/>
        <w:tab/>
      </w:r>
      <w:r>
        <w:rPr>
          <w:spacing w:val="-2"/>
        </w:rPr>
        <w:t>Available</w:t>
      </w:r>
      <w:r>
        <w:rPr/>
        <w:tab/>
      </w:r>
      <w:r>
        <w:rPr>
          <w:spacing w:val="-4"/>
        </w:rPr>
        <w:t>at:</w:t>
      </w:r>
      <w:r>
        <w:rPr/>
        <w:tab/>
      </w:r>
      <w:hyperlink r:id="rId9">
        <w:r>
          <w:rPr>
            <w:color w:val="0562C1"/>
            <w:spacing w:val="-2"/>
            <w:u w:val="single" w:color="0562C1"/>
          </w:rPr>
          <w:t>https://www.morrisons-</w:t>
        </w:r>
      </w:hyperlink>
      <w:hyperlink r:id="rId9">
        <w:r>
          <w:rPr>
            <w:color w:val="0562C1"/>
            <w:spacing w:val="-2"/>
            <w:u w:val="single" w:color="0562C1"/>
          </w:rPr>
          <w:t>corporate.com/globalassets/corporatesite/sustainability/morrisons-sustainability-report-</w:t>
        </w:r>
      </w:hyperlink>
      <w:hyperlink r:id="rId9">
        <w:r>
          <w:rPr>
            <w:color w:val="0562C1"/>
            <w:u w:val="single" w:color="0562C1"/>
          </w:rPr>
          <w:t>fy23-24.pdf</w:t>
        </w:r>
      </w:hyperlink>
      <w:r>
        <w:rPr>
          <w:color w:val="0562C1"/>
          <w:u w:val="none"/>
        </w:rPr>
        <w:t> </w:t>
      </w:r>
      <w:r>
        <w:rPr>
          <w:u w:val="none"/>
        </w:rPr>
        <w:t>(Accessed: 9 July 2026).</w:t>
      </w:r>
    </w:p>
    <w:p>
      <w:pPr>
        <w:spacing w:before="160"/>
        <w:ind w:left="0" w:right="0" w:firstLine="0"/>
        <w:jc w:val="both"/>
        <w:rPr>
          <w:sz w:val="24"/>
        </w:rPr>
      </w:pPr>
      <w:r>
        <w:rPr>
          <w:sz w:val="24"/>
        </w:rPr>
        <w:t>Morrisons</w:t>
      </w:r>
      <w:r>
        <w:rPr>
          <w:spacing w:val="53"/>
          <w:sz w:val="24"/>
        </w:rPr>
        <w:t> </w:t>
      </w:r>
      <w:r>
        <w:rPr>
          <w:sz w:val="24"/>
        </w:rPr>
        <w:t>(2026)</w:t>
      </w:r>
      <w:r>
        <w:rPr>
          <w:spacing w:val="58"/>
          <w:sz w:val="24"/>
        </w:rPr>
        <w:t> </w:t>
      </w:r>
      <w:r>
        <w:rPr>
          <w:i/>
          <w:sz w:val="24"/>
        </w:rPr>
        <w:t>Morrisons</w:t>
      </w:r>
      <w:r>
        <w:rPr>
          <w:i/>
          <w:spacing w:val="57"/>
          <w:sz w:val="24"/>
        </w:rPr>
        <w:t> </w:t>
      </w:r>
      <w:r>
        <w:rPr>
          <w:i/>
          <w:sz w:val="24"/>
        </w:rPr>
        <w:t>full</w:t>
      </w:r>
      <w:r>
        <w:rPr>
          <w:i/>
          <w:spacing w:val="57"/>
          <w:sz w:val="24"/>
        </w:rPr>
        <w:t> </w:t>
      </w:r>
      <w:r>
        <w:rPr>
          <w:i/>
          <w:sz w:val="24"/>
        </w:rPr>
        <w:t>year</w:t>
      </w:r>
      <w:r>
        <w:rPr>
          <w:i/>
          <w:spacing w:val="57"/>
          <w:sz w:val="24"/>
        </w:rPr>
        <w:t> </w:t>
      </w:r>
      <w:r>
        <w:rPr>
          <w:i/>
          <w:sz w:val="24"/>
        </w:rPr>
        <w:t>2024/25</w:t>
      </w:r>
      <w:r>
        <w:rPr>
          <w:i/>
          <w:spacing w:val="55"/>
          <w:sz w:val="24"/>
        </w:rPr>
        <w:t> </w:t>
      </w:r>
      <w:r>
        <w:rPr>
          <w:i/>
          <w:sz w:val="24"/>
        </w:rPr>
        <w:t>results</w:t>
      </w:r>
      <w:r>
        <w:rPr>
          <w:i/>
          <w:spacing w:val="57"/>
          <w:sz w:val="24"/>
        </w:rPr>
        <w:t> </w:t>
      </w:r>
      <w:r>
        <w:rPr>
          <w:i/>
          <w:sz w:val="24"/>
        </w:rPr>
        <w:t>and</w:t>
      </w:r>
      <w:r>
        <w:rPr>
          <w:i/>
          <w:spacing w:val="56"/>
          <w:sz w:val="24"/>
        </w:rPr>
        <w:t> </w:t>
      </w:r>
      <w:r>
        <w:rPr>
          <w:i/>
          <w:sz w:val="24"/>
        </w:rPr>
        <w:t>Christmas</w:t>
      </w:r>
      <w:r>
        <w:rPr>
          <w:i/>
          <w:spacing w:val="56"/>
          <w:sz w:val="24"/>
        </w:rPr>
        <w:t> </w:t>
      </w:r>
      <w:r>
        <w:rPr>
          <w:i/>
          <w:sz w:val="24"/>
        </w:rPr>
        <w:t>2025</w:t>
      </w:r>
      <w:r>
        <w:rPr>
          <w:i/>
          <w:spacing w:val="56"/>
          <w:sz w:val="24"/>
        </w:rPr>
        <w:t> </w:t>
      </w:r>
      <w:r>
        <w:rPr>
          <w:i/>
          <w:sz w:val="24"/>
        </w:rPr>
        <w:t>trading</w:t>
      </w:r>
      <w:r>
        <w:rPr>
          <w:i/>
          <w:spacing w:val="56"/>
          <w:sz w:val="24"/>
        </w:rPr>
        <w:t> </w:t>
      </w:r>
      <w:r>
        <w:rPr>
          <w:i/>
          <w:spacing w:val="-2"/>
          <w:sz w:val="24"/>
        </w:rPr>
        <w:t>update</w:t>
      </w:r>
      <w:r>
        <w:rPr>
          <w:spacing w:val="-2"/>
          <w:sz w:val="24"/>
        </w:rPr>
        <w:t>.</w:t>
      </w:r>
    </w:p>
    <w:p>
      <w:pPr>
        <w:pStyle w:val="BodyText"/>
        <w:spacing w:before="138"/>
        <w:ind w:left="720"/>
      </w:pPr>
      <w:r>
        <w:rPr/>
        <w:t>Bradford:</w:t>
      </w:r>
      <w:r>
        <w:rPr>
          <w:spacing w:val="-6"/>
        </w:rPr>
        <w:t> </w:t>
      </w:r>
      <w:r>
        <w:rPr/>
        <w:t>Wm</w:t>
      </w:r>
      <w:r>
        <w:rPr>
          <w:spacing w:val="-2"/>
        </w:rPr>
        <w:t> </w:t>
      </w:r>
      <w:r>
        <w:rPr/>
        <w:t>Morrison</w:t>
      </w:r>
      <w:r>
        <w:rPr>
          <w:spacing w:val="-2"/>
        </w:rPr>
        <w:t> </w:t>
      </w:r>
      <w:r>
        <w:rPr/>
        <w:t>Supermarkets</w:t>
      </w:r>
      <w:r>
        <w:rPr>
          <w:spacing w:val="-1"/>
        </w:rPr>
        <w:t> </w:t>
      </w:r>
      <w:r>
        <w:rPr>
          <w:spacing w:val="-2"/>
        </w:rPr>
        <w:t>Limited.</w:t>
      </w:r>
    </w:p>
    <w:p>
      <w:pPr>
        <w:pStyle w:val="BodyText"/>
        <w:spacing w:before="22"/>
      </w:pPr>
    </w:p>
    <w:p>
      <w:pPr>
        <w:tabs>
          <w:tab w:pos="1808" w:val="left" w:leader="none"/>
          <w:tab w:pos="3162" w:val="left" w:leader="none"/>
          <w:tab w:pos="4406" w:val="left" w:leader="none"/>
          <w:tab w:pos="4977" w:val="left" w:leader="none"/>
        </w:tabs>
        <w:spacing w:line="360" w:lineRule="auto" w:before="0"/>
        <w:ind w:left="720" w:right="355" w:hanging="721"/>
        <w:jc w:val="left"/>
        <w:rPr>
          <w:sz w:val="24"/>
        </w:rPr>
      </w:pPr>
      <w:r>
        <w:rPr>
          <w:sz w:val="24"/>
        </w:rPr>
        <w:t>Morrisons PLC (2024).</w:t>
      </w:r>
      <w:r>
        <w:rPr>
          <w:spacing w:val="-3"/>
          <w:sz w:val="24"/>
        </w:rPr>
        <w:t> </w:t>
      </w:r>
      <w:r>
        <w:rPr>
          <w:i/>
          <w:sz w:val="24"/>
        </w:rPr>
        <w:t>Morrisons full year 2024/25 results and Christmas 2025 trading update</w:t>
      </w:r>
      <w:r>
        <w:rPr>
          <w:sz w:val="24"/>
        </w:rPr>
        <w:t>. </w:t>
      </w:r>
      <w:r>
        <w:rPr>
          <w:spacing w:val="-2"/>
          <w:sz w:val="24"/>
        </w:rPr>
        <w:t>[online]</w:t>
      </w:r>
      <w:r>
        <w:rPr>
          <w:sz w:val="24"/>
        </w:rPr>
        <w:tab/>
      </w:r>
      <w:r>
        <w:rPr>
          <w:spacing w:val="-2"/>
          <w:sz w:val="24"/>
        </w:rPr>
        <w:t>Morrisons.</w:t>
      </w:r>
      <w:r>
        <w:rPr>
          <w:sz w:val="24"/>
        </w:rPr>
        <w:tab/>
      </w:r>
      <w:r>
        <w:rPr>
          <w:spacing w:val="-2"/>
          <w:sz w:val="24"/>
        </w:rPr>
        <w:t>Available</w:t>
      </w:r>
      <w:r>
        <w:rPr>
          <w:sz w:val="24"/>
        </w:rPr>
        <w:tab/>
      </w:r>
      <w:r>
        <w:rPr>
          <w:spacing w:val="-4"/>
          <w:sz w:val="24"/>
        </w:rPr>
        <w:t>at:</w:t>
      </w:r>
      <w:r>
        <w:rPr>
          <w:sz w:val="24"/>
        </w:rPr>
        <w:tab/>
      </w:r>
      <w:hyperlink r:id="rId10">
        <w:r>
          <w:rPr>
            <w:spacing w:val="-2"/>
            <w:sz w:val="24"/>
          </w:rPr>
          <w:t>https://www.morrisons-corporate.com/media-</w:t>
        </w:r>
      </w:hyperlink>
      <w:r>
        <w:rPr>
          <w:spacing w:val="-2"/>
          <w:sz w:val="24"/>
        </w:rPr>
        <w:t>centre/corporate-news/morrisons-full-year-202425-results-and-christmas-2025-trading-</w:t>
      </w:r>
      <w:r>
        <w:rPr>
          <w:sz w:val="24"/>
        </w:rPr>
        <w:t>update/ [Accessed 9 July 2026].</w:t>
      </w:r>
    </w:p>
    <w:p>
      <w:pPr>
        <w:pStyle w:val="BodyText"/>
        <w:spacing w:line="360" w:lineRule="auto" w:before="160"/>
        <w:ind w:left="720" w:right="357" w:hanging="721"/>
        <w:jc w:val="both"/>
      </w:pPr>
      <w:r>
        <w:rPr/>
        <w:t>Morrisons PLC (2026).</w:t>
      </w:r>
      <w:r>
        <w:rPr>
          <w:spacing w:val="-3"/>
        </w:rPr>
        <w:t> </w:t>
      </w:r>
      <w:r>
        <w:rPr>
          <w:i/>
        </w:rPr>
        <w:t>Sustainability - Morrisons Corporate</w:t>
      </w:r>
      <w:r>
        <w:rPr/>
        <w:t>. [online] Morrisons. Available at: </w:t>
      </w:r>
      <w:hyperlink r:id="rId11">
        <w:r>
          <w:rPr/>
          <w:t>https://www.morrisons-corporate.com/morrisons-sustainability/sustainability/</w:t>
        </w:r>
      </w:hyperlink>
      <w:r>
        <w:rPr/>
        <w:t> [Accessed 9 July 2026].</w:t>
      </w:r>
    </w:p>
    <w:p>
      <w:pPr>
        <w:pStyle w:val="BodyText"/>
        <w:spacing w:line="360" w:lineRule="auto" w:before="161"/>
        <w:ind w:left="720" w:right="357" w:hanging="721"/>
        <w:jc w:val="both"/>
      </w:pPr>
      <w:r>
        <w:rPr/>
        <w:t>Olabode, O., Kumar, N. and De, D. (2025) ‘Food loss and waste management in the retail food supply</w:t>
      </w:r>
      <w:r>
        <w:rPr>
          <w:spacing w:val="-13"/>
        </w:rPr>
        <w:t> </w:t>
      </w:r>
      <w:r>
        <w:rPr/>
        <w:t>chain:</w:t>
      </w:r>
      <w:r>
        <w:rPr>
          <w:spacing w:val="-12"/>
        </w:rPr>
        <w:t> </w:t>
      </w:r>
      <w:r>
        <w:rPr/>
        <w:t>Methods</w:t>
      </w:r>
      <w:r>
        <w:rPr>
          <w:spacing w:val="-13"/>
        </w:rPr>
        <w:t> </w:t>
      </w:r>
      <w:r>
        <w:rPr/>
        <w:t>and</w:t>
      </w:r>
      <w:r>
        <w:rPr>
          <w:spacing w:val="-13"/>
        </w:rPr>
        <w:t> </w:t>
      </w:r>
      <w:r>
        <w:rPr/>
        <w:t>framework</w:t>
      </w:r>
      <w:r>
        <w:rPr>
          <w:spacing w:val="-13"/>
        </w:rPr>
        <w:t> </w:t>
      </w:r>
      <w:r>
        <w:rPr/>
        <w:t>to</w:t>
      </w:r>
      <w:r>
        <w:rPr>
          <w:spacing w:val="-12"/>
        </w:rPr>
        <w:t> </w:t>
      </w:r>
      <w:r>
        <w:rPr/>
        <w:t>achieve</w:t>
      </w:r>
      <w:r>
        <w:rPr>
          <w:spacing w:val="-14"/>
        </w:rPr>
        <w:t> </w:t>
      </w:r>
      <w:r>
        <w:rPr/>
        <w:t>environmental</w:t>
      </w:r>
      <w:r>
        <w:rPr>
          <w:spacing w:val="-12"/>
        </w:rPr>
        <w:t> </w:t>
      </w:r>
      <w:r>
        <w:rPr/>
        <w:t>sustainability’,</w:t>
      </w:r>
      <w:r>
        <w:rPr>
          <w:spacing w:val="-12"/>
        </w:rPr>
        <w:t> </w:t>
      </w:r>
      <w:r>
        <w:rPr>
          <w:i/>
        </w:rPr>
        <w:t>Journal</w:t>
      </w:r>
      <w:r>
        <w:rPr>
          <w:i/>
          <w:spacing w:val="-12"/>
        </w:rPr>
        <w:t> </w:t>
      </w:r>
      <w:r>
        <w:rPr>
          <w:i/>
        </w:rPr>
        <w:t>of</w:t>
      </w:r>
      <w:r>
        <w:rPr>
          <w:i/>
        </w:rPr>
        <w:t> Environmental Management</w:t>
      </w:r>
      <w:r>
        <w:rPr/>
        <w:t>, 387, 125718.</w:t>
      </w:r>
    </w:p>
    <w:p>
      <w:pPr>
        <w:spacing w:line="360" w:lineRule="auto" w:before="159"/>
        <w:ind w:left="720" w:right="358" w:hanging="721"/>
        <w:jc w:val="both"/>
        <w:rPr>
          <w:sz w:val="24"/>
        </w:rPr>
      </w:pPr>
      <w:r>
        <w:rPr>
          <w:sz w:val="24"/>
        </w:rPr>
        <w:t>Pumiviset, W. (2024) ‘Sustainability and strategic management accounting’, </w:t>
      </w:r>
      <w:r>
        <w:rPr>
          <w:i/>
          <w:sz w:val="24"/>
        </w:rPr>
        <w:t>Cogent Business &amp;</w:t>
      </w:r>
      <w:r>
        <w:rPr>
          <w:i/>
          <w:sz w:val="24"/>
        </w:rPr>
        <w:t> Management</w:t>
      </w:r>
      <w:r>
        <w:rPr>
          <w:sz w:val="24"/>
        </w:rPr>
        <w:t>, 11(1), 2302794.</w:t>
      </w:r>
    </w:p>
    <w:p>
      <w:pPr>
        <w:pStyle w:val="BodyText"/>
        <w:spacing w:before="160"/>
        <w:jc w:val="both"/>
      </w:pPr>
      <w:r>
        <w:rPr/>
        <w:t>Reuters</w:t>
      </w:r>
      <w:r>
        <w:rPr>
          <w:spacing w:val="-5"/>
        </w:rPr>
        <w:t> </w:t>
      </w:r>
      <w:r>
        <w:rPr/>
        <w:t>(2026)</w:t>
      </w:r>
      <w:r>
        <w:rPr>
          <w:spacing w:val="-1"/>
        </w:rPr>
        <w:t> </w:t>
      </w:r>
      <w:r>
        <w:rPr/>
        <w:t>‘Morrisons’</w:t>
      </w:r>
      <w:r>
        <w:rPr>
          <w:spacing w:val="-18"/>
        </w:rPr>
        <w:t> </w:t>
      </w:r>
      <w:r>
        <w:rPr/>
        <w:t>sales</w:t>
      </w:r>
      <w:r>
        <w:rPr>
          <w:spacing w:val="-3"/>
        </w:rPr>
        <w:t> </w:t>
      </w:r>
      <w:r>
        <w:rPr/>
        <w:t>growth</w:t>
      </w:r>
      <w:r>
        <w:rPr>
          <w:spacing w:val="-2"/>
        </w:rPr>
        <w:t> </w:t>
      </w:r>
      <w:r>
        <w:rPr/>
        <w:t>slows</w:t>
      </w:r>
      <w:r>
        <w:rPr>
          <w:spacing w:val="-3"/>
        </w:rPr>
        <w:t> </w:t>
      </w:r>
      <w:r>
        <w:rPr/>
        <w:t>in</w:t>
      </w:r>
      <w:r>
        <w:rPr>
          <w:spacing w:val="-2"/>
        </w:rPr>
        <w:t> </w:t>
      </w:r>
      <w:r>
        <w:rPr/>
        <w:t>highly</w:t>
      </w:r>
      <w:r>
        <w:rPr>
          <w:spacing w:val="-2"/>
        </w:rPr>
        <w:t> </w:t>
      </w:r>
      <w:r>
        <w:rPr/>
        <w:t>competitive</w:t>
      </w:r>
      <w:r>
        <w:rPr>
          <w:spacing w:val="-2"/>
        </w:rPr>
        <w:t> </w:t>
      </w:r>
      <w:r>
        <w:rPr/>
        <w:t>UK</w:t>
      </w:r>
      <w:r>
        <w:rPr>
          <w:spacing w:val="-2"/>
        </w:rPr>
        <w:t> </w:t>
      </w:r>
      <w:r>
        <w:rPr/>
        <w:t>grocery</w:t>
      </w:r>
      <w:r>
        <w:rPr>
          <w:spacing w:val="-2"/>
        </w:rPr>
        <w:t> market’.</w:t>
      </w:r>
    </w:p>
    <w:p>
      <w:pPr>
        <w:pStyle w:val="BodyText"/>
        <w:spacing w:after="0"/>
        <w:jc w:val="both"/>
        <w:sectPr>
          <w:pgSz w:w="12240" w:h="15840"/>
          <w:pgMar w:header="780" w:footer="1060" w:top="1680" w:bottom="1260" w:left="1440" w:right="1080"/>
        </w:sectPr>
      </w:pPr>
    </w:p>
    <w:p>
      <w:pPr>
        <w:spacing w:line="360" w:lineRule="auto" w:before="80"/>
        <w:ind w:left="720" w:right="356" w:hanging="721"/>
        <w:jc w:val="both"/>
        <w:rPr>
          <w:sz w:val="24"/>
        </w:rPr>
      </w:pPr>
      <w:r>
        <w:rPr>
          <w:sz w:val="24"/>
        </w:rPr>
        <w:t>Roffia,</w:t>
      </w:r>
      <w:r>
        <w:rPr>
          <w:spacing w:val="-15"/>
          <w:sz w:val="24"/>
        </w:rPr>
        <w:t> </w:t>
      </w:r>
      <w:r>
        <w:rPr>
          <w:sz w:val="24"/>
        </w:rPr>
        <w:t>P.,</w:t>
      </w:r>
      <w:r>
        <w:rPr>
          <w:spacing w:val="-13"/>
          <w:sz w:val="24"/>
        </w:rPr>
        <w:t> </w:t>
      </w:r>
      <w:r>
        <w:rPr>
          <w:sz w:val="24"/>
        </w:rPr>
        <w:t>Benavides,</w:t>
      </w:r>
      <w:r>
        <w:rPr>
          <w:spacing w:val="-12"/>
          <w:sz w:val="24"/>
        </w:rPr>
        <w:t> </w:t>
      </w:r>
      <w:r>
        <w:rPr>
          <w:sz w:val="24"/>
        </w:rPr>
        <w:t>M.M.</w:t>
      </w:r>
      <w:r>
        <w:rPr>
          <w:spacing w:val="-11"/>
          <w:sz w:val="24"/>
        </w:rPr>
        <w:t> </w:t>
      </w:r>
      <w:r>
        <w:rPr>
          <w:sz w:val="24"/>
        </w:rPr>
        <w:t>and</w:t>
      </w:r>
      <w:r>
        <w:rPr>
          <w:spacing w:val="-11"/>
          <w:sz w:val="24"/>
        </w:rPr>
        <w:t> </w:t>
      </w:r>
      <w:r>
        <w:rPr>
          <w:sz w:val="24"/>
        </w:rPr>
        <w:t>Carrilero,</w:t>
      </w:r>
      <w:r>
        <w:rPr>
          <w:spacing w:val="-15"/>
          <w:sz w:val="24"/>
        </w:rPr>
        <w:t> </w:t>
      </w:r>
      <w:r>
        <w:rPr>
          <w:sz w:val="24"/>
        </w:rPr>
        <w:t>A.</w:t>
      </w:r>
      <w:r>
        <w:rPr>
          <w:spacing w:val="-12"/>
          <w:sz w:val="24"/>
        </w:rPr>
        <w:t> </w:t>
      </w:r>
      <w:r>
        <w:rPr>
          <w:sz w:val="24"/>
        </w:rPr>
        <w:t>(2024)</w:t>
      </w:r>
      <w:r>
        <w:rPr>
          <w:spacing w:val="-9"/>
          <w:sz w:val="24"/>
        </w:rPr>
        <w:t> </w:t>
      </w:r>
      <w:r>
        <w:rPr>
          <w:sz w:val="24"/>
        </w:rPr>
        <w:t>‘Cost</w:t>
      </w:r>
      <w:r>
        <w:rPr>
          <w:spacing w:val="-12"/>
          <w:sz w:val="24"/>
        </w:rPr>
        <w:t> </w:t>
      </w:r>
      <w:r>
        <w:rPr>
          <w:sz w:val="24"/>
        </w:rPr>
        <w:t>accounting</w:t>
      </w:r>
      <w:r>
        <w:rPr>
          <w:spacing w:val="-11"/>
          <w:sz w:val="24"/>
        </w:rPr>
        <w:t> </w:t>
      </w:r>
      <w:r>
        <w:rPr>
          <w:sz w:val="24"/>
        </w:rPr>
        <w:t>practices</w:t>
      </w:r>
      <w:r>
        <w:rPr>
          <w:spacing w:val="-11"/>
          <w:sz w:val="24"/>
        </w:rPr>
        <w:t> </w:t>
      </w:r>
      <w:r>
        <w:rPr>
          <w:sz w:val="24"/>
        </w:rPr>
        <w:t>in</w:t>
      </w:r>
      <w:r>
        <w:rPr>
          <w:spacing w:val="-12"/>
          <w:sz w:val="24"/>
        </w:rPr>
        <w:t> </w:t>
      </w:r>
      <w:r>
        <w:rPr>
          <w:sz w:val="24"/>
        </w:rPr>
        <w:t>SMEs:</w:t>
      </w:r>
      <w:r>
        <w:rPr>
          <w:spacing w:val="-11"/>
          <w:sz w:val="24"/>
        </w:rPr>
        <w:t> </w:t>
      </w:r>
      <w:r>
        <w:rPr>
          <w:sz w:val="24"/>
        </w:rPr>
        <w:t>liability of age and other factors that hinder or boost its implementation in turbulent years’, </w:t>
      </w:r>
      <w:r>
        <w:rPr>
          <w:i/>
          <w:sz w:val="24"/>
        </w:rPr>
        <w:t>International Entrepreneurship and Management Journal</w:t>
      </w:r>
      <w:r>
        <w:rPr>
          <w:sz w:val="24"/>
        </w:rPr>
        <w:t>, 20, pp. 115–139.</w:t>
      </w:r>
    </w:p>
    <w:p>
      <w:pPr>
        <w:spacing w:line="360" w:lineRule="auto" w:before="160"/>
        <w:ind w:left="720" w:right="358" w:hanging="721"/>
        <w:jc w:val="both"/>
        <w:rPr>
          <w:sz w:val="24"/>
        </w:rPr>
      </w:pPr>
      <w:r>
        <w:rPr>
          <w:sz w:val="24"/>
        </w:rPr>
        <w:t>Saunila,</w:t>
      </w:r>
      <w:r>
        <w:rPr>
          <w:spacing w:val="-15"/>
          <w:sz w:val="24"/>
        </w:rPr>
        <w:t> </w:t>
      </w:r>
      <w:r>
        <w:rPr>
          <w:sz w:val="24"/>
        </w:rPr>
        <w:t>M.</w:t>
      </w:r>
      <w:r>
        <w:rPr>
          <w:spacing w:val="-15"/>
          <w:sz w:val="24"/>
        </w:rPr>
        <w:t> </w:t>
      </w:r>
      <w:r>
        <w:rPr>
          <w:sz w:val="24"/>
        </w:rPr>
        <w:t>(2024)</w:t>
      </w:r>
      <w:r>
        <w:rPr>
          <w:spacing w:val="-15"/>
          <w:sz w:val="24"/>
        </w:rPr>
        <w:t> </w:t>
      </w:r>
      <w:r>
        <w:rPr>
          <w:sz w:val="24"/>
        </w:rPr>
        <w:t>‘The</w:t>
      </w:r>
      <w:r>
        <w:rPr>
          <w:spacing w:val="-15"/>
          <w:sz w:val="24"/>
        </w:rPr>
        <w:t> </w:t>
      </w:r>
      <w:r>
        <w:rPr>
          <w:sz w:val="24"/>
        </w:rPr>
        <w:t>importance</w:t>
      </w:r>
      <w:r>
        <w:rPr>
          <w:spacing w:val="-15"/>
          <w:sz w:val="24"/>
        </w:rPr>
        <w:t> </w:t>
      </w:r>
      <w:r>
        <w:rPr>
          <w:sz w:val="24"/>
        </w:rPr>
        <w:t>of</w:t>
      </w:r>
      <w:r>
        <w:rPr>
          <w:spacing w:val="-15"/>
          <w:sz w:val="24"/>
        </w:rPr>
        <w:t> </w:t>
      </w:r>
      <w:r>
        <w:rPr>
          <w:sz w:val="24"/>
        </w:rPr>
        <w:t>performance</w:t>
      </w:r>
      <w:r>
        <w:rPr>
          <w:spacing w:val="-15"/>
          <w:sz w:val="24"/>
        </w:rPr>
        <w:t> </w:t>
      </w:r>
      <w:r>
        <w:rPr>
          <w:sz w:val="24"/>
        </w:rPr>
        <w:t>measurement</w:t>
      </w:r>
      <w:r>
        <w:rPr>
          <w:spacing w:val="-15"/>
          <w:sz w:val="24"/>
        </w:rPr>
        <w:t> </w:t>
      </w:r>
      <w:r>
        <w:rPr>
          <w:sz w:val="24"/>
        </w:rPr>
        <w:t>and</w:t>
      </w:r>
      <w:r>
        <w:rPr>
          <w:spacing w:val="-15"/>
          <w:sz w:val="24"/>
        </w:rPr>
        <w:t> </w:t>
      </w:r>
      <w:r>
        <w:rPr>
          <w:sz w:val="24"/>
        </w:rPr>
        <w:t>management</w:t>
      </w:r>
      <w:r>
        <w:rPr>
          <w:spacing w:val="-15"/>
          <w:sz w:val="24"/>
        </w:rPr>
        <w:t> </w:t>
      </w:r>
      <w:r>
        <w:rPr>
          <w:sz w:val="24"/>
        </w:rPr>
        <w:t>for</w:t>
      </w:r>
      <w:r>
        <w:rPr>
          <w:spacing w:val="-15"/>
          <w:sz w:val="24"/>
        </w:rPr>
        <w:t> </w:t>
      </w:r>
      <w:r>
        <w:rPr>
          <w:sz w:val="24"/>
        </w:rPr>
        <w:t>sustainable supply chain governance’, </w:t>
      </w:r>
      <w:r>
        <w:rPr>
          <w:i/>
          <w:sz w:val="24"/>
        </w:rPr>
        <w:t>International Journal of Operations &amp; Production</w:t>
      </w:r>
      <w:r>
        <w:rPr>
          <w:i/>
          <w:sz w:val="24"/>
        </w:rPr>
        <w:t> Management</w:t>
      </w:r>
      <w:r>
        <w:rPr>
          <w:sz w:val="24"/>
        </w:rPr>
        <w:t>, 44(13), pp. 229–252.</w:t>
      </w:r>
    </w:p>
    <w:p>
      <w:pPr>
        <w:spacing w:line="360" w:lineRule="auto" w:before="159"/>
        <w:ind w:left="720" w:right="361" w:hanging="721"/>
        <w:jc w:val="both"/>
        <w:rPr>
          <w:sz w:val="24"/>
        </w:rPr>
      </w:pPr>
      <w:r>
        <w:rPr>
          <w:sz w:val="24"/>
        </w:rPr>
        <w:t>Susilowati, E. (2023) ‘Cost management and strategic decision making: The role of managerial accounting’, </w:t>
      </w:r>
      <w:r>
        <w:rPr>
          <w:i/>
          <w:sz w:val="24"/>
        </w:rPr>
        <w:t>ATESTASI: Jurnal Ilmiah Akuntansi</w:t>
      </w:r>
      <w:r>
        <w:rPr>
          <w:sz w:val="24"/>
        </w:rPr>
        <w:t>, 6(1), pp. 457–473.</w:t>
      </w:r>
    </w:p>
    <w:p>
      <w:pPr>
        <w:pStyle w:val="BodyText"/>
        <w:spacing w:line="360" w:lineRule="auto" w:before="161"/>
        <w:ind w:left="720" w:right="356" w:hanging="721"/>
        <w:jc w:val="both"/>
      </w:pPr>
      <w:r>
        <w:rPr>
          <w:spacing w:val="-2"/>
        </w:rPr>
        <w:t>Valaskova,</w:t>
      </w:r>
      <w:r>
        <w:rPr>
          <w:spacing w:val="-9"/>
        </w:rPr>
        <w:t> </w:t>
      </w:r>
      <w:r>
        <w:rPr>
          <w:spacing w:val="-2"/>
        </w:rPr>
        <w:t>K.,</w:t>
      </w:r>
      <w:r>
        <w:rPr>
          <w:spacing w:val="-8"/>
        </w:rPr>
        <w:t> </w:t>
      </w:r>
      <w:r>
        <w:rPr>
          <w:spacing w:val="-2"/>
        </w:rPr>
        <w:t>Nagy,</w:t>
      </w:r>
      <w:r>
        <w:rPr>
          <w:spacing w:val="-8"/>
        </w:rPr>
        <w:t> </w:t>
      </w:r>
      <w:r>
        <w:rPr>
          <w:spacing w:val="-2"/>
        </w:rPr>
        <w:t>M.</w:t>
      </w:r>
      <w:r>
        <w:rPr>
          <w:spacing w:val="-8"/>
        </w:rPr>
        <w:t> </w:t>
      </w:r>
      <w:r>
        <w:rPr>
          <w:spacing w:val="-2"/>
        </w:rPr>
        <w:t>and</w:t>
      </w:r>
      <w:r>
        <w:rPr>
          <w:spacing w:val="-8"/>
        </w:rPr>
        <w:t> </w:t>
      </w:r>
      <w:r>
        <w:rPr>
          <w:spacing w:val="-2"/>
        </w:rPr>
        <w:t>Juracka,</w:t>
      </w:r>
      <w:r>
        <w:rPr>
          <w:spacing w:val="-8"/>
        </w:rPr>
        <w:t> </w:t>
      </w:r>
      <w:r>
        <w:rPr>
          <w:spacing w:val="-2"/>
        </w:rPr>
        <w:t>D.</w:t>
      </w:r>
      <w:r>
        <w:rPr>
          <w:spacing w:val="-8"/>
        </w:rPr>
        <w:t> </w:t>
      </w:r>
      <w:r>
        <w:rPr>
          <w:spacing w:val="-2"/>
        </w:rPr>
        <w:t>(2025)</w:t>
      </w:r>
      <w:r>
        <w:rPr>
          <w:spacing w:val="-5"/>
        </w:rPr>
        <w:t> </w:t>
      </w:r>
      <w:r>
        <w:rPr>
          <w:spacing w:val="-2"/>
        </w:rPr>
        <w:t>‘Digital</w:t>
      </w:r>
      <w:r>
        <w:rPr>
          <w:spacing w:val="-6"/>
        </w:rPr>
        <w:t> </w:t>
      </w:r>
      <w:r>
        <w:rPr>
          <w:spacing w:val="-2"/>
        </w:rPr>
        <w:t>transformation</w:t>
      </w:r>
      <w:r>
        <w:rPr>
          <w:spacing w:val="-8"/>
        </w:rPr>
        <w:t> </w:t>
      </w:r>
      <w:r>
        <w:rPr>
          <w:spacing w:val="-2"/>
        </w:rPr>
        <w:t>and</w:t>
      </w:r>
      <w:r>
        <w:rPr>
          <w:spacing w:val="-8"/>
        </w:rPr>
        <w:t> </w:t>
      </w:r>
      <w:r>
        <w:rPr>
          <w:spacing w:val="-2"/>
        </w:rPr>
        <w:t>financial</w:t>
      </w:r>
      <w:r>
        <w:rPr>
          <w:spacing w:val="-8"/>
        </w:rPr>
        <w:t> </w:t>
      </w:r>
      <w:r>
        <w:rPr>
          <w:spacing w:val="-2"/>
        </w:rPr>
        <w:t>performance: </w:t>
      </w:r>
      <w:r>
        <w:rPr/>
        <w:t>An empirical analysis of strategic alignment in the digital age’, </w:t>
      </w:r>
      <w:r>
        <w:rPr>
          <w:i/>
        </w:rPr>
        <w:t>Journal of Enterprising</w:t>
      </w:r>
      <w:r>
        <w:rPr>
          <w:i/>
        </w:rPr>
        <w:t> Communities</w:t>
      </w:r>
      <w:r>
        <w:rPr/>
        <w:t>, 19(5), pp. 1178–1205.</w:t>
      </w:r>
    </w:p>
    <w:p>
      <w:pPr>
        <w:pStyle w:val="BodyText"/>
        <w:spacing w:line="360" w:lineRule="auto" w:before="160"/>
        <w:ind w:left="720" w:right="356" w:hanging="721"/>
        <w:jc w:val="both"/>
      </w:pPr>
      <w:r>
        <w:rPr/>
        <w:t>Yavuz, M.S., Tatlı, H.S. and Bozkurt, G. (2025) ‘Exploring the financial impact of digital transformation:</w:t>
      </w:r>
      <w:r>
        <w:rPr>
          <w:spacing w:val="-15"/>
        </w:rPr>
        <w:t> </w:t>
      </w:r>
      <w:r>
        <w:rPr/>
        <w:t>A</w:t>
      </w:r>
      <w:r>
        <w:rPr>
          <w:spacing w:val="-15"/>
        </w:rPr>
        <w:t> </w:t>
      </w:r>
      <w:r>
        <w:rPr/>
        <w:t>comprehensive</w:t>
      </w:r>
      <w:r>
        <w:rPr>
          <w:spacing w:val="-6"/>
        </w:rPr>
        <w:t> </w:t>
      </w:r>
      <w:r>
        <w:rPr/>
        <w:t>analysis</w:t>
      </w:r>
      <w:r>
        <w:rPr>
          <w:spacing w:val="-5"/>
        </w:rPr>
        <w:t> </w:t>
      </w:r>
      <w:r>
        <w:rPr/>
        <w:t>on</w:t>
      </w:r>
      <w:r>
        <w:rPr>
          <w:spacing w:val="-4"/>
        </w:rPr>
        <w:t> </w:t>
      </w:r>
      <w:r>
        <w:rPr/>
        <w:t>firms’,</w:t>
      </w:r>
      <w:r>
        <w:rPr>
          <w:spacing w:val="-4"/>
        </w:rPr>
        <w:t> </w:t>
      </w:r>
      <w:r>
        <w:rPr>
          <w:i/>
        </w:rPr>
        <w:t>Journal</w:t>
      </w:r>
      <w:r>
        <w:rPr>
          <w:i/>
          <w:spacing w:val="-4"/>
        </w:rPr>
        <w:t> </w:t>
      </w:r>
      <w:r>
        <w:rPr>
          <w:i/>
        </w:rPr>
        <w:t>of</w:t>
      </w:r>
      <w:r>
        <w:rPr>
          <w:i/>
          <w:spacing w:val="-4"/>
        </w:rPr>
        <w:t> </w:t>
      </w:r>
      <w:r>
        <w:rPr>
          <w:i/>
        </w:rPr>
        <w:t>Innovation</w:t>
      </w:r>
      <w:r>
        <w:rPr>
          <w:i/>
          <w:spacing w:val="-4"/>
        </w:rPr>
        <w:t> </w:t>
      </w:r>
      <w:r>
        <w:rPr>
          <w:i/>
        </w:rPr>
        <w:t>&amp;</w:t>
      </w:r>
      <w:r>
        <w:rPr>
          <w:i/>
          <w:spacing w:val="-4"/>
        </w:rPr>
        <w:t> </w:t>
      </w:r>
      <w:r>
        <w:rPr>
          <w:i/>
        </w:rPr>
        <w:t>Knowledge</w:t>
      </w:r>
      <w:r>
        <w:rPr/>
        <w:t>, 10, 100795.</w:t>
      </w:r>
    </w:p>
    <w:p>
      <w:pPr>
        <w:tabs>
          <w:tab w:pos="1808" w:val="left" w:leader="none"/>
          <w:tab w:pos="3162" w:val="left" w:leader="none"/>
          <w:tab w:pos="4406" w:val="left" w:leader="none"/>
          <w:tab w:pos="4978" w:val="left" w:leader="none"/>
        </w:tabs>
        <w:spacing w:line="360" w:lineRule="auto" w:before="160"/>
        <w:ind w:left="720" w:right="355" w:hanging="721"/>
        <w:jc w:val="left"/>
        <w:rPr>
          <w:sz w:val="24"/>
        </w:rPr>
      </w:pPr>
      <w:r>
        <w:rPr>
          <w:sz w:val="24"/>
        </w:rPr>
        <w:t>Morrisons PLC (2024).</w:t>
      </w:r>
      <w:r>
        <w:rPr>
          <w:spacing w:val="-3"/>
          <w:sz w:val="24"/>
        </w:rPr>
        <w:t> </w:t>
      </w:r>
      <w:r>
        <w:rPr>
          <w:i/>
          <w:sz w:val="24"/>
        </w:rPr>
        <w:t>Morrisons full year 2024/25 results and Christmas 2025 trading update</w:t>
      </w:r>
      <w:r>
        <w:rPr>
          <w:sz w:val="24"/>
        </w:rPr>
        <w:t>. </w:t>
      </w:r>
      <w:r>
        <w:rPr>
          <w:spacing w:val="-2"/>
          <w:sz w:val="24"/>
        </w:rPr>
        <w:t>[online]</w:t>
      </w:r>
      <w:r>
        <w:rPr>
          <w:sz w:val="24"/>
        </w:rPr>
        <w:tab/>
      </w:r>
      <w:r>
        <w:rPr>
          <w:spacing w:val="-2"/>
          <w:sz w:val="24"/>
        </w:rPr>
        <w:t>Morrisons.</w:t>
      </w:r>
      <w:r>
        <w:rPr>
          <w:sz w:val="24"/>
        </w:rPr>
        <w:tab/>
      </w:r>
      <w:r>
        <w:rPr>
          <w:spacing w:val="-2"/>
          <w:sz w:val="24"/>
        </w:rPr>
        <w:t>Available</w:t>
      </w:r>
      <w:r>
        <w:rPr>
          <w:sz w:val="24"/>
        </w:rPr>
        <w:tab/>
      </w:r>
      <w:r>
        <w:rPr>
          <w:spacing w:val="-4"/>
          <w:sz w:val="24"/>
        </w:rPr>
        <w:t>at:</w:t>
      </w:r>
      <w:r>
        <w:rPr>
          <w:sz w:val="24"/>
        </w:rPr>
        <w:tab/>
      </w:r>
      <w:hyperlink r:id="rId10">
        <w:r>
          <w:rPr>
            <w:spacing w:val="-2"/>
            <w:sz w:val="24"/>
          </w:rPr>
          <w:t>https://www.morrisons-corporate.com/media-</w:t>
        </w:r>
      </w:hyperlink>
      <w:r>
        <w:rPr>
          <w:spacing w:val="-2"/>
          <w:sz w:val="24"/>
        </w:rPr>
        <w:t>centre/corporate-news/morrisons-full-year-202425-results-and-christmas-2025-trading-</w:t>
      </w:r>
      <w:r>
        <w:rPr>
          <w:sz w:val="24"/>
        </w:rPr>
        <w:t>update/ [Accessed 9 July 2026].</w:t>
      </w:r>
    </w:p>
    <w:p>
      <w:pPr>
        <w:spacing w:after="0" w:line="360" w:lineRule="auto"/>
        <w:jc w:val="left"/>
        <w:rPr>
          <w:sz w:val="24"/>
        </w:rPr>
        <w:sectPr>
          <w:pgSz w:w="12240" w:h="15840"/>
          <w:pgMar w:header="780" w:footer="1060" w:top="1680" w:bottom="1260" w:left="1440" w:right="1080"/>
        </w:sectPr>
      </w:pPr>
    </w:p>
    <w:p>
      <w:pPr>
        <w:pStyle w:val="BodyText"/>
        <w:spacing w:before="4"/>
        <w:rPr>
          <w:sz w:val="17"/>
        </w:rPr>
      </w:pPr>
    </w:p>
    <w:sectPr>
      <w:pgSz w:w="12240" w:h="15840"/>
      <w:pgMar w:header="780" w:footer="1060" w:top="1680" w:bottom="1260" w:left="144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49760">
              <wp:simplePos x="0" y="0"/>
              <wp:positionH relativeFrom="page">
                <wp:posOffset>6693407</wp:posOffset>
              </wp:positionH>
              <wp:positionV relativeFrom="page">
                <wp:posOffset>9245430</wp:posOffset>
              </wp:positionV>
              <wp:extent cx="215900" cy="19431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15900" cy="194310"/>
                      </a:xfrm>
                      <a:prstGeom prst="rect">
                        <a:avLst/>
                      </a:prstGeom>
                    </wps:spPr>
                    <wps:txbx>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27.039978pt;margin-top:727.986633pt;width:17pt;height:15.3pt;mso-position-horizontal-relative:page;mso-position-vertical-relative:page;z-index:-15966720" type="#_x0000_t202" id="docshape1" filled="false" stroked="false">
              <v:textbox inset="0,0,0,0">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349248">
          <wp:simplePos x="0" y="0"/>
          <wp:positionH relativeFrom="page">
            <wp:posOffset>962025</wp:posOffset>
          </wp:positionH>
          <wp:positionV relativeFrom="page">
            <wp:posOffset>495300</wp:posOffset>
          </wp:positionV>
          <wp:extent cx="1552575" cy="514350"/>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1552575" cy="51435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1"/>
      <w:numFmt w:val="decimal"/>
      <w:lvlText w:val="%1."/>
      <w:lvlJc w:val="left"/>
      <w:pPr>
        <w:ind w:left="240" w:hanging="240"/>
        <w:jc w:val="left"/>
      </w:pPr>
      <w:rPr>
        <w:rFonts w:hint="default" w:ascii="Times New Roman" w:hAnsi="Times New Roman" w:eastAsia="Times New Roman" w:cs="Times New Roman"/>
        <w:b/>
        <w:bCs/>
        <w:i w:val="0"/>
        <w:iCs w:val="0"/>
        <w:spacing w:val="0"/>
        <w:w w:val="100"/>
        <w:sz w:val="24"/>
        <w:szCs w:val="24"/>
        <w:lang w:val="en-US" w:eastAsia="en-US" w:bidi="ar-SA"/>
      </w:rPr>
    </w:lvl>
    <w:lvl w:ilvl="1">
      <w:start w:val="0"/>
      <w:numFmt w:val="bullet"/>
      <w:lvlText w:val="•"/>
      <w:lvlJc w:val="left"/>
      <w:pPr>
        <w:ind w:left="1188" w:hanging="240"/>
      </w:pPr>
      <w:rPr>
        <w:rFonts w:hint="default"/>
        <w:lang w:val="en-US" w:eastAsia="en-US" w:bidi="ar-SA"/>
      </w:rPr>
    </w:lvl>
    <w:lvl w:ilvl="2">
      <w:start w:val="0"/>
      <w:numFmt w:val="bullet"/>
      <w:lvlText w:val="•"/>
      <w:lvlJc w:val="left"/>
      <w:pPr>
        <w:ind w:left="2136" w:hanging="240"/>
      </w:pPr>
      <w:rPr>
        <w:rFonts w:hint="default"/>
        <w:lang w:val="en-US" w:eastAsia="en-US" w:bidi="ar-SA"/>
      </w:rPr>
    </w:lvl>
    <w:lvl w:ilvl="3">
      <w:start w:val="0"/>
      <w:numFmt w:val="bullet"/>
      <w:lvlText w:val="•"/>
      <w:lvlJc w:val="left"/>
      <w:pPr>
        <w:ind w:left="3084" w:hanging="240"/>
      </w:pPr>
      <w:rPr>
        <w:rFonts w:hint="default"/>
        <w:lang w:val="en-US" w:eastAsia="en-US" w:bidi="ar-SA"/>
      </w:rPr>
    </w:lvl>
    <w:lvl w:ilvl="4">
      <w:start w:val="0"/>
      <w:numFmt w:val="bullet"/>
      <w:lvlText w:val="•"/>
      <w:lvlJc w:val="left"/>
      <w:pPr>
        <w:ind w:left="4032" w:hanging="240"/>
      </w:pPr>
      <w:rPr>
        <w:rFonts w:hint="default"/>
        <w:lang w:val="en-US" w:eastAsia="en-US" w:bidi="ar-SA"/>
      </w:rPr>
    </w:lvl>
    <w:lvl w:ilvl="5">
      <w:start w:val="0"/>
      <w:numFmt w:val="bullet"/>
      <w:lvlText w:val="•"/>
      <w:lvlJc w:val="left"/>
      <w:pPr>
        <w:ind w:left="4980" w:hanging="240"/>
      </w:pPr>
      <w:rPr>
        <w:rFonts w:hint="default"/>
        <w:lang w:val="en-US" w:eastAsia="en-US" w:bidi="ar-SA"/>
      </w:rPr>
    </w:lvl>
    <w:lvl w:ilvl="6">
      <w:start w:val="0"/>
      <w:numFmt w:val="bullet"/>
      <w:lvlText w:val="•"/>
      <w:lvlJc w:val="left"/>
      <w:pPr>
        <w:ind w:left="5928" w:hanging="240"/>
      </w:pPr>
      <w:rPr>
        <w:rFonts w:hint="default"/>
        <w:lang w:val="en-US" w:eastAsia="en-US" w:bidi="ar-SA"/>
      </w:rPr>
    </w:lvl>
    <w:lvl w:ilvl="7">
      <w:start w:val="0"/>
      <w:numFmt w:val="bullet"/>
      <w:lvlText w:val="•"/>
      <w:lvlJc w:val="left"/>
      <w:pPr>
        <w:ind w:left="6876" w:hanging="240"/>
      </w:pPr>
      <w:rPr>
        <w:rFonts w:hint="default"/>
        <w:lang w:val="en-US" w:eastAsia="en-US" w:bidi="ar-SA"/>
      </w:rPr>
    </w:lvl>
    <w:lvl w:ilvl="8">
      <w:start w:val="0"/>
      <w:numFmt w:val="bullet"/>
      <w:lvlText w:val="•"/>
      <w:lvlJc w:val="left"/>
      <w:pPr>
        <w:ind w:left="7824" w:hanging="240"/>
      </w:pPr>
      <w:rPr>
        <w:rFonts w:hint="default"/>
        <w:lang w:val="en-US" w:eastAsia="en-US" w:bidi="ar-SA"/>
      </w:rPr>
    </w:lvl>
  </w:abstractNum>
  <w:abstractNum w:abstractNumId="0">
    <w:multiLevelType w:val="hybridMultilevel"/>
    <w:lvl w:ilvl="0">
      <w:start w:val="1"/>
      <w:numFmt w:val="decimal"/>
      <w:lvlText w:val="%1."/>
      <w:lvlJc w:val="left"/>
      <w:pPr>
        <w:ind w:left="240" w:hanging="24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188" w:hanging="240"/>
      </w:pPr>
      <w:rPr>
        <w:rFonts w:hint="default"/>
        <w:lang w:val="en-US" w:eastAsia="en-US" w:bidi="ar-SA"/>
      </w:rPr>
    </w:lvl>
    <w:lvl w:ilvl="2">
      <w:start w:val="0"/>
      <w:numFmt w:val="bullet"/>
      <w:lvlText w:val="•"/>
      <w:lvlJc w:val="left"/>
      <w:pPr>
        <w:ind w:left="2136" w:hanging="240"/>
      </w:pPr>
      <w:rPr>
        <w:rFonts w:hint="default"/>
        <w:lang w:val="en-US" w:eastAsia="en-US" w:bidi="ar-SA"/>
      </w:rPr>
    </w:lvl>
    <w:lvl w:ilvl="3">
      <w:start w:val="0"/>
      <w:numFmt w:val="bullet"/>
      <w:lvlText w:val="•"/>
      <w:lvlJc w:val="left"/>
      <w:pPr>
        <w:ind w:left="3084" w:hanging="240"/>
      </w:pPr>
      <w:rPr>
        <w:rFonts w:hint="default"/>
        <w:lang w:val="en-US" w:eastAsia="en-US" w:bidi="ar-SA"/>
      </w:rPr>
    </w:lvl>
    <w:lvl w:ilvl="4">
      <w:start w:val="0"/>
      <w:numFmt w:val="bullet"/>
      <w:lvlText w:val="•"/>
      <w:lvlJc w:val="left"/>
      <w:pPr>
        <w:ind w:left="4032" w:hanging="240"/>
      </w:pPr>
      <w:rPr>
        <w:rFonts w:hint="default"/>
        <w:lang w:val="en-US" w:eastAsia="en-US" w:bidi="ar-SA"/>
      </w:rPr>
    </w:lvl>
    <w:lvl w:ilvl="5">
      <w:start w:val="0"/>
      <w:numFmt w:val="bullet"/>
      <w:lvlText w:val="•"/>
      <w:lvlJc w:val="left"/>
      <w:pPr>
        <w:ind w:left="4980" w:hanging="240"/>
      </w:pPr>
      <w:rPr>
        <w:rFonts w:hint="default"/>
        <w:lang w:val="en-US" w:eastAsia="en-US" w:bidi="ar-SA"/>
      </w:rPr>
    </w:lvl>
    <w:lvl w:ilvl="6">
      <w:start w:val="0"/>
      <w:numFmt w:val="bullet"/>
      <w:lvlText w:val="•"/>
      <w:lvlJc w:val="left"/>
      <w:pPr>
        <w:ind w:left="5928" w:hanging="240"/>
      </w:pPr>
      <w:rPr>
        <w:rFonts w:hint="default"/>
        <w:lang w:val="en-US" w:eastAsia="en-US" w:bidi="ar-SA"/>
      </w:rPr>
    </w:lvl>
    <w:lvl w:ilvl="7">
      <w:start w:val="0"/>
      <w:numFmt w:val="bullet"/>
      <w:lvlText w:val="•"/>
      <w:lvlJc w:val="left"/>
      <w:pPr>
        <w:ind w:left="6876" w:hanging="240"/>
      </w:pPr>
      <w:rPr>
        <w:rFonts w:hint="default"/>
        <w:lang w:val="en-US" w:eastAsia="en-US" w:bidi="ar-SA"/>
      </w:rPr>
    </w:lvl>
    <w:lvl w:ilvl="8">
      <w:start w:val="0"/>
      <w:numFmt w:val="bullet"/>
      <w:lvlText w:val="•"/>
      <w:lvlJc w:val="left"/>
      <w:pPr>
        <w:ind w:left="7824" w:hanging="240"/>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TOC1" w:type="paragraph">
    <w:name w:val="TOC 1"/>
    <w:basedOn w:val="Normal"/>
    <w:uiPriority w:val="1"/>
    <w:qFormat/>
    <w:pPr>
      <w:spacing w:before="239"/>
      <w:ind w:left="240" w:hanging="240"/>
    </w:pPr>
    <w:rPr>
      <w:rFonts w:ascii="Times New Roman" w:hAnsi="Times New Roman" w:eastAsia="Times New Roman" w:cs="Times New Roman"/>
      <w:sz w:val="24"/>
      <w:szCs w:val="24"/>
      <w:lang w:val="en-US" w:eastAsia="en-US" w:bidi="ar-SA"/>
    </w:rPr>
  </w:style>
  <w:style w:styleId="TOC2" w:type="paragraph">
    <w:name w:val="TOC 2"/>
    <w:basedOn w:val="Normal"/>
    <w:uiPriority w:val="1"/>
    <w:qFormat/>
    <w:pPr>
      <w:spacing w:before="237"/>
      <w:ind w:left="240"/>
    </w:pPr>
    <w:rPr>
      <w:rFonts w:ascii="Times New Roman" w:hAnsi="Times New Roman" w:eastAsia="Times New Roman" w:cs="Times New Roman"/>
      <w:sz w:val="24"/>
      <w:szCs w:val="24"/>
      <w:lang w:val="en-US"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en-US" w:eastAsia="en-US" w:bidi="ar-SA"/>
    </w:rPr>
  </w:style>
  <w:style w:styleId="Heading1" w:type="paragraph">
    <w:name w:val="Heading 1"/>
    <w:basedOn w:val="Normal"/>
    <w:uiPriority w:val="1"/>
    <w:qFormat/>
    <w:pPr>
      <w:spacing w:before="160"/>
      <w:ind w:left="240" w:hanging="240"/>
      <w:jc w:val="both"/>
      <w:outlineLvl w:val="1"/>
    </w:pPr>
    <w:rPr>
      <w:rFonts w:ascii="Times New Roman" w:hAnsi="Times New Roman" w:eastAsia="Times New Roman" w:cs="Times New Roman"/>
      <w:b/>
      <w:bCs/>
      <w:sz w:val="24"/>
      <w:szCs w:val="24"/>
      <w:lang w:val="en-US" w:eastAsia="en-US" w:bidi="ar-SA"/>
    </w:rPr>
  </w:style>
  <w:style w:styleId="Heading2" w:type="paragraph">
    <w:name w:val="Heading 2"/>
    <w:basedOn w:val="Normal"/>
    <w:uiPriority w:val="1"/>
    <w:qFormat/>
    <w:pPr>
      <w:spacing w:before="258"/>
      <w:jc w:val="both"/>
      <w:outlineLvl w:val="2"/>
    </w:pPr>
    <w:rPr>
      <w:rFonts w:ascii="Times New Roman" w:hAnsi="Times New Roman" w:eastAsia="Times New Roman" w:cs="Times New Roman"/>
      <w:b/>
      <w:bCs/>
      <w:i/>
      <w:iCs/>
      <w:sz w:val="24"/>
      <w:szCs w:val="24"/>
      <w:lang w:val="en-US" w:eastAsia="en-US" w:bidi="ar-SA"/>
    </w:rPr>
  </w:style>
  <w:style w:styleId="ListParagraph" w:type="paragraph">
    <w:name w:val="List Paragraph"/>
    <w:basedOn w:val="Normal"/>
    <w:uiPriority w:val="1"/>
    <w:qFormat/>
    <w:pPr>
      <w:spacing w:before="160"/>
      <w:ind w:left="240" w:hanging="240"/>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ind w:left="107"/>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yperlink" Target="https://www.tandfonline.com/doi/full/10.1080/23311975.2024.2361321" TargetMode="External"/><Relationship Id="rId8" Type="http://schemas.openxmlformats.org/officeDocument/2006/relationships/hyperlink" Target="https://www.reuters.com/world/uk/uk-supermarket-" TargetMode="External"/><Relationship Id="rId9" Type="http://schemas.openxmlformats.org/officeDocument/2006/relationships/hyperlink" Target="https://www.morrisons-corporate.com/globalassets/corporatesite/sustainability/morrisons-sustainability-report-fy23-24.pdf?utm_source=chatgpt.com" TargetMode="External"/><Relationship Id="rId10" Type="http://schemas.openxmlformats.org/officeDocument/2006/relationships/hyperlink" Target="https://www.morrisons-corporate.com/media-" TargetMode="External"/><Relationship Id="rId11" Type="http://schemas.openxmlformats.org/officeDocument/2006/relationships/hyperlink" Target="https://www.morrisons-corporate.com/morrisons-sustainability/sustainability/" TargetMode="External"/><Relationship Id="rId1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Rohma Abbasi</dc:creator>
  <dcterms:created xsi:type="dcterms:W3CDTF">2026-07-17T18:08:05Z</dcterms:created>
  <dcterms:modified xsi:type="dcterms:W3CDTF">2026-07-17T18:08:05Z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2026-07-17T00:00:00Z</vt:filetime>
  </property>
  <property fmtid="{D5CDD505-2E9C-101B-9397-08002B2CF9AE}" pid="3" name="Creator">
    <vt:lpwstr>Microsoft® Word 2019</vt:lpwstr>
  </property>
  <property fmtid="{D5CDD505-2E9C-101B-9397-08002B2CF9AE}" pid="4" name="LastSaved">
    <vt:filetime>2026-07-17T00:00:00Z</vt:filetime>
  </property>
  <property fmtid="{D5CDD505-2E9C-101B-9397-08002B2CF9AE}" pid="5" name="Producer">
    <vt:lpwstr>Adobe PDF Services</vt:lpwstr>
  </property>
</Properties>
</file>