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687447" w14:textId="2A332CD4" w:rsidR="006807E7" w:rsidRDefault="00376421">
      <w:pPr>
        <w:pStyle w:val="Body"/>
        <w:rPr>
          <w:rFonts w:ascii="Arial" w:eastAsia="Arial" w:hAnsi="Arial" w:cs="Arial"/>
          <w:b/>
          <w:bCs/>
        </w:rPr>
      </w:pPr>
      <w:r>
        <w:rPr>
          <w:rFonts w:ascii="Arial" w:eastAsia="Arial" w:hAnsi="Arial" w:cs="Arial"/>
          <w:b/>
          <w:bCs/>
        </w:rPr>
        <w:t xml:space="preserve">Governance and Ethics in </w:t>
      </w:r>
      <w:proofErr w:type="spellStart"/>
      <w:r>
        <w:rPr>
          <w:rFonts w:ascii="Arial" w:eastAsia="Arial" w:hAnsi="Arial" w:cs="Arial"/>
          <w:b/>
          <w:bCs/>
        </w:rPr>
        <w:t>organisational</w:t>
      </w:r>
      <w:proofErr w:type="spellEnd"/>
      <w:r>
        <w:rPr>
          <w:rFonts w:ascii="Arial" w:eastAsia="Arial" w:hAnsi="Arial" w:cs="Arial"/>
          <w:b/>
          <w:bCs/>
        </w:rPr>
        <w:t xml:space="preserve"> decision-making</w:t>
      </w:r>
    </w:p>
    <w:p w14:paraId="0D419DE4" w14:textId="5441DA9B" w:rsidR="006807E7" w:rsidRDefault="00376421">
      <w:pPr>
        <w:pStyle w:val="Body"/>
        <w:spacing w:before="60" w:after="40"/>
        <w:rPr>
          <w:rFonts w:ascii="Arial" w:eastAsia="Arial" w:hAnsi="Arial" w:cs="Arial"/>
          <w:i/>
          <w:iCs/>
        </w:rPr>
      </w:pPr>
      <w:r>
        <w:rPr>
          <w:rFonts w:ascii="Arial" w:eastAsia="Arial" w:hAnsi="Arial" w:cs="Arial"/>
          <w:i/>
          <w:iCs/>
        </w:rPr>
        <w:t>We change topic in this week’</w:t>
      </w:r>
      <w:r>
        <w:rPr>
          <w:rFonts w:ascii="Arial" w:eastAsia="Arial" w:hAnsi="Arial" w:cs="Arial"/>
          <w:i/>
          <w:iCs/>
          <w:lang w:val="fr-FR"/>
        </w:rPr>
        <w:t xml:space="preserve">s session </w:t>
      </w:r>
      <w:r>
        <w:rPr>
          <w:rFonts w:ascii="Arial" w:eastAsia="Arial" w:hAnsi="Arial" w:cs="Arial"/>
          <w:i/>
          <w:iCs/>
        </w:rPr>
        <w:t xml:space="preserve">– moving away from tools and techniques to support operational decision-making to take a wider perspective upon decision-making within businesses and </w:t>
      </w:r>
      <w:proofErr w:type="spellStart"/>
      <w:r>
        <w:rPr>
          <w:rFonts w:ascii="Arial" w:eastAsia="Arial" w:hAnsi="Arial" w:cs="Arial"/>
          <w:i/>
          <w:iCs/>
        </w:rPr>
        <w:t>organisations</w:t>
      </w:r>
      <w:proofErr w:type="spellEnd"/>
      <w:r>
        <w:rPr>
          <w:rFonts w:ascii="Arial" w:eastAsia="Arial" w:hAnsi="Arial" w:cs="Arial"/>
          <w:i/>
          <w:iCs/>
        </w:rPr>
        <w:t xml:space="preserve">.  </w:t>
      </w:r>
      <w:r w:rsidR="00641631">
        <w:rPr>
          <w:rFonts w:ascii="Arial" w:eastAsia="Arial" w:hAnsi="Arial" w:cs="Arial"/>
          <w:i/>
          <w:iCs/>
        </w:rPr>
        <w:t xml:space="preserve">There are </w:t>
      </w:r>
      <w:r>
        <w:rPr>
          <w:rFonts w:ascii="Arial" w:eastAsia="Arial" w:hAnsi="Arial" w:cs="Arial"/>
          <w:i/>
          <w:iCs/>
        </w:rPr>
        <w:t xml:space="preserve">a variety of formal procedures (for example, Robert’s Rules versus consensus methods of group decision-making).  Now we turn our attention to management oversight of decision-making processes – more specifically consideration of the obligations upon companies and </w:t>
      </w:r>
      <w:proofErr w:type="spellStart"/>
      <w:r>
        <w:rPr>
          <w:rFonts w:ascii="Arial" w:eastAsia="Arial" w:hAnsi="Arial" w:cs="Arial"/>
          <w:i/>
          <w:iCs/>
        </w:rPr>
        <w:t>organisations</w:t>
      </w:r>
      <w:proofErr w:type="spellEnd"/>
      <w:r>
        <w:rPr>
          <w:rFonts w:ascii="Arial" w:eastAsia="Arial" w:hAnsi="Arial" w:cs="Arial"/>
          <w:i/>
          <w:iCs/>
        </w:rPr>
        <w:t xml:space="preserve"> to exercise due diligence in monitoring and controlling strategic and operational decisions.</w:t>
      </w:r>
    </w:p>
    <w:p w14:paraId="2952DBFE" w14:textId="77777777" w:rsidR="006807E7" w:rsidRDefault="00376421">
      <w:pPr>
        <w:pStyle w:val="Body"/>
        <w:spacing w:before="60" w:after="40"/>
        <w:rPr>
          <w:rFonts w:ascii="Arial" w:eastAsia="Arial" w:hAnsi="Arial" w:cs="Arial"/>
          <w:i/>
          <w:iCs/>
        </w:rPr>
      </w:pPr>
      <w:r>
        <w:rPr>
          <w:rFonts w:ascii="Arial" w:eastAsia="Arial" w:hAnsi="Arial" w:cs="Arial"/>
          <w:i/>
          <w:iCs/>
        </w:rPr>
        <w:t>“</w:t>
      </w:r>
      <w:proofErr w:type="spellStart"/>
      <w:r>
        <w:rPr>
          <w:rFonts w:ascii="Arial" w:eastAsia="Arial" w:hAnsi="Arial" w:cs="Arial"/>
          <w:b/>
          <w:bCs/>
          <w:i/>
          <w:iCs/>
          <w:lang w:val="pt-PT"/>
        </w:rPr>
        <w:t>Governance</w:t>
      </w:r>
      <w:proofErr w:type="spellEnd"/>
      <w:r>
        <w:rPr>
          <w:rFonts w:ascii="Arial" w:eastAsia="Arial" w:hAnsi="Arial" w:cs="Arial"/>
          <w:i/>
          <w:iCs/>
        </w:rPr>
        <w:t xml:space="preserve">”, in this sense, is not just about ensuring that the managerial decisions (be they strategic or operational) are optimal (of most ‘benefit’ to the business), but also that risks of acting upon decisions </w:t>
      </w:r>
      <w:proofErr w:type="gramStart"/>
      <w:r>
        <w:rPr>
          <w:rFonts w:ascii="Arial" w:eastAsia="Arial" w:hAnsi="Arial" w:cs="Arial"/>
          <w:i/>
          <w:iCs/>
        </w:rPr>
        <w:t>which are illegal or unethical</w:t>
      </w:r>
      <w:proofErr w:type="gramEnd"/>
      <w:r>
        <w:rPr>
          <w:rFonts w:ascii="Arial" w:eastAsia="Arial" w:hAnsi="Arial" w:cs="Arial"/>
          <w:i/>
          <w:iCs/>
        </w:rPr>
        <w:t xml:space="preserve"> (thus, potentially, damaging to the business or </w:t>
      </w:r>
      <w:proofErr w:type="spellStart"/>
      <w:r>
        <w:rPr>
          <w:rFonts w:ascii="Arial" w:eastAsia="Arial" w:hAnsi="Arial" w:cs="Arial"/>
          <w:i/>
          <w:iCs/>
        </w:rPr>
        <w:t>organisation</w:t>
      </w:r>
      <w:proofErr w:type="spellEnd"/>
      <w:r>
        <w:rPr>
          <w:rFonts w:ascii="Arial" w:eastAsia="Arial" w:hAnsi="Arial" w:cs="Arial"/>
          <w:i/>
          <w:iCs/>
        </w:rPr>
        <w:t xml:space="preserve">) are </w:t>
      </w:r>
      <w:proofErr w:type="spellStart"/>
      <w:r>
        <w:rPr>
          <w:rFonts w:ascii="Arial" w:eastAsia="Arial" w:hAnsi="Arial" w:cs="Arial"/>
          <w:i/>
          <w:iCs/>
        </w:rPr>
        <w:t>minimised</w:t>
      </w:r>
      <w:proofErr w:type="spellEnd"/>
      <w:r>
        <w:rPr>
          <w:rFonts w:ascii="Arial" w:eastAsia="Arial" w:hAnsi="Arial" w:cs="Arial"/>
          <w:i/>
          <w:iCs/>
        </w:rPr>
        <w:t xml:space="preserve"> by robust control and monitoring of decision-making processes.</w:t>
      </w:r>
    </w:p>
    <w:p w14:paraId="6ACE6089" w14:textId="77777777" w:rsidR="006807E7" w:rsidRDefault="006807E7">
      <w:pPr>
        <w:pStyle w:val="Body"/>
        <w:spacing w:before="60" w:after="40"/>
        <w:rPr>
          <w:rFonts w:ascii="Arial" w:eastAsia="Arial" w:hAnsi="Arial" w:cs="Arial"/>
          <w:i/>
          <w:iCs/>
        </w:rPr>
      </w:pPr>
    </w:p>
    <w:p w14:paraId="0A5A49A1" w14:textId="77777777" w:rsidR="006807E7" w:rsidRDefault="00376421">
      <w:pPr>
        <w:pStyle w:val="Body"/>
        <w:rPr>
          <w:rFonts w:ascii="Arial" w:eastAsia="Arial" w:hAnsi="Arial" w:cs="Arial"/>
          <w:i/>
          <w:iCs/>
        </w:rPr>
      </w:pPr>
      <w:r>
        <w:rPr>
          <w:rFonts w:ascii="Arial" w:eastAsia="Arial" w:hAnsi="Arial" w:cs="Arial"/>
          <w:i/>
          <w:iCs/>
        </w:rPr>
        <w:t xml:space="preserve">“There are no ethics (morals) in business” is a familiar trite saying – and it is certainly </w:t>
      </w:r>
      <w:r>
        <w:rPr>
          <w:rFonts w:ascii="Arial" w:eastAsia="Arial" w:hAnsi="Arial" w:cs="Arial"/>
          <w:b/>
          <w:bCs/>
          <w:i/>
          <w:iCs/>
          <w:lang w:val="da-DK"/>
        </w:rPr>
        <w:t>false</w:t>
      </w:r>
      <w:r>
        <w:rPr>
          <w:rFonts w:ascii="Arial" w:eastAsia="Arial" w:hAnsi="Arial" w:cs="Arial"/>
          <w:i/>
          <w:iCs/>
        </w:rPr>
        <w:t xml:space="preserve">.  Modern businesses - with high-speed online communications and vast amounts of data travelling over computer networks - are acutely aware of the legal and ethical necessity to protect personal information, to maintain control over auditing and monitoring of managers’ decisions and to ensure that regulatory standards and codes of ethical conduct are followed in all areas of decision-making.  The readings and activities for this week are </w:t>
      </w:r>
      <w:proofErr w:type="spellStart"/>
      <w:r>
        <w:rPr>
          <w:rFonts w:ascii="Arial" w:eastAsia="Arial" w:hAnsi="Arial" w:cs="Arial"/>
          <w:i/>
          <w:iCs/>
        </w:rPr>
        <w:t>focussed</w:t>
      </w:r>
      <w:proofErr w:type="spellEnd"/>
      <w:r>
        <w:rPr>
          <w:rFonts w:ascii="Arial" w:eastAsia="Arial" w:hAnsi="Arial" w:cs="Arial"/>
          <w:i/>
          <w:iCs/>
        </w:rPr>
        <w:t xml:space="preserve"> upon this crucial aspect of strategic decision-making — the need for ‘</w:t>
      </w:r>
      <w:r>
        <w:rPr>
          <w:rFonts w:ascii="Arial" w:eastAsia="Arial" w:hAnsi="Arial" w:cs="Arial"/>
          <w:b/>
          <w:bCs/>
          <w:i/>
          <w:iCs/>
        </w:rPr>
        <w:t>governance</w:t>
      </w:r>
      <w:r>
        <w:rPr>
          <w:rFonts w:ascii="Arial" w:eastAsia="Arial" w:hAnsi="Arial" w:cs="Arial"/>
          <w:i/>
          <w:iCs/>
        </w:rPr>
        <w:t>’.</w:t>
      </w:r>
    </w:p>
    <w:p w14:paraId="44C761A8" w14:textId="77777777" w:rsidR="006807E7" w:rsidRDefault="006807E7">
      <w:pPr>
        <w:pStyle w:val="Body"/>
        <w:rPr>
          <w:rFonts w:ascii="Arial" w:eastAsia="Arial" w:hAnsi="Arial" w:cs="Arial"/>
          <w:i/>
          <w:iCs/>
        </w:rPr>
      </w:pPr>
    </w:p>
    <w:p w14:paraId="2FFA3E67" w14:textId="77777777" w:rsidR="006807E7" w:rsidRDefault="00376421">
      <w:pPr>
        <w:pStyle w:val="Body"/>
        <w:spacing w:line="288" w:lineRule="auto"/>
        <w:rPr>
          <w:rFonts w:ascii="Arial" w:eastAsia="Arial" w:hAnsi="Arial" w:cs="Arial"/>
          <w:b/>
          <w:bCs/>
          <w:sz w:val="28"/>
          <w:szCs w:val="28"/>
        </w:rPr>
      </w:pPr>
      <w:r>
        <w:rPr>
          <w:rFonts w:ascii="Arial" w:eastAsia="Arial" w:hAnsi="Arial" w:cs="Arial"/>
          <w:b/>
          <w:bCs/>
          <w:sz w:val="28"/>
          <w:szCs w:val="28"/>
        </w:rPr>
        <w:t xml:space="preserve">Ethics in Business: </w:t>
      </w:r>
    </w:p>
    <w:p w14:paraId="2E38BD20" w14:textId="77777777" w:rsidR="006807E7" w:rsidRDefault="006807E7">
      <w:pPr>
        <w:pStyle w:val="Body"/>
        <w:rPr>
          <w:rFonts w:ascii="Arial" w:eastAsia="Arial" w:hAnsi="Arial" w:cs="Arial"/>
          <w:b/>
          <w:bCs/>
          <w:i/>
          <w:iCs/>
          <w:sz w:val="28"/>
          <w:szCs w:val="28"/>
        </w:rPr>
      </w:pPr>
    </w:p>
    <w:p w14:paraId="51BC47F2" w14:textId="3DFCCF47" w:rsidR="006807E7" w:rsidRDefault="00641631">
      <w:pPr>
        <w:pStyle w:val="Body"/>
        <w:rPr>
          <w:rFonts w:ascii="Arial" w:eastAsia="Arial" w:hAnsi="Arial" w:cs="Arial"/>
        </w:rPr>
      </w:pPr>
      <w:r>
        <w:rPr>
          <w:rFonts w:ascii="Arial"/>
        </w:rPr>
        <w:t>As professional D</w:t>
      </w:r>
      <w:r w:rsidR="00376421">
        <w:rPr>
          <w:rFonts w:ascii="Arial"/>
        </w:rPr>
        <w:t xml:space="preserve">BA students, hoping for a management-level career in a business or an </w:t>
      </w:r>
      <w:proofErr w:type="spellStart"/>
      <w:r w:rsidR="00376421">
        <w:rPr>
          <w:rFonts w:ascii="Arial"/>
        </w:rPr>
        <w:t>organisation</w:t>
      </w:r>
      <w:proofErr w:type="spellEnd"/>
      <w:r w:rsidR="00376421">
        <w:rPr>
          <w:rFonts w:ascii="Arial"/>
        </w:rPr>
        <w:t xml:space="preserve">, I am sure that you pride yourselves upon your lack of bias in decision-making; your objectivity in making decisions which both benefit the business or </w:t>
      </w:r>
      <w:proofErr w:type="spellStart"/>
      <w:r w:rsidR="00376421">
        <w:rPr>
          <w:rFonts w:ascii="Arial"/>
        </w:rPr>
        <w:t>organisation</w:t>
      </w:r>
      <w:proofErr w:type="spellEnd"/>
      <w:r w:rsidR="00376421">
        <w:rPr>
          <w:rFonts w:ascii="Arial"/>
        </w:rPr>
        <w:t xml:space="preserve"> and comply with the highest standards of rational forethought in planning and execution of our decisions.  A little evidence from the first recommended reading for this week</w:t>
      </w:r>
      <w:r w:rsidR="00376421">
        <w:rPr>
          <w:rFonts w:hAnsi="Arial"/>
        </w:rPr>
        <w:t>’</w:t>
      </w:r>
      <w:r w:rsidR="00376421">
        <w:rPr>
          <w:rFonts w:ascii="Arial"/>
        </w:rPr>
        <w:t>s activities suggests some reasons why your pride in professional objectivity may be misplaced:</w:t>
      </w:r>
    </w:p>
    <w:p w14:paraId="3F20E827" w14:textId="77777777" w:rsidR="006807E7" w:rsidRDefault="006807E7">
      <w:pPr>
        <w:pStyle w:val="Body"/>
        <w:rPr>
          <w:rFonts w:ascii="Arial" w:eastAsia="Arial" w:hAnsi="Arial" w:cs="Arial"/>
        </w:rPr>
      </w:pPr>
    </w:p>
    <w:p w14:paraId="6C7706D1" w14:textId="77777777" w:rsidR="006807E7" w:rsidRDefault="00376421">
      <w:pPr>
        <w:pStyle w:val="Body"/>
        <w:ind w:left="785"/>
        <w:rPr>
          <w:rFonts w:ascii="Arial" w:eastAsia="Arial" w:hAnsi="Arial" w:cs="Arial"/>
        </w:rPr>
      </w:pPr>
      <w:r>
        <w:rPr>
          <w:rFonts w:hAnsi="Arial"/>
        </w:rPr>
        <w:t>“</w:t>
      </w:r>
      <w:r>
        <w:rPr>
          <w:rFonts w:ascii="Arial"/>
        </w:rPr>
        <w:t xml:space="preserve">At Harvard, Eugene Caruso, Nick </w:t>
      </w:r>
      <w:proofErr w:type="spellStart"/>
      <w:r>
        <w:rPr>
          <w:rFonts w:ascii="Arial"/>
        </w:rPr>
        <w:t>Epley</w:t>
      </w:r>
      <w:proofErr w:type="spellEnd"/>
      <w:r>
        <w:rPr>
          <w:rFonts w:ascii="Arial"/>
        </w:rPr>
        <w:t xml:space="preserve"> and Max </w:t>
      </w:r>
      <w:proofErr w:type="spellStart"/>
      <w:r>
        <w:rPr>
          <w:rFonts w:ascii="Arial"/>
        </w:rPr>
        <w:t>Bazerman</w:t>
      </w:r>
      <w:proofErr w:type="spellEnd"/>
      <w:r>
        <w:rPr>
          <w:rFonts w:ascii="Arial"/>
        </w:rPr>
        <w:t xml:space="preserve"> recently asked MBA students in study groups [group coursework assignments] to estimate what portion of their group</w:t>
      </w:r>
      <w:r>
        <w:rPr>
          <w:rFonts w:hAnsi="Arial"/>
        </w:rPr>
        <w:t>’</w:t>
      </w:r>
      <w:r>
        <w:rPr>
          <w:rFonts w:ascii="Arial"/>
        </w:rPr>
        <w:t xml:space="preserve">s work each had done.  The sum of the contributions by all members, of course, must add up to 100%.  But the researchers found that the totals for each study group averaged 139%.  In a related study, Caruso and his </w:t>
      </w:r>
      <w:proofErr w:type="gramStart"/>
      <w:r>
        <w:rPr>
          <w:rFonts w:ascii="Arial"/>
        </w:rPr>
        <w:t>colleagues</w:t>
      </w:r>
      <w:proofErr w:type="gramEnd"/>
      <w:r>
        <w:rPr>
          <w:rFonts w:ascii="Arial"/>
        </w:rPr>
        <w:t xml:space="preserve"> uncovered rampant overestimates by academic authors of their contributions to shared research projects.  Sadly, but not surprisingly, the more the sum of the total estimated group-effort exceeded 100% (in other words, the more credit each person claimed), the less the parties wanted to collaborate in the future.</w:t>
      </w:r>
      <w:r>
        <w:rPr>
          <w:rFonts w:hAnsi="Arial"/>
        </w:rPr>
        <w:t>”</w:t>
      </w:r>
      <w:r>
        <w:rPr>
          <w:rFonts w:hAnsi="Arial"/>
        </w:rPr>
        <w:t xml:space="preserve"> </w:t>
      </w:r>
      <w:r>
        <w:rPr>
          <w:rFonts w:ascii="Arial"/>
        </w:rPr>
        <w:t xml:space="preserve">(Harvard Business Review, (2011), </w:t>
      </w:r>
      <w:r>
        <w:rPr>
          <w:rFonts w:ascii="Arial"/>
          <w:i/>
          <w:iCs/>
        </w:rPr>
        <w:t>Making Smart Decisions</w:t>
      </w:r>
      <w:r>
        <w:rPr>
          <w:rFonts w:ascii="Arial"/>
        </w:rPr>
        <w:t>, HBS Publishing, Cambridge, Mass., p. 172).</w:t>
      </w:r>
    </w:p>
    <w:p w14:paraId="2D4D7A49" w14:textId="77777777" w:rsidR="006807E7" w:rsidRDefault="006807E7">
      <w:pPr>
        <w:pStyle w:val="Body"/>
        <w:rPr>
          <w:rFonts w:ascii="Arial" w:eastAsia="Arial" w:hAnsi="Arial" w:cs="Arial"/>
        </w:rPr>
      </w:pPr>
    </w:p>
    <w:p w14:paraId="10590DD3" w14:textId="51245BF3" w:rsidR="006807E7" w:rsidRDefault="00376421">
      <w:pPr>
        <w:pStyle w:val="Body"/>
        <w:rPr>
          <w:rFonts w:ascii="Arial" w:eastAsia="Arial" w:hAnsi="Arial" w:cs="Arial"/>
        </w:rPr>
      </w:pPr>
      <w:r>
        <w:rPr>
          <w:rFonts w:ascii="Arial"/>
        </w:rPr>
        <w:t xml:space="preserve">The quotation highlights one form of </w:t>
      </w:r>
      <w:r>
        <w:rPr>
          <w:rFonts w:hAnsi="Arial"/>
        </w:rPr>
        <w:t>‘</w:t>
      </w:r>
      <w:r>
        <w:rPr>
          <w:rFonts w:ascii="Arial"/>
        </w:rPr>
        <w:t>bias</w:t>
      </w:r>
      <w:r>
        <w:rPr>
          <w:rFonts w:hAnsi="Arial"/>
        </w:rPr>
        <w:t>’</w:t>
      </w:r>
      <w:r>
        <w:rPr>
          <w:rFonts w:hAnsi="Arial"/>
        </w:rPr>
        <w:t xml:space="preserve"> </w:t>
      </w:r>
      <w:r>
        <w:rPr>
          <w:rFonts w:ascii="Arial"/>
        </w:rPr>
        <w:t xml:space="preserve">which may undermine the rationality (and morality) of decision-making: - a phenomenon known as </w:t>
      </w:r>
      <w:r>
        <w:rPr>
          <w:rFonts w:hAnsi="Arial"/>
        </w:rPr>
        <w:t>“</w:t>
      </w:r>
      <w:r>
        <w:rPr>
          <w:rFonts w:ascii="Arial"/>
        </w:rPr>
        <w:t>over claiming Credit</w:t>
      </w:r>
      <w:r>
        <w:rPr>
          <w:rFonts w:hAnsi="Arial"/>
        </w:rPr>
        <w:t>”</w:t>
      </w:r>
      <w:r>
        <w:rPr>
          <w:rFonts w:ascii="Arial"/>
        </w:rPr>
        <w:t xml:space="preserve">, </w:t>
      </w:r>
      <w:proofErr w:type="spellStart"/>
      <w:r>
        <w:rPr>
          <w:rFonts w:ascii="Arial"/>
        </w:rPr>
        <w:t>favouring</w:t>
      </w:r>
      <w:proofErr w:type="spellEnd"/>
      <w:r>
        <w:rPr>
          <w:rFonts w:ascii="Arial"/>
        </w:rPr>
        <w:t xml:space="preserve"> decisions which appear to bring most credit upon oneself.  Over claiming credit for work done is only one of a list of forms of </w:t>
      </w:r>
      <w:proofErr w:type="gramStart"/>
      <w:r>
        <w:rPr>
          <w:rFonts w:ascii="Arial"/>
        </w:rPr>
        <w:t>bias which</w:t>
      </w:r>
      <w:proofErr w:type="gramEnd"/>
      <w:r>
        <w:rPr>
          <w:rFonts w:ascii="Arial"/>
        </w:rPr>
        <w:t xml:space="preserve"> may (consciously or </w:t>
      </w:r>
      <w:r>
        <w:rPr>
          <w:rFonts w:ascii="Arial"/>
        </w:rPr>
        <w:lastRenderedPageBreak/>
        <w:t xml:space="preserve">unconsciously) introduce bias, and unethical standards into a decision-making process.  Each of the following sources of unethical bias are discussed in greater detail in the reading which forms the first Activity for this </w:t>
      </w:r>
      <w:r w:rsidR="00641631">
        <w:rPr>
          <w:rFonts w:ascii="Arial"/>
        </w:rPr>
        <w:t>session</w:t>
      </w:r>
      <w:r w:rsidR="00641631">
        <w:rPr>
          <w:rFonts w:ascii="Arial"/>
        </w:rPr>
        <w:t>’</w:t>
      </w:r>
      <w:r w:rsidR="00641631">
        <w:rPr>
          <w:rFonts w:ascii="Arial"/>
        </w:rPr>
        <w:t>s</w:t>
      </w:r>
      <w:r>
        <w:rPr>
          <w:rFonts w:ascii="Arial"/>
        </w:rPr>
        <w:t xml:space="preserve"> study (Harvard Business Review, (2011), ibid.):</w:t>
      </w:r>
    </w:p>
    <w:p w14:paraId="4374202F" w14:textId="77777777" w:rsidR="006807E7" w:rsidRDefault="006807E7">
      <w:pPr>
        <w:pStyle w:val="Body"/>
      </w:pPr>
    </w:p>
    <w:tbl>
      <w:tblPr>
        <w:tblW w:w="9169" w:type="dxa"/>
        <w:tblInd w:w="108" w:type="dxa"/>
        <w:tblBorders>
          <w:top w:val="single" w:sz="2" w:space="0" w:color="000000"/>
          <w:left w:val="single" w:sz="2" w:space="0" w:color="000000"/>
          <w:bottom w:val="single" w:sz="2" w:space="0" w:color="000000"/>
          <w:right w:val="single" w:sz="2" w:space="0" w:color="000000"/>
          <w:insideH w:val="single" w:sz="8" w:space="0" w:color="000000"/>
          <w:insideV w:val="single" w:sz="2" w:space="0" w:color="000000"/>
        </w:tblBorders>
        <w:shd w:val="clear" w:color="auto" w:fill="BDC0BF"/>
        <w:tblLayout w:type="fixed"/>
        <w:tblLook w:val="04A0" w:firstRow="1" w:lastRow="0" w:firstColumn="1" w:lastColumn="0" w:noHBand="0" w:noVBand="1"/>
      </w:tblPr>
      <w:tblGrid>
        <w:gridCol w:w="2013"/>
        <w:gridCol w:w="4042"/>
        <w:gridCol w:w="3114"/>
      </w:tblGrid>
      <w:tr w:rsidR="006807E7" w14:paraId="35B81267" w14:textId="77777777" w:rsidTr="00A65F59">
        <w:trPr>
          <w:trHeight w:val="280"/>
          <w:tblHeader/>
        </w:trPr>
        <w:tc>
          <w:tcPr>
            <w:tcW w:w="2013" w:type="dxa"/>
            <w:tcBorders>
              <w:top w:val="single" w:sz="8" w:space="0" w:color="000000"/>
              <w:left w:val="single" w:sz="8" w:space="0" w:color="000000"/>
              <w:bottom w:val="single" w:sz="4" w:space="0" w:color="000000"/>
              <w:right w:val="single" w:sz="2" w:space="0" w:color="000000"/>
            </w:tcBorders>
            <w:shd w:val="clear" w:color="auto" w:fill="BDC0BF"/>
            <w:tcMar>
              <w:top w:w="80" w:type="dxa"/>
              <w:left w:w="80" w:type="dxa"/>
              <w:bottom w:w="80" w:type="dxa"/>
              <w:right w:w="80" w:type="dxa"/>
            </w:tcMar>
          </w:tcPr>
          <w:p w14:paraId="59037E51" w14:textId="77777777" w:rsidR="006807E7" w:rsidRDefault="00376421">
            <w:pPr>
              <w:pStyle w:val="TableStyle1"/>
            </w:pPr>
            <w:r>
              <w:t>Form of Bias</w:t>
            </w:r>
          </w:p>
        </w:tc>
        <w:tc>
          <w:tcPr>
            <w:tcW w:w="4042" w:type="dxa"/>
            <w:tcBorders>
              <w:top w:val="single" w:sz="8"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tcPr>
          <w:p w14:paraId="7611E20F" w14:textId="77777777" w:rsidR="006807E7" w:rsidRDefault="00376421">
            <w:pPr>
              <w:pStyle w:val="TableStyle1"/>
            </w:pPr>
            <w:r>
              <w:t>Description</w:t>
            </w:r>
          </w:p>
        </w:tc>
        <w:tc>
          <w:tcPr>
            <w:tcW w:w="3114" w:type="dxa"/>
            <w:tcBorders>
              <w:top w:val="single" w:sz="8" w:space="0" w:color="000000"/>
              <w:left w:val="single" w:sz="2" w:space="0" w:color="000000"/>
              <w:bottom w:val="single" w:sz="4" w:space="0" w:color="000000"/>
              <w:right w:val="single" w:sz="8" w:space="0" w:color="000000"/>
            </w:tcBorders>
            <w:shd w:val="clear" w:color="auto" w:fill="BDC0BF"/>
            <w:tcMar>
              <w:top w:w="80" w:type="dxa"/>
              <w:left w:w="80" w:type="dxa"/>
              <w:bottom w:w="80" w:type="dxa"/>
              <w:right w:w="80" w:type="dxa"/>
            </w:tcMar>
          </w:tcPr>
          <w:p w14:paraId="271A4439" w14:textId="77777777" w:rsidR="006807E7" w:rsidRDefault="00376421">
            <w:pPr>
              <w:pStyle w:val="TableStyle1"/>
            </w:pPr>
            <w:r>
              <w:t>Example</w:t>
            </w:r>
          </w:p>
        </w:tc>
      </w:tr>
      <w:tr w:rsidR="006807E7" w14:paraId="657E909B" w14:textId="77777777" w:rsidTr="00A65F59">
        <w:tblPrEx>
          <w:shd w:val="clear" w:color="auto" w:fill="auto"/>
        </w:tblPrEx>
        <w:trPr>
          <w:trHeight w:val="280"/>
        </w:trPr>
        <w:tc>
          <w:tcPr>
            <w:tcW w:w="2013" w:type="dxa"/>
            <w:tcBorders>
              <w:top w:val="single" w:sz="4" w:space="0" w:color="000000"/>
              <w:left w:val="single" w:sz="8" w:space="0" w:color="000000"/>
              <w:bottom w:val="single" w:sz="2" w:space="0" w:color="000000"/>
              <w:right w:val="single" w:sz="2" w:space="0" w:color="000000"/>
            </w:tcBorders>
            <w:shd w:val="clear" w:color="auto" w:fill="auto"/>
            <w:tcMar>
              <w:top w:w="80" w:type="dxa"/>
              <w:left w:w="80" w:type="dxa"/>
              <w:bottom w:w="80" w:type="dxa"/>
              <w:right w:w="80" w:type="dxa"/>
            </w:tcMar>
          </w:tcPr>
          <w:p w14:paraId="71A6CF22" w14:textId="77777777" w:rsidR="006807E7" w:rsidRDefault="00376421">
            <w:pPr>
              <w:pStyle w:val="TableStyle2"/>
            </w:pPr>
            <w:r>
              <w:rPr>
                <w:sz w:val="24"/>
                <w:szCs w:val="24"/>
              </w:rPr>
              <w:t>Implicit Prejudice</w:t>
            </w:r>
          </w:p>
        </w:tc>
        <w:tc>
          <w:tcPr>
            <w:tcW w:w="4042"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76543C3" w14:textId="77777777" w:rsidR="006807E7" w:rsidRDefault="00376421">
            <w:pPr>
              <w:pStyle w:val="TableStyle2"/>
            </w:pPr>
            <w:r>
              <w:t>Bias that emerges from unconscious beliefs or associations.</w:t>
            </w:r>
            <w:r>
              <w:tab/>
            </w:r>
          </w:p>
        </w:tc>
        <w:tc>
          <w:tcPr>
            <w:tcW w:w="3114" w:type="dxa"/>
            <w:tcBorders>
              <w:top w:val="single" w:sz="4" w:space="0" w:color="000000"/>
              <w:left w:val="single" w:sz="2" w:space="0" w:color="000000"/>
              <w:bottom w:val="single" w:sz="2" w:space="0" w:color="000000"/>
              <w:right w:val="single" w:sz="8" w:space="0" w:color="000000"/>
            </w:tcBorders>
            <w:shd w:val="clear" w:color="auto" w:fill="auto"/>
            <w:tcMar>
              <w:top w:w="80" w:type="dxa"/>
              <w:left w:w="80" w:type="dxa"/>
              <w:bottom w:w="80" w:type="dxa"/>
              <w:right w:w="80" w:type="dxa"/>
            </w:tcMar>
          </w:tcPr>
          <w:p w14:paraId="72E565C8" w14:textId="77777777" w:rsidR="006807E7" w:rsidRDefault="00376421">
            <w:pPr>
              <w:pStyle w:val="TableStyle2"/>
            </w:pPr>
            <w:r>
              <w:t xml:space="preserve">Early in our childhood learning, we associate together attributes that commonly go together and expect them to go together invariably.  For example, having grey hair is associated with being old - but </w:t>
            </w:r>
            <w:proofErr w:type="gramStart"/>
            <w:r>
              <w:t>young people having greying hair is</w:t>
            </w:r>
            <w:proofErr w:type="gramEnd"/>
            <w:r>
              <w:t xml:space="preserve"> not unusual.  Most obviously, </w:t>
            </w:r>
            <w:proofErr w:type="gramStart"/>
            <w:r>
              <w:t>negative associations of Afro-Caribbean ethnicity with criminality is</w:t>
            </w:r>
            <w:proofErr w:type="gramEnd"/>
            <w:r>
              <w:t xml:space="preserve"> a most basic form of implicit racial prejudice.</w:t>
            </w:r>
          </w:p>
        </w:tc>
      </w:tr>
      <w:tr w:rsidR="006807E7" w14:paraId="09719C5D" w14:textId="77777777" w:rsidTr="00A65F59">
        <w:tblPrEx>
          <w:shd w:val="clear" w:color="auto" w:fill="auto"/>
        </w:tblPrEx>
        <w:trPr>
          <w:trHeight w:val="280"/>
        </w:trPr>
        <w:tc>
          <w:tcPr>
            <w:tcW w:w="2013" w:type="dxa"/>
            <w:tcBorders>
              <w:top w:val="single" w:sz="2" w:space="0" w:color="000000"/>
              <w:left w:val="single" w:sz="8" w:space="0" w:color="000000"/>
              <w:bottom w:val="single" w:sz="2" w:space="0" w:color="000000"/>
              <w:right w:val="single" w:sz="2" w:space="0" w:color="000000"/>
            </w:tcBorders>
            <w:shd w:val="clear" w:color="auto" w:fill="EEEEEE"/>
            <w:tcMar>
              <w:top w:w="80" w:type="dxa"/>
              <w:left w:w="80" w:type="dxa"/>
              <w:bottom w:w="80" w:type="dxa"/>
              <w:right w:w="80" w:type="dxa"/>
            </w:tcMar>
          </w:tcPr>
          <w:p w14:paraId="437E7A54" w14:textId="77777777" w:rsidR="006807E7" w:rsidRDefault="00376421">
            <w:pPr>
              <w:pStyle w:val="TableStyle2"/>
            </w:pPr>
            <w:r>
              <w:rPr>
                <w:sz w:val="24"/>
                <w:szCs w:val="24"/>
              </w:rPr>
              <w:t>In-group Favouritism</w:t>
            </w:r>
          </w:p>
        </w:tc>
        <w:tc>
          <w:tcPr>
            <w:tcW w:w="4042" w:type="dxa"/>
            <w:tcBorders>
              <w:top w:val="single" w:sz="2" w:space="0" w:color="000000"/>
              <w:left w:val="single" w:sz="2" w:space="0" w:color="000000"/>
              <w:bottom w:val="single" w:sz="2" w:space="0" w:color="000000"/>
              <w:right w:val="single" w:sz="2" w:space="0" w:color="000000"/>
            </w:tcBorders>
            <w:shd w:val="clear" w:color="auto" w:fill="EEEEEE"/>
            <w:tcMar>
              <w:top w:w="80" w:type="dxa"/>
              <w:left w:w="80" w:type="dxa"/>
              <w:bottom w:w="80" w:type="dxa"/>
              <w:right w:w="80" w:type="dxa"/>
            </w:tcMar>
          </w:tcPr>
          <w:p w14:paraId="6627B132" w14:textId="77777777" w:rsidR="006807E7" w:rsidRDefault="00376421">
            <w:pPr>
              <w:pStyle w:val="TableStyle2"/>
            </w:pPr>
            <w:proofErr w:type="gramStart"/>
            <w:r>
              <w:t>Bias which</w:t>
            </w:r>
            <w:proofErr w:type="gramEnd"/>
            <w:r>
              <w:t xml:space="preserve"> favours members of your own immediate peer group or those closest to you.</w:t>
            </w:r>
          </w:p>
        </w:tc>
        <w:tc>
          <w:tcPr>
            <w:tcW w:w="3114" w:type="dxa"/>
            <w:tcBorders>
              <w:top w:val="single" w:sz="2" w:space="0" w:color="000000"/>
              <w:left w:val="single" w:sz="2" w:space="0" w:color="000000"/>
              <w:bottom w:val="single" w:sz="2" w:space="0" w:color="000000"/>
              <w:right w:val="single" w:sz="8" w:space="0" w:color="000000"/>
            </w:tcBorders>
            <w:shd w:val="clear" w:color="auto" w:fill="EEEEEE"/>
            <w:tcMar>
              <w:top w:w="80" w:type="dxa"/>
              <w:left w:w="80" w:type="dxa"/>
              <w:bottom w:w="80" w:type="dxa"/>
              <w:right w:w="80" w:type="dxa"/>
            </w:tcMar>
          </w:tcPr>
          <w:p w14:paraId="1BC5AC59" w14:textId="77777777" w:rsidR="006807E7" w:rsidRDefault="00376421">
            <w:pPr>
              <w:pStyle w:val="TableStyle2"/>
            </w:pPr>
            <w:r>
              <w:t>Few people set out to discriminate by acts of kindness towards friends, associates, working colleagues. But when those in the majority or in positions of power allocate scarce resources (promotions, bonuses) to people more like them than others, then, effectively, they discriminate against those different from them.  Legally, of course, deciding in favour of those more like you is (in the UK) already an offence under the Race Relations Act (or the DDA (2005) or SDA (1975) or Equality Act (2010)).</w:t>
            </w:r>
          </w:p>
        </w:tc>
      </w:tr>
      <w:tr w:rsidR="006807E7" w14:paraId="57560FC3" w14:textId="77777777" w:rsidTr="00A65F59">
        <w:tblPrEx>
          <w:shd w:val="clear" w:color="auto" w:fill="auto"/>
        </w:tblPrEx>
        <w:trPr>
          <w:trHeight w:val="280"/>
        </w:trPr>
        <w:tc>
          <w:tcPr>
            <w:tcW w:w="2013" w:type="dxa"/>
            <w:tcBorders>
              <w:top w:val="single" w:sz="2" w:space="0" w:color="000000"/>
              <w:left w:val="single" w:sz="8" w:space="0" w:color="000000"/>
              <w:bottom w:val="single" w:sz="2" w:space="0" w:color="000000"/>
              <w:right w:val="single" w:sz="2" w:space="0" w:color="000000"/>
            </w:tcBorders>
            <w:shd w:val="clear" w:color="auto" w:fill="auto"/>
            <w:tcMar>
              <w:top w:w="80" w:type="dxa"/>
              <w:left w:w="80" w:type="dxa"/>
              <w:bottom w:w="80" w:type="dxa"/>
              <w:right w:w="80" w:type="dxa"/>
            </w:tcMar>
          </w:tcPr>
          <w:p w14:paraId="668860F1" w14:textId="77777777" w:rsidR="006807E7" w:rsidRDefault="00376421">
            <w:pPr>
              <w:pStyle w:val="TableStyle2"/>
            </w:pPr>
            <w:r>
              <w:rPr>
                <w:sz w:val="24"/>
                <w:szCs w:val="24"/>
              </w:rPr>
              <w:t>Over claiming Credit (see above)</w:t>
            </w:r>
          </w:p>
        </w:tc>
        <w:tc>
          <w:tcPr>
            <w:tcW w:w="40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8FBF07E" w14:textId="77777777" w:rsidR="006807E7" w:rsidRDefault="00376421">
            <w:pPr>
              <w:pStyle w:val="TableStyle2"/>
            </w:pPr>
            <w:r>
              <w:t>Bias that favours your own self-interest at the expense of others through over-estimation of one’s own achievements.</w:t>
            </w:r>
          </w:p>
        </w:tc>
        <w:tc>
          <w:tcPr>
            <w:tcW w:w="3114" w:type="dxa"/>
            <w:tcBorders>
              <w:top w:val="single" w:sz="2" w:space="0" w:color="000000"/>
              <w:left w:val="single" w:sz="2" w:space="0" w:color="000000"/>
              <w:bottom w:val="single" w:sz="2" w:space="0" w:color="000000"/>
              <w:right w:val="single" w:sz="8" w:space="0" w:color="000000"/>
            </w:tcBorders>
            <w:shd w:val="clear" w:color="auto" w:fill="auto"/>
            <w:tcMar>
              <w:top w:w="80" w:type="dxa"/>
              <w:left w:w="80" w:type="dxa"/>
              <w:bottom w:w="80" w:type="dxa"/>
              <w:right w:w="80" w:type="dxa"/>
            </w:tcMar>
          </w:tcPr>
          <w:p w14:paraId="1445DDAE" w14:textId="77777777" w:rsidR="006807E7" w:rsidRDefault="00376421">
            <w:pPr>
              <w:pStyle w:val="TableStyle2"/>
            </w:pPr>
            <w:r>
              <w:t xml:space="preserve">In business, claiming too much credit can destabilise business partnerships.  When each party in a strategic alliance claims too much credit for </w:t>
            </w:r>
            <w:proofErr w:type="gramStart"/>
            <w:r>
              <w:t>their</w:t>
            </w:r>
            <w:proofErr w:type="gramEnd"/>
            <w:r>
              <w:t xml:space="preserve"> own contributions (and, reciprocally, are sceptical about the others’ contributions) both sides may reduce their contribution to the partnership in order to compensate — resulting in a net loss of effectiveness.</w:t>
            </w:r>
          </w:p>
        </w:tc>
      </w:tr>
    </w:tbl>
    <w:p w14:paraId="1BA7847C" w14:textId="77777777" w:rsidR="00A65F59" w:rsidRDefault="00A65F59">
      <w:r>
        <w:br w:type="page"/>
      </w:r>
    </w:p>
    <w:tbl>
      <w:tblPr>
        <w:tblW w:w="9169" w:type="dxa"/>
        <w:tblInd w:w="108" w:type="dxa"/>
        <w:tblBorders>
          <w:top w:val="single" w:sz="2" w:space="0" w:color="000000"/>
          <w:left w:val="single" w:sz="2" w:space="0" w:color="000000"/>
          <w:bottom w:val="single" w:sz="2" w:space="0" w:color="000000"/>
          <w:right w:val="single" w:sz="2" w:space="0" w:color="000000"/>
          <w:insideH w:val="single" w:sz="8" w:space="0" w:color="000000"/>
          <w:insideV w:val="single" w:sz="2" w:space="0" w:color="000000"/>
        </w:tblBorders>
        <w:tblLayout w:type="fixed"/>
        <w:tblLook w:val="04A0" w:firstRow="1" w:lastRow="0" w:firstColumn="1" w:lastColumn="0" w:noHBand="0" w:noVBand="1"/>
      </w:tblPr>
      <w:tblGrid>
        <w:gridCol w:w="2013"/>
        <w:gridCol w:w="4042"/>
        <w:gridCol w:w="3114"/>
      </w:tblGrid>
      <w:tr w:rsidR="006807E7" w14:paraId="0D93FDDA" w14:textId="77777777" w:rsidTr="00A65F59">
        <w:trPr>
          <w:trHeight w:val="280"/>
        </w:trPr>
        <w:tc>
          <w:tcPr>
            <w:tcW w:w="2013" w:type="dxa"/>
            <w:tcBorders>
              <w:top w:val="single" w:sz="2" w:space="0" w:color="000000"/>
              <w:left w:val="single" w:sz="8" w:space="0" w:color="000000"/>
              <w:bottom w:val="single" w:sz="8" w:space="0" w:color="000000"/>
              <w:right w:val="single" w:sz="2" w:space="0" w:color="000000"/>
            </w:tcBorders>
            <w:shd w:val="clear" w:color="auto" w:fill="EEEEEE"/>
            <w:tcMar>
              <w:top w:w="80" w:type="dxa"/>
              <w:left w:w="80" w:type="dxa"/>
              <w:bottom w:w="80" w:type="dxa"/>
              <w:right w:w="80" w:type="dxa"/>
            </w:tcMar>
          </w:tcPr>
          <w:p w14:paraId="049237F5" w14:textId="77777777" w:rsidR="006807E7" w:rsidRDefault="00376421">
            <w:pPr>
              <w:pStyle w:val="TableStyle2"/>
            </w:pPr>
            <w:r>
              <w:rPr>
                <w:sz w:val="24"/>
                <w:szCs w:val="24"/>
              </w:rPr>
              <w:lastRenderedPageBreak/>
              <w:t>Conflict of Interest</w:t>
            </w:r>
          </w:p>
        </w:tc>
        <w:tc>
          <w:tcPr>
            <w:tcW w:w="4042" w:type="dxa"/>
            <w:tcBorders>
              <w:top w:val="single" w:sz="2" w:space="0" w:color="000000"/>
              <w:left w:val="single" w:sz="2" w:space="0" w:color="000000"/>
              <w:bottom w:val="single" w:sz="8" w:space="0" w:color="000000"/>
              <w:right w:val="single" w:sz="2" w:space="0" w:color="000000"/>
            </w:tcBorders>
            <w:shd w:val="clear" w:color="auto" w:fill="EEEEEE"/>
            <w:tcMar>
              <w:top w:w="80" w:type="dxa"/>
              <w:left w:w="80" w:type="dxa"/>
              <w:bottom w:w="80" w:type="dxa"/>
              <w:right w:w="80" w:type="dxa"/>
            </w:tcMar>
          </w:tcPr>
          <w:p w14:paraId="78795A3D" w14:textId="77777777" w:rsidR="006807E7" w:rsidRDefault="00376421">
            <w:pPr>
              <w:pStyle w:val="TableStyle2"/>
            </w:pPr>
            <w:r>
              <w:t>Bias that favours those who can be of most benefit to you,</w:t>
            </w:r>
          </w:p>
        </w:tc>
        <w:tc>
          <w:tcPr>
            <w:tcW w:w="3114" w:type="dxa"/>
            <w:tcBorders>
              <w:top w:val="single" w:sz="2" w:space="0" w:color="000000"/>
              <w:left w:val="single" w:sz="2" w:space="0" w:color="000000"/>
              <w:bottom w:val="single" w:sz="8" w:space="0" w:color="000000"/>
              <w:right w:val="single" w:sz="8" w:space="0" w:color="000000"/>
            </w:tcBorders>
            <w:shd w:val="clear" w:color="auto" w:fill="EEEEEE"/>
            <w:tcMar>
              <w:top w:w="80" w:type="dxa"/>
              <w:left w:w="80" w:type="dxa"/>
              <w:bottom w:w="80" w:type="dxa"/>
              <w:right w:w="80" w:type="dxa"/>
            </w:tcMar>
          </w:tcPr>
          <w:p w14:paraId="6287C4C1" w14:textId="77777777" w:rsidR="006807E7" w:rsidRDefault="00376421">
            <w:pPr>
              <w:pStyle w:val="TableStyle2"/>
            </w:pPr>
            <w:r>
              <w:t xml:space="preserve">Robert’s Rules for meetings involving group decision-making (see Week 2) explicitly require participants to declare interests in </w:t>
            </w:r>
            <w:proofErr w:type="gramStart"/>
            <w:r>
              <w:t>outcomes which</w:t>
            </w:r>
            <w:proofErr w:type="gramEnd"/>
            <w:r>
              <w:t xml:space="preserve"> may benefit themselves. </w:t>
            </w:r>
            <w:r>
              <w:br/>
            </w:r>
            <w:r>
              <w:br/>
              <w:t xml:space="preserve">Research undertaken on (US stock market) brokerage houses revealed that, during the 2000 crash during which the </w:t>
            </w:r>
            <w:proofErr w:type="spellStart"/>
            <w:r>
              <w:t>Nasdaq</w:t>
            </w:r>
            <w:proofErr w:type="spellEnd"/>
            <w:r>
              <w:t xml:space="preserve"> exchange fell 60% in value, 99% of brokerage analysts’ recommendations to clients were to “Strongly buy”, “Buy” or “Hold” stock.  </w:t>
            </w:r>
            <w:r>
              <w:br/>
            </w:r>
            <w:r>
              <w:br/>
              <w:t>Typically a proportion of analysts’ pay or bonuses was tied to the volume of business (‘buying’) each analyst contributed to brokerage revenues for the firm - giving analysts a vested interest in prolonging their relationships with clients, rather than recommending sales of stock.</w:t>
            </w:r>
            <w:r>
              <w:br/>
            </w:r>
            <w:r>
              <w:br/>
              <w:t>[No-one is suggesting the brokerage analysts were necessarily corrupt or conspiratorial; they simply had a conflict of interest between their clients’ needs and the needs of their firm].</w:t>
            </w:r>
          </w:p>
        </w:tc>
      </w:tr>
    </w:tbl>
    <w:p w14:paraId="017E5097" w14:textId="77777777" w:rsidR="006807E7" w:rsidRDefault="006807E7">
      <w:pPr>
        <w:pStyle w:val="Body"/>
      </w:pPr>
    </w:p>
    <w:p w14:paraId="65E673C4" w14:textId="40C8F50A" w:rsidR="006807E7" w:rsidRDefault="00376421">
      <w:pPr>
        <w:pStyle w:val="Body"/>
        <w:rPr>
          <w:rFonts w:ascii="Arial" w:eastAsia="Arial" w:hAnsi="Arial" w:cs="Arial"/>
        </w:rPr>
      </w:pPr>
      <w:r>
        <w:rPr>
          <w:rFonts w:ascii="Arial" w:eastAsia="Arial" w:hAnsi="Arial" w:cs="Arial"/>
        </w:rPr>
        <w:t xml:space="preserve">Each of the forms of bias listed above demonstrate the need for governance of decision-making processes - at all levels of management - to eliminate prejudice and bias which, ultimately, may be detrimental to a business or </w:t>
      </w:r>
      <w:proofErr w:type="spellStart"/>
      <w:r>
        <w:rPr>
          <w:rFonts w:ascii="Arial" w:eastAsia="Arial" w:hAnsi="Arial" w:cs="Arial"/>
        </w:rPr>
        <w:t>organisation</w:t>
      </w:r>
      <w:proofErr w:type="spellEnd"/>
      <w:r>
        <w:rPr>
          <w:rFonts w:ascii="Arial" w:eastAsia="Arial" w:hAnsi="Arial" w:cs="Arial"/>
        </w:rPr>
        <w:t xml:space="preserve">.  The first Activity for this </w:t>
      </w:r>
      <w:r w:rsidR="00641631">
        <w:rPr>
          <w:rFonts w:ascii="Arial" w:eastAsia="Arial" w:hAnsi="Arial" w:cs="Arial"/>
        </w:rPr>
        <w:t>session</w:t>
      </w:r>
      <w:r>
        <w:rPr>
          <w:rFonts w:ascii="Arial" w:eastAsia="Arial" w:hAnsi="Arial" w:cs="Arial"/>
        </w:rPr>
        <w:t xml:space="preserve"> is to work carefully through the reading from Harvard Business review entitled “How (</w:t>
      </w:r>
      <w:proofErr w:type="gramStart"/>
      <w:r>
        <w:rPr>
          <w:rFonts w:ascii="Arial" w:eastAsia="Arial" w:hAnsi="Arial" w:cs="Arial"/>
        </w:rPr>
        <w:t>Un)ethical</w:t>
      </w:r>
      <w:proofErr w:type="gramEnd"/>
      <w:r>
        <w:rPr>
          <w:rFonts w:ascii="Arial" w:eastAsia="Arial" w:hAnsi="Arial" w:cs="Arial"/>
        </w:rPr>
        <w:t xml:space="preserve"> Are You?” (</w:t>
      </w:r>
      <w:proofErr w:type="gramStart"/>
      <w:r>
        <w:rPr>
          <w:rFonts w:ascii="Arial" w:eastAsia="Arial" w:hAnsi="Arial" w:cs="Arial"/>
        </w:rPr>
        <w:t>ibid</w:t>
      </w:r>
      <w:proofErr w:type="gramEnd"/>
      <w:r>
        <w:rPr>
          <w:rFonts w:ascii="Arial" w:eastAsia="Arial" w:hAnsi="Arial" w:cs="Arial"/>
        </w:rPr>
        <w:t xml:space="preserve">.), secondly to consider examples and cases from your own experience and work contexts where such examples of bias in decision-making may arise, finally to consider how effective governance and auditing processes are in </w:t>
      </w:r>
      <w:proofErr w:type="spellStart"/>
      <w:r>
        <w:rPr>
          <w:rFonts w:ascii="Arial" w:eastAsia="Arial" w:hAnsi="Arial" w:cs="Arial"/>
        </w:rPr>
        <w:t>minimising</w:t>
      </w:r>
      <w:proofErr w:type="spellEnd"/>
      <w:r>
        <w:rPr>
          <w:rFonts w:ascii="Arial" w:eastAsia="Arial" w:hAnsi="Arial" w:cs="Arial"/>
        </w:rPr>
        <w:t xml:space="preserve"> the risks associated with biased decision-making.</w:t>
      </w:r>
    </w:p>
    <w:p w14:paraId="54F407E9" w14:textId="77777777" w:rsidR="006807E7" w:rsidRDefault="00376421">
      <w:pPr>
        <w:pStyle w:val="Body"/>
      </w:pPr>
      <w:r>
        <w:rPr>
          <w:rFonts w:ascii="Arial" w:eastAsia="Arial" w:hAnsi="Arial" w:cs="Arial"/>
        </w:rPr>
        <w:br w:type="page"/>
      </w:r>
    </w:p>
    <w:p w14:paraId="30E0558E" w14:textId="17FAD133" w:rsidR="006807E7" w:rsidRDefault="00641631">
      <w:pPr>
        <w:pStyle w:val="Body"/>
        <w:pBdr>
          <w:top w:val="single" w:sz="4" w:space="0" w:color="000000"/>
          <w:left w:val="single" w:sz="4" w:space="0" w:color="000000"/>
          <w:bottom w:val="single" w:sz="4" w:space="0" w:color="000000"/>
          <w:right w:val="single" w:sz="4" w:space="0" w:color="000000"/>
        </w:pBdr>
        <w:jc w:val="both"/>
        <w:rPr>
          <w:rFonts w:ascii="Arial" w:eastAsia="Arial" w:hAnsi="Arial" w:cs="Arial"/>
          <w:b/>
          <w:bCs/>
        </w:rPr>
      </w:pPr>
      <w:r>
        <w:rPr>
          <w:rFonts w:ascii="Arial" w:eastAsia="Arial" w:hAnsi="Arial" w:cs="Arial"/>
          <w:b/>
          <w:bCs/>
        </w:rPr>
        <w:lastRenderedPageBreak/>
        <w:t>Activity 1</w:t>
      </w:r>
      <w:r w:rsidR="00376421">
        <w:rPr>
          <w:rFonts w:ascii="Arial" w:eastAsia="Arial" w:hAnsi="Arial" w:cs="Arial"/>
          <w:b/>
          <w:bCs/>
        </w:rPr>
        <w:t>:</w:t>
      </w:r>
    </w:p>
    <w:p w14:paraId="293EEF3F" w14:textId="45B1C321" w:rsidR="006807E7" w:rsidRDefault="00040999">
      <w:pPr>
        <w:pStyle w:val="Body"/>
        <w:rPr>
          <w:rFonts w:ascii="Arial" w:eastAsia="Arial" w:hAnsi="Arial" w:cs="Arial"/>
          <w:b/>
          <w:bCs/>
          <w:sz w:val="22"/>
          <w:szCs w:val="22"/>
        </w:rPr>
      </w:pPr>
      <w:r>
        <w:rPr>
          <w:rFonts w:ascii="Arial" w:eastAsia="Arial" w:hAnsi="Arial" w:cs="Arial"/>
          <w:b/>
          <w:bCs/>
          <w:sz w:val="22"/>
          <w:szCs w:val="22"/>
        </w:rPr>
        <w:t xml:space="preserve"> </w:t>
      </w:r>
    </w:p>
    <w:tbl>
      <w:tblPr>
        <w:tblW w:w="934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611"/>
        <w:gridCol w:w="6737"/>
      </w:tblGrid>
      <w:tr w:rsidR="006807E7" w14:paraId="2DD43BE6" w14:textId="77777777">
        <w:trPr>
          <w:trHeight w:val="200"/>
        </w:trPr>
        <w:tc>
          <w:tcPr>
            <w:tcW w:w="2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6D0260" w14:textId="77777777" w:rsidR="006807E7" w:rsidRDefault="00376421">
            <w:pPr>
              <w:pStyle w:val="LightShading1"/>
            </w:pPr>
            <w:r>
              <w:rPr>
                <w:rFonts w:ascii="Arial" w:eastAsia="Arial" w:hAnsi="Arial" w:cs="Arial"/>
                <w:b/>
                <w:bCs/>
                <w:sz w:val="24"/>
                <w:szCs w:val="24"/>
              </w:rPr>
              <w:t>Exercise</w:t>
            </w:r>
          </w:p>
        </w:tc>
        <w:tc>
          <w:tcPr>
            <w:tcW w:w="6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010972" w14:textId="77777777" w:rsidR="006807E7" w:rsidRDefault="00376421">
            <w:pPr>
              <w:pStyle w:val="LightShading1"/>
            </w:pPr>
            <w:r>
              <w:rPr>
                <w:rFonts w:ascii="Arial" w:eastAsia="Arial" w:hAnsi="Arial" w:cs="Arial"/>
                <w:b/>
                <w:bCs/>
                <w:sz w:val="24"/>
                <w:szCs w:val="24"/>
              </w:rPr>
              <w:t>Task</w:t>
            </w:r>
          </w:p>
        </w:tc>
      </w:tr>
      <w:tr w:rsidR="006807E7" w14:paraId="721FFD8D" w14:textId="77777777">
        <w:trPr>
          <w:trHeight w:val="1935"/>
        </w:trPr>
        <w:tc>
          <w:tcPr>
            <w:tcW w:w="261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420AA618" w14:textId="77777777" w:rsidR="006807E7" w:rsidRDefault="00376421">
            <w:pPr>
              <w:pStyle w:val="LightShading1"/>
            </w:pPr>
            <w:r>
              <w:rPr>
                <w:rFonts w:ascii="Arial" w:eastAsia="Arial" w:hAnsi="Arial" w:cs="Arial"/>
                <w:sz w:val="24"/>
                <w:szCs w:val="24"/>
              </w:rPr>
              <w:t>Reading on Ethical decision-making:</w:t>
            </w:r>
            <w:r>
              <w:rPr>
                <w:rFonts w:ascii="Arial" w:eastAsia="Arial" w:hAnsi="Arial" w:cs="Arial"/>
                <w:sz w:val="24"/>
                <w:szCs w:val="24"/>
              </w:rPr>
              <w:br/>
            </w:r>
            <w:r>
              <w:rPr>
                <w:rFonts w:ascii="Arial" w:eastAsia="Arial" w:hAnsi="Arial" w:cs="Arial"/>
                <w:sz w:val="24"/>
                <w:szCs w:val="24"/>
              </w:rPr>
              <w:br/>
              <w:t>“</w:t>
            </w:r>
            <w:r>
              <w:rPr>
                <w:rFonts w:ascii="Arial" w:eastAsia="Arial" w:hAnsi="Arial" w:cs="Arial"/>
                <w:b/>
                <w:bCs/>
                <w:sz w:val="24"/>
                <w:szCs w:val="24"/>
              </w:rPr>
              <w:t>How (</w:t>
            </w:r>
            <w:proofErr w:type="gramStart"/>
            <w:r>
              <w:rPr>
                <w:rFonts w:ascii="Arial" w:eastAsia="Arial" w:hAnsi="Arial" w:cs="Arial"/>
                <w:b/>
                <w:bCs/>
                <w:sz w:val="24"/>
                <w:szCs w:val="24"/>
              </w:rPr>
              <w:t>Un)ethical</w:t>
            </w:r>
            <w:proofErr w:type="gramEnd"/>
            <w:r>
              <w:rPr>
                <w:rFonts w:ascii="Arial" w:eastAsia="Arial" w:hAnsi="Arial" w:cs="Arial"/>
                <w:b/>
                <w:bCs/>
                <w:sz w:val="24"/>
                <w:szCs w:val="24"/>
              </w:rPr>
              <w:t xml:space="preserve"> are You?</w:t>
            </w:r>
            <w:r>
              <w:rPr>
                <w:rFonts w:ascii="Arial" w:eastAsia="Arial" w:hAnsi="Arial" w:cs="Arial"/>
                <w:sz w:val="24"/>
                <w:szCs w:val="24"/>
              </w:rPr>
              <w:t xml:space="preserve">” in </w:t>
            </w:r>
            <w:r>
              <w:rPr>
                <w:rFonts w:ascii="Arial"/>
              </w:rPr>
              <w:t xml:space="preserve">Harvard Business Review, (2011), </w:t>
            </w:r>
            <w:r>
              <w:rPr>
                <w:rFonts w:ascii="Arial"/>
                <w:i/>
                <w:iCs/>
              </w:rPr>
              <w:t>Making Smart Decisions</w:t>
            </w:r>
            <w:r>
              <w:rPr>
                <w:rFonts w:ascii="Arial"/>
              </w:rPr>
              <w:t>, HBS Publishing, Cambridge, Mass.</w:t>
            </w:r>
          </w:p>
        </w:tc>
        <w:tc>
          <w:tcPr>
            <w:tcW w:w="6736"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D92C1C2" w14:textId="77777777" w:rsidR="006807E7" w:rsidRDefault="00376421">
            <w:pPr>
              <w:pStyle w:val="LightShading1"/>
            </w:pPr>
            <w:r>
              <w:rPr>
                <w:rFonts w:ascii="Arial" w:eastAsia="Arial" w:hAnsi="Arial" w:cs="Arial"/>
                <w:sz w:val="20"/>
                <w:szCs w:val="20"/>
              </w:rPr>
              <w:t xml:space="preserve">Make a careful reading of the article from the core reference from Harvard Business Review.  Focus your reading and note taking on the types of unethical </w:t>
            </w:r>
            <w:proofErr w:type="gramStart"/>
            <w:r>
              <w:rPr>
                <w:rFonts w:ascii="Arial" w:eastAsia="Arial" w:hAnsi="Arial" w:cs="Arial"/>
                <w:sz w:val="20"/>
                <w:szCs w:val="20"/>
              </w:rPr>
              <w:t>bias which</w:t>
            </w:r>
            <w:proofErr w:type="gramEnd"/>
            <w:r>
              <w:rPr>
                <w:rFonts w:ascii="Arial" w:eastAsia="Arial" w:hAnsi="Arial" w:cs="Arial"/>
                <w:sz w:val="20"/>
                <w:szCs w:val="20"/>
              </w:rPr>
              <w:t xml:space="preserve"> may affect decision-making - especially amongst “middle management” grade, operational staff.</w:t>
            </w:r>
            <w:r>
              <w:rPr>
                <w:rFonts w:ascii="Arial" w:eastAsia="Arial" w:hAnsi="Arial" w:cs="Arial"/>
                <w:sz w:val="20"/>
                <w:szCs w:val="20"/>
              </w:rPr>
              <w:br/>
            </w:r>
            <w:r>
              <w:rPr>
                <w:rFonts w:ascii="Arial" w:eastAsia="Arial" w:hAnsi="Arial" w:cs="Arial"/>
                <w:sz w:val="20"/>
                <w:szCs w:val="20"/>
              </w:rPr>
              <w:br/>
              <w:t xml:space="preserve">Choose two of the types of bias; consider the examples given; then reflect on whether there may be similar such examples you have encountered in your own work-related experience.  In what ways do the policies and procedures within your own business or </w:t>
            </w:r>
            <w:proofErr w:type="spellStart"/>
            <w:r>
              <w:rPr>
                <w:rFonts w:ascii="Arial" w:eastAsia="Arial" w:hAnsi="Arial" w:cs="Arial"/>
                <w:sz w:val="20"/>
                <w:szCs w:val="20"/>
              </w:rPr>
              <w:t>organisation</w:t>
            </w:r>
            <w:proofErr w:type="spellEnd"/>
            <w:r>
              <w:rPr>
                <w:rFonts w:ascii="Arial" w:eastAsia="Arial" w:hAnsi="Arial" w:cs="Arial"/>
                <w:sz w:val="20"/>
                <w:szCs w:val="20"/>
              </w:rPr>
              <w:t xml:space="preserve"> seek to </w:t>
            </w:r>
            <w:proofErr w:type="spellStart"/>
            <w:r>
              <w:rPr>
                <w:rFonts w:ascii="Arial" w:eastAsia="Arial" w:hAnsi="Arial" w:cs="Arial"/>
                <w:sz w:val="20"/>
                <w:szCs w:val="20"/>
              </w:rPr>
              <w:t>minimise</w:t>
            </w:r>
            <w:proofErr w:type="spellEnd"/>
            <w:r>
              <w:rPr>
                <w:rFonts w:ascii="Arial" w:eastAsia="Arial" w:hAnsi="Arial" w:cs="Arial"/>
                <w:sz w:val="20"/>
                <w:szCs w:val="20"/>
              </w:rPr>
              <w:t xml:space="preserve"> the risks of unethical decisions?  Identify the policies and procedures that exist at your own workplace (or where you have previously worked).  Use the online discussion forums to post your examples and comment upon whether these policies are effective in identifying and acting upon instances of unethical practice by management grade staff.</w:t>
            </w:r>
          </w:p>
        </w:tc>
      </w:tr>
    </w:tbl>
    <w:p w14:paraId="7F1CB9B5" w14:textId="77777777" w:rsidR="006807E7" w:rsidRDefault="006807E7">
      <w:pPr>
        <w:pStyle w:val="Body"/>
        <w:rPr>
          <w:rFonts w:ascii="Arial" w:eastAsia="Arial" w:hAnsi="Arial" w:cs="Arial"/>
          <w:b/>
          <w:bCs/>
          <w:sz w:val="22"/>
          <w:szCs w:val="22"/>
        </w:rPr>
      </w:pPr>
    </w:p>
    <w:p w14:paraId="0C0D6239" w14:textId="0F48950B" w:rsidR="006807E7" w:rsidRDefault="00376421">
      <w:pPr>
        <w:pStyle w:val="Body"/>
        <w:rPr>
          <w:rFonts w:ascii="Arial" w:eastAsia="Arial" w:hAnsi="Arial" w:cs="Arial"/>
        </w:rPr>
      </w:pPr>
      <w:r>
        <w:rPr>
          <w:rFonts w:ascii="Arial" w:eastAsia="Arial" w:hAnsi="Arial" w:cs="Arial"/>
        </w:rPr>
        <w:t xml:space="preserve">The second Activity for this </w:t>
      </w:r>
      <w:r w:rsidR="006A06D3">
        <w:rPr>
          <w:rFonts w:ascii="Arial" w:eastAsia="Arial" w:hAnsi="Arial" w:cs="Arial"/>
        </w:rPr>
        <w:t>session</w:t>
      </w:r>
      <w:bookmarkStart w:id="0" w:name="_GoBack"/>
      <w:bookmarkEnd w:id="0"/>
      <w:r>
        <w:rPr>
          <w:rFonts w:ascii="Arial" w:eastAsia="Arial" w:hAnsi="Arial" w:cs="Arial"/>
        </w:rPr>
        <w:t xml:space="preserve"> concerns the application of ethical policy in management, drawing upon a sample ethical code from the (US) Academy of Management and their summary of policy and procedure for application of the code.</w:t>
      </w:r>
    </w:p>
    <w:p w14:paraId="787DD5C8" w14:textId="77777777" w:rsidR="006807E7" w:rsidRDefault="006807E7">
      <w:pPr>
        <w:pStyle w:val="Body"/>
        <w:rPr>
          <w:rFonts w:ascii="Arial" w:eastAsia="Arial" w:hAnsi="Arial" w:cs="Arial"/>
        </w:rPr>
      </w:pPr>
    </w:p>
    <w:p w14:paraId="0E7F58E3" w14:textId="0F118F01" w:rsidR="006807E7" w:rsidRDefault="00376421">
      <w:pPr>
        <w:pStyle w:val="Body"/>
        <w:rPr>
          <w:rFonts w:ascii="Arial" w:eastAsia="Arial" w:hAnsi="Arial" w:cs="Arial"/>
        </w:rPr>
      </w:pPr>
      <w:r>
        <w:rPr>
          <w:rFonts w:ascii="Arial" w:eastAsia="Arial" w:hAnsi="Arial" w:cs="Arial"/>
        </w:rPr>
        <w:t xml:space="preserve">The Academy of Management (AOM) in the USA is an established professional association (founded in 1936 by Professors of Business in Chicago and Michigan, now based at Pace University in New York), with a large membership of leading senior management and academic members from all business sectors.  Background information about the AOM and its activities can be found </w:t>
      </w:r>
      <w:hyperlink r:id="rId8" w:history="1">
        <w:r>
          <w:rPr>
            <w:rStyle w:val="Hyperlink0"/>
            <w:rFonts w:ascii="Arial" w:eastAsia="Arial" w:hAnsi="Arial" w:cs="Arial"/>
          </w:rPr>
          <w:t>here</w:t>
        </w:r>
      </w:hyperlink>
      <w:r w:rsidR="00641631">
        <w:rPr>
          <w:rFonts w:ascii="Arial" w:eastAsia="Arial" w:hAnsi="Arial" w:cs="Arial"/>
        </w:rPr>
        <w:t xml:space="preserve"> (</w:t>
      </w:r>
      <w:hyperlink r:id="rId9" w:history="1">
        <w:r w:rsidR="00641631" w:rsidRPr="00522431">
          <w:rPr>
            <w:rStyle w:val="Hyperlink"/>
            <w:rFonts w:ascii="Arial" w:eastAsia="Arial" w:hAnsi="Arial" w:cs="Arial"/>
          </w:rPr>
          <w:t>http://aom.org/about</w:t>
        </w:r>
      </w:hyperlink>
      <w:r w:rsidR="00641631">
        <w:rPr>
          <w:rFonts w:ascii="Arial" w:eastAsia="Arial" w:hAnsi="Arial" w:cs="Arial"/>
        </w:rPr>
        <w:t xml:space="preserve">). </w:t>
      </w:r>
    </w:p>
    <w:p w14:paraId="27209956" w14:textId="77777777" w:rsidR="00047013" w:rsidRDefault="00047013">
      <w:pPr>
        <w:pStyle w:val="Body"/>
        <w:rPr>
          <w:rFonts w:ascii="Arial" w:eastAsia="Arial" w:hAnsi="Arial" w:cs="Arial"/>
        </w:rPr>
      </w:pPr>
    </w:p>
    <w:p w14:paraId="7ABFE5C5" w14:textId="65D30800" w:rsidR="006807E7" w:rsidRDefault="00641631">
      <w:pPr>
        <w:pStyle w:val="Body"/>
        <w:pBdr>
          <w:top w:val="single" w:sz="4" w:space="0" w:color="000000"/>
          <w:left w:val="single" w:sz="4" w:space="0" w:color="000000"/>
          <w:bottom w:val="single" w:sz="4" w:space="0" w:color="000000"/>
          <w:right w:val="single" w:sz="4" w:space="0" w:color="000000"/>
        </w:pBdr>
        <w:jc w:val="both"/>
        <w:rPr>
          <w:rFonts w:ascii="Arial" w:eastAsia="Arial" w:hAnsi="Arial" w:cs="Arial"/>
          <w:b/>
          <w:bCs/>
        </w:rPr>
      </w:pPr>
      <w:r>
        <w:rPr>
          <w:rFonts w:ascii="Arial" w:eastAsia="Arial" w:hAnsi="Arial" w:cs="Arial"/>
          <w:b/>
          <w:bCs/>
        </w:rPr>
        <w:t>Activity 2</w:t>
      </w:r>
      <w:r w:rsidR="00376421">
        <w:rPr>
          <w:rFonts w:ascii="Arial" w:eastAsia="Arial" w:hAnsi="Arial" w:cs="Arial"/>
          <w:b/>
          <w:bCs/>
        </w:rPr>
        <w:t>:</w:t>
      </w:r>
    </w:p>
    <w:p w14:paraId="2EDE9E0B" w14:textId="77777777" w:rsidR="006807E7" w:rsidRDefault="00376421">
      <w:pPr>
        <w:pStyle w:val="Body"/>
        <w:rPr>
          <w:rFonts w:ascii="Arial" w:eastAsia="Arial" w:hAnsi="Arial" w:cs="Arial"/>
          <w:b/>
          <w:bCs/>
          <w:sz w:val="22"/>
          <w:szCs w:val="22"/>
        </w:rPr>
      </w:pPr>
      <w:r>
        <w:rPr>
          <w:rFonts w:ascii="Arial" w:eastAsia="Arial" w:hAnsi="Arial" w:cs="Arial"/>
          <w:b/>
          <w:bCs/>
          <w:sz w:val="22"/>
          <w:szCs w:val="22"/>
        </w:rPr>
        <w:t>Applying ethical policies:</w:t>
      </w:r>
    </w:p>
    <w:tbl>
      <w:tblPr>
        <w:tblW w:w="934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611"/>
        <w:gridCol w:w="6737"/>
      </w:tblGrid>
      <w:tr w:rsidR="006807E7" w14:paraId="4D96BC6D" w14:textId="77777777">
        <w:trPr>
          <w:trHeight w:val="200"/>
        </w:trPr>
        <w:tc>
          <w:tcPr>
            <w:tcW w:w="2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61DFFE" w14:textId="77777777" w:rsidR="006807E7" w:rsidRDefault="00376421">
            <w:pPr>
              <w:pStyle w:val="LightShading1"/>
            </w:pPr>
            <w:r>
              <w:rPr>
                <w:rFonts w:ascii="Arial" w:eastAsia="Arial" w:hAnsi="Arial" w:cs="Arial"/>
                <w:b/>
                <w:bCs/>
                <w:sz w:val="24"/>
                <w:szCs w:val="24"/>
              </w:rPr>
              <w:t>Exercise</w:t>
            </w:r>
          </w:p>
        </w:tc>
        <w:tc>
          <w:tcPr>
            <w:tcW w:w="6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DADE81" w14:textId="77777777" w:rsidR="006807E7" w:rsidRDefault="00376421">
            <w:pPr>
              <w:pStyle w:val="LightShading1"/>
            </w:pPr>
            <w:r>
              <w:rPr>
                <w:rFonts w:ascii="Arial" w:eastAsia="Arial" w:hAnsi="Arial" w:cs="Arial"/>
                <w:b/>
                <w:bCs/>
                <w:sz w:val="24"/>
                <w:szCs w:val="24"/>
              </w:rPr>
              <w:t>Task</w:t>
            </w:r>
          </w:p>
        </w:tc>
      </w:tr>
      <w:tr w:rsidR="006807E7" w14:paraId="327153D3" w14:textId="77777777">
        <w:trPr>
          <w:trHeight w:val="1935"/>
        </w:trPr>
        <w:tc>
          <w:tcPr>
            <w:tcW w:w="261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AC778F7" w14:textId="77777777" w:rsidR="006807E7" w:rsidRDefault="00376421">
            <w:pPr>
              <w:pStyle w:val="LightShading1"/>
              <w:rPr>
                <w:rFonts w:ascii="Arial" w:eastAsia="Arial" w:hAnsi="Arial" w:cs="Arial"/>
                <w:sz w:val="24"/>
                <w:szCs w:val="24"/>
              </w:rPr>
            </w:pPr>
            <w:r>
              <w:rPr>
                <w:rFonts w:ascii="Arial"/>
                <w:sz w:val="24"/>
                <w:szCs w:val="24"/>
              </w:rPr>
              <w:t>Sample policy and procedure documents for ethical practice</w:t>
            </w:r>
            <w:r>
              <w:rPr>
                <w:rFonts w:ascii="Arial" w:eastAsia="Arial" w:hAnsi="Arial" w:cs="Arial"/>
                <w:sz w:val="24"/>
                <w:szCs w:val="24"/>
              </w:rPr>
              <w:t>:</w:t>
            </w:r>
            <w:r>
              <w:rPr>
                <w:rFonts w:ascii="Arial" w:eastAsia="Arial" w:hAnsi="Arial" w:cs="Arial"/>
                <w:sz w:val="24"/>
                <w:szCs w:val="24"/>
              </w:rPr>
              <w:br/>
            </w:r>
          </w:p>
          <w:p w14:paraId="41786DA1" w14:textId="77777777" w:rsidR="006807E7" w:rsidRDefault="00376421">
            <w:pPr>
              <w:pStyle w:val="LightShading1"/>
              <w:numPr>
                <w:ilvl w:val="0"/>
                <w:numId w:val="2"/>
              </w:numPr>
              <w:rPr>
                <w:rFonts w:ascii="Arial" w:eastAsia="Arial" w:hAnsi="Arial" w:cs="Arial"/>
                <w:b/>
                <w:bCs/>
                <w:position w:val="-2"/>
                <w:sz w:val="24"/>
                <w:szCs w:val="24"/>
              </w:rPr>
            </w:pPr>
            <w:r>
              <w:rPr>
                <w:rFonts w:ascii="Arial" w:eastAsia="Arial" w:hAnsi="Arial" w:cs="Arial"/>
                <w:sz w:val="24"/>
                <w:szCs w:val="24"/>
              </w:rPr>
              <w:t>AOM Code of Ethics</w:t>
            </w:r>
            <w:r>
              <w:rPr>
                <w:rFonts w:ascii="Arial" w:eastAsia="Arial" w:hAnsi="Arial" w:cs="Arial"/>
                <w:sz w:val="24"/>
                <w:szCs w:val="24"/>
              </w:rPr>
              <w:br/>
            </w:r>
          </w:p>
          <w:p w14:paraId="4412816B" w14:textId="77777777" w:rsidR="006807E7" w:rsidRDefault="00376421">
            <w:pPr>
              <w:pStyle w:val="LightShading1"/>
              <w:numPr>
                <w:ilvl w:val="0"/>
                <w:numId w:val="2"/>
              </w:numPr>
              <w:rPr>
                <w:rFonts w:ascii="Arial" w:eastAsia="Arial" w:hAnsi="Arial" w:cs="Arial"/>
                <w:b/>
                <w:bCs/>
                <w:position w:val="-2"/>
                <w:sz w:val="24"/>
                <w:szCs w:val="24"/>
              </w:rPr>
            </w:pPr>
            <w:r>
              <w:rPr>
                <w:rFonts w:ascii="Arial" w:eastAsia="Arial" w:hAnsi="Arial" w:cs="Arial"/>
                <w:sz w:val="24"/>
                <w:szCs w:val="24"/>
              </w:rPr>
              <w:t>AOM Ethical Policy and Procedures</w:t>
            </w:r>
          </w:p>
          <w:p w14:paraId="14FBCE19" w14:textId="77777777" w:rsidR="006807E7" w:rsidRDefault="006807E7">
            <w:pPr>
              <w:pStyle w:val="LightShading1"/>
              <w:rPr>
                <w:rFonts w:ascii="Arial" w:eastAsia="Arial" w:hAnsi="Arial" w:cs="Arial"/>
                <w:sz w:val="24"/>
                <w:szCs w:val="24"/>
              </w:rPr>
            </w:pPr>
          </w:p>
          <w:p w14:paraId="1B1E61F6" w14:textId="77777777" w:rsidR="006807E7" w:rsidRDefault="00376421">
            <w:pPr>
              <w:pStyle w:val="LightShading1"/>
            </w:pPr>
            <w:r>
              <w:rPr>
                <w:rFonts w:ascii="Arial" w:eastAsia="Arial" w:hAnsi="Arial" w:cs="Arial"/>
                <w:sz w:val="24"/>
                <w:szCs w:val="24"/>
              </w:rPr>
              <w:t>(Downloads from the Module Moodle site - PDF files)</w:t>
            </w:r>
            <w:r>
              <w:rPr>
                <w:rFonts w:ascii="Arial" w:eastAsia="Arial" w:hAnsi="Arial" w:cs="Arial"/>
                <w:sz w:val="24"/>
                <w:szCs w:val="24"/>
              </w:rPr>
              <w:br/>
            </w:r>
            <w:r>
              <w:rPr>
                <w:rFonts w:ascii="Arial"/>
              </w:rPr>
              <w:t>.</w:t>
            </w:r>
          </w:p>
        </w:tc>
        <w:tc>
          <w:tcPr>
            <w:tcW w:w="6736"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77A0DBC7" w14:textId="77777777" w:rsidR="006807E7" w:rsidRDefault="00376421">
            <w:pPr>
              <w:pStyle w:val="LightShading1"/>
              <w:rPr>
                <w:rFonts w:ascii="Arial" w:eastAsia="Arial" w:hAnsi="Arial" w:cs="Arial"/>
                <w:sz w:val="20"/>
                <w:szCs w:val="20"/>
              </w:rPr>
            </w:pPr>
            <w:r>
              <w:rPr>
                <w:rFonts w:ascii="Arial" w:eastAsia="Arial" w:hAnsi="Arial" w:cs="Arial"/>
                <w:sz w:val="20"/>
                <w:szCs w:val="20"/>
              </w:rPr>
              <w:t>Download the two (PDF) documents from this week’s Moodle files - comprising the AOM Ethical Code and AOM Policy and Procedures.</w:t>
            </w:r>
          </w:p>
          <w:p w14:paraId="711C5115" w14:textId="77777777" w:rsidR="006807E7" w:rsidRDefault="006807E7">
            <w:pPr>
              <w:pStyle w:val="LightShading1"/>
              <w:rPr>
                <w:rFonts w:ascii="Arial" w:eastAsia="Arial" w:hAnsi="Arial" w:cs="Arial"/>
                <w:sz w:val="20"/>
                <w:szCs w:val="20"/>
              </w:rPr>
            </w:pPr>
          </w:p>
          <w:p w14:paraId="665F9321" w14:textId="6B6C9B77" w:rsidR="006807E7" w:rsidRDefault="00376421">
            <w:pPr>
              <w:pStyle w:val="LightShading1"/>
              <w:rPr>
                <w:rFonts w:ascii="Arial" w:eastAsia="Arial" w:hAnsi="Arial" w:cs="Arial"/>
                <w:sz w:val="20"/>
                <w:szCs w:val="20"/>
              </w:rPr>
            </w:pPr>
            <w:r>
              <w:rPr>
                <w:rFonts w:ascii="Arial" w:eastAsia="Arial" w:hAnsi="Arial" w:cs="Arial"/>
                <w:sz w:val="20"/>
                <w:szCs w:val="20"/>
              </w:rPr>
              <w:t xml:space="preserve">Obtain, if possible, copies of the Ethical Code document and procedure documents for </w:t>
            </w:r>
            <w:r w:rsidR="002F139A">
              <w:rPr>
                <w:rFonts w:ascii="Arial" w:eastAsia="Arial" w:hAnsi="Arial" w:cs="Arial"/>
                <w:sz w:val="20"/>
                <w:szCs w:val="20"/>
              </w:rPr>
              <w:t>another</w:t>
            </w:r>
            <w:r>
              <w:rPr>
                <w:rFonts w:ascii="Arial" w:eastAsia="Arial" w:hAnsi="Arial" w:cs="Arial"/>
                <w:sz w:val="20"/>
                <w:szCs w:val="20"/>
              </w:rPr>
              <w:t xml:space="preserve"> business or </w:t>
            </w:r>
            <w:proofErr w:type="spellStart"/>
            <w:r>
              <w:rPr>
                <w:rFonts w:ascii="Arial" w:eastAsia="Arial" w:hAnsi="Arial" w:cs="Arial"/>
                <w:sz w:val="20"/>
                <w:szCs w:val="20"/>
              </w:rPr>
              <w:t>organisation</w:t>
            </w:r>
            <w:proofErr w:type="spellEnd"/>
            <w:r>
              <w:rPr>
                <w:rFonts w:ascii="Arial" w:eastAsia="Arial" w:hAnsi="Arial" w:cs="Arial"/>
                <w:sz w:val="20"/>
                <w:szCs w:val="20"/>
              </w:rPr>
              <w:t xml:space="preserve">.  If not possible, search for examples of codes of practice and procedure documents in a business or </w:t>
            </w:r>
            <w:proofErr w:type="spellStart"/>
            <w:r>
              <w:rPr>
                <w:rFonts w:ascii="Arial" w:eastAsia="Arial" w:hAnsi="Arial" w:cs="Arial"/>
                <w:sz w:val="20"/>
                <w:szCs w:val="20"/>
              </w:rPr>
              <w:t>organisation</w:t>
            </w:r>
            <w:proofErr w:type="spellEnd"/>
            <w:r>
              <w:rPr>
                <w:rFonts w:ascii="Arial" w:eastAsia="Arial" w:hAnsi="Arial" w:cs="Arial"/>
                <w:sz w:val="20"/>
                <w:szCs w:val="20"/>
              </w:rPr>
              <w:t xml:space="preserve"> </w:t>
            </w:r>
            <w:r w:rsidR="002F139A">
              <w:rPr>
                <w:rFonts w:ascii="Arial" w:eastAsia="Arial" w:hAnsi="Arial" w:cs="Arial"/>
                <w:sz w:val="20"/>
                <w:szCs w:val="20"/>
              </w:rPr>
              <w:t>from case studies</w:t>
            </w:r>
            <w:r>
              <w:rPr>
                <w:rFonts w:ascii="Arial" w:eastAsia="Arial" w:hAnsi="Arial" w:cs="Arial"/>
                <w:sz w:val="20"/>
                <w:szCs w:val="20"/>
              </w:rPr>
              <w:t>.</w:t>
            </w:r>
          </w:p>
          <w:p w14:paraId="7B9C469B" w14:textId="77777777" w:rsidR="006807E7" w:rsidRDefault="006807E7">
            <w:pPr>
              <w:pStyle w:val="LightShading1"/>
              <w:rPr>
                <w:rFonts w:ascii="Arial" w:eastAsia="Arial" w:hAnsi="Arial" w:cs="Arial"/>
                <w:sz w:val="20"/>
                <w:szCs w:val="20"/>
              </w:rPr>
            </w:pPr>
          </w:p>
          <w:p w14:paraId="354D9E8C" w14:textId="77777777" w:rsidR="006807E7" w:rsidRDefault="00376421">
            <w:pPr>
              <w:pStyle w:val="LightShading1"/>
              <w:rPr>
                <w:rFonts w:ascii="Arial" w:eastAsia="Arial" w:hAnsi="Arial" w:cs="Arial"/>
                <w:sz w:val="20"/>
                <w:szCs w:val="20"/>
              </w:rPr>
            </w:pPr>
            <w:r>
              <w:rPr>
                <w:rFonts w:ascii="Arial" w:eastAsia="Arial" w:hAnsi="Arial" w:cs="Arial"/>
                <w:sz w:val="20"/>
                <w:szCs w:val="20"/>
              </w:rPr>
              <w:t xml:space="preserve">From the list, below (extracted from the AOM Ethics Code), choose two that are relevant to your own work environment (or chosen work-related sector).  Compare the specifications of ethical code and practice between the AOM documents and your own work-related documents.  Comment specifically upon similarities and differences between the policies.  Are there particular clauses of your work-related ethical </w:t>
            </w:r>
            <w:proofErr w:type="gramStart"/>
            <w:r>
              <w:rPr>
                <w:rFonts w:ascii="Arial" w:eastAsia="Arial" w:hAnsi="Arial" w:cs="Arial"/>
                <w:sz w:val="20"/>
                <w:szCs w:val="20"/>
              </w:rPr>
              <w:t>code which</w:t>
            </w:r>
            <w:proofErr w:type="gramEnd"/>
            <w:r>
              <w:rPr>
                <w:rFonts w:ascii="Arial" w:eastAsia="Arial" w:hAnsi="Arial" w:cs="Arial"/>
                <w:sz w:val="20"/>
                <w:szCs w:val="20"/>
              </w:rPr>
              <w:t xml:space="preserve"> relate directly to the type of business/</w:t>
            </w:r>
            <w:proofErr w:type="spellStart"/>
            <w:r>
              <w:rPr>
                <w:rFonts w:ascii="Arial" w:eastAsia="Arial" w:hAnsi="Arial" w:cs="Arial"/>
                <w:sz w:val="20"/>
                <w:szCs w:val="20"/>
              </w:rPr>
              <w:t>organisation</w:t>
            </w:r>
            <w:proofErr w:type="spellEnd"/>
            <w:r>
              <w:rPr>
                <w:rFonts w:ascii="Arial" w:eastAsia="Arial" w:hAnsi="Arial" w:cs="Arial"/>
                <w:sz w:val="20"/>
                <w:szCs w:val="20"/>
              </w:rPr>
              <w:t xml:space="preserve"> involved (for example, health-related or safety-critical requirements)?  How well do your business/</w:t>
            </w:r>
            <w:proofErr w:type="spellStart"/>
            <w:r>
              <w:rPr>
                <w:rFonts w:ascii="Arial" w:eastAsia="Arial" w:hAnsi="Arial" w:cs="Arial"/>
                <w:sz w:val="20"/>
                <w:szCs w:val="20"/>
              </w:rPr>
              <w:t>organisation’s</w:t>
            </w:r>
            <w:proofErr w:type="spellEnd"/>
            <w:r>
              <w:rPr>
                <w:rFonts w:ascii="Arial" w:eastAsia="Arial" w:hAnsi="Arial" w:cs="Arial"/>
                <w:sz w:val="20"/>
                <w:szCs w:val="20"/>
              </w:rPr>
              <w:t xml:space="preserve"> procedures for implementing and auditing their Ethical Code ensure fairness and due diligence in governance of management decision-making?</w:t>
            </w:r>
          </w:p>
          <w:p w14:paraId="7DC82C9C" w14:textId="77777777" w:rsidR="006807E7" w:rsidRDefault="006807E7">
            <w:pPr>
              <w:pStyle w:val="LightShading1"/>
              <w:rPr>
                <w:rFonts w:ascii="Arial" w:eastAsia="Arial" w:hAnsi="Arial" w:cs="Arial"/>
                <w:sz w:val="20"/>
                <w:szCs w:val="20"/>
              </w:rPr>
            </w:pPr>
          </w:p>
          <w:p w14:paraId="03644F04" w14:textId="77777777" w:rsidR="006807E7" w:rsidRDefault="00376421">
            <w:pPr>
              <w:pStyle w:val="LightShading1"/>
              <w:rPr>
                <w:rFonts w:ascii="Arial" w:eastAsia="Arial" w:hAnsi="Arial" w:cs="Arial"/>
                <w:sz w:val="20"/>
                <w:szCs w:val="20"/>
              </w:rPr>
            </w:pPr>
            <w:r>
              <w:rPr>
                <w:rFonts w:ascii="Arial" w:eastAsia="Arial" w:hAnsi="Arial" w:cs="Arial"/>
                <w:b/>
                <w:bCs/>
                <w:sz w:val="20"/>
                <w:szCs w:val="20"/>
              </w:rPr>
              <w:t>Ethical Considerations</w:t>
            </w:r>
            <w:r>
              <w:rPr>
                <w:rFonts w:ascii="Arial" w:eastAsia="Arial" w:hAnsi="Arial" w:cs="Arial"/>
                <w:sz w:val="20"/>
                <w:szCs w:val="20"/>
              </w:rPr>
              <w:t>: (from AOM Ethics Code):</w:t>
            </w:r>
          </w:p>
          <w:p w14:paraId="3A38071F" w14:textId="77777777" w:rsidR="006807E7" w:rsidRDefault="00376421">
            <w:pPr>
              <w:pStyle w:val="LightShading1"/>
              <w:numPr>
                <w:ilvl w:val="0"/>
                <w:numId w:val="3"/>
              </w:numPr>
              <w:rPr>
                <w:rFonts w:ascii="Arial" w:eastAsia="Arial" w:hAnsi="Arial" w:cs="Arial"/>
                <w:position w:val="-2"/>
                <w:sz w:val="20"/>
                <w:szCs w:val="20"/>
              </w:rPr>
            </w:pPr>
            <w:r>
              <w:rPr>
                <w:rFonts w:ascii="Arial" w:eastAsia="Arial" w:hAnsi="Arial" w:cs="Arial"/>
                <w:sz w:val="20"/>
                <w:szCs w:val="20"/>
              </w:rPr>
              <w:t>1.5 Conflicts of Interest</w:t>
            </w:r>
          </w:p>
          <w:p w14:paraId="127612B8" w14:textId="77777777" w:rsidR="006807E7" w:rsidRDefault="00376421">
            <w:pPr>
              <w:pStyle w:val="LightShading1"/>
              <w:numPr>
                <w:ilvl w:val="0"/>
                <w:numId w:val="3"/>
              </w:numPr>
              <w:rPr>
                <w:rFonts w:ascii="Arial" w:eastAsia="Arial" w:hAnsi="Arial" w:cs="Arial"/>
                <w:position w:val="-2"/>
                <w:sz w:val="20"/>
                <w:szCs w:val="20"/>
              </w:rPr>
            </w:pPr>
            <w:r>
              <w:rPr>
                <w:rFonts w:ascii="Arial" w:eastAsia="Arial" w:hAnsi="Arial" w:cs="Arial"/>
                <w:sz w:val="20"/>
                <w:szCs w:val="20"/>
              </w:rPr>
              <w:t>1.7 Informed Consent</w:t>
            </w:r>
          </w:p>
          <w:p w14:paraId="56B8EA3E" w14:textId="77777777" w:rsidR="006807E7" w:rsidRDefault="00376421">
            <w:pPr>
              <w:pStyle w:val="LightShading1"/>
              <w:numPr>
                <w:ilvl w:val="0"/>
                <w:numId w:val="3"/>
              </w:numPr>
              <w:rPr>
                <w:rFonts w:ascii="Arial" w:eastAsia="Arial" w:hAnsi="Arial" w:cs="Arial"/>
                <w:position w:val="-2"/>
                <w:sz w:val="20"/>
                <w:szCs w:val="20"/>
              </w:rPr>
            </w:pPr>
            <w:r>
              <w:rPr>
                <w:rFonts w:ascii="Arial" w:eastAsia="Arial" w:hAnsi="Arial" w:cs="Arial"/>
                <w:sz w:val="20"/>
                <w:szCs w:val="20"/>
              </w:rPr>
              <w:lastRenderedPageBreak/>
              <w:t>2.1 Maintaining Confidentiality</w:t>
            </w:r>
          </w:p>
          <w:p w14:paraId="0EFF3EB8" w14:textId="77777777" w:rsidR="006807E7" w:rsidRDefault="00376421">
            <w:pPr>
              <w:pStyle w:val="LightShading1"/>
              <w:numPr>
                <w:ilvl w:val="0"/>
                <w:numId w:val="3"/>
              </w:numPr>
              <w:rPr>
                <w:rFonts w:ascii="Arial" w:eastAsia="Arial" w:hAnsi="Arial" w:cs="Arial"/>
                <w:position w:val="-2"/>
                <w:sz w:val="20"/>
                <w:szCs w:val="20"/>
              </w:rPr>
            </w:pPr>
            <w:r>
              <w:rPr>
                <w:rFonts w:ascii="Arial" w:eastAsia="Arial" w:hAnsi="Arial" w:cs="Arial"/>
                <w:sz w:val="20"/>
                <w:szCs w:val="20"/>
              </w:rPr>
              <w:t>2.5 Electronic Transfer of Confidential Information</w:t>
            </w:r>
          </w:p>
          <w:p w14:paraId="7115C56C" w14:textId="77777777" w:rsidR="006807E7" w:rsidRDefault="00376421">
            <w:pPr>
              <w:pStyle w:val="LightShading1"/>
              <w:numPr>
                <w:ilvl w:val="0"/>
                <w:numId w:val="3"/>
              </w:numPr>
              <w:rPr>
                <w:rFonts w:ascii="Arial" w:eastAsia="Arial" w:hAnsi="Arial" w:cs="Arial"/>
                <w:position w:val="-2"/>
                <w:sz w:val="20"/>
                <w:szCs w:val="20"/>
              </w:rPr>
            </w:pPr>
            <w:r>
              <w:rPr>
                <w:rFonts w:ascii="Arial" w:eastAsia="Arial" w:hAnsi="Arial" w:cs="Arial"/>
                <w:sz w:val="20"/>
                <w:szCs w:val="20"/>
              </w:rPr>
              <w:t>3.1 Public Statements</w:t>
            </w:r>
          </w:p>
          <w:p w14:paraId="6B43C35B" w14:textId="77777777" w:rsidR="006807E7" w:rsidRDefault="00376421">
            <w:pPr>
              <w:pStyle w:val="LightShading1"/>
              <w:numPr>
                <w:ilvl w:val="0"/>
                <w:numId w:val="3"/>
              </w:numPr>
              <w:rPr>
                <w:rFonts w:ascii="Arial" w:eastAsia="Arial" w:hAnsi="Arial" w:cs="Arial"/>
                <w:position w:val="-2"/>
                <w:sz w:val="20"/>
                <w:szCs w:val="20"/>
              </w:rPr>
            </w:pPr>
            <w:r>
              <w:rPr>
                <w:rFonts w:ascii="Arial" w:eastAsia="Arial" w:hAnsi="Arial" w:cs="Arial"/>
                <w:sz w:val="20"/>
                <w:szCs w:val="20"/>
              </w:rPr>
              <w:t>5.1 Familiarity with the Code of Ethics</w:t>
            </w:r>
          </w:p>
          <w:p w14:paraId="21AA7578" w14:textId="77777777" w:rsidR="006807E7" w:rsidRDefault="00376421">
            <w:pPr>
              <w:pStyle w:val="LightShading1"/>
              <w:numPr>
                <w:ilvl w:val="0"/>
                <w:numId w:val="3"/>
              </w:numPr>
              <w:rPr>
                <w:rFonts w:ascii="Arial" w:eastAsia="Arial" w:hAnsi="Arial" w:cs="Arial"/>
                <w:position w:val="-2"/>
                <w:sz w:val="20"/>
                <w:szCs w:val="20"/>
              </w:rPr>
            </w:pPr>
            <w:r>
              <w:rPr>
                <w:rFonts w:ascii="Arial" w:eastAsia="Arial" w:hAnsi="Arial" w:cs="Arial"/>
                <w:sz w:val="20"/>
                <w:szCs w:val="20"/>
              </w:rPr>
              <w:t>5.4 Reporting Ethical Violations of Others (cf. “whistle blowing”))</w:t>
            </w:r>
          </w:p>
          <w:p w14:paraId="2369365E" w14:textId="77777777" w:rsidR="006807E7" w:rsidRDefault="006807E7">
            <w:pPr>
              <w:pStyle w:val="LightShading1"/>
              <w:rPr>
                <w:rFonts w:ascii="Arial" w:eastAsia="Arial" w:hAnsi="Arial" w:cs="Arial"/>
                <w:sz w:val="20"/>
                <w:szCs w:val="20"/>
              </w:rPr>
            </w:pPr>
          </w:p>
          <w:p w14:paraId="1657695A" w14:textId="77777777" w:rsidR="006807E7" w:rsidRDefault="00376421">
            <w:pPr>
              <w:pStyle w:val="LightShading1"/>
            </w:pPr>
            <w:r>
              <w:rPr>
                <w:rFonts w:ascii="Arial" w:eastAsia="Arial" w:hAnsi="Arial" w:cs="Arial"/>
                <w:sz w:val="20"/>
                <w:szCs w:val="20"/>
              </w:rPr>
              <w:t>Identify similarities and differences (for example, are there differences resulting from the AOM code falling under US law as opposed to the legal requirements in your own country?).  Post your comments and comparisons to the discussion forum for this week’s activities and note the contributions of other module participants.</w:t>
            </w:r>
          </w:p>
        </w:tc>
      </w:tr>
    </w:tbl>
    <w:p w14:paraId="40A98CFC" w14:textId="77777777" w:rsidR="006807E7" w:rsidRDefault="006807E7">
      <w:pPr>
        <w:pStyle w:val="Body"/>
        <w:rPr>
          <w:rFonts w:ascii="Arial" w:eastAsia="Arial" w:hAnsi="Arial" w:cs="Arial"/>
        </w:rPr>
      </w:pPr>
    </w:p>
    <w:p w14:paraId="4C5066FA" w14:textId="77230DB6" w:rsidR="006807E7" w:rsidRDefault="00376421">
      <w:pPr>
        <w:pStyle w:val="Body"/>
        <w:jc w:val="both"/>
        <w:rPr>
          <w:rFonts w:ascii="Arial" w:eastAsia="Arial" w:hAnsi="Arial" w:cs="Arial"/>
          <w:b/>
          <w:bCs/>
        </w:rPr>
      </w:pPr>
      <w:proofErr w:type="spellStart"/>
      <w:r>
        <w:rPr>
          <w:rFonts w:ascii="Arial" w:eastAsia="Arial" w:hAnsi="Arial" w:cs="Arial"/>
          <w:b/>
          <w:bCs/>
          <w:lang w:val="sv-SE"/>
        </w:rPr>
        <w:t>Summary</w:t>
      </w:r>
      <w:proofErr w:type="spellEnd"/>
      <w:r>
        <w:rPr>
          <w:rFonts w:ascii="Arial" w:eastAsia="Arial" w:hAnsi="Arial" w:cs="Arial"/>
          <w:b/>
          <w:bCs/>
          <w:lang w:val="sv-SE"/>
        </w:rPr>
        <w:t>:</w:t>
      </w:r>
    </w:p>
    <w:p w14:paraId="438B6A6C" w14:textId="277F5978" w:rsidR="006807E7" w:rsidRDefault="00376421">
      <w:pPr>
        <w:pStyle w:val="Body"/>
        <w:rPr>
          <w:rFonts w:ascii="Arial" w:eastAsia="Arial" w:hAnsi="Arial" w:cs="Arial"/>
        </w:rPr>
      </w:pPr>
      <w:r>
        <w:rPr>
          <w:rFonts w:ascii="Arial" w:eastAsia="Arial" w:hAnsi="Arial" w:cs="Arial"/>
        </w:rPr>
        <w:t>In this session we have moved away from techniques for support of decision-making in business towards questions of governance and audit of management-level decision-making.  The chief focus has been upon ethical codes and policies put in place to demonstrate due diligence in control of strategic and operational decision-making processes.</w:t>
      </w:r>
    </w:p>
    <w:p w14:paraId="567E96C3" w14:textId="77777777" w:rsidR="006807E7" w:rsidRDefault="006807E7">
      <w:pPr>
        <w:pStyle w:val="Body"/>
        <w:rPr>
          <w:rFonts w:ascii="Arial" w:eastAsia="Arial" w:hAnsi="Arial" w:cs="Arial"/>
        </w:rPr>
      </w:pPr>
    </w:p>
    <w:p w14:paraId="56DF7A76" w14:textId="610A1190" w:rsidR="006807E7" w:rsidRDefault="00376421">
      <w:pPr>
        <w:pStyle w:val="Body"/>
        <w:rPr>
          <w:rFonts w:ascii="Arial" w:eastAsia="Arial" w:hAnsi="Arial" w:cs="Arial"/>
          <w:b/>
          <w:bCs/>
        </w:rPr>
      </w:pPr>
      <w:r>
        <w:rPr>
          <w:rFonts w:ascii="Arial" w:eastAsia="Arial" w:hAnsi="Arial" w:cs="Arial"/>
          <w:b/>
          <w:bCs/>
        </w:rPr>
        <w:t>Summary of Activities (7)</w:t>
      </w:r>
    </w:p>
    <w:p w14:paraId="61403A22" w14:textId="77777777" w:rsidR="00047013" w:rsidRDefault="00047013">
      <w:pPr>
        <w:pStyle w:val="Body"/>
        <w:rPr>
          <w:rFonts w:ascii="Arial" w:eastAsia="Arial" w:hAnsi="Arial" w:cs="Arial"/>
          <w:b/>
          <w:bCs/>
        </w:rPr>
      </w:pPr>
    </w:p>
    <w:tbl>
      <w:tblPr>
        <w:tblW w:w="9366" w:type="dxa"/>
        <w:tblInd w:w="-20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9366"/>
      </w:tblGrid>
      <w:tr w:rsidR="006807E7" w14:paraId="2774E2B9" w14:textId="77777777" w:rsidTr="00047013">
        <w:trPr>
          <w:trHeight w:val="1725"/>
        </w:trPr>
        <w:tc>
          <w:tcPr>
            <w:tcW w:w="9366" w:type="dxa"/>
            <w:tcBorders>
              <w:top w:val="single" w:sz="4" w:space="0" w:color="000000"/>
              <w:left w:val="single" w:sz="4" w:space="0" w:color="000000"/>
              <w:bottom w:val="nil"/>
              <w:right w:val="single" w:sz="4" w:space="0" w:color="000000"/>
            </w:tcBorders>
            <w:shd w:val="clear" w:color="auto" w:fill="E6E6E6"/>
            <w:tcMar>
              <w:top w:w="80" w:type="dxa"/>
              <w:left w:w="80" w:type="dxa"/>
              <w:bottom w:w="80" w:type="dxa"/>
              <w:right w:w="80" w:type="dxa"/>
            </w:tcMar>
          </w:tcPr>
          <w:p w14:paraId="5669F169" w14:textId="60F50B9A" w:rsidR="006807E7" w:rsidRDefault="00376421">
            <w:pPr>
              <w:pStyle w:val="TableGrid1"/>
              <w:jc w:val="both"/>
              <w:rPr>
                <w:sz w:val="24"/>
                <w:szCs w:val="24"/>
              </w:rPr>
            </w:pPr>
            <w:r>
              <w:rPr>
                <w:b/>
                <w:bCs/>
                <w:sz w:val="24"/>
                <w:szCs w:val="24"/>
              </w:rPr>
              <w:t>Activity 1:</w:t>
            </w:r>
            <w:r>
              <w:rPr>
                <w:sz w:val="24"/>
                <w:szCs w:val="24"/>
              </w:rPr>
              <w:t xml:space="preserve"> </w:t>
            </w:r>
            <w:r>
              <w:rPr>
                <w:b/>
                <w:bCs/>
                <w:sz w:val="24"/>
                <w:szCs w:val="24"/>
              </w:rPr>
              <w:t>Readings o</w:t>
            </w:r>
            <w:r w:rsidR="002F139A">
              <w:rPr>
                <w:b/>
                <w:bCs/>
                <w:sz w:val="24"/>
                <w:szCs w:val="24"/>
              </w:rPr>
              <w:t>n Ethics and governance</w:t>
            </w:r>
            <w:r>
              <w:rPr>
                <w:sz w:val="24"/>
                <w:szCs w:val="24"/>
              </w:rPr>
              <w:t>.</w:t>
            </w:r>
          </w:p>
          <w:p w14:paraId="395F1C3E" w14:textId="77777777" w:rsidR="006807E7" w:rsidRDefault="00376421">
            <w:pPr>
              <w:pStyle w:val="TableGrid1"/>
              <w:jc w:val="both"/>
              <w:rPr>
                <w:sz w:val="24"/>
                <w:szCs w:val="24"/>
              </w:rPr>
            </w:pPr>
            <w:r>
              <w:rPr>
                <w:sz w:val="24"/>
                <w:szCs w:val="24"/>
              </w:rPr>
              <w:t xml:space="preserve">Your aim is to consider the problem of bias in decision-m akin as it may apply to your own business or </w:t>
            </w:r>
            <w:proofErr w:type="spellStart"/>
            <w:r>
              <w:rPr>
                <w:sz w:val="24"/>
                <w:szCs w:val="24"/>
              </w:rPr>
              <w:t>organisation</w:t>
            </w:r>
            <w:proofErr w:type="spellEnd"/>
            <w:r>
              <w:rPr>
                <w:sz w:val="24"/>
                <w:szCs w:val="24"/>
              </w:rPr>
              <w:t>.</w:t>
            </w:r>
          </w:p>
          <w:p w14:paraId="10CB3ADC" w14:textId="47CE032C" w:rsidR="006807E7" w:rsidRDefault="00376421">
            <w:pPr>
              <w:pStyle w:val="TableGrid1"/>
              <w:jc w:val="both"/>
              <w:rPr>
                <w:b/>
                <w:bCs/>
                <w:sz w:val="24"/>
                <w:szCs w:val="24"/>
              </w:rPr>
            </w:pPr>
            <w:r>
              <w:rPr>
                <w:b/>
                <w:bCs/>
                <w:sz w:val="24"/>
                <w:szCs w:val="24"/>
              </w:rPr>
              <w:t>Activity 2: Ap</w:t>
            </w:r>
            <w:r w:rsidR="002F139A">
              <w:rPr>
                <w:b/>
                <w:bCs/>
                <w:sz w:val="24"/>
                <w:szCs w:val="24"/>
              </w:rPr>
              <w:t>plying ethical policies</w:t>
            </w:r>
            <w:r>
              <w:rPr>
                <w:b/>
                <w:bCs/>
                <w:sz w:val="24"/>
                <w:szCs w:val="24"/>
              </w:rPr>
              <w:t>.</w:t>
            </w:r>
          </w:p>
          <w:p w14:paraId="67078B38" w14:textId="045399D9" w:rsidR="006807E7" w:rsidRPr="006A06D3" w:rsidRDefault="00376421">
            <w:pPr>
              <w:pStyle w:val="TableGrid1"/>
              <w:jc w:val="both"/>
              <w:rPr>
                <w:b/>
                <w:bCs/>
                <w:sz w:val="24"/>
                <w:szCs w:val="24"/>
              </w:rPr>
            </w:pPr>
            <w:r>
              <w:rPr>
                <w:sz w:val="24"/>
                <w:szCs w:val="24"/>
              </w:rPr>
              <w:t xml:space="preserve">Compare your </w:t>
            </w:r>
            <w:r w:rsidR="006A06D3">
              <w:rPr>
                <w:sz w:val="24"/>
                <w:szCs w:val="24"/>
              </w:rPr>
              <w:t>chosen</w:t>
            </w:r>
            <w:r>
              <w:rPr>
                <w:sz w:val="24"/>
                <w:szCs w:val="24"/>
              </w:rPr>
              <w:t xml:space="preserve"> business / </w:t>
            </w:r>
            <w:proofErr w:type="spellStart"/>
            <w:r>
              <w:rPr>
                <w:sz w:val="24"/>
                <w:szCs w:val="24"/>
              </w:rPr>
              <w:t>organisation’s</w:t>
            </w:r>
            <w:proofErr w:type="spellEnd"/>
            <w:r>
              <w:rPr>
                <w:sz w:val="24"/>
                <w:szCs w:val="24"/>
              </w:rPr>
              <w:t xml:space="preserve"> ethical policies and procedures to those published by </w:t>
            </w:r>
            <w:r w:rsidR="006A06D3">
              <w:rPr>
                <w:sz w:val="24"/>
                <w:szCs w:val="24"/>
              </w:rPr>
              <w:t>the</w:t>
            </w:r>
            <w:r>
              <w:rPr>
                <w:sz w:val="24"/>
                <w:szCs w:val="24"/>
              </w:rPr>
              <w:t xml:space="preserve"> established, well-known US association for professional managers</w:t>
            </w:r>
            <w:r w:rsidR="006A06D3">
              <w:rPr>
                <w:sz w:val="24"/>
                <w:szCs w:val="24"/>
              </w:rPr>
              <w:t xml:space="preserve"> (AOM)</w:t>
            </w:r>
            <w:r>
              <w:rPr>
                <w:sz w:val="24"/>
                <w:szCs w:val="24"/>
              </w:rPr>
              <w:t>.</w:t>
            </w:r>
            <w:r w:rsidR="006A06D3">
              <w:rPr>
                <w:sz w:val="24"/>
                <w:szCs w:val="24"/>
              </w:rPr>
              <w:t xml:space="preserve">  Consider examples where there may be a conflict between a company’s ethical policies and its business interests.</w:t>
            </w:r>
          </w:p>
        </w:tc>
      </w:tr>
    </w:tbl>
    <w:p w14:paraId="4A2AA4F4" w14:textId="77777777" w:rsidR="006807E7" w:rsidRDefault="00376421" w:rsidP="00047013">
      <w:pPr>
        <w:pStyle w:val="Body"/>
        <w:pBdr>
          <w:top w:val="single" w:sz="4" w:space="0" w:color="000000"/>
          <w:left w:val="single" w:sz="4" w:space="12" w:color="000000"/>
          <w:bottom w:val="single" w:sz="4" w:space="0" w:color="000000"/>
          <w:right w:val="single" w:sz="4" w:space="0" w:color="000000"/>
        </w:pBdr>
        <w:rPr>
          <w:rFonts w:ascii="Arial" w:eastAsia="Arial" w:hAnsi="Arial" w:cs="Arial"/>
          <w:sz w:val="20"/>
          <w:szCs w:val="20"/>
        </w:rPr>
      </w:pPr>
      <w:r>
        <w:rPr>
          <w:rFonts w:ascii="Arial" w:eastAsia="Arial" w:hAnsi="Arial" w:cs="Arial"/>
          <w:b/>
          <w:bCs/>
          <w:sz w:val="20"/>
          <w:szCs w:val="20"/>
        </w:rPr>
        <w:t>Guidance</w:t>
      </w:r>
      <w:r>
        <w:rPr>
          <w:rFonts w:ascii="Arial" w:eastAsia="Arial" w:hAnsi="Arial" w:cs="Arial"/>
          <w:sz w:val="20"/>
          <w:szCs w:val="20"/>
        </w:rPr>
        <w:t>:</w:t>
      </w:r>
    </w:p>
    <w:p w14:paraId="610704FF" w14:textId="77777777" w:rsidR="006807E7" w:rsidRDefault="00376421" w:rsidP="00047013">
      <w:pPr>
        <w:pStyle w:val="Body"/>
        <w:pBdr>
          <w:top w:val="single" w:sz="4" w:space="0" w:color="000000"/>
          <w:left w:val="single" w:sz="4" w:space="12" w:color="000000"/>
          <w:bottom w:val="single" w:sz="4" w:space="0" w:color="000000"/>
          <w:right w:val="single" w:sz="4" w:space="0" w:color="000000"/>
        </w:pBdr>
        <w:rPr>
          <w:rFonts w:ascii="Arial" w:eastAsia="Arial" w:hAnsi="Arial" w:cs="Arial"/>
          <w:sz w:val="20"/>
          <w:szCs w:val="20"/>
        </w:rPr>
      </w:pPr>
      <w:r>
        <w:rPr>
          <w:rFonts w:ascii="Arial" w:eastAsia="Arial" w:hAnsi="Arial" w:cs="Arial"/>
          <w:sz w:val="20"/>
          <w:szCs w:val="20"/>
        </w:rPr>
        <w:t xml:space="preserve">These activities </w:t>
      </w:r>
      <w:proofErr w:type="spellStart"/>
      <w:r>
        <w:rPr>
          <w:rFonts w:ascii="Arial" w:eastAsia="Arial" w:hAnsi="Arial" w:cs="Arial"/>
          <w:sz w:val="20"/>
          <w:szCs w:val="20"/>
        </w:rPr>
        <w:t>recognise</w:t>
      </w:r>
      <w:proofErr w:type="spellEnd"/>
      <w:r>
        <w:rPr>
          <w:rFonts w:ascii="Arial" w:eastAsia="Arial" w:hAnsi="Arial" w:cs="Arial"/>
          <w:sz w:val="20"/>
          <w:szCs w:val="20"/>
        </w:rPr>
        <w:t xml:space="preserve"> that you will better understand the role of business ethics and governance of decision-making by seeking to apply them in your own business or </w:t>
      </w:r>
      <w:proofErr w:type="spellStart"/>
      <w:r>
        <w:rPr>
          <w:rFonts w:ascii="Arial" w:eastAsia="Arial" w:hAnsi="Arial" w:cs="Arial"/>
          <w:sz w:val="20"/>
          <w:szCs w:val="20"/>
        </w:rPr>
        <w:t>organisational</w:t>
      </w:r>
      <w:proofErr w:type="spellEnd"/>
      <w:r>
        <w:rPr>
          <w:rFonts w:ascii="Arial" w:eastAsia="Arial" w:hAnsi="Arial" w:cs="Arial"/>
          <w:sz w:val="20"/>
          <w:szCs w:val="20"/>
        </w:rPr>
        <w:t xml:space="preserve"> contexts.  Keep your focus upon what are the problems which give rise to ‘gaps’ between the published ethical policies and procedures within a company and the practices of management grade staff within those companies (</w:t>
      </w:r>
      <w:proofErr w:type="spellStart"/>
      <w:r>
        <w:rPr>
          <w:rFonts w:ascii="Arial" w:eastAsia="Arial" w:hAnsi="Arial" w:cs="Arial"/>
          <w:sz w:val="20"/>
          <w:szCs w:val="20"/>
        </w:rPr>
        <w:t>organisations</w:t>
      </w:r>
      <w:proofErr w:type="spellEnd"/>
      <w:r>
        <w:rPr>
          <w:rFonts w:ascii="Arial" w:eastAsia="Arial" w:hAnsi="Arial" w:cs="Arial"/>
          <w:sz w:val="20"/>
          <w:szCs w:val="20"/>
        </w:rPr>
        <w:t xml:space="preserve">).  Consider carefully the examples of bias provided, alongside the differences between ‘legal’ compliance and  ‘ethical’ practice in strategic and operational contexts of decision-making.  </w:t>
      </w:r>
      <w:proofErr w:type="gramStart"/>
      <w:r>
        <w:rPr>
          <w:rFonts w:ascii="Arial" w:eastAsia="Arial" w:hAnsi="Arial" w:cs="Arial"/>
          <w:sz w:val="20"/>
          <w:szCs w:val="20"/>
        </w:rPr>
        <w:t>reflect</w:t>
      </w:r>
      <w:proofErr w:type="gramEnd"/>
      <w:r>
        <w:rPr>
          <w:rFonts w:ascii="Arial" w:eastAsia="Arial" w:hAnsi="Arial" w:cs="Arial"/>
          <w:sz w:val="20"/>
          <w:szCs w:val="20"/>
        </w:rPr>
        <w:t xml:space="preserve"> also upon your personal and social experience of how to assess the ethics of your own decisions.  Usually, there will not be a single “</w:t>
      </w:r>
      <w:proofErr w:type="spellStart"/>
      <w:r>
        <w:rPr>
          <w:rFonts w:ascii="Arial" w:eastAsia="Arial" w:hAnsi="Arial" w:cs="Arial"/>
          <w:sz w:val="20"/>
          <w:szCs w:val="20"/>
          <w:lang w:val="de-DE"/>
        </w:rPr>
        <w:t>best</w:t>
      </w:r>
      <w:proofErr w:type="spellEnd"/>
      <w:r>
        <w:rPr>
          <w:rFonts w:ascii="Arial" w:eastAsia="Arial" w:hAnsi="Arial" w:cs="Arial"/>
          <w:sz w:val="20"/>
          <w:szCs w:val="20"/>
          <w:lang w:val="de-DE"/>
        </w:rPr>
        <w:t xml:space="preserve"> </w:t>
      </w:r>
      <w:proofErr w:type="spellStart"/>
      <w:r>
        <w:rPr>
          <w:rFonts w:ascii="Arial" w:eastAsia="Arial" w:hAnsi="Arial" w:cs="Arial"/>
          <w:sz w:val="20"/>
          <w:szCs w:val="20"/>
          <w:lang w:val="de-DE"/>
        </w:rPr>
        <w:t>answer</w:t>
      </w:r>
      <w:proofErr w:type="spellEnd"/>
      <w:r>
        <w:rPr>
          <w:rFonts w:ascii="Arial" w:eastAsia="Arial" w:hAnsi="Arial" w:cs="Arial"/>
          <w:sz w:val="20"/>
          <w:szCs w:val="20"/>
        </w:rPr>
        <w:t>” – so interpretation of the evidence and the factors entering into decision-making processes are central to understanding the necessity for due diligence in monitoring and auditing managerial decisions.</w:t>
      </w:r>
    </w:p>
    <w:p w14:paraId="65579B1A" w14:textId="77777777" w:rsidR="006807E7" w:rsidRDefault="006807E7" w:rsidP="00047013">
      <w:pPr>
        <w:pStyle w:val="Body"/>
        <w:pBdr>
          <w:top w:val="single" w:sz="4" w:space="0" w:color="000000"/>
          <w:left w:val="single" w:sz="4" w:space="12" w:color="000000"/>
          <w:bottom w:val="single" w:sz="4" w:space="0" w:color="000000"/>
          <w:right w:val="single" w:sz="4" w:space="0" w:color="000000"/>
        </w:pBdr>
        <w:rPr>
          <w:rFonts w:ascii="Arial" w:eastAsia="Arial" w:hAnsi="Arial" w:cs="Arial"/>
          <w:sz w:val="22"/>
          <w:szCs w:val="22"/>
        </w:rPr>
      </w:pPr>
    </w:p>
    <w:p w14:paraId="6CE626EF" w14:textId="77777777" w:rsidR="006807E7" w:rsidRDefault="00376421" w:rsidP="00047013">
      <w:pPr>
        <w:pStyle w:val="Body"/>
        <w:pBdr>
          <w:top w:val="single" w:sz="4" w:space="0" w:color="000000"/>
          <w:left w:val="single" w:sz="4" w:space="12" w:color="000000"/>
          <w:bottom w:val="single" w:sz="4" w:space="0" w:color="000000"/>
          <w:right w:val="single" w:sz="4" w:space="0" w:color="000000"/>
        </w:pBdr>
        <w:rPr>
          <w:rFonts w:ascii="Arial" w:eastAsia="Arial" w:hAnsi="Arial" w:cs="Arial"/>
          <w:sz w:val="20"/>
          <w:szCs w:val="20"/>
        </w:rPr>
      </w:pPr>
      <w:r>
        <w:rPr>
          <w:rFonts w:ascii="Arial" w:eastAsia="Arial" w:hAnsi="Arial" w:cs="Arial"/>
          <w:b/>
          <w:bCs/>
          <w:sz w:val="20"/>
          <w:szCs w:val="20"/>
        </w:rPr>
        <w:t>Purpose</w:t>
      </w:r>
      <w:r>
        <w:rPr>
          <w:rFonts w:ascii="Arial" w:eastAsia="Arial" w:hAnsi="Arial" w:cs="Arial"/>
          <w:sz w:val="20"/>
          <w:szCs w:val="20"/>
        </w:rPr>
        <w:t>:</w:t>
      </w:r>
    </w:p>
    <w:p w14:paraId="54708DA4" w14:textId="77777777" w:rsidR="006807E7" w:rsidRDefault="00376421" w:rsidP="00047013">
      <w:pPr>
        <w:pStyle w:val="Body"/>
        <w:pBdr>
          <w:top w:val="single" w:sz="4" w:space="0" w:color="000000"/>
          <w:left w:val="single" w:sz="4" w:space="12" w:color="000000"/>
          <w:bottom w:val="single" w:sz="4" w:space="0" w:color="000000"/>
          <w:right w:val="single" w:sz="4" w:space="0" w:color="000000"/>
        </w:pBdr>
        <w:rPr>
          <w:rFonts w:ascii="Arial" w:eastAsia="Arial" w:hAnsi="Arial" w:cs="Arial"/>
          <w:sz w:val="22"/>
          <w:szCs w:val="22"/>
        </w:rPr>
      </w:pPr>
      <w:r>
        <w:rPr>
          <w:rFonts w:ascii="Arial" w:eastAsia="Arial" w:hAnsi="Arial" w:cs="Arial"/>
          <w:sz w:val="20"/>
          <w:szCs w:val="20"/>
        </w:rPr>
        <w:t xml:space="preserve">The aim of these activities is to raise issues and draw comparisons amongst the various </w:t>
      </w:r>
      <w:proofErr w:type="gramStart"/>
      <w:r>
        <w:rPr>
          <w:rFonts w:ascii="Arial" w:eastAsia="Arial" w:hAnsi="Arial" w:cs="Arial"/>
          <w:sz w:val="20"/>
          <w:szCs w:val="20"/>
        </w:rPr>
        <w:t>factors which</w:t>
      </w:r>
      <w:proofErr w:type="gramEnd"/>
      <w:r>
        <w:rPr>
          <w:rFonts w:ascii="Arial" w:eastAsia="Arial" w:hAnsi="Arial" w:cs="Arial"/>
          <w:sz w:val="20"/>
          <w:szCs w:val="20"/>
        </w:rPr>
        <w:t xml:space="preserve"> affect the effectiveness of codes of ethical conduct in business decision-making.  .</w:t>
      </w:r>
    </w:p>
    <w:p w14:paraId="7CF6BF4A" w14:textId="77777777" w:rsidR="006807E7" w:rsidRDefault="00376421">
      <w:pPr>
        <w:pStyle w:val="Body"/>
        <w:rPr>
          <w:rFonts w:ascii="Arial" w:eastAsia="Arial" w:hAnsi="Arial" w:cs="Arial"/>
          <w:b/>
          <w:bCs/>
        </w:rPr>
      </w:pPr>
      <w:r>
        <w:rPr>
          <w:rFonts w:ascii="Arial" w:eastAsia="Arial" w:hAnsi="Arial" w:cs="Arial"/>
          <w:b/>
          <w:bCs/>
        </w:rPr>
        <w:t>References used:</w:t>
      </w:r>
    </w:p>
    <w:p w14:paraId="21157D9C" w14:textId="77777777" w:rsidR="006807E7" w:rsidRDefault="00376421">
      <w:pPr>
        <w:pStyle w:val="LightShading1"/>
        <w:rPr>
          <w:rFonts w:ascii="Arial" w:eastAsia="Arial" w:hAnsi="Arial" w:cs="Arial"/>
          <w:sz w:val="24"/>
          <w:szCs w:val="24"/>
        </w:rPr>
      </w:pPr>
      <w:r>
        <w:rPr>
          <w:rFonts w:ascii="Arial" w:eastAsia="Arial" w:hAnsi="Arial" w:cs="Arial"/>
          <w:sz w:val="24"/>
          <w:szCs w:val="24"/>
        </w:rPr>
        <w:t xml:space="preserve">Academy of Management, “Code of Ethics” and “Ethical Policy and Procedures”, at </w:t>
      </w:r>
      <w:hyperlink r:id="rId10" w:history="1">
        <w:r>
          <w:rPr>
            <w:rStyle w:val="Hyperlink1"/>
            <w:sz w:val="24"/>
            <w:szCs w:val="24"/>
          </w:rPr>
          <w:t>http://aom.org/About-AOM/Ethics.aspx</w:t>
        </w:r>
      </w:hyperlink>
      <w:proofErr w:type="gramStart"/>
      <w:r>
        <w:rPr>
          <w:rFonts w:ascii="Arial" w:eastAsia="Arial" w:hAnsi="Arial" w:cs="Arial"/>
          <w:sz w:val="24"/>
          <w:szCs w:val="24"/>
        </w:rPr>
        <w:t xml:space="preserve"> ,</w:t>
      </w:r>
      <w:proofErr w:type="gramEnd"/>
      <w:r>
        <w:rPr>
          <w:rFonts w:ascii="Arial" w:eastAsia="Arial" w:hAnsi="Arial" w:cs="Arial"/>
          <w:sz w:val="24"/>
          <w:szCs w:val="24"/>
        </w:rPr>
        <w:t xml:space="preserve"> (Accessed: 08/11/2013).</w:t>
      </w:r>
    </w:p>
    <w:p w14:paraId="508089BC" w14:textId="77777777" w:rsidR="006807E7" w:rsidRDefault="00376421">
      <w:pPr>
        <w:pStyle w:val="LightShading1"/>
        <w:rPr>
          <w:rFonts w:ascii="Arial" w:eastAsia="Arial" w:hAnsi="Arial" w:cs="Arial"/>
          <w:sz w:val="24"/>
          <w:szCs w:val="24"/>
        </w:rPr>
      </w:pPr>
      <w:r>
        <w:rPr>
          <w:rFonts w:ascii="Arial"/>
          <w:sz w:val="24"/>
          <w:szCs w:val="24"/>
        </w:rPr>
        <w:t xml:space="preserve">Bate, P., </w:t>
      </w:r>
      <w:r>
        <w:rPr>
          <w:rFonts w:hAnsi="Arial"/>
          <w:sz w:val="24"/>
          <w:szCs w:val="24"/>
        </w:rPr>
        <w:t>“</w:t>
      </w:r>
      <w:r>
        <w:rPr>
          <w:rFonts w:ascii="Arial"/>
          <w:sz w:val="24"/>
          <w:szCs w:val="24"/>
        </w:rPr>
        <w:t>The Impact of Organizational Culture on Approaches to Organizational Problem-solving</w:t>
      </w:r>
      <w:r>
        <w:rPr>
          <w:rFonts w:hAnsi="Arial"/>
          <w:sz w:val="24"/>
          <w:szCs w:val="24"/>
        </w:rPr>
        <w:t>”</w:t>
      </w:r>
      <w:r>
        <w:rPr>
          <w:rFonts w:ascii="Arial"/>
          <w:sz w:val="24"/>
          <w:szCs w:val="24"/>
        </w:rPr>
        <w:t xml:space="preserve">, in G. </w:t>
      </w:r>
      <w:proofErr w:type="spellStart"/>
      <w:r>
        <w:rPr>
          <w:rFonts w:ascii="Arial"/>
          <w:sz w:val="24"/>
          <w:szCs w:val="24"/>
        </w:rPr>
        <w:t>Salaman</w:t>
      </w:r>
      <w:proofErr w:type="spellEnd"/>
      <w:r>
        <w:rPr>
          <w:rFonts w:ascii="Arial"/>
          <w:sz w:val="24"/>
          <w:szCs w:val="24"/>
        </w:rPr>
        <w:t xml:space="preserve">, (2002, </w:t>
      </w:r>
      <w:proofErr w:type="spellStart"/>
      <w:r>
        <w:rPr>
          <w:rFonts w:ascii="Arial"/>
          <w:sz w:val="24"/>
          <w:szCs w:val="24"/>
        </w:rPr>
        <w:t>repr</w:t>
      </w:r>
      <w:proofErr w:type="spellEnd"/>
      <w:r>
        <w:rPr>
          <w:rFonts w:ascii="Arial"/>
          <w:sz w:val="24"/>
          <w:szCs w:val="24"/>
        </w:rPr>
        <w:t xml:space="preserve">. 2008), </w:t>
      </w:r>
      <w:r>
        <w:rPr>
          <w:rFonts w:hAnsi="Arial"/>
          <w:sz w:val="24"/>
          <w:szCs w:val="24"/>
        </w:rPr>
        <w:t>‘</w:t>
      </w:r>
      <w:r>
        <w:rPr>
          <w:rFonts w:ascii="Arial"/>
          <w:i/>
          <w:iCs/>
          <w:sz w:val="24"/>
          <w:szCs w:val="24"/>
        </w:rPr>
        <w:t>Decision Making for Business, A Reader</w:t>
      </w:r>
      <w:r>
        <w:rPr>
          <w:rFonts w:hAnsi="Arial"/>
          <w:sz w:val="24"/>
          <w:szCs w:val="24"/>
        </w:rPr>
        <w:t>’</w:t>
      </w:r>
      <w:r>
        <w:rPr>
          <w:rFonts w:ascii="Arial"/>
          <w:sz w:val="24"/>
          <w:szCs w:val="24"/>
        </w:rPr>
        <w:t xml:space="preserve">, Chapter 12, pp.192. </w:t>
      </w:r>
    </w:p>
    <w:p w14:paraId="6E30D6BF" w14:textId="77777777" w:rsidR="006807E7" w:rsidRDefault="00376421">
      <w:pPr>
        <w:pStyle w:val="Body"/>
        <w:spacing w:before="120"/>
      </w:pPr>
      <w:r>
        <w:rPr>
          <w:rFonts w:ascii="Arial"/>
        </w:rPr>
        <w:t xml:space="preserve">Harvard Business Review, (2011), </w:t>
      </w:r>
      <w:r>
        <w:rPr>
          <w:rFonts w:ascii="Arial"/>
          <w:i/>
          <w:iCs/>
        </w:rPr>
        <w:t>Making Smart Decisions</w:t>
      </w:r>
      <w:r>
        <w:rPr>
          <w:rFonts w:ascii="Arial"/>
        </w:rPr>
        <w:t>, HBS Publishing, Cambridge, Mass., p. 172</w:t>
      </w:r>
    </w:p>
    <w:sectPr w:rsidR="006807E7">
      <w:headerReference w:type="default" r:id="rId11"/>
      <w:footerReference w:type="default" r:id="rId12"/>
      <w:pgSz w:w="11900" w:h="16820"/>
      <w:pgMar w:top="1418" w:right="1134" w:bottom="1474" w:left="1418" w:header="1021" w:footer="794"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049A43" w14:textId="77777777" w:rsidR="00641631" w:rsidRDefault="00641631">
      <w:r>
        <w:separator/>
      </w:r>
    </w:p>
  </w:endnote>
  <w:endnote w:type="continuationSeparator" w:id="0">
    <w:p w14:paraId="5573C760" w14:textId="77777777" w:rsidR="00641631" w:rsidRDefault="006416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Arial Unicode MS">
    <w:panose1 w:val="020B0604020202020204"/>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919971" w14:textId="77777777" w:rsidR="00641631" w:rsidRDefault="00641631">
    <w:pPr>
      <w:pStyle w:val="Footer"/>
    </w:pPr>
    <w:r>
      <w:t xml:space="preserve">Page | </w:t>
    </w:r>
    <w:r>
      <w:fldChar w:fldCharType="begin"/>
    </w:r>
    <w:r>
      <w:instrText xml:space="preserve"> PAGE </w:instrText>
    </w:r>
    <w:r>
      <w:fldChar w:fldCharType="separate"/>
    </w:r>
    <w:r w:rsidR="006A06D3">
      <w:rPr>
        <w:noProof/>
      </w:rPr>
      <w:t>4</w:t>
    </w:r>
    <w: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E4FA96" w14:textId="77777777" w:rsidR="00641631" w:rsidRDefault="00641631">
      <w:r>
        <w:separator/>
      </w:r>
    </w:p>
  </w:footnote>
  <w:footnote w:type="continuationSeparator" w:id="0">
    <w:p w14:paraId="03B68B1D" w14:textId="77777777" w:rsidR="00641631" w:rsidRDefault="0064163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4820CE" w14:textId="53316D19" w:rsidR="00641631" w:rsidRDefault="00641631">
    <w:pPr>
      <w:pStyle w:val="HeaderFooter"/>
    </w:pPr>
    <w:r>
      <w:rPr>
        <w:sz w:val="20"/>
        <w:szCs w:val="20"/>
      </w:rPr>
      <w:t>SBPD7004 Ethics, CSR and Governance.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C693F"/>
    <w:multiLevelType w:val="multilevel"/>
    <w:tmpl w:val="C0563ECC"/>
    <w:lvl w:ilvl="0">
      <w:start w:val="1"/>
      <w:numFmt w:val="bullet"/>
      <w:lvlText w:val="•"/>
      <w:lvlJc w:val="left"/>
      <w:rPr>
        <w:rFonts w:ascii="Arial" w:eastAsia="Arial" w:hAnsi="Arial" w:cs="Arial"/>
        <w:position w:val="0"/>
      </w:rPr>
    </w:lvl>
    <w:lvl w:ilvl="1">
      <w:start w:val="1"/>
      <w:numFmt w:val="bullet"/>
      <w:lvlText w:val="o"/>
      <w:lvlJc w:val="left"/>
      <w:rPr>
        <w:rFonts w:ascii="Arial" w:eastAsia="Arial" w:hAnsi="Arial" w:cs="Arial"/>
        <w:position w:val="0"/>
      </w:rPr>
    </w:lvl>
    <w:lvl w:ilvl="2">
      <w:start w:val="1"/>
      <w:numFmt w:val="bullet"/>
      <w:lvlText w:val="▪"/>
      <w:lvlJc w:val="left"/>
      <w:rPr>
        <w:rFonts w:ascii="Arial" w:eastAsia="Arial" w:hAnsi="Arial" w:cs="Arial"/>
        <w:position w:val="0"/>
      </w:rPr>
    </w:lvl>
    <w:lvl w:ilvl="3">
      <w:start w:val="1"/>
      <w:numFmt w:val="bullet"/>
      <w:lvlText w:val="•"/>
      <w:lvlJc w:val="left"/>
      <w:rPr>
        <w:rFonts w:ascii="Arial" w:eastAsia="Arial" w:hAnsi="Arial" w:cs="Arial"/>
        <w:position w:val="0"/>
      </w:rPr>
    </w:lvl>
    <w:lvl w:ilvl="4">
      <w:start w:val="1"/>
      <w:numFmt w:val="bullet"/>
      <w:lvlText w:val="o"/>
      <w:lvlJc w:val="left"/>
      <w:rPr>
        <w:rFonts w:ascii="Arial" w:eastAsia="Arial" w:hAnsi="Arial" w:cs="Arial"/>
        <w:position w:val="0"/>
      </w:rPr>
    </w:lvl>
    <w:lvl w:ilvl="5">
      <w:start w:val="1"/>
      <w:numFmt w:val="bullet"/>
      <w:lvlText w:val="▪"/>
      <w:lvlJc w:val="left"/>
      <w:rPr>
        <w:rFonts w:ascii="Arial" w:eastAsia="Arial" w:hAnsi="Arial" w:cs="Arial"/>
        <w:position w:val="0"/>
      </w:rPr>
    </w:lvl>
    <w:lvl w:ilvl="6">
      <w:start w:val="1"/>
      <w:numFmt w:val="bullet"/>
      <w:lvlText w:val="•"/>
      <w:lvlJc w:val="left"/>
      <w:rPr>
        <w:rFonts w:ascii="Arial" w:eastAsia="Arial" w:hAnsi="Arial" w:cs="Arial"/>
        <w:position w:val="0"/>
      </w:rPr>
    </w:lvl>
    <w:lvl w:ilvl="7">
      <w:start w:val="1"/>
      <w:numFmt w:val="bullet"/>
      <w:lvlText w:val="o"/>
      <w:lvlJc w:val="left"/>
      <w:rPr>
        <w:rFonts w:ascii="Arial" w:eastAsia="Arial" w:hAnsi="Arial" w:cs="Arial"/>
        <w:position w:val="0"/>
      </w:rPr>
    </w:lvl>
    <w:lvl w:ilvl="8">
      <w:start w:val="1"/>
      <w:numFmt w:val="bullet"/>
      <w:lvlText w:val="▪"/>
      <w:lvlJc w:val="left"/>
      <w:rPr>
        <w:rFonts w:ascii="Arial" w:eastAsia="Arial" w:hAnsi="Arial" w:cs="Arial"/>
        <w:position w:val="0"/>
      </w:rPr>
    </w:lvl>
  </w:abstractNum>
  <w:abstractNum w:abstractNumId="1">
    <w:nsid w:val="0E3E1EB2"/>
    <w:multiLevelType w:val="multilevel"/>
    <w:tmpl w:val="B7167052"/>
    <w:lvl w:ilvl="0">
      <w:numFmt w:val="bullet"/>
      <w:lvlText w:val="•"/>
      <w:lvlJc w:val="left"/>
      <w:pPr>
        <w:tabs>
          <w:tab w:val="num" w:pos="196"/>
        </w:tabs>
        <w:ind w:left="19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1">
      <w:start w:val="1"/>
      <w:numFmt w:val="bullet"/>
      <w:lvlText w:val="•"/>
      <w:lvlJc w:val="left"/>
      <w:pPr>
        <w:tabs>
          <w:tab w:val="num" w:pos="376"/>
        </w:tabs>
        <w:ind w:left="37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2">
      <w:start w:val="1"/>
      <w:numFmt w:val="bullet"/>
      <w:lvlText w:val="•"/>
      <w:lvlJc w:val="left"/>
      <w:pPr>
        <w:tabs>
          <w:tab w:val="num" w:pos="556"/>
        </w:tabs>
        <w:ind w:left="55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3">
      <w:start w:val="1"/>
      <w:numFmt w:val="bullet"/>
      <w:lvlText w:val="•"/>
      <w:lvlJc w:val="left"/>
      <w:pPr>
        <w:tabs>
          <w:tab w:val="num" w:pos="736"/>
        </w:tabs>
        <w:ind w:left="73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4">
      <w:start w:val="1"/>
      <w:numFmt w:val="bullet"/>
      <w:lvlText w:val="•"/>
      <w:lvlJc w:val="left"/>
      <w:pPr>
        <w:tabs>
          <w:tab w:val="num" w:pos="916"/>
        </w:tabs>
        <w:ind w:left="91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5">
      <w:start w:val="1"/>
      <w:numFmt w:val="bullet"/>
      <w:lvlText w:val="•"/>
      <w:lvlJc w:val="left"/>
      <w:pPr>
        <w:tabs>
          <w:tab w:val="num" w:pos="1096"/>
        </w:tabs>
        <w:ind w:left="109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6">
      <w:start w:val="1"/>
      <w:numFmt w:val="bullet"/>
      <w:lvlText w:val="•"/>
      <w:lvlJc w:val="left"/>
      <w:pPr>
        <w:tabs>
          <w:tab w:val="num" w:pos="1276"/>
        </w:tabs>
        <w:ind w:left="127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7">
      <w:start w:val="1"/>
      <w:numFmt w:val="bullet"/>
      <w:lvlText w:val="•"/>
      <w:lvlJc w:val="left"/>
      <w:pPr>
        <w:tabs>
          <w:tab w:val="num" w:pos="1456"/>
        </w:tabs>
        <w:ind w:left="145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8">
      <w:start w:val="1"/>
      <w:numFmt w:val="bullet"/>
      <w:lvlText w:val="•"/>
      <w:lvlJc w:val="left"/>
      <w:pPr>
        <w:tabs>
          <w:tab w:val="num" w:pos="1636"/>
        </w:tabs>
        <w:ind w:left="163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abstractNum>
  <w:abstractNum w:abstractNumId="2">
    <w:nsid w:val="3F2C2E32"/>
    <w:multiLevelType w:val="multilevel"/>
    <w:tmpl w:val="D1B84042"/>
    <w:lvl w:ilvl="0">
      <w:start w:val="1"/>
      <w:numFmt w:val="bullet"/>
      <w:lvlText w:val="•"/>
      <w:lvlJc w:val="left"/>
      <w:rPr>
        <w:position w:val="0"/>
      </w:rPr>
    </w:lvl>
    <w:lvl w:ilvl="1">
      <w:start w:val="1"/>
      <w:numFmt w:val="bullet"/>
      <w:lvlText w:val="o"/>
      <w:lvlJc w:val="left"/>
      <w:rPr>
        <w:position w:val="0"/>
      </w:rPr>
    </w:lvl>
    <w:lvl w:ilvl="2">
      <w:start w:val="1"/>
      <w:numFmt w:val="bullet"/>
      <w:lvlText w:val="▪"/>
      <w:lvlJc w:val="left"/>
      <w:rPr>
        <w:position w:val="0"/>
      </w:rPr>
    </w:lvl>
    <w:lvl w:ilvl="3">
      <w:start w:val="1"/>
      <w:numFmt w:val="bullet"/>
      <w:lvlText w:val="•"/>
      <w:lvlJc w:val="left"/>
      <w:rPr>
        <w:position w:val="0"/>
      </w:rPr>
    </w:lvl>
    <w:lvl w:ilvl="4">
      <w:start w:val="1"/>
      <w:numFmt w:val="bullet"/>
      <w:lvlText w:val="o"/>
      <w:lvlJc w:val="left"/>
      <w:rPr>
        <w:position w:val="0"/>
      </w:rPr>
    </w:lvl>
    <w:lvl w:ilvl="5">
      <w:start w:val="1"/>
      <w:numFmt w:val="bullet"/>
      <w:lvlText w:val="▪"/>
      <w:lvlJc w:val="left"/>
      <w:rPr>
        <w:position w:val="0"/>
      </w:rPr>
    </w:lvl>
    <w:lvl w:ilvl="6">
      <w:start w:val="1"/>
      <w:numFmt w:val="bullet"/>
      <w:lvlText w:val="•"/>
      <w:lvlJc w:val="left"/>
      <w:rPr>
        <w:position w:val="0"/>
      </w:rPr>
    </w:lvl>
    <w:lvl w:ilvl="7">
      <w:start w:val="1"/>
      <w:numFmt w:val="bullet"/>
      <w:lvlText w:val="o"/>
      <w:lvlJc w:val="left"/>
      <w:rPr>
        <w:position w:val="0"/>
      </w:rPr>
    </w:lvl>
    <w:lvl w:ilvl="8">
      <w:start w:val="1"/>
      <w:numFmt w:val="bullet"/>
      <w:lvlText w:val="▪"/>
      <w:lvlJc w:val="left"/>
      <w:rPr>
        <w:position w:val="0"/>
      </w:rPr>
    </w:lvl>
  </w:abstractNum>
  <w:abstractNum w:abstractNumId="3">
    <w:nsid w:val="43D0463E"/>
    <w:multiLevelType w:val="multilevel"/>
    <w:tmpl w:val="FC1A1A94"/>
    <w:styleLink w:val="Bullet"/>
    <w:lvl w:ilvl="0">
      <w:numFmt w:val="bullet"/>
      <w:lvlText w:val="•"/>
      <w:lvlJc w:val="left"/>
      <w:pPr>
        <w:tabs>
          <w:tab w:val="num" w:pos="164"/>
        </w:tabs>
        <w:ind w:left="164" w:hanging="164"/>
      </w:pPr>
      <w:rPr>
        <w:rFonts w:ascii="Arial" w:eastAsia="Arial" w:hAnsi="Arial" w:cs="Arial"/>
        <w:position w:val="-2"/>
        <w:sz w:val="20"/>
        <w:szCs w:val="20"/>
        <w:lang w:val="en-US"/>
      </w:rPr>
    </w:lvl>
    <w:lvl w:ilvl="1">
      <w:start w:val="1"/>
      <w:numFmt w:val="bullet"/>
      <w:lvlText w:val="•"/>
      <w:lvlJc w:val="left"/>
      <w:pPr>
        <w:tabs>
          <w:tab w:val="num" w:pos="344"/>
        </w:tabs>
        <w:ind w:left="344" w:hanging="164"/>
      </w:pPr>
      <w:rPr>
        <w:rFonts w:ascii="Arial" w:eastAsia="Arial" w:hAnsi="Arial" w:cs="Arial"/>
        <w:position w:val="-2"/>
        <w:sz w:val="20"/>
        <w:szCs w:val="20"/>
        <w:lang w:val="en-US"/>
      </w:rPr>
    </w:lvl>
    <w:lvl w:ilvl="2">
      <w:start w:val="1"/>
      <w:numFmt w:val="bullet"/>
      <w:lvlText w:val="•"/>
      <w:lvlJc w:val="left"/>
      <w:pPr>
        <w:tabs>
          <w:tab w:val="num" w:pos="524"/>
        </w:tabs>
        <w:ind w:left="524" w:hanging="164"/>
      </w:pPr>
      <w:rPr>
        <w:rFonts w:ascii="Arial" w:eastAsia="Arial" w:hAnsi="Arial" w:cs="Arial"/>
        <w:position w:val="-2"/>
        <w:sz w:val="20"/>
        <w:szCs w:val="20"/>
        <w:lang w:val="en-US"/>
      </w:rPr>
    </w:lvl>
    <w:lvl w:ilvl="3">
      <w:start w:val="1"/>
      <w:numFmt w:val="bullet"/>
      <w:lvlText w:val="•"/>
      <w:lvlJc w:val="left"/>
      <w:pPr>
        <w:tabs>
          <w:tab w:val="num" w:pos="704"/>
        </w:tabs>
        <w:ind w:left="704" w:hanging="164"/>
      </w:pPr>
      <w:rPr>
        <w:rFonts w:ascii="Arial" w:eastAsia="Arial" w:hAnsi="Arial" w:cs="Arial"/>
        <w:position w:val="-2"/>
        <w:sz w:val="20"/>
        <w:szCs w:val="20"/>
        <w:lang w:val="en-US"/>
      </w:rPr>
    </w:lvl>
    <w:lvl w:ilvl="4">
      <w:start w:val="1"/>
      <w:numFmt w:val="bullet"/>
      <w:lvlText w:val="•"/>
      <w:lvlJc w:val="left"/>
      <w:pPr>
        <w:tabs>
          <w:tab w:val="num" w:pos="884"/>
        </w:tabs>
        <w:ind w:left="884" w:hanging="164"/>
      </w:pPr>
      <w:rPr>
        <w:rFonts w:ascii="Arial" w:eastAsia="Arial" w:hAnsi="Arial" w:cs="Arial"/>
        <w:position w:val="-2"/>
        <w:sz w:val="20"/>
        <w:szCs w:val="20"/>
        <w:lang w:val="en-US"/>
      </w:rPr>
    </w:lvl>
    <w:lvl w:ilvl="5">
      <w:start w:val="1"/>
      <w:numFmt w:val="bullet"/>
      <w:lvlText w:val="•"/>
      <w:lvlJc w:val="left"/>
      <w:pPr>
        <w:tabs>
          <w:tab w:val="num" w:pos="1064"/>
        </w:tabs>
        <w:ind w:left="1064" w:hanging="164"/>
      </w:pPr>
      <w:rPr>
        <w:rFonts w:ascii="Arial" w:eastAsia="Arial" w:hAnsi="Arial" w:cs="Arial"/>
        <w:position w:val="-2"/>
        <w:sz w:val="20"/>
        <w:szCs w:val="20"/>
        <w:lang w:val="en-US"/>
      </w:rPr>
    </w:lvl>
    <w:lvl w:ilvl="6">
      <w:start w:val="1"/>
      <w:numFmt w:val="bullet"/>
      <w:lvlText w:val="•"/>
      <w:lvlJc w:val="left"/>
      <w:pPr>
        <w:tabs>
          <w:tab w:val="num" w:pos="1244"/>
        </w:tabs>
        <w:ind w:left="1244" w:hanging="164"/>
      </w:pPr>
      <w:rPr>
        <w:rFonts w:ascii="Arial" w:eastAsia="Arial" w:hAnsi="Arial" w:cs="Arial"/>
        <w:position w:val="-2"/>
        <w:sz w:val="20"/>
        <w:szCs w:val="20"/>
        <w:lang w:val="en-US"/>
      </w:rPr>
    </w:lvl>
    <w:lvl w:ilvl="7">
      <w:start w:val="1"/>
      <w:numFmt w:val="bullet"/>
      <w:lvlText w:val="•"/>
      <w:lvlJc w:val="left"/>
      <w:pPr>
        <w:tabs>
          <w:tab w:val="num" w:pos="1424"/>
        </w:tabs>
        <w:ind w:left="1424" w:hanging="164"/>
      </w:pPr>
      <w:rPr>
        <w:rFonts w:ascii="Arial" w:eastAsia="Arial" w:hAnsi="Arial" w:cs="Arial"/>
        <w:position w:val="-2"/>
        <w:sz w:val="20"/>
        <w:szCs w:val="20"/>
        <w:lang w:val="en-US"/>
      </w:rPr>
    </w:lvl>
    <w:lvl w:ilvl="8">
      <w:start w:val="1"/>
      <w:numFmt w:val="bullet"/>
      <w:lvlText w:val="•"/>
      <w:lvlJc w:val="left"/>
      <w:pPr>
        <w:tabs>
          <w:tab w:val="num" w:pos="1604"/>
        </w:tabs>
        <w:ind w:left="1604" w:hanging="164"/>
      </w:pPr>
      <w:rPr>
        <w:rFonts w:ascii="Arial" w:eastAsia="Arial" w:hAnsi="Arial" w:cs="Arial"/>
        <w:position w:val="-2"/>
        <w:sz w:val="20"/>
        <w:szCs w:val="20"/>
        <w:lang w:val="en-US"/>
      </w:rPr>
    </w:lvl>
  </w:abstractNum>
  <w:abstractNum w:abstractNumId="4">
    <w:nsid w:val="455B7B07"/>
    <w:multiLevelType w:val="multilevel"/>
    <w:tmpl w:val="FCF83C2E"/>
    <w:lvl w:ilvl="0">
      <w:start w:val="1"/>
      <w:numFmt w:val="bullet"/>
      <w:lvlText w:val="•"/>
      <w:lvlJc w:val="left"/>
      <w:pPr>
        <w:tabs>
          <w:tab w:val="num" w:pos="196"/>
        </w:tabs>
        <w:ind w:left="19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1">
      <w:start w:val="1"/>
      <w:numFmt w:val="bullet"/>
      <w:lvlText w:val="•"/>
      <w:lvlJc w:val="left"/>
      <w:pPr>
        <w:tabs>
          <w:tab w:val="num" w:pos="376"/>
        </w:tabs>
        <w:ind w:left="37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2">
      <w:start w:val="1"/>
      <w:numFmt w:val="bullet"/>
      <w:lvlText w:val="•"/>
      <w:lvlJc w:val="left"/>
      <w:pPr>
        <w:tabs>
          <w:tab w:val="num" w:pos="556"/>
        </w:tabs>
        <w:ind w:left="55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3">
      <w:start w:val="1"/>
      <w:numFmt w:val="bullet"/>
      <w:lvlText w:val="•"/>
      <w:lvlJc w:val="left"/>
      <w:pPr>
        <w:tabs>
          <w:tab w:val="num" w:pos="736"/>
        </w:tabs>
        <w:ind w:left="73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4">
      <w:start w:val="1"/>
      <w:numFmt w:val="bullet"/>
      <w:lvlText w:val="•"/>
      <w:lvlJc w:val="left"/>
      <w:pPr>
        <w:tabs>
          <w:tab w:val="num" w:pos="916"/>
        </w:tabs>
        <w:ind w:left="91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5">
      <w:start w:val="1"/>
      <w:numFmt w:val="bullet"/>
      <w:lvlText w:val="•"/>
      <w:lvlJc w:val="left"/>
      <w:pPr>
        <w:tabs>
          <w:tab w:val="num" w:pos="1096"/>
        </w:tabs>
        <w:ind w:left="109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6">
      <w:start w:val="1"/>
      <w:numFmt w:val="bullet"/>
      <w:lvlText w:val="•"/>
      <w:lvlJc w:val="left"/>
      <w:pPr>
        <w:tabs>
          <w:tab w:val="num" w:pos="1276"/>
        </w:tabs>
        <w:ind w:left="127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7">
      <w:start w:val="1"/>
      <w:numFmt w:val="bullet"/>
      <w:lvlText w:val="•"/>
      <w:lvlJc w:val="left"/>
      <w:pPr>
        <w:tabs>
          <w:tab w:val="num" w:pos="1456"/>
        </w:tabs>
        <w:ind w:left="145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lvl w:ilvl="8">
      <w:start w:val="1"/>
      <w:numFmt w:val="bullet"/>
      <w:lvlText w:val="•"/>
      <w:lvlJc w:val="left"/>
      <w:pPr>
        <w:tabs>
          <w:tab w:val="num" w:pos="1636"/>
        </w:tabs>
        <w:ind w:left="1636" w:hanging="196"/>
      </w:pPr>
      <w:rPr>
        <w:rFonts w:ascii="Arial" w:eastAsia="Arial" w:hAnsi="Arial" w:cs="Arial"/>
        <w:caps w:val="0"/>
        <w:smallCaps w:val="0"/>
        <w:strike w:val="0"/>
        <w:dstrike w:val="0"/>
        <w:outline w:val="0"/>
        <w:color w:val="000000"/>
        <w:spacing w:val="0"/>
        <w:kern w:val="0"/>
        <w:position w:val="-2"/>
        <w:sz w:val="24"/>
        <w:szCs w:val="24"/>
        <w:u w:val="none" w:color="000000"/>
        <w:vertAlign w:val="baseline"/>
        <w:rtl w:val="0"/>
        <w:lang w:val="en-US"/>
      </w:rPr>
    </w:lvl>
  </w:abstractNum>
  <w:abstractNum w:abstractNumId="5">
    <w:nsid w:val="56EE2D04"/>
    <w:multiLevelType w:val="multilevel"/>
    <w:tmpl w:val="4E8A7D9E"/>
    <w:styleLink w:val="List0"/>
    <w:lvl w:ilvl="0">
      <w:start w:val="1"/>
      <w:numFmt w:val="bullet"/>
      <w:lvlText w:val="•"/>
      <w:lvlJc w:val="left"/>
      <w:rPr>
        <w:rFonts w:ascii="Arial" w:eastAsia="Arial" w:hAnsi="Arial" w:cs="Arial"/>
        <w:position w:val="0"/>
      </w:rPr>
    </w:lvl>
    <w:lvl w:ilvl="1">
      <w:start w:val="1"/>
      <w:numFmt w:val="bullet"/>
      <w:lvlText w:val="o"/>
      <w:lvlJc w:val="left"/>
      <w:rPr>
        <w:rFonts w:ascii="Arial" w:eastAsia="Arial" w:hAnsi="Arial" w:cs="Arial"/>
        <w:position w:val="0"/>
      </w:rPr>
    </w:lvl>
    <w:lvl w:ilvl="2">
      <w:start w:val="1"/>
      <w:numFmt w:val="bullet"/>
      <w:lvlText w:val="▪"/>
      <w:lvlJc w:val="left"/>
      <w:rPr>
        <w:rFonts w:ascii="Arial" w:eastAsia="Arial" w:hAnsi="Arial" w:cs="Arial"/>
        <w:position w:val="0"/>
      </w:rPr>
    </w:lvl>
    <w:lvl w:ilvl="3">
      <w:start w:val="1"/>
      <w:numFmt w:val="bullet"/>
      <w:lvlText w:val="•"/>
      <w:lvlJc w:val="left"/>
      <w:rPr>
        <w:rFonts w:ascii="Arial" w:eastAsia="Arial" w:hAnsi="Arial" w:cs="Arial"/>
        <w:position w:val="0"/>
      </w:rPr>
    </w:lvl>
    <w:lvl w:ilvl="4">
      <w:start w:val="1"/>
      <w:numFmt w:val="bullet"/>
      <w:lvlText w:val="o"/>
      <w:lvlJc w:val="left"/>
      <w:rPr>
        <w:rFonts w:ascii="Arial" w:eastAsia="Arial" w:hAnsi="Arial" w:cs="Arial"/>
        <w:position w:val="0"/>
      </w:rPr>
    </w:lvl>
    <w:lvl w:ilvl="5">
      <w:start w:val="1"/>
      <w:numFmt w:val="bullet"/>
      <w:lvlText w:val="▪"/>
      <w:lvlJc w:val="left"/>
      <w:rPr>
        <w:rFonts w:ascii="Arial" w:eastAsia="Arial" w:hAnsi="Arial" w:cs="Arial"/>
        <w:position w:val="0"/>
      </w:rPr>
    </w:lvl>
    <w:lvl w:ilvl="6">
      <w:start w:val="1"/>
      <w:numFmt w:val="bullet"/>
      <w:lvlText w:val="•"/>
      <w:lvlJc w:val="left"/>
      <w:rPr>
        <w:rFonts w:ascii="Arial" w:eastAsia="Arial" w:hAnsi="Arial" w:cs="Arial"/>
        <w:position w:val="0"/>
      </w:rPr>
    </w:lvl>
    <w:lvl w:ilvl="7">
      <w:start w:val="1"/>
      <w:numFmt w:val="bullet"/>
      <w:lvlText w:val="o"/>
      <w:lvlJc w:val="left"/>
      <w:rPr>
        <w:rFonts w:ascii="Arial" w:eastAsia="Arial" w:hAnsi="Arial" w:cs="Arial"/>
        <w:position w:val="0"/>
      </w:rPr>
    </w:lvl>
    <w:lvl w:ilvl="8">
      <w:start w:val="1"/>
      <w:numFmt w:val="bullet"/>
      <w:lvlText w:val="▪"/>
      <w:lvlJc w:val="left"/>
      <w:rPr>
        <w:rFonts w:ascii="Arial" w:eastAsia="Arial" w:hAnsi="Arial" w:cs="Arial"/>
        <w:position w:val="0"/>
      </w:rPr>
    </w:lvl>
  </w:abstractNum>
  <w:num w:numId="1">
    <w:abstractNumId w:val="4"/>
  </w:num>
  <w:num w:numId="2">
    <w:abstractNumId w:val="1"/>
  </w:num>
  <w:num w:numId="3">
    <w:abstractNumId w:val="3"/>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6807E7"/>
    <w:rsid w:val="00040999"/>
    <w:rsid w:val="00047013"/>
    <w:rsid w:val="000D270E"/>
    <w:rsid w:val="002F139A"/>
    <w:rsid w:val="00376421"/>
    <w:rsid w:val="00641631"/>
    <w:rsid w:val="006807E7"/>
    <w:rsid w:val="006A06D3"/>
    <w:rsid w:val="006C110D"/>
    <w:rsid w:val="00870FD0"/>
    <w:rsid w:val="00A65F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264C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lang w:val="en-US"/>
    </w:rPr>
  </w:style>
  <w:style w:type="paragraph" w:styleId="Footer">
    <w:name w:val="footer"/>
    <w:pPr>
      <w:tabs>
        <w:tab w:val="center" w:pos="4320"/>
        <w:tab w:val="right" w:pos="8640"/>
      </w:tabs>
    </w:pPr>
    <w:rPr>
      <w:rFonts w:ascii="Calibri" w:eastAsia="Calibri" w:hAnsi="Calibri" w:cs="Calibri"/>
      <w:color w:val="000000"/>
      <w:sz w:val="24"/>
      <w:szCs w:val="24"/>
      <w:u w:color="000000"/>
      <w:lang w:val="en-US"/>
    </w:rPr>
  </w:style>
  <w:style w:type="paragraph" w:customStyle="1" w:styleId="Body">
    <w:name w:val="Body"/>
    <w:rPr>
      <w:rFonts w:ascii="Calibri" w:eastAsia="Calibri" w:hAnsi="Calibri" w:cs="Calibri"/>
      <w:color w:val="000000"/>
      <w:sz w:val="24"/>
      <w:szCs w:val="24"/>
      <w:u w:color="000000"/>
      <w:lang w:val="en-US"/>
    </w:rPr>
  </w:style>
  <w:style w:type="paragraph" w:customStyle="1" w:styleId="TableStyle1">
    <w:name w:val="Table Style 1"/>
    <w:rPr>
      <w:rFonts w:ascii="Helvetica" w:eastAsia="Helvetica" w:hAnsi="Helvetica" w:cs="Helvetica"/>
      <w:b/>
      <w:bCs/>
      <w:color w:val="000000"/>
    </w:rPr>
  </w:style>
  <w:style w:type="paragraph" w:customStyle="1" w:styleId="TableStyle2">
    <w:name w:val="Table Style 2"/>
    <w:rPr>
      <w:rFonts w:ascii="Helvetica" w:eastAsia="Helvetica" w:hAnsi="Helvetica" w:cs="Helvetica"/>
      <w:color w:val="000000"/>
    </w:rPr>
  </w:style>
  <w:style w:type="paragraph" w:customStyle="1" w:styleId="LightShading1">
    <w:name w:val="Light Shading1"/>
    <w:rPr>
      <w:rFonts w:ascii="Calibri" w:eastAsia="Calibri" w:hAnsi="Calibri" w:cs="Calibri"/>
      <w:color w:val="000000"/>
      <w:sz w:val="22"/>
      <w:szCs w:val="22"/>
      <w:u w:color="000000"/>
      <w:lang w:val="en-US"/>
    </w:rPr>
  </w:style>
  <w:style w:type="character" w:customStyle="1" w:styleId="Hyperlink0">
    <w:name w:val="Hyperlink.0"/>
    <w:basedOn w:val="Hyperlink"/>
    <w:rPr>
      <w:color w:val="0000FF"/>
      <w:u w:val="single" w:color="0000FF"/>
    </w:rPr>
  </w:style>
  <w:style w:type="numbering" w:customStyle="1" w:styleId="Bullet">
    <w:name w:val="Bullet"/>
    <w:pPr>
      <w:numPr>
        <w:numId w:val="3"/>
      </w:numPr>
    </w:pPr>
  </w:style>
  <w:style w:type="paragraph" w:styleId="ListParagraph">
    <w:name w:val="List Paragraph"/>
    <w:pPr>
      <w:ind w:left="720"/>
    </w:pPr>
    <w:rPr>
      <w:rFonts w:ascii="Calibri" w:eastAsia="Calibri" w:hAnsi="Calibri" w:cs="Calibri"/>
      <w:color w:val="000000"/>
      <w:sz w:val="24"/>
      <w:szCs w:val="24"/>
      <w:u w:color="000000"/>
      <w:lang w:val="en-US"/>
    </w:rPr>
  </w:style>
  <w:style w:type="numbering" w:customStyle="1" w:styleId="List0">
    <w:name w:val="List 0"/>
    <w:basedOn w:val="ImportedStyle1"/>
    <w:pPr>
      <w:numPr>
        <w:numId w:val="6"/>
      </w:numPr>
    </w:pPr>
  </w:style>
  <w:style w:type="numbering" w:customStyle="1" w:styleId="ImportedStyle1">
    <w:name w:val="Imported Style 1"/>
  </w:style>
  <w:style w:type="paragraph" w:customStyle="1" w:styleId="TableGrid1">
    <w:name w:val="Table Grid1"/>
    <w:rPr>
      <w:rFonts w:ascii="Calibri" w:eastAsia="Calibri" w:hAnsi="Calibri" w:cs="Calibri"/>
      <w:color w:val="000000"/>
      <w:sz w:val="22"/>
      <w:szCs w:val="22"/>
      <w:u w:color="000000"/>
      <w:lang w:val="en-US"/>
    </w:rPr>
  </w:style>
  <w:style w:type="character" w:customStyle="1" w:styleId="Hyperlink1">
    <w:name w:val="Hyperlink.1"/>
    <w:basedOn w:val="Hyperlink0"/>
    <w:rPr>
      <w:rFonts w:ascii="Arial" w:eastAsia="Arial" w:hAnsi="Arial" w:cs="Arial"/>
      <w:color w:val="0000FF"/>
      <w:u w:val="single" w:color="0000FF"/>
    </w:rPr>
  </w:style>
  <w:style w:type="paragraph" w:styleId="Header">
    <w:name w:val="header"/>
    <w:basedOn w:val="Normal"/>
    <w:link w:val="HeaderChar"/>
    <w:uiPriority w:val="99"/>
    <w:unhideWhenUsed/>
    <w:rsid w:val="00641631"/>
    <w:pPr>
      <w:tabs>
        <w:tab w:val="center" w:pos="4320"/>
        <w:tab w:val="right" w:pos="8640"/>
      </w:tabs>
    </w:pPr>
  </w:style>
  <w:style w:type="character" w:customStyle="1" w:styleId="HeaderChar">
    <w:name w:val="Header Char"/>
    <w:basedOn w:val="DefaultParagraphFont"/>
    <w:link w:val="Header"/>
    <w:uiPriority w:val="99"/>
    <w:rsid w:val="00641631"/>
    <w:rPr>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lang w:val="en-US"/>
    </w:rPr>
  </w:style>
  <w:style w:type="paragraph" w:styleId="Footer">
    <w:name w:val="footer"/>
    <w:pPr>
      <w:tabs>
        <w:tab w:val="center" w:pos="4320"/>
        <w:tab w:val="right" w:pos="8640"/>
      </w:tabs>
    </w:pPr>
    <w:rPr>
      <w:rFonts w:ascii="Calibri" w:eastAsia="Calibri" w:hAnsi="Calibri" w:cs="Calibri"/>
      <w:color w:val="000000"/>
      <w:sz w:val="24"/>
      <w:szCs w:val="24"/>
      <w:u w:color="000000"/>
      <w:lang w:val="en-US"/>
    </w:rPr>
  </w:style>
  <w:style w:type="paragraph" w:customStyle="1" w:styleId="Body">
    <w:name w:val="Body"/>
    <w:rPr>
      <w:rFonts w:ascii="Calibri" w:eastAsia="Calibri" w:hAnsi="Calibri" w:cs="Calibri"/>
      <w:color w:val="000000"/>
      <w:sz w:val="24"/>
      <w:szCs w:val="24"/>
      <w:u w:color="000000"/>
      <w:lang w:val="en-US"/>
    </w:rPr>
  </w:style>
  <w:style w:type="paragraph" w:customStyle="1" w:styleId="TableStyle1">
    <w:name w:val="Table Style 1"/>
    <w:rPr>
      <w:rFonts w:ascii="Helvetica" w:eastAsia="Helvetica" w:hAnsi="Helvetica" w:cs="Helvetica"/>
      <w:b/>
      <w:bCs/>
      <w:color w:val="000000"/>
    </w:rPr>
  </w:style>
  <w:style w:type="paragraph" w:customStyle="1" w:styleId="TableStyle2">
    <w:name w:val="Table Style 2"/>
    <w:rPr>
      <w:rFonts w:ascii="Helvetica" w:eastAsia="Helvetica" w:hAnsi="Helvetica" w:cs="Helvetica"/>
      <w:color w:val="000000"/>
    </w:rPr>
  </w:style>
  <w:style w:type="paragraph" w:customStyle="1" w:styleId="LightShading1">
    <w:name w:val="Light Shading1"/>
    <w:rPr>
      <w:rFonts w:ascii="Calibri" w:eastAsia="Calibri" w:hAnsi="Calibri" w:cs="Calibri"/>
      <w:color w:val="000000"/>
      <w:sz w:val="22"/>
      <w:szCs w:val="22"/>
      <w:u w:color="000000"/>
      <w:lang w:val="en-US"/>
    </w:rPr>
  </w:style>
  <w:style w:type="character" w:customStyle="1" w:styleId="Hyperlink0">
    <w:name w:val="Hyperlink.0"/>
    <w:basedOn w:val="Hyperlink"/>
    <w:rPr>
      <w:color w:val="0000FF"/>
      <w:u w:val="single" w:color="0000FF"/>
    </w:rPr>
  </w:style>
  <w:style w:type="numbering" w:customStyle="1" w:styleId="Bullet">
    <w:name w:val="Bullet"/>
    <w:pPr>
      <w:numPr>
        <w:numId w:val="3"/>
      </w:numPr>
    </w:pPr>
  </w:style>
  <w:style w:type="paragraph" w:styleId="ListParagraph">
    <w:name w:val="List Paragraph"/>
    <w:pPr>
      <w:ind w:left="720"/>
    </w:pPr>
    <w:rPr>
      <w:rFonts w:ascii="Calibri" w:eastAsia="Calibri" w:hAnsi="Calibri" w:cs="Calibri"/>
      <w:color w:val="000000"/>
      <w:sz w:val="24"/>
      <w:szCs w:val="24"/>
      <w:u w:color="000000"/>
      <w:lang w:val="en-US"/>
    </w:rPr>
  </w:style>
  <w:style w:type="numbering" w:customStyle="1" w:styleId="List0">
    <w:name w:val="List 0"/>
    <w:basedOn w:val="ImportedStyle1"/>
    <w:pPr>
      <w:numPr>
        <w:numId w:val="6"/>
      </w:numPr>
    </w:pPr>
  </w:style>
  <w:style w:type="numbering" w:customStyle="1" w:styleId="ImportedStyle1">
    <w:name w:val="Imported Style 1"/>
  </w:style>
  <w:style w:type="paragraph" w:customStyle="1" w:styleId="TableGrid1">
    <w:name w:val="Table Grid1"/>
    <w:rPr>
      <w:rFonts w:ascii="Calibri" w:eastAsia="Calibri" w:hAnsi="Calibri" w:cs="Calibri"/>
      <w:color w:val="000000"/>
      <w:sz w:val="22"/>
      <w:szCs w:val="22"/>
      <w:u w:color="000000"/>
      <w:lang w:val="en-US"/>
    </w:rPr>
  </w:style>
  <w:style w:type="character" w:customStyle="1" w:styleId="Hyperlink1">
    <w:name w:val="Hyperlink.1"/>
    <w:basedOn w:val="Hyperlink0"/>
    <w:rPr>
      <w:rFonts w:ascii="Arial" w:eastAsia="Arial" w:hAnsi="Arial" w:cs="Arial"/>
      <w:color w:val="0000FF"/>
      <w:u w:val="single" w:color="0000FF"/>
    </w:rPr>
  </w:style>
  <w:style w:type="paragraph" w:styleId="Header">
    <w:name w:val="header"/>
    <w:basedOn w:val="Normal"/>
    <w:link w:val="HeaderChar"/>
    <w:uiPriority w:val="99"/>
    <w:unhideWhenUsed/>
    <w:rsid w:val="00641631"/>
    <w:pPr>
      <w:tabs>
        <w:tab w:val="center" w:pos="4320"/>
        <w:tab w:val="right" w:pos="8640"/>
      </w:tabs>
    </w:pPr>
  </w:style>
  <w:style w:type="character" w:customStyle="1" w:styleId="HeaderChar">
    <w:name w:val="Header Char"/>
    <w:basedOn w:val="DefaultParagraphFont"/>
    <w:link w:val="Header"/>
    <w:uiPriority w:val="99"/>
    <w:rsid w:val="00641631"/>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aom.org/about/" TargetMode="External"/><Relationship Id="rId9" Type="http://schemas.openxmlformats.org/officeDocument/2006/relationships/hyperlink" Target="http://aom.org/about" TargetMode="External"/><Relationship Id="rId10" Type="http://schemas.openxmlformats.org/officeDocument/2006/relationships/hyperlink" Target="http://aom.org/About-AOM/Ethic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1972</Words>
  <Characters>11245</Characters>
  <Application>Microsoft Macintosh Word</Application>
  <DocSecurity>0</DocSecurity>
  <Lines>93</Lines>
  <Paragraphs>26</Paragraphs>
  <ScaleCrop>false</ScaleCrop>
  <Company>Queen Mary, University of London</Company>
  <LinksUpToDate>false</LinksUpToDate>
  <CharactersWithSpaces>13191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Stephen Sommerville</cp:lastModifiedBy>
  <cp:revision>4</cp:revision>
  <dcterms:created xsi:type="dcterms:W3CDTF">2014-03-13T23:42:00Z</dcterms:created>
  <dcterms:modified xsi:type="dcterms:W3CDTF">2014-03-13T23:54:00Z</dcterms:modified>
</cp:coreProperties>
</file>