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234BB9" w14:textId="392634A6" w:rsidR="007C0352" w:rsidRPr="007C0352" w:rsidRDefault="007C0352" w:rsidP="00C91EFE">
      <w:pPr>
        <w:spacing w:line="360" w:lineRule="auto"/>
        <w:jc w:val="center"/>
        <w:rPr>
          <w:rFonts w:ascii="Arial" w:hAnsi="Arial" w:cs="Arial"/>
        </w:rPr>
      </w:pPr>
      <w:r w:rsidRPr="007C0352">
        <w:rPr>
          <w:rFonts w:ascii="Arial" w:hAnsi="Arial" w:cs="Arial"/>
          <w:b/>
          <w:bCs/>
        </w:rPr>
        <w:t>Student Name:</w:t>
      </w:r>
      <w:r w:rsidR="00C656E2" w:rsidRPr="00C91EFE">
        <w:rPr>
          <w:rFonts w:ascii="Arial" w:hAnsi="Arial" w:cs="Arial"/>
          <w:b/>
          <w:bCs/>
        </w:rPr>
        <w:t xml:space="preserve"> </w:t>
      </w:r>
      <w:r w:rsidR="00C656E2" w:rsidRPr="00C91EFE">
        <w:rPr>
          <w:rFonts w:ascii="Arial" w:hAnsi="Arial" w:cs="Arial"/>
        </w:rPr>
        <w:t xml:space="preserve">Kerry </w:t>
      </w:r>
      <w:r w:rsidR="008A33C4" w:rsidRPr="00C91EFE">
        <w:rPr>
          <w:rFonts w:ascii="Arial" w:hAnsi="Arial" w:cs="Arial"/>
        </w:rPr>
        <w:t>W</w:t>
      </w:r>
      <w:r w:rsidR="00C656E2" w:rsidRPr="00C91EFE">
        <w:rPr>
          <w:rFonts w:ascii="Arial" w:hAnsi="Arial" w:cs="Arial"/>
        </w:rPr>
        <w:t>all</w:t>
      </w:r>
      <w:r w:rsidRPr="007C0352">
        <w:rPr>
          <w:rFonts w:ascii="Arial" w:hAnsi="Arial" w:cs="Arial"/>
        </w:rPr>
        <w:br/>
      </w:r>
      <w:r w:rsidRPr="007C0352">
        <w:rPr>
          <w:rFonts w:ascii="Arial" w:hAnsi="Arial" w:cs="Arial"/>
          <w:b/>
          <w:bCs/>
        </w:rPr>
        <w:t>Student Number:</w:t>
      </w:r>
      <w:r w:rsidR="008A33C4" w:rsidRPr="00C91EFE">
        <w:rPr>
          <w:rFonts w:ascii="Arial" w:hAnsi="Arial" w:cs="Arial"/>
          <w:b/>
          <w:bCs/>
        </w:rPr>
        <w:t xml:space="preserve"> </w:t>
      </w:r>
      <w:r w:rsidR="008A33C4" w:rsidRPr="00C91EFE">
        <w:rPr>
          <w:rFonts w:ascii="Arial" w:hAnsi="Arial" w:cs="Arial"/>
        </w:rPr>
        <w:t>2511436</w:t>
      </w:r>
      <w:r w:rsidRPr="007C0352">
        <w:rPr>
          <w:rFonts w:ascii="Arial" w:hAnsi="Arial" w:cs="Arial"/>
        </w:rPr>
        <w:br/>
      </w:r>
      <w:r w:rsidRPr="007C0352">
        <w:rPr>
          <w:rFonts w:ascii="Arial" w:hAnsi="Arial" w:cs="Arial"/>
          <w:b/>
          <w:bCs/>
        </w:rPr>
        <w:t>Programme:</w:t>
      </w:r>
      <w:r w:rsidRPr="007C0352">
        <w:rPr>
          <w:rFonts w:ascii="Arial" w:hAnsi="Arial" w:cs="Arial"/>
        </w:rPr>
        <w:t xml:space="preserve"> Certificate of Higher Education Skills for the Workplace (Health &amp; Social Care)</w:t>
      </w:r>
      <w:r w:rsidRPr="007C0352">
        <w:rPr>
          <w:rFonts w:ascii="Arial" w:hAnsi="Arial" w:cs="Arial"/>
        </w:rPr>
        <w:br/>
      </w:r>
      <w:r w:rsidRPr="007C0352">
        <w:rPr>
          <w:rFonts w:ascii="Arial" w:hAnsi="Arial" w:cs="Arial"/>
          <w:b/>
          <w:bCs/>
        </w:rPr>
        <w:t>Module Title:</w:t>
      </w:r>
      <w:r w:rsidRPr="007C0352">
        <w:rPr>
          <w:rFonts w:ascii="Arial" w:hAnsi="Arial" w:cs="Arial"/>
        </w:rPr>
        <w:t xml:space="preserve"> Introduction to Health and Social Care</w:t>
      </w:r>
      <w:r w:rsidRPr="007C0352">
        <w:rPr>
          <w:rFonts w:ascii="Arial" w:hAnsi="Arial" w:cs="Arial"/>
        </w:rPr>
        <w:br/>
      </w:r>
      <w:r w:rsidRPr="007C0352">
        <w:rPr>
          <w:rFonts w:ascii="Arial" w:hAnsi="Arial" w:cs="Arial"/>
          <w:b/>
          <w:bCs/>
        </w:rPr>
        <w:t>Module Code:</w:t>
      </w:r>
      <w:r w:rsidRPr="007C0352">
        <w:rPr>
          <w:rFonts w:ascii="Arial" w:hAnsi="Arial" w:cs="Arial"/>
        </w:rPr>
        <w:t xml:space="preserve"> LCHS4003</w:t>
      </w:r>
      <w:r w:rsidRPr="007C0352">
        <w:rPr>
          <w:rFonts w:ascii="Arial" w:hAnsi="Arial" w:cs="Arial"/>
        </w:rPr>
        <w:br/>
      </w:r>
      <w:r w:rsidRPr="007C0352">
        <w:rPr>
          <w:rFonts w:ascii="Arial" w:hAnsi="Arial" w:cs="Arial"/>
          <w:b/>
          <w:bCs/>
        </w:rPr>
        <w:t>Lecturer:</w:t>
      </w:r>
      <w:r w:rsidRPr="007C0352">
        <w:rPr>
          <w:rFonts w:ascii="Arial" w:hAnsi="Arial" w:cs="Arial"/>
        </w:rPr>
        <w:t xml:space="preserve"> </w:t>
      </w:r>
      <w:r w:rsidR="008A33C4" w:rsidRPr="00C91EFE">
        <w:rPr>
          <w:rFonts w:ascii="Arial" w:hAnsi="Arial" w:cs="Arial"/>
        </w:rPr>
        <w:t>Eleni Koutsogeogou-Andreou</w:t>
      </w:r>
      <w:r w:rsidRPr="007C0352">
        <w:rPr>
          <w:rFonts w:ascii="Arial" w:hAnsi="Arial" w:cs="Arial"/>
        </w:rPr>
        <w:br/>
      </w:r>
      <w:r w:rsidRPr="007C0352">
        <w:rPr>
          <w:rFonts w:ascii="Arial" w:hAnsi="Arial" w:cs="Arial"/>
          <w:b/>
          <w:bCs/>
        </w:rPr>
        <w:t>Assignment Title:</w:t>
      </w:r>
      <w:r w:rsidRPr="007C0352">
        <w:rPr>
          <w:rFonts w:ascii="Arial" w:hAnsi="Arial" w:cs="Arial"/>
        </w:rPr>
        <w:t xml:space="preserve"> Written Assignment – Mr Ahmed Case Study</w:t>
      </w:r>
    </w:p>
    <w:p w14:paraId="7C1CA204" w14:textId="40C8368B" w:rsidR="007C0352" w:rsidRPr="00C91EFE" w:rsidRDefault="007C0352" w:rsidP="00C91EFE">
      <w:pPr>
        <w:spacing w:line="360" w:lineRule="auto"/>
        <w:rPr>
          <w:rFonts w:ascii="Arial" w:hAnsi="Arial" w:cs="Arial"/>
        </w:rPr>
      </w:pPr>
    </w:p>
    <w:p w14:paraId="5BE139C0" w14:textId="6A7170FC" w:rsidR="007C0352" w:rsidRPr="00C91EFE" w:rsidRDefault="007C0352" w:rsidP="00C91EFE">
      <w:pPr>
        <w:spacing w:line="360" w:lineRule="auto"/>
        <w:rPr>
          <w:rFonts w:ascii="Arial" w:hAnsi="Arial" w:cs="Arial"/>
        </w:rPr>
      </w:pPr>
    </w:p>
    <w:p w14:paraId="1D086584" w14:textId="662B36FE" w:rsidR="007C0352" w:rsidRPr="00C91EFE" w:rsidRDefault="007C0352" w:rsidP="00C91EFE">
      <w:pPr>
        <w:spacing w:line="360" w:lineRule="auto"/>
        <w:rPr>
          <w:rFonts w:ascii="Arial" w:hAnsi="Arial" w:cs="Arial"/>
        </w:rPr>
      </w:pPr>
    </w:p>
    <w:p w14:paraId="22E99766" w14:textId="7661F7D2" w:rsidR="007C0352" w:rsidRPr="00C91EFE" w:rsidRDefault="007C0352" w:rsidP="00C91EFE">
      <w:pPr>
        <w:spacing w:line="360" w:lineRule="auto"/>
        <w:rPr>
          <w:rFonts w:ascii="Arial" w:hAnsi="Arial" w:cs="Arial"/>
        </w:rPr>
      </w:pPr>
    </w:p>
    <w:p w14:paraId="276D3657" w14:textId="23CA759C" w:rsidR="007C0352" w:rsidRPr="00C91EFE" w:rsidRDefault="007C0352" w:rsidP="00C91EFE">
      <w:pPr>
        <w:spacing w:line="360" w:lineRule="auto"/>
        <w:rPr>
          <w:rFonts w:ascii="Arial" w:hAnsi="Arial" w:cs="Arial"/>
        </w:rPr>
      </w:pPr>
    </w:p>
    <w:p w14:paraId="290E9885" w14:textId="2FFDFEA8" w:rsidR="007C0352" w:rsidRPr="00C91EFE" w:rsidRDefault="007C0352" w:rsidP="00C91EFE">
      <w:pPr>
        <w:spacing w:line="360" w:lineRule="auto"/>
        <w:rPr>
          <w:rFonts w:ascii="Arial" w:hAnsi="Arial" w:cs="Arial"/>
        </w:rPr>
      </w:pPr>
    </w:p>
    <w:p w14:paraId="3E1F52CA" w14:textId="52B7EE77" w:rsidR="007C0352" w:rsidRPr="00C91EFE" w:rsidRDefault="007C0352" w:rsidP="00C91EFE">
      <w:pPr>
        <w:spacing w:line="360" w:lineRule="auto"/>
        <w:rPr>
          <w:rFonts w:ascii="Arial" w:hAnsi="Arial" w:cs="Arial"/>
        </w:rPr>
      </w:pPr>
    </w:p>
    <w:p w14:paraId="75443853" w14:textId="5531B3F9" w:rsidR="007C0352" w:rsidRPr="00C91EFE" w:rsidRDefault="007C0352" w:rsidP="00C91EFE">
      <w:pPr>
        <w:spacing w:line="360" w:lineRule="auto"/>
        <w:rPr>
          <w:rFonts w:ascii="Arial" w:hAnsi="Arial" w:cs="Arial"/>
        </w:rPr>
      </w:pPr>
    </w:p>
    <w:p w14:paraId="6ED23FFB" w14:textId="12ED68F0" w:rsidR="007C0352" w:rsidRPr="00C91EFE" w:rsidRDefault="007C0352" w:rsidP="00C91EFE">
      <w:pPr>
        <w:spacing w:line="360" w:lineRule="auto"/>
        <w:rPr>
          <w:rFonts w:ascii="Arial" w:hAnsi="Arial" w:cs="Arial"/>
        </w:rPr>
      </w:pPr>
    </w:p>
    <w:p w14:paraId="38DF7044" w14:textId="6EE2B991" w:rsidR="007C0352" w:rsidRPr="00C91EFE" w:rsidRDefault="007C0352" w:rsidP="00C91EFE">
      <w:pPr>
        <w:spacing w:line="360" w:lineRule="auto"/>
        <w:rPr>
          <w:rFonts w:ascii="Arial" w:hAnsi="Arial" w:cs="Arial"/>
        </w:rPr>
      </w:pPr>
    </w:p>
    <w:p w14:paraId="0AF5D9DA" w14:textId="14B34283" w:rsidR="007C0352" w:rsidRPr="00C91EFE" w:rsidRDefault="007C0352" w:rsidP="00C91EFE">
      <w:pPr>
        <w:spacing w:line="360" w:lineRule="auto"/>
        <w:rPr>
          <w:rFonts w:ascii="Arial" w:hAnsi="Arial" w:cs="Arial"/>
        </w:rPr>
      </w:pPr>
    </w:p>
    <w:p w14:paraId="3C0B458D" w14:textId="17780146" w:rsidR="007C0352" w:rsidRPr="00C91EFE" w:rsidRDefault="007C0352" w:rsidP="00C91EFE">
      <w:pPr>
        <w:spacing w:line="360" w:lineRule="auto"/>
        <w:rPr>
          <w:rFonts w:ascii="Arial" w:hAnsi="Arial" w:cs="Arial"/>
        </w:rPr>
      </w:pPr>
    </w:p>
    <w:p w14:paraId="71D5A61B" w14:textId="2C52452F" w:rsidR="007C0352" w:rsidRPr="00C91EFE" w:rsidRDefault="007C0352" w:rsidP="00C91EFE">
      <w:pPr>
        <w:spacing w:line="360" w:lineRule="auto"/>
        <w:rPr>
          <w:rFonts w:ascii="Arial" w:hAnsi="Arial" w:cs="Arial"/>
        </w:rPr>
      </w:pPr>
    </w:p>
    <w:p w14:paraId="6B34DAC9" w14:textId="65BA527E" w:rsidR="007C0352" w:rsidRPr="00C91EFE" w:rsidRDefault="007C0352" w:rsidP="00C91EFE">
      <w:pPr>
        <w:spacing w:line="360" w:lineRule="auto"/>
        <w:rPr>
          <w:rFonts w:ascii="Arial" w:hAnsi="Arial" w:cs="Arial"/>
        </w:rPr>
      </w:pPr>
    </w:p>
    <w:p w14:paraId="37FBA72E" w14:textId="4C496FC5" w:rsidR="007C0352" w:rsidRPr="00C91EFE" w:rsidRDefault="007C0352" w:rsidP="00C91EFE">
      <w:pPr>
        <w:spacing w:line="360" w:lineRule="auto"/>
        <w:rPr>
          <w:rFonts w:ascii="Arial" w:hAnsi="Arial" w:cs="Arial"/>
        </w:rPr>
      </w:pPr>
    </w:p>
    <w:p w14:paraId="3851AD29" w14:textId="306CDA82" w:rsidR="007C0352" w:rsidRPr="00C91EFE" w:rsidRDefault="007C0352" w:rsidP="00C91EFE">
      <w:pPr>
        <w:spacing w:line="360" w:lineRule="auto"/>
        <w:rPr>
          <w:rFonts w:ascii="Arial" w:hAnsi="Arial" w:cs="Arial"/>
        </w:rPr>
      </w:pPr>
    </w:p>
    <w:p w14:paraId="5B07742F" w14:textId="48010970" w:rsidR="007C0352" w:rsidRPr="00C91EFE" w:rsidRDefault="007C0352" w:rsidP="00C91EFE">
      <w:pPr>
        <w:spacing w:line="360" w:lineRule="auto"/>
        <w:rPr>
          <w:rFonts w:ascii="Arial" w:hAnsi="Arial" w:cs="Arial"/>
        </w:rPr>
      </w:pPr>
    </w:p>
    <w:p w14:paraId="6AD3E9C6" w14:textId="5EBC33D5" w:rsidR="007C0352" w:rsidRPr="00C91EFE" w:rsidRDefault="007C0352" w:rsidP="00C91EFE">
      <w:pPr>
        <w:spacing w:line="360" w:lineRule="auto"/>
        <w:rPr>
          <w:rFonts w:ascii="Arial" w:hAnsi="Arial" w:cs="Arial"/>
        </w:rPr>
      </w:pPr>
    </w:p>
    <w:p w14:paraId="2A986B93" w14:textId="13959390" w:rsidR="007C0352" w:rsidRPr="00C91EFE" w:rsidRDefault="007C0352" w:rsidP="00C91EFE">
      <w:pPr>
        <w:spacing w:line="360" w:lineRule="auto"/>
        <w:rPr>
          <w:rFonts w:ascii="Arial" w:hAnsi="Arial" w:cs="Arial"/>
        </w:rPr>
      </w:pPr>
    </w:p>
    <w:p w14:paraId="6C4AACD6" w14:textId="77777777" w:rsidR="00C656E2" w:rsidRPr="007C0352" w:rsidRDefault="00C656E2" w:rsidP="00C91EFE">
      <w:pPr>
        <w:spacing w:line="360" w:lineRule="auto"/>
        <w:rPr>
          <w:rFonts w:ascii="Arial" w:hAnsi="Arial" w:cs="Arial"/>
        </w:rPr>
      </w:pPr>
    </w:p>
    <w:p w14:paraId="6D779F86" w14:textId="77777777" w:rsidR="00C656E2" w:rsidRPr="00C656E2" w:rsidRDefault="00C656E2" w:rsidP="00C91EFE">
      <w:pPr>
        <w:spacing w:line="360" w:lineRule="auto"/>
        <w:rPr>
          <w:rFonts w:ascii="Arial" w:hAnsi="Arial" w:cs="Arial"/>
          <w:b/>
          <w:bCs/>
        </w:rPr>
      </w:pPr>
      <w:r w:rsidRPr="00C656E2">
        <w:rPr>
          <w:rFonts w:ascii="Arial" w:hAnsi="Arial" w:cs="Arial"/>
          <w:b/>
          <w:bCs/>
        </w:rPr>
        <w:lastRenderedPageBreak/>
        <w:t>Effective Communication, Administrative Practice and Collaborative Working in Mr Ahmed’s Care</w:t>
      </w:r>
    </w:p>
    <w:p w14:paraId="212FCF91" w14:textId="77777777" w:rsidR="00C656E2" w:rsidRPr="00C656E2" w:rsidRDefault="00C656E2" w:rsidP="00C91EFE">
      <w:pPr>
        <w:spacing w:line="360" w:lineRule="auto"/>
        <w:rPr>
          <w:rFonts w:ascii="Arial" w:hAnsi="Arial" w:cs="Arial"/>
          <w:b/>
          <w:bCs/>
        </w:rPr>
      </w:pPr>
      <w:r w:rsidRPr="00C656E2">
        <w:rPr>
          <w:rFonts w:ascii="Arial" w:hAnsi="Arial" w:cs="Arial"/>
          <w:b/>
          <w:bCs/>
        </w:rPr>
        <w:t>Introduction</w:t>
      </w:r>
    </w:p>
    <w:p w14:paraId="423AB921" w14:textId="07D5906C" w:rsidR="00C656E2" w:rsidRPr="00C656E2" w:rsidRDefault="00C656E2" w:rsidP="00C91EFE">
      <w:pPr>
        <w:spacing w:line="360" w:lineRule="auto"/>
        <w:rPr>
          <w:rFonts w:ascii="Arial" w:hAnsi="Arial" w:cs="Arial"/>
        </w:rPr>
      </w:pPr>
      <w:r w:rsidRPr="00C656E2">
        <w:rPr>
          <w:rFonts w:ascii="Arial" w:hAnsi="Arial" w:cs="Arial"/>
        </w:rPr>
        <w:t xml:space="preserve">Good health and social care depends on more than treatment alone. It also relies on effective communication, accurate administration and strong teamwork between professionals. This can be seen clearly in the case of Mr Ahmed, a 68-year-old man recovering from a stroke who now receives support at home from a domiciliary care agency, his GP, a district nurse and a speech and language therapist. His care is complex because it involves physical recovery, communication difficulties and support with medication and daily living. Mr Ahmed speaks Bengali as his first language and understands only some English, so staff must communicate with him carefully and respectfully. The recent missed home visit, which meant he did not receive his medication on time, also shows how quickly problems in communication, administration or partnership working can affect safety. </w:t>
      </w:r>
    </w:p>
    <w:p w14:paraId="61DCFD74" w14:textId="77777777" w:rsidR="00C656E2" w:rsidRPr="00C656E2" w:rsidRDefault="00C656E2" w:rsidP="00C91EFE">
      <w:pPr>
        <w:spacing w:line="360" w:lineRule="auto"/>
        <w:rPr>
          <w:rFonts w:ascii="Arial" w:hAnsi="Arial" w:cs="Arial"/>
          <w:b/>
          <w:bCs/>
        </w:rPr>
      </w:pPr>
      <w:r w:rsidRPr="00C656E2">
        <w:rPr>
          <w:rFonts w:ascii="Arial" w:hAnsi="Arial" w:cs="Arial"/>
          <w:b/>
          <w:bCs/>
        </w:rPr>
        <w:t>1. The importance of effective communication in Mr Ahmed’s care</w:t>
      </w:r>
    </w:p>
    <w:p w14:paraId="75F43C81" w14:textId="77777777" w:rsidR="00C656E2" w:rsidRPr="00C656E2" w:rsidRDefault="00C656E2" w:rsidP="00C91EFE">
      <w:pPr>
        <w:spacing w:line="360" w:lineRule="auto"/>
        <w:rPr>
          <w:rFonts w:ascii="Arial" w:hAnsi="Arial" w:cs="Arial"/>
        </w:rPr>
      </w:pPr>
      <w:r w:rsidRPr="00C656E2">
        <w:rPr>
          <w:rFonts w:ascii="Arial" w:hAnsi="Arial" w:cs="Arial"/>
        </w:rPr>
        <w:t>Effective communication is central to Mr Ahmed’s care because it affects his safety, dignity and ability to be involved in decisions about his support. After a stroke, people may experience difficulties with speech, understanding, confidence and swallowing, so communication often needs to be adapted. NICE (2023) explains that stroke rehabilitation should support people to understand information and take part in decisions about their care. In Mr Ahmed’s case, this matters even more because he does not speak English fluently and finds complex conversations difficult. If staff use jargon, rush explanations or fail to check his understanding, important information about medication, appointments or swallowing advice could be misunderstood.</w:t>
      </w:r>
    </w:p>
    <w:p w14:paraId="35C21A40" w14:textId="77777777" w:rsidR="00C656E2" w:rsidRPr="00C656E2" w:rsidRDefault="00C656E2" w:rsidP="00C91EFE">
      <w:pPr>
        <w:spacing w:line="360" w:lineRule="auto"/>
        <w:rPr>
          <w:rFonts w:ascii="Arial" w:hAnsi="Arial" w:cs="Arial"/>
        </w:rPr>
      </w:pPr>
      <w:r w:rsidRPr="00C656E2">
        <w:rPr>
          <w:rFonts w:ascii="Arial" w:hAnsi="Arial" w:cs="Arial"/>
        </w:rPr>
        <w:t>To communicate effectively, professionals should use clear and simple language, speak calmly, allow extra time for responses and check what Mr Ahmed has understood. They should speak directly to him first rather than immediately turning to his wife. This matters because person-centred care means recognising the service user as an individual with rights, preferences and a voice of his own. Even if Mr Ahmed needs support to express himself, he should still be included as much as possible. The HCPC (2024a) states that professionals must communicate appropriately and work in partnership with service users, which includes making reasonable efforts to meet communication needs.</w:t>
      </w:r>
    </w:p>
    <w:p w14:paraId="7275C69D" w14:textId="77777777" w:rsidR="00C656E2" w:rsidRPr="00C656E2" w:rsidRDefault="00C656E2" w:rsidP="00C91EFE">
      <w:pPr>
        <w:spacing w:line="360" w:lineRule="auto"/>
        <w:rPr>
          <w:rFonts w:ascii="Arial" w:hAnsi="Arial" w:cs="Arial"/>
        </w:rPr>
      </w:pPr>
      <w:r w:rsidRPr="00C656E2">
        <w:rPr>
          <w:rFonts w:ascii="Arial" w:hAnsi="Arial" w:cs="Arial"/>
        </w:rPr>
        <w:t xml:space="preserve">Mr Ahmed’s wife also has an important role. She speaks fluent English and may help the care team understand his routines, preferences and any changes in his condition. Family members often provide valuable support, especially after discharge from hospital. The Care </w:t>
      </w:r>
      <w:r w:rsidRPr="00C656E2">
        <w:rPr>
          <w:rFonts w:ascii="Arial" w:hAnsi="Arial" w:cs="Arial"/>
        </w:rPr>
        <w:lastRenderedPageBreak/>
        <w:t>Act statutory guidance recognises the importance of carers and families in supporting adults with care needs and promoting wellbeing (Department of Health and Social Care, 2025). However, family involvement should support Mr Ahmed’s voice rather than replace it. Professionals should still seek his views and, where possible, gain his consent before sharing personal information. This helps maintain dignity, trust and respect.</w:t>
      </w:r>
    </w:p>
    <w:p w14:paraId="2B516C2C" w14:textId="77777777" w:rsidR="00C656E2" w:rsidRPr="00C656E2" w:rsidRDefault="00C656E2" w:rsidP="00C91EFE">
      <w:pPr>
        <w:spacing w:line="360" w:lineRule="auto"/>
        <w:rPr>
          <w:rFonts w:ascii="Arial" w:hAnsi="Arial" w:cs="Arial"/>
        </w:rPr>
      </w:pPr>
      <w:r w:rsidRPr="00C656E2">
        <w:rPr>
          <w:rFonts w:ascii="Arial" w:hAnsi="Arial" w:cs="Arial"/>
        </w:rPr>
        <w:t>The Equality Act 2010 is relevant because it protects people from unfair treatment linked to protected characteristics such as race and disability. Mr Ahmed’s Bengali background means language and culture must be considered sensitively, while his stroke-related communication difficulties may amount to a disability if they have a substantial and long-term effect on daily life. In practice, this means staff should not place him at a disadvantage by assuming he can understand standard English explanations or by ignoring his communication needs. The duty to make reasonable adjustments supports the need to adapt communication where necessary. NHS England’s Accessible Information Standard also encourages services to identify, record and meet communication needs in a planned way (NHS England, 2025a).</w:t>
      </w:r>
    </w:p>
    <w:p w14:paraId="6DAFA6A1" w14:textId="77777777" w:rsidR="00C656E2" w:rsidRPr="00C656E2" w:rsidRDefault="00C656E2" w:rsidP="00C91EFE">
      <w:pPr>
        <w:spacing w:line="360" w:lineRule="auto"/>
        <w:rPr>
          <w:rFonts w:ascii="Arial" w:hAnsi="Arial" w:cs="Arial"/>
        </w:rPr>
      </w:pPr>
      <w:r w:rsidRPr="00C656E2">
        <w:rPr>
          <w:rFonts w:ascii="Arial" w:hAnsi="Arial" w:cs="Arial"/>
        </w:rPr>
        <w:t>A useful model here is the Shannon and Weaver model of communication. Shannon and Weaver (1949) describe communication as involving a sender, a message, a channel and a receiver, with “noise” interfering with understanding. In Mr Ahmed’s case, the “noise” could include language differences, stroke-related speech difficulties, medical language or rushed visits. This model is useful because it shows that communication is not successful simply because information has been spoken. The message must actually be understood. For that reason, professionals should use feedback, ask simple follow-up questions and record Mr Ahmed’s communication needs clearly so that all staff communicate with him in a consistent and respectful way.</w:t>
      </w:r>
    </w:p>
    <w:p w14:paraId="069855BE" w14:textId="77777777" w:rsidR="00C656E2" w:rsidRPr="00C656E2" w:rsidRDefault="00C656E2" w:rsidP="00C91EFE">
      <w:pPr>
        <w:spacing w:line="360" w:lineRule="auto"/>
        <w:rPr>
          <w:rFonts w:ascii="Arial" w:hAnsi="Arial" w:cs="Arial"/>
          <w:b/>
          <w:bCs/>
        </w:rPr>
      </w:pPr>
      <w:r w:rsidRPr="00C656E2">
        <w:rPr>
          <w:rFonts w:ascii="Arial" w:hAnsi="Arial" w:cs="Arial"/>
          <w:b/>
          <w:bCs/>
        </w:rPr>
        <w:t>2. The importance of good administrative skills within professional practice in Mr Ahmed’s care</w:t>
      </w:r>
    </w:p>
    <w:p w14:paraId="1D1E1931" w14:textId="77777777" w:rsidR="00C656E2" w:rsidRPr="00C656E2" w:rsidRDefault="00C656E2" w:rsidP="00C91EFE">
      <w:pPr>
        <w:spacing w:line="360" w:lineRule="auto"/>
        <w:rPr>
          <w:rFonts w:ascii="Arial" w:hAnsi="Arial" w:cs="Arial"/>
        </w:rPr>
      </w:pPr>
      <w:r w:rsidRPr="00C656E2">
        <w:rPr>
          <w:rFonts w:ascii="Arial" w:hAnsi="Arial" w:cs="Arial"/>
        </w:rPr>
        <w:t>Good administrative skills are an essential part of safe professional practice because care depends on accurate information, clear systems and reliable follow-up. In Mr Ahmed’s case, the missed home visit and delayed medication show how weaknesses in administration can quickly create risks. Administration in health and social care includes updating care plans, recording visits, documenting medication administration, reporting incidents and passing information to the right professionals at the right time. In a domiciliary care setting, where different workers visit across the day and several professionals may be involved during the week, strong administration is especially important. If information is unclear, missing or not shared properly, care can become inconsistent and unsafe.</w:t>
      </w:r>
    </w:p>
    <w:p w14:paraId="26B92500" w14:textId="77777777" w:rsidR="00C656E2" w:rsidRPr="00C656E2" w:rsidRDefault="00C656E2" w:rsidP="00C91EFE">
      <w:pPr>
        <w:spacing w:line="360" w:lineRule="auto"/>
        <w:rPr>
          <w:rFonts w:ascii="Arial" w:hAnsi="Arial" w:cs="Arial"/>
        </w:rPr>
      </w:pPr>
      <w:r w:rsidRPr="00C656E2">
        <w:rPr>
          <w:rFonts w:ascii="Arial" w:hAnsi="Arial" w:cs="Arial"/>
        </w:rPr>
        <w:lastRenderedPageBreak/>
        <w:t>Record keeping is particularly important in Mr Ahmed’s care because several areas of support need to be monitored and communicated. Records should include his medication schedule, personal care needs, blood pressure monitoring, wound care, swallowing difficulties, communication needs and any concerns raised by his wife or staff. They should also clearly document the missed visit incident, including what happened, who was informed and what action was taken afterwards. The HCPC (2024b) explains that records must be full, clear, accurate and completed promptly. This matters because records are not just paperwork; they help ensure continuity of care, support investigations and show accountability. If the missed visit had not been properly recorded or escalated, the risk to Mr Ahmed could have been even greater.</w:t>
      </w:r>
    </w:p>
    <w:p w14:paraId="27CD2D52" w14:textId="77777777" w:rsidR="00C656E2" w:rsidRPr="00C656E2" w:rsidRDefault="00C656E2" w:rsidP="00C91EFE">
      <w:pPr>
        <w:spacing w:line="360" w:lineRule="auto"/>
        <w:rPr>
          <w:rFonts w:ascii="Arial" w:hAnsi="Arial" w:cs="Arial"/>
        </w:rPr>
      </w:pPr>
      <w:r w:rsidRPr="00C656E2">
        <w:rPr>
          <w:rFonts w:ascii="Arial" w:hAnsi="Arial" w:cs="Arial"/>
        </w:rPr>
        <w:t>The Data Protection Act 2018 is highly relevant because professionals involved in Mr Ahmed’s care hold sensitive personal information about his health, medication and support needs. Health data is classed as special category data, which means it requires extra protection (ICO, 2024). In practice, this means information should only be collected and used for legitimate care purposes, kept secure and shared only when appropriate. Staff should only access information they need for their role, and confidential details should not be discussed casually or disclosed unnecessarily, even to family members. This is especially important in Mr Ahmed’s case, where several services are involved and information may need to be shared across agencies.</w:t>
      </w:r>
    </w:p>
    <w:p w14:paraId="05505EBC" w14:textId="77777777" w:rsidR="00C656E2" w:rsidRPr="00C656E2" w:rsidRDefault="00C656E2" w:rsidP="00C91EFE">
      <w:pPr>
        <w:spacing w:line="360" w:lineRule="auto"/>
        <w:rPr>
          <w:rFonts w:ascii="Arial" w:hAnsi="Arial" w:cs="Arial"/>
        </w:rPr>
      </w:pPr>
      <w:r w:rsidRPr="00C656E2">
        <w:rPr>
          <w:rFonts w:ascii="Arial" w:hAnsi="Arial" w:cs="Arial"/>
        </w:rPr>
        <w:t>Applying these principles means records should be accurate, relevant, secure and up to date. For example, if there is a change to Mr Ahmed’s medication, swallowing ability or communication needs, this must be recorded promptly so that other professionals are working with the correct information. Inaccurate or outdated records can lead to poor decisions and place the service user at risk. Good administration therefore supports both safety and professionalism.</w:t>
      </w:r>
    </w:p>
    <w:p w14:paraId="774F11C2" w14:textId="77777777" w:rsidR="00C656E2" w:rsidRPr="00C656E2" w:rsidRDefault="00C656E2" w:rsidP="00C91EFE">
      <w:pPr>
        <w:spacing w:line="360" w:lineRule="auto"/>
        <w:rPr>
          <w:rFonts w:ascii="Arial" w:hAnsi="Arial" w:cs="Arial"/>
        </w:rPr>
      </w:pPr>
      <w:r w:rsidRPr="00C656E2">
        <w:rPr>
          <w:rFonts w:ascii="Arial" w:hAnsi="Arial" w:cs="Arial"/>
        </w:rPr>
        <w:t>Other legislation and policy frameworks strengthen the importance of administration. Regulation 12 of the Health and Social Care Act 2008 (Regulated Activities) Regulations 2014 requires care and treatment to be provided safely. Regulation 17 requires providers to have effective governance systems to assess, monitor and improve the quality and safety of services. CQC guidance links good governance to safe medicines management, record keeping and learning from incidents (CQC, 2023). In Mr Ahmed’s case, this means the care agency should not only record the missed visit but also investigate why it happened and put measures in place to reduce the chance of it happening again. Good administrative skills are therefore a key part of safe, lawful and accountable care.</w:t>
      </w:r>
    </w:p>
    <w:p w14:paraId="2F6939E9" w14:textId="77777777" w:rsidR="00C656E2" w:rsidRPr="00C656E2" w:rsidRDefault="00C656E2" w:rsidP="00C91EFE">
      <w:pPr>
        <w:spacing w:line="360" w:lineRule="auto"/>
        <w:rPr>
          <w:rFonts w:ascii="Arial" w:hAnsi="Arial" w:cs="Arial"/>
          <w:b/>
          <w:bCs/>
        </w:rPr>
      </w:pPr>
      <w:r w:rsidRPr="00C656E2">
        <w:rPr>
          <w:rFonts w:ascii="Arial" w:hAnsi="Arial" w:cs="Arial"/>
          <w:b/>
          <w:bCs/>
        </w:rPr>
        <w:t>3. The importance of collaborative working in Mr Ahmed’s care</w:t>
      </w:r>
    </w:p>
    <w:p w14:paraId="7557973E" w14:textId="343AF4E9" w:rsidR="00E961AC" w:rsidRDefault="00E961AC" w:rsidP="00C91EFE">
      <w:pPr>
        <w:spacing w:line="360" w:lineRule="auto"/>
        <w:rPr>
          <w:rFonts w:ascii="Arial" w:hAnsi="Arial" w:cs="Arial"/>
        </w:rPr>
      </w:pPr>
      <w:r w:rsidRPr="00E961AC">
        <w:rPr>
          <w:rFonts w:ascii="Arial" w:hAnsi="Arial" w:cs="Arial"/>
        </w:rPr>
        <w:lastRenderedPageBreak/>
        <w:t>Partnership working is especially important in Mr Ahmed’s case because his needs are too wide-ranging to be managed well by just one professional. His GP looks after his general medical condition, the district nurse keeps an eye on his blood pressure and wound care, domiciliary care staff help with everyday support and medication, and the speech and language therapist works with him on communication and swallowing. When these professionals share information and work in a coordinated way, the care Mr Ahmed receives is more organised, more consistent and more likely to reflect his actual needs.</w:t>
      </w:r>
    </w:p>
    <w:p w14:paraId="0124E8A8" w14:textId="5A61CF39" w:rsidR="00C656E2" w:rsidRPr="00C656E2" w:rsidRDefault="00C656E2" w:rsidP="00C91EFE">
      <w:pPr>
        <w:spacing w:line="360" w:lineRule="auto"/>
        <w:rPr>
          <w:rFonts w:ascii="Arial" w:hAnsi="Arial" w:cs="Arial"/>
        </w:rPr>
      </w:pPr>
      <w:r w:rsidRPr="00C656E2">
        <w:rPr>
          <w:rFonts w:ascii="Arial" w:hAnsi="Arial" w:cs="Arial"/>
        </w:rPr>
        <w:t>Effective collaboration can be supported through clear communication, accurate records, shared care plans and a good understanding of each professional’s role. It is also important to involve Mr Ahmed and his wife in discussions about his care so that professionals understand what life is like for him at home. If one member of the team notices a problem, such as a missed medication visit or a decline in swallowing ability, that information should be shared quickly with the right people. NHS England (2025b) highlights that multidisciplinary working depends on appropriate information sharing so that care can be coordinated effectively.</w:t>
      </w:r>
    </w:p>
    <w:p w14:paraId="7FFE1E50" w14:textId="77777777" w:rsidR="00C656E2" w:rsidRPr="00C656E2" w:rsidRDefault="00C656E2" w:rsidP="00C91EFE">
      <w:pPr>
        <w:spacing w:line="360" w:lineRule="auto"/>
        <w:rPr>
          <w:rFonts w:ascii="Arial" w:hAnsi="Arial" w:cs="Arial"/>
        </w:rPr>
      </w:pPr>
      <w:r w:rsidRPr="00C656E2">
        <w:rPr>
          <w:rFonts w:ascii="Arial" w:hAnsi="Arial" w:cs="Arial"/>
        </w:rPr>
        <w:t>However, multi-agency working is not always easy. Common challenges include poor communication, delays in sharing information, unclear responsibilities, time pressures and different recording systems. These difficulties can lead to confusion, duplication or gaps in care. To overcome them, services should have clear reporting procedures, regular reviews, mutual respect between professionals and a shared understanding of when information can be shared lawfully. In Mr Ahmed’s case, stronger communication and clearer follow-up after the missed visit could help reduce future risks. When professionals collaborate effectively, the result is safer, more coordinated and more person-centred care.</w:t>
      </w:r>
    </w:p>
    <w:p w14:paraId="52DDE67D" w14:textId="25AF691E" w:rsidR="00C656E2" w:rsidRDefault="00C656E2" w:rsidP="00C91EFE">
      <w:pPr>
        <w:spacing w:line="360" w:lineRule="auto"/>
        <w:rPr>
          <w:rFonts w:ascii="Arial" w:hAnsi="Arial" w:cs="Arial"/>
          <w:b/>
          <w:bCs/>
        </w:rPr>
      </w:pPr>
      <w:r w:rsidRPr="00C656E2">
        <w:rPr>
          <w:rFonts w:ascii="Arial" w:hAnsi="Arial" w:cs="Arial"/>
          <w:b/>
          <w:bCs/>
        </w:rPr>
        <w:t>Conclusion</w:t>
      </w:r>
    </w:p>
    <w:p w14:paraId="55606875" w14:textId="517A42CF" w:rsidR="00E961AC" w:rsidRPr="00C656E2" w:rsidRDefault="00E961AC" w:rsidP="00C91EFE">
      <w:pPr>
        <w:spacing w:line="360" w:lineRule="auto"/>
        <w:rPr>
          <w:rFonts w:ascii="Arial" w:hAnsi="Arial" w:cs="Arial"/>
        </w:rPr>
      </w:pPr>
      <w:r w:rsidRPr="00E961AC">
        <w:rPr>
          <w:rFonts w:ascii="Arial" w:hAnsi="Arial" w:cs="Arial"/>
        </w:rPr>
        <w:t xml:space="preserve">Overall, Mr Ahmed’s case makes it clear that communication, administration and partnership working all play a vital part in good health and social care practice. Because he is living with stroke-related difficulties and does not speak English confidently, professionals need to adapt the way they communicate while still making sure he is included in decisions about his care. The Equality Act 2010 and the Accessible Information Standard both support this more inclusive way of working, while the Shannon and Weaver model helps explain how problems in understanding can arise. Administrative practice is just as important, since accurate documentation, secure handling of information and quick reporting of incidents all help to keep people safe. At the same time, effective cooperation between the GP, district nurse, domiciliary carers and speech and language therapist is needed so that Mr Ahmed’s care </w:t>
      </w:r>
      <w:r w:rsidRPr="00E961AC">
        <w:rPr>
          <w:rFonts w:ascii="Arial" w:hAnsi="Arial" w:cs="Arial"/>
        </w:rPr>
        <w:lastRenderedPageBreak/>
        <w:t>does not become fragmented. When these areas are handled well, he is far more likely to receive support at home that is safe, respectful and appropriate to his needs</w:t>
      </w:r>
      <w:r>
        <w:rPr>
          <w:rFonts w:ascii="Arial" w:hAnsi="Arial" w:cs="Arial"/>
        </w:rPr>
        <w:t>.</w:t>
      </w:r>
    </w:p>
    <w:p w14:paraId="05F900EC" w14:textId="4679306C" w:rsidR="00C91EFE" w:rsidRPr="00C91EFE" w:rsidRDefault="00C91EFE" w:rsidP="00C91EFE">
      <w:pPr>
        <w:spacing w:line="360" w:lineRule="auto"/>
        <w:rPr>
          <w:rFonts w:ascii="Arial" w:hAnsi="Arial" w:cs="Arial"/>
          <w:b/>
          <w:bCs/>
        </w:rPr>
      </w:pPr>
      <w:r w:rsidRPr="00C91EFE">
        <w:rPr>
          <w:rFonts w:ascii="Arial" w:hAnsi="Arial" w:cs="Arial"/>
          <w:b/>
          <w:bCs/>
        </w:rPr>
        <w:t>Reference List</w:t>
      </w:r>
    </w:p>
    <w:p w14:paraId="3CA51F99" w14:textId="77777777" w:rsidR="00C91EFE" w:rsidRPr="00C91EFE" w:rsidRDefault="00C91EFE" w:rsidP="00C91EFE">
      <w:pPr>
        <w:spacing w:line="360" w:lineRule="auto"/>
        <w:rPr>
          <w:rFonts w:ascii="Arial" w:hAnsi="Arial" w:cs="Arial"/>
        </w:rPr>
      </w:pPr>
      <w:r w:rsidRPr="00C91EFE">
        <w:rPr>
          <w:rFonts w:ascii="Arial" w:hAnsi="Arial" w:cs="Arial"/>
        </w:rPr>
        <w:t>Care Quality Commission (2023) Good governance of medicines. Available at: https://www.cqc.org.uk/guidance-providers/adult-social-care/good-governance-medicines (Accessed: 10 April 2026).</w:t>
      </w:r>
    </w:p>
    <w:p w14:paraId="6B3D5947" w14:textId="77777777" w:rsidR="00C91EFE" w:rsidRPr="00C91EFE" w:rsidRDefault="00C91EFE" w:rsidP="00C91EFE">
      <w:pPr>
        <w:spacing w:line="360" w:lineRule="auto"/>
        <w:rPr>
          <w:rFonts w:ascii="Arial" w:hAnsi="Arial" w:cs="Arial"/>
        </w:rPr>
      </w:pPr>
      <w:r w:rsidRPr="00C91EFE">
        <w:rPr>
          <w:rFonts w:ascii="Arial" w:hAnsi="Arial" w:cs="Arial"/>
        </w:rPr>
        <w:t>Department of Health and Social Care (2025) Care and support statutory guidance. Available at: https://www.gov.uk/government/publications/care-act-statutory-guidance/care-and-support-statutory-guidance (Accessed: 8 April 2026).</w:t>
      </w:r>
    </w:p>
    <w:p w14:paraId="57659CA1" w14:textId="77777777" w:rsidR="00C91EFE" w:rsidRPr="00C91EFE" w:rsidRDefault="00C91EFE" w:rsidP="00C91EFE">
      <w:pPr>
        <w:spacing w:line="360" w:lineRule="auto"/>
        <w:rPr>
          <w:rFonts w:ascii="Arial" w:hAnsi="Arial" w:cs="Arial"/>
        </w:rPr>
      </w:pPr>
      <w:r w:rsidRPr="00C91EFE">
        <w:rPr>
          <w:rFonts w:ascii="Arial" w:hAnsi="Arial" w:cs="Arial"/>
        </w:rPr>
        <w:t>Equality Act 2010, c.15. Available at: https://www.legislation.gov.uk/ukpga/2010/15/contents (Accessed: 6 April 2026).</w:t>
      </w:r>
    </w:p>
    <w:p w14:paraId="7E8BB42C" w14:textId="77777777" w:rsidR="00C91EFE" w:rsidRPr="00C91EFE" w:rsidRDefault="00C91EFE" w:rsidP="00C91EFE">
      <w:pPr>
        <w:spacing w:line="360" w:lineRule="auto"/>
        <w:rPr>
          <w:rFonts w:ascii="Arial" w:hAnsi="Arial" w:cs="Arial"/>
        </w:rPr>
      </w:pPr>
      <w:r w:rsidRPr="00C91EFE">
        <w:rPr>
          <w:rFonts w:ascii="Arial" w:hAnsi="Arial" w:cs="Arial"/>
        </w:rPr>
        <w:t>Health and Care Professions Council (2024a) Standards of conduct, performance and ethics. Available at: https://www.hcpc-uk.org/standards/standards-of-conduct-performance-and-ethics/ (Accessed: 6 April 2026).</w:t>
      </w:r>
    </w:p>
    <w:p w14:paraId="23D56084" w14:textId="77777777" w:rsidR="00C91EFE" w:rsidRPr="00C91EFE" w:rsidRDefault="00C91EFE" w:rsidP="00C91EFE">
      <w:pPr>
        <w:spacing w:line="360" w:lineRule="auto"/>
        <w:rPr>
          <w:rFonts w:ascii="Arial" w:hAnsi="Arial" w:cs="Arial"/>
        </w:rPr>
      </w:pPr>
      <w:r w:rsidRPr="00C91EFE">
        <w:rPr>
          <w:rFonts w:ascii="Arial" w:hAnsi="Arial" w:cs="Arial"/>
        </w:rPr>
        <w:t>Health and Care Professions Council (2024b) Record keeping. Available at: https://www.hcpc-uk.org/standards/meeting-our-standards/record-keeping/ (Accessed: 6 April 2026).</w:t>
      </w:r>
    </w:p>
    <w:p w14:paraId="15D31743" w14:textId="77777777" w:rsidR="00C91EFE" w:rsidRPr="00C91EFE" w:rsidRDefault="00C91EFE" w:rsidP="00C91EFE">
      <w:pPr>
        <w:spacing w:line="360" w:lineRule="auto"/>
        <w:rPr>
          <w:rFonts w:ascii="Arial" w:hAnsi="Arial" w:cs="Arial"/>
        </w:rPr>
      </w:pPr>
      <w:r w:rsidRPr="00C91EFE">
        <w:rPr>
          <w:rFonts w:ascii="Arial" w:hAnsi="Arial" w:cs="Arial"/>
        </w:rPr>
        <w:t>Health and Social Care Act 2008 (Regulated Activities) Regulations 2014, SI 2014/2936. Available at: https://www.legislation.gov.uk/ukdsi/2014/9780111117613/contents (Accessed: 14 April 2026).</w:t>
      </w:r>
    </w:p>
    <w:p w14:paraId="75E17F58" w14:textId="77777777" w:rsidR="00C91EFE" w:rsidRPr="00C91EFE" w:rsidRDefault="00C91EFE" w:rsidP="00C91EFE">
      <w:pPr>
        <w:spacing w:line="360" w:lineRule="auto"/>
        <w:rPr>
          <w:rFonts w:ascii="Arial" w:hAnsi="Arial" w:cs="Arial"/>
        </w:rPr>
      </w:pPr>
      <w:r w:rsidRPr="00C91EFE">
        <w:rPr>
          <w:rFonts w:ascii="Arial" w:hAnsi="Arial" w:cs="Arial"/>
        </w:rPr>
        <w:t>Information Commissioner’s Office (2024) What is special category data? Available at: https://ico.org.uk/for-organisations/uk-gdpr-guidance-and-resources/lawful-basis/special-category-data/what-is-special-category-data/ (Accessed: 10 April 2026).</w:t>
      </w:r>
    </w:p>
    <w:p w14:paraId="211EE9CE" w14:textId="77777777" w:rsidR="00C91EFE" w:rsidRPr="00C91EFE" w:rsidRDefault="00C91EFE" w:rsidP="00C91EFE">
      <w:pPr>
        <w:spacing w:line="360" w:lineRule="auto"/>
        <w:rPr>
          <w:rFonts w:ascii="Arial" w:hAnsi="Arial" w:cs="Arial"/>
        </w:rPr>
      </w:pPr>
      <w:r w:rsidRPr="00C91EFE">
        <w:rPr>
          <w:rFonts w:ascii="Arial" w:hAnsi="Arial" w:cs="Arial"/>
        </w:rPr>
        <w:t>NHS England (2025a) Accessible Information Standard – requirements (DAPB1605). Available at: https://www.england.nhs.uk/long-read/accessible-information-standard-requirements-dapb1605/ (Accessed: 5 April 2026).</w:t>
      </w:r>
    </w:p>
    <w:p w14:paraId="1D94D635" w14:textId="77777777" w:rsidR="00C91EFE" w:rsidRPr="00C91EFE" w:rsidRDefault="00C91EFE" w:rsidP="00C91EFE">
      <w:pPr>
        <w:spacing w:line="360" w:lineRule="auto"/>
        <w:rPr>
          <w:rFonts w:ascii="Arial" w:hAnsi="Arial" w:cs="Arial"/>
        </w:rPr>
      </w:pPr>
      <w:r w:rsidRPr="00C91EFE">
        <w:rPr>
          <w:rFonts w:ascii="Arial" w:hAnsi="Arial" w:cs="Arial"/>
        </w:rPr>
        <w:t>NHS England (2025b) Information sharing in Multidisciplinary Teams (MDTs). Available at: https://transform.england.nhs.uk/information-governance/guidance/information-governance-guidance-support-multidisciplinary-teams-mdts/ (Accessed: 11 April 2026).</w:t>
      </w:r>
    </w:p>
    <w:p w14:paraId="4C441EC8" w14:textId="77777777" w:rsidR="00C91EFE" w:rsidRPr="00C91EFE" w:rsidRDefault="00C91EFE" w:rsidP="00C91EFE">
      <w:pPr>
        <w:spacing w:line="360" w:lineRule="auto"/>
        <w:rPr>
          <w:rFonts w:ascii="Arial" w:hAnsi="Arial" w:cs="Arial"/>
        </w:rPr>
      </w:pPr>
      <w:r w:rsidRPr="00C91EFE">
        <w:rPr>
          <w:rFonts w:ascii="Arial" w:hAnsi="Arial" w:cs="Arial"/>
        </w:rPr>
        <w:t>National Institute for Health and Care Excellence (2023) Stroke rehabilitation in adults (NG236). Available at: https://www.nice.org.uk/guidance/ng236 (Accessed: 5 April 2026).</w:t>
      </w:r>
    </w:p>
    <w:p w14:paraId="48F47BE4" w14:textId="612E40CF" w:rsidR="00D634E8" w:rsidRPr="00C91EFE" w:rsidRDefault="00C91EFE" w:rsidP="00C91EFE">
      <w:pPr>
        <w:spacing w:line="360" w:lineRule="auto"/>
        <w:rPr>
          <w:rFonts w:ascii="Arial" w:hAnsi="Arial" w:cs="Arial"/>
        </w:rPr>
      </w:pPr>
      <w:r w:rsidRPr="00C91EFE">
        <w:rPr>
          <w:rFonts w:ascii="Arial" w:hAnsi="Arial" w:cs="Arial"/>
        </w:rPr>
        <w:lastRenderedPageBreak/>
        <w:t>Shannon, C.E. and Weaver, W. (1949) The Mathematical Theory of Communication. Urbana: University of Illinois Press.</w:t>
      </w:r>
    </w:p>
    <w:sectPr w:rsidR="00D634E8" w:rsidRPr="00C91E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7F0"/>
    <w:rsid w:val="003437F0"/>
    <w:rsid w:val="004740B7"/>
    <w:rsid w:val="007C0352"/>
    <w:rsid w:val="008A33C4"/>
    <w:rsid w:val="00BE5AE4"/>
    <w:rsid w:val="00C656E2"/>
    <w:rsid w:val="00C91EFE"/>
    <w:rsid w:val="00D634E8"/>
    <w:rsid w:val="00E96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F28F6"/>
  <w15:chartTrackingRefBased/>
  <w15:docId w15:val="{0762F7E9-8DE5-45F9-85DB-68FBE077B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352"/>
    <w:rPr>
      <w:color w:val="0563C1" w:themeColor="hyperlink"/>
      <w:u w:val="single"/>
    </w:rPr>
  </w:style>
  <w:style w:type="character" w:styleId="UnresolvedMention">
    <w:name w:val="Unresolved Mention"/>
    <w:basedOn w:val="DefaultParagraphFont"/>
    <w:uiPriority w:val="99"/>
    <w:semiHidden/>
    <w:unhideWhenUsed/>
    <w:rsid w:val="007C03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30073">
      <w:bodyDiv w:val="1"/>
      <w:marLeft w:val="0"/>
      <w:marRight w:val="0"/>
      <w:marTop w:val="0"/>
      <w:marBottom w:val="0"/>
      <w:divBdr>
        <w:top w:val="none" w:sz="0" w:space="0" w:color="auto"/>
        <w:left w:val="none" w:sz="0" w:space="0" w:color="auto"/>
        <w:bottom w:val="none" w:sz="0" w:space="0" w:color="auto"/>
        <w:right w:val="none" w:sz="0" w:space="0" w:color="auto"/>
      </w:divBdr>
    </w:div>
    <w:div w:id="506793416">
      <w:bodyDiv w:val="1"/>
      <w:marLeft w:val="0"/>
      <w:marRight w:val="0"/>
      <w:marTop w:val="0"/>
      <w:marBottom w:val="0"/>
      <w:divBdr>
        <w:top w:val="none" w:sz="0" w:space="0" w:color="auto"/>
        <w:left w:val="none" w:sz="0" w:space="0" w:color="auto"/>
        <w:bottom w:val="none" w:sz="0" w:space="0" w:color="auto"/>
        <w:right w:val="none" w:sz="0" w:space="0" w:color="auto"/>
      </w:divBdr>
    </w:div>
    <w:div w:id="715473928">
      <w:bodyDiv w:val="1"/>
      <w:marLeft w:val="0"/>
      <w:marRight w:val="0"/>
      <w:marTop w:val="0"/>
      <w:marBottom w:val="0"/>
      <w:divBdr>
        <w:top w:val="none" w:sz="0" w:space="0" w:color="auto"/>
        <w:left w:val="none" w:sz="0" w:space="0" w:color="auto"/>
        <w:bottom w:val="none" w:sz="0" w:space="0" w:color="auto"/>
        <w:right w:val="none" w:sz="0" w:space="0" w:color="auto"/>
      </w:divBdr>
    </w:div>
    <w:div w:id="748385384">
      <w:bodyDiv w:val="1"/>
      <w:marLeft w:val="0"/>
      <w:marRight w:val="0"/>
      <w:marTop w:val="0"/>
      <w:marBottom w:val="0"/>
      <w:divBdr>
        <w:top w:val="none" w:sz="0" w:space="0" w:color="auto"/>
        <w:left w:val="none" w:sz="0" w:space="0" w:color="auto"/>
        <w:bottom w:val="none" w:sz="0" w:space="0" w:color="auto"/>
        <w:right w:val="none" w:sz="0" w:space="0" w:color="auto"/>
      </w:divBdr>
    </w:div>
    <w:div w:id="795638926">
      <w:bodyDiv w:val="1"/>
      <w:marLeft w:val="0"/>
      <w:marRight w:val="0"/>
      <w:marTop w:val="0"/>
      <w:marBottom w:val="0"/>
      <w:divBdr>
        <w:top w:val="none" w:sz="0" w:space="0" w:color="auto"/>
        <w:left w:val="none" w:sz="0" w:space="0" w:color="auto"/>
        <w:bottom w:val="none" w:sz="0" w:space="0" w:color="auto"/>
        <w:right w:val="none" w:sz="0" w:space="0" w:color="auto"/>
      </w:divBdr>
    </w:div>
    <w:div w:id="1440642687">
      <w:bodyDiv w:val="1"/>
      <w:marLeft w:val="0"/>
      <w:marRight w:val="0"/>
      <w:marTop w:val="0"/>
      <w:marBottom w:val="0"/>
      <w:divBdr>
        <w:top w:val="none" w:sz="0" w:space="0" w:color="auto"/>
        <w:left w:val="none" w:sz="0" w:space="0" w:color="auto"/>
        <w:bottom w:val="none" w:sz="0" w:space="0" w:color="auto"/>
        <w:right w:val="none" w:sz="0" w:space="0" w:color="auto"/>
      </w:divBdr>
    </w:div>
    <w:div w:id="1506364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Wall (2511436)</dc:creator>
  <cp:keywords/>
  <dc:description/>
  <cp:lastModifiedBy>Kerry Wall (2511436)</cp:lastModifiedBy>
  <cp:revision>2</cp:revision>
  <dcterms:created xsi:type="dcterms:W3CDTF">2026-04-14T12:05:00Z</dcterms:created>
  <dcterms:modified xsi:type="dcterms:W3CDTF">2026-04-14T12:05:00Z</dcterms:modified>
</cp:coreProperties>
</file>