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86AEFD0" w14:textId="30CE3CC6" w:rsidR="0048561E" w:rsidRPr="0048561E" w:rsidRDefault="0048561E" w:rsidP="0048561E">
      <w:pPr>
        <w:jc w:val="center"/>
        <w:rPr>
          <w:rFonts w:ascii="Arial" w:hAnsi="Arial" w:cs="Arial"/>
          <w:b/>
          <w:bCs/>
          <w:sz w:val="40"/>
          <w:szCs w:val="40"/>
          <w:lang w:val="en-GB"/>
        </w:rPr>
      </w:pPr>
      <w:r w:rsidRPr="0048561E">
        <w:rPr>
          <w:rFonts w:ascii="Arial" w:hAnsi="Arial" w:cs="Arial"/>
          <w:b/>
          <w:bCs/>
          <w:noProof/>
          <w:sz w:val="40"/>
          <w:szCs w:val="40"/>
        </w:rPr>
        <w:drawing>
          <wp:inline distT="0" distB="0" distL="0" distR="0" wp14:anchorId="3517AD95" wp14:editId="19B43126">
            <wp:extent cx="3032760" cy="1379220"/>
            <wp:effectExtent l="0" t="0" r="0" b="0"/>
            <wp:docPr id="89433994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032760" cy="1379220"/>
                    </a:xfrm>
                    <a:prstGeom prst="rect">
                      <a:avLst/>
                    </a:prstGeom>
                    <a:noFill/>
                    <a:ln>
                      <a:noFill/>
                    </a:ln>
                  </pic:spPr>
                </pic:pic>
              </a:graphicData>
            </a:graphic>
          </wp:inline>
        </w:drawing>
      </w:r>
    </w:p>
    <w:p w14:paraId="697EF1BA" w14:textId="77777777" w:rsidR="0048561E" w:rsidRPr="0048561E" w:rsidRDefault="0048561E" w:rsidP="0048561E">
      <w:pPr>
        <w:jc w:val="center"/>
        <w:rPr>
          <w:rFonts w:ascii="Arial" w:hAnsi="Arial" w:cs="Arial"/>
          <w:b/>
          <w:bCs/>
          <w:sz w:val="40"/>
          <w:szCs w:val="40"/>
          <w:lang w:val="en-GB"/>
        </w:rPr>
      </w:pPr>
    </w:p>
    <w:p w14:paraId="460C4D61" w14:textId="396A12A0" w:rsidR="0048561E" w:rsidRPr="0048561E" w:rsidRDefault="0048561E" w:rsidP="0048561E">
      <w:pPr>
        <w:jc w:val="center"/>
        <w:rPr>
          <w:rFonts w:ascii="Arial" w:hAnsi="Arial" w:cs="Arial"/>
          <w:b/>
          <w:bCs/>
          <w:sz w:val="40"/>
          <w:szCs w:val="40"/>
          <w:lang w:val="en-GB"/>
        </w:rPr>
      </w:pPr>
      <w:r w:rsidRPr="0048561E">
        <w:rPr>
          <w:rFonts w:ascii="Arial" w:hAnsi="Arial" w:cs="Arial"/>
          <w:b/>
          <w:bCs/>
          <w:sz w:val="40"/>
          <w:szCs w:val="40"/>
          <w:lang w:val="en-GB"/>
        </w:rPr>
        <w:br/>
        <w:t>Module Title: Sustainable Hospitality &amp; Tourism Management</w:t>
      </w:r>
    </w:p>
    <w:p w14:paraId="61014FCA" w14:textId="77777777" w:rsidR="0048561E" w:rsidRPr="0048561E" w:rsidRDefault="0048561E" w:rsidP="0048561E">
      <w:pPr>
        <w:jc w:val="center"/>
        <w:rPr>
          <w:rFonts w:ascii="Arial" w:hAnsi="Arial" w:cs="Arial"/>
          <w:b/>
          <w:bCs/>
          <w:sz w:val="40"/>
          <w:szCs w:val="40"/>
          <w:lang w:val="en-GB"/>
        </w:rPr>
      </w:pPr>
      <w:r w:rsidRPr="0048561E">
        <w:rPr>
          <w:rFonts w:ascii="Arial" w:hAnsi="Arial" w:cs="Arial"/>
          <w:b/>
          <w:bCs/>
          <w:sz w:val="40"/>
          <w:szCs w:val="40"/>
          <w:lang w:val="en-GB"/>
        </w:rPr>
        <w:t>Module Code: BMIH5006</w:t>
      </w:r>
    </w:p>
    <w:p w14:paraId="423888D5" w14:textId="77777777" w:rsidR="00EC292F" w:rsidRDefault="00EC292F" w:rsidP="00EC292F">
      <w:pPr>
        <w:jc w:val="center"/>
        <w:rPr>
          <w:rFonts w:ascii="Arial" w:hAnsi="Arial" w:cs="Arial"/>
          <w:b/>
          <w:bCs/>
          <w:sz w:val="40"/>
          <w:szCs w:val="40"/>
          <w:lang w:val="en-GB"/>
        </w:rPr>
      </w:pPr>
      <w:r w:rsidRPr="0048561E">
        <w:rPr>
          <w:rFonts w:ascii="Arial" w:hAnsi="Arial" w:cs="Arial"/>
          <w:b/>
          <w:bCs/>
          <w:sz w:val="40"/>
          <w:szCs w:val="40"/>
          <w:lang w:val="en-GB"/>
        </w:rPr>
        <w:t>Student Name:</w:t>
      </w:r>
      <w:r>
        <w:rPr>
          <w:rFonts w:ascii="Arial" w:hAnsi="Arial" w:cs="Arial"/>
          <w:b/>
          <w:bCs/>
          <w:sz w:val="40"/>
          <w:szCs w:val="40"/>
          <w:lang w:val="en-GB"/>
        </w:rPr>
        <w:t xml:space="preserve"> Ayesha Siddiqua</w:t>
      </w:r>
      <w:r w:rsidRPr="0048561E">
        <w:rPr>
          <w:rFonts w:ascii="Arial" w:hAnsi="Arial" w:cs="Arial"/>
          <w:b/>
          <w:bCs/>
          <w:sz w:val="40"/>
          <w:szCs w:val="40"/>
          <w:lang w:val="en-GB"/>
        </w:rPr>
        <w:br/>
        <w:t>Student Number:</w:t>
      </w:r>
      <w:r>
        <w:rPr>
          <w:rFonts w:ascii="Arial" w:hAnsi="Arial" w:cs="Arial"/>
          <w:b/>
          <w:bCs/>
          <w:sz w:val="40"/>
          <w:szCs w:val="40"/>
          <w:lang w:val="en-GB"/>
        </w:rPr>
        <w:t xml:space="preserve"> 2233548</w:t>
      </w:r>
      <w:r w:rsidRPr="0048561E">
        <w:rPr>
          <w:rFonts w:ascii="Arial" w:hAnsi="Arial" w:cs="Arial"/>
          <w:b/>
          <w:bCs/>
          <w:sz w:val="40"/>
          <w:szCs w:val="40"/>
          <w:lang w:val="en-GB"/>
        </w:rPr>
        <w:br/>
      </w:r>
      <w:r w:rsidR="0048561E" w:rsidRPr="0048561E">
        <w:rPr>
          <w:rFonts w:ascii="Arial" w:hAnsi="Arial" w:cs="Arial"/>
          <w:b/>
          <w:bCs/>
          <w:sz w:val="40"/>
          <w:szCs w:val="40"/>
          <w:lang w:val="en-GB"/>
        </w:rPr>
        <w:t>Lecturer’s Name: Lisa</w:t>
      </w:r>
      <w:r>
        <w:rPr>
          <w:rFonts w:ascii="Arial" w:hAnsi="Arial" w:cs="Arial"/>
          <w:b/>
          <w:bCs/>
          <w:sz w:val="40"/>
          <w:szCs w:val="40"/>
          <w:lang w:val="en-GB"/>
        </w:rPr>
        <w:t xml:space="preserve"> knight</w:t>
      </w:r>
    </w:p>
    <w:p w14:paraId="321194A0" w14:textId="5C92C37F" w:rsidR="004E3527" w:rsidRPr="004E3527" w:rsidRDefault="00EC292F" w:rsidP="00587EC3">
      <w:pPr>
        <w:jc w:val="center"/>
        <w:rPr>
          <w:rFonts w:ascii="Arial" w:eastAsiaTheme="majorEastAsia" w:hAnsi="Arial" w:cstheme="majorBidi"/>
          <w:bCs/>
          <w:sz w:val="24"/>
          <w:szCs w:val="24"/>
          <w:lang w:val="en-GB"/>
        </w:rPr>
      </w:pPr>
      <w:r>
        <w:rPr>
          <w:rFonts w:ascii="Arial" w:hAnsi="Arial" w:cs="Arial"/>
          <w:b/>
          <w:bCs/>
          <w:sz w:val="40"/>
          <w:szCs w:val="40"/>
          <w:lang w:val="en-GB"/>
        </w:rPr>
        <w:t>Word Count:</w:t>
      </w:r>
      <w:r w:rsidR="00984029">
        <w:rPr>
          <w:rFonts w:ascii="Arial" w:hAnsi="Arial" w:cs="Arial"/>
          <w:b/>
          <w:bCs/>
          <w:sz w:val="40"/>
          <w:szCs w:val="40"/>
          <w:lang w:val="en-GB"/>
        </w:rPr>
        <w:t>1980</w:t>
      </w:r>
      <w:r w:rsidR="004E3527" w:rsidRPr="004E3527">
        <w:rPr>
          <w:rFonts w:ascii="Arial" w:eastAsiaTheme="majorEastAsia" w:hAnsi="Arial" w:cstheme="majorBidi"/>
          <w:bCs/>
          <w:sz w:val="24"/>
          <w:szCs w:val="24"/>
          <w:lang w:val="en-GB"/>
        </w:rPr>
        <w:br w:type="page"/>
      </w:r>
    </w:p>
    <w:p w14:paraId="5C60255E" w14:textId="1CFE6F72" w:rsidR="00E352B7" w:rsidRPr="00EC292F" w:rsidRDefault="00E352B7" w:rsidP="00EC292F">
      <w:pPr>
        <w:pStyle w:val="TOCHeading"/>
        <w:jc w:val="center"/>
        <w:rPr>
          <w:rFonts w:ascii="Arial" w:hAnsi="Arial" w:cs="Arial"/>
          <w:b/>
          <w:bCs/>
          <w:color w:val="auto"/>
        </w:rPr>
      </w:pPr>
    </w:p>
    <w:p w14:paraId="131A8F4C" w14:textId="448CCC8A" w:rsidR="00E352B7" w:rsidRPr="00E352B7" w:rsidRDefault="00E352B7" w:rsidP="00E352B7">
      <w:pPr>
        <w:spacing w:line="360" w:lineRule="auto"/>
        <w:jc w:val="both"/>
        <w:rPr>
          <w:rFonts w:ascii="Arial" w:hAnsi="Arial" w:cs="Arial"/>
          <w:sz w:val="24"/>
          <w:szCs w:val="24"/>
          <w:lang w:val="en-GB"/>
        </w:rPr>
      </w:pPr>
      <w:r w:rsidRPr="00E352B7">
        <w:rPr>
          <w:rFonts w:ascii="Arial" w:hAnsi="Arial" w:cs="Arial"/>
          <w:sz w:val="24"/>
          <w:szCs w:val="24"/>
          <w:lang w:val="en-GB"/>
        </w:rPr>
        <w:t xml:space="preserve">CSR not only enables companies to gain favourable stakeholder attitude and better support behaviour in the formation of CSR implementation, but also can create </w:t>
      </w:r>
      <w:r>
        <w:rPr>
          <w:rFonts w:ascii="Arial" w:hAnsi="Arial" w:cs="Arial"/>
          <w:sz w:val="24"/>
          <w:szCs w:val="24"/>
          <w:lang w:val="en-GB"/>
        </w:rPr>
        <w:t>a </w:t>
      </w:r>
      <w:r w:rsidRPr="00E352B7">
        <w:rPr>
          <w:rFonts w:ascii="Arial" w:hAnsi="Arial" w:cs="Arial"/>
          <w:sz w:val="24"/>
          <w:szCs w:val="24"/>
          <w:lang w:val="en-GB"/>
        </w:rPr>
        <w:t>favourable corporate image over the long-term to consolidate stakeholder-company relationship and improve advocacy behaviour (Du, Bhattacharya, and Sen, 2010). Corporate Social Responsibility (CSR) is usually the commitment business has to society besides seeking profits. In hospitality and tourism CSR activities are in a broad perspective encompassing environmental concerns, social concern, and moral concern. These are items such as ways of cutting emissions, cutting wastage, saving water and energy, and contribution to fair employment and cultural values of local societies. CSR has lately been receiving attention,</w:t>
      </w:r>
      <w:r>
        <w:rPr>
          <w:rFonts w:ascii="Arial" w:hAnsi="Arial" w:cs="Arial"/>
          <w:sz w:val="24"/>
          <w:szCs w:val="24"/>
          <w:lang w:val="en-GB"/>
        </w:rPr>
        <w:t> </w:t>
      </w:r>
      <w:r w:rsidRPr="00E352B7">
        <w:rPr>
          <w:rFonts w:ascii="Arial" w:hAnsi="Arial" w:cs="Arial"/>
          <w:sz w:val="24"/>
          <w:szCs w:val="24"/>
          <w:lang w:val="en-GB"/>
        </w:rPr>
        <w:t>TRACTION AND POPULARITY and importance in the last few decades (</w:t>
      </w:r>
      <w:proofErr w:type="spellStart"/>
      <w:r w:rsidRPr="00E352B7">
        <w:rPr>
          <w:rFonts w:ascii="Arial" w:hAnsi="Arial" w:cs="Arial"/>
          <w:sz w:val="24"/>
          <w:szCs w:val="24"/>
          <w:lang w:val="en-GB"/>
        </w:rPr>
        <w:t>Haski-Leventhal</w:t>
      </w:r>
      <w:proofErr w:type="spellEnd"/>
      <w:r w:rsidRPr="00E352B7">
        <w:rPr>
          <w:rFonts w:ascii="Arial" w:hAnsi="Arial" w:cs="Arial"/>
          <w:sz w:val="24"/>
          <w:szCs w:val="24"/>
          <w:lang w:val="en-GB"/>
        </w:rPr>
        <w:t>, 2018). CSR has considerably various implications in these industries for sustainable practices. It also makes companies improve their environmental conservation by using renewable energy and minimizing, where possible, the use of plastic carriers. CSR programs not only create goodwill and brand image of the company, but also increase the customer Base since people are more inclined to travel by visiting green and socially responsible companies. </w:t>
      </w:r>
    </w:p>
    <w:p w14:paraId="7CF8036A" w14:textId="27A8413B" w:rsidR="00E352B7" w:rsidRPr="00E352B7" w:rsidRDefault="00E352B7" w:rsidP="0048561E">
      <w:pPr>
        <w:pStyle w:val="Heading1"/>
      </w:pPr>
    </w:p>
    <w:p w14:paraId="31F5E5F4" w14:textId="2794474C" w:rsidR="00E352B7" w:rsidRPr="00E352B7" w:rsidRDefault="00E352B7" w:rsidP="00E352B7">
      <w:pPr>
        <w:spacing w:line="360" w:lineRule="auto"/>
        <w:jc w:val="both"/>
        <w:rPr>
          <w:rFonts w:ascii="Arial" w:hAnsi="Arial" w:cs="Arial"/>
          <w:sz w:val="24"/>
          <w:szCs w:val="24"/>
          <w:lang w:val="en-GB"/>
        </w:rPr>
      </w:pPr>
      <w:r w:rsidRPr="00E352B7">
        <w:rPr>
          <w:rFonts w:ascii="Arial" w:hAnsi="Arial" w:cs="Arial"/>
          <w:sz w:val="24"/>
          <w:szCs w:val="24"/>
          <w:lang w:val="en-GB"/>
        </w:rPr>
        <w:t xml:space="preserve">The Hospitality Industry is also where governments and private organizations are embarking on special programs meant to assist hoteliers toward improved sustainability (Sloan, Legrand, and Chen, 2017). Holiday Inn Express instils CSR by having sustainable business policies that are of great support to the IHG’s Green Engage system. With my developed platform, each hotel has the ability to monitor, measure and minimize environmental loads. This program has four categories of certification where the higher the level, the more stringencies in terms of sustainability applied. All Holiday Inn Express across the world have to adhere to certain sustainable guidelines and policies right from the grass-root level: In this case, this policy entails efficiency in uses such as; lighting, water, and disposal to mention but a few. For instance, energy efficient facilities and designs decrease consumption of energy by buildings in general. These higher levels of certification under Green Engage enable hotels to pursue larger sustainability initiatives such as renewable energy systems and water conservation which can lower energy by </w:t>
      </w:r>
      <w:r w:rsidRPr="00E352B7">
        <w:rPr>
          <w:rFonts w:ascii="Arial" w:hAnsi="Arial" w:cs="Arial"/>
          <w:sz w:val="24"/>
          <w:szCs w:val="24"/>
          <w:lang w:val="en-GB"/>
        </w:rPr>
        <w:lastRenderedPageBreak/>
        <w:t>at least a quarter. Raw materials costs, especially water management and waste disposal, have now started influencing cost (</w:t>
      </w:r>
      <w:proofErr w:type="spellStart"/>
      <w:r w:rsidRPr="00E352B7">
        <w:rPr>
          <w:rFonts w:ascii="Arial" w:hAnsi="Arial" w:cs="Arial"/>
          <w:sz w:val="24"/>
          <w:szCs w:val="24"/>
          <w:lang w:val="en-GB"/>
        </w:rPr>
        <w:t>Fillaudeau</w:t>
      </w:r>
      <w:proofErr w:type="spellEnd"/>
      <w:r w:rsidRPr="00E352B7">
        <w:rPr>
          <w:rFonts w:ascii="Arial" w:hAnsi="Arial" w:cs="Arial"/>
          <w:sz w:val="24"/>
          <w:szCs w:val="24"/>
          <w:lang w:val="en-GB"/>
        </w:rPr>
        <w:t xml:space="preserve">, </w:t>
      </w:r>
      <w:proofErr w:type="spellStart"/>
      <w:r w:rsidRPr="00E352B7">
        <w:rPr>
          <w:rFonts w:ascii="Arial" w:hAnsi="Arial" w:cs="Arial"/>
          <w:sz w:val="24"/>
          <w:szCs w:val="24"/>
          <w:lang w:val="en-GB"/>
        </w:rPr>
        <w:t>Blanpain-Avet</w:t>
      </w:r>
      <w:proofErr w:type="spellEnd"/>
      <w:r w:rsidRPr="00E352B7">
        <w:rPr>
          <w:rFonts w:ascii="Arial" w:hAnsi="Arial" w:cs="Arial"/>
          <w:sz w:val="24"/>
          <w:szCs w:val="24"/>
          <w:lang w:val="en-GB"/>
        </w:rPr>
        <w:t xml:space="preserve">, and </w:t>
      </w:r>
      <w:proofErr w:type="spellStart"/>
      <w:r w:rsidRPr="00E352B7">
        <w:rPr>
          <w:rFonts w:ascii="Arial" w:hAnsi="Arial" w:cs="Arial"/>
          <w:sz w:val="24"/>
          <w:szCs w:val="24"/>
          <w:lang w:val="en-GB"/>
        </w:rPr>
        <w:t>Daufin</w:t>
      </w:r>
      <w:proofErr w:type="spellEnd"/>
      <w:r w:rsidRPr="00E352B7">
        <w:rPr>
          <w:rFonts w:ascii="Arial" w:hAnsi="Arial" w:cs="Arial"/>
          <w:sz w:val="24"/>
          <w:szCs w:val="24"/>
          <w:lang w:val="en-GB"/>
        </w:rPr>
        <w:t>, 2006). In addition to the environmental responsibility, Holiday Inn Express guarantees the sustainability of local communities through procurement and staffing. They also respect such aspects as local sustainable materials, minimum transportation emission, and local suppliers. Social obligations involvement like providing employment and maintaining a healthy organizational culture are also considered for being CSR initiatives for the brand. The environmental objectives are achieved in parallel with each other (McKinnon, 2010). The hotel manages to come across various challenges for instance when it comes to implementing massive energy conservation projects, and when aligning all its properties to its sustainable standards. However, these CSR efforts not only have an environmental impact but also enhance the hotel’s reputation, and drive the environmental consumers and sustainable operational cost. Finally, the sound approach adopted and implemented by Holiday Inn Express towards the successful and sustainable CSR initiatives.</w:t>
      </w:r>
    </w:p>
    <w:p w14:paraId="7F1880E6" w14:textId="688F9330" w:rsidR="00E352B7" w:rsidRPr="00E352B7" w:rsidRDefault="00E352B7" w:rsidP="00E352B7">
      <w:pPr>
        <w:spacing w:line="360" w:lineRule="auto"/>
        <w:jc w:val="both"/>
        <w:rPr>
          <w:rFonts w:ascii="Arial" w:hAnsi="Arial" w:cs="Arial"/>
          <w:sz w:val="24"/>
          <w:szCs w:val="24"/>
          <w:lang w:val="en-GB"/>
        </w:rPr>
      </w:pPr>
      <w:r w:rsidRPr="00E352B7">
        <w:rPr>
          <w:rFonts w:ascii="Arial" w:hAnsi="Arial" w:cs="Arial"/>
          <w:sz w:val="24"/>
          <w:szCs w:val="24"/>
          <w:lang w:val="en-GB"/>
        </w:rPr>
        <w:t>The economic effects of tourism occur on the economies of the destination, physical environments and communities (</w:t>
      </w:r>
      <w:proofErr w:type="spellStart"/>
      <w:r w:rsidRPr="00E352B7">
        <w:rPr>
          <w:rFonts w:ascii="Arial" w:hAnsi="Arial" w:cs="Arial"/>
          <w:sz w:val="24"/>
          <w:szCs w:val="24"/>
          <w:lang w:val="en-GB"/>
        </w:rPr>
        <w:t>Inkson</w:t>
      </w:r>
      <w:proofErr w:type="spellEnd"/>
      <w:r w:rsidRPr="00E352B7">
        <w:rPr>
          <w:rFonts w:ascii="Arial" w:hAnsi="Arial" w:cs="Arial"/>
          <w:sz w:val="24"/>
          <w:szCs w:val="24"/>
          <w:lang w:val="en-GB"/>
        </w:rPr>
        <w:t xml:space="preserve">, and </w:t>
      </w:r>
      <w:proofErr w:type="spellStart"/>
      <w:r w:rsidRPr="00E352B7">
        <w:rPr>
          <w:rFonts w:ascii="Arial" w:hAnsi="Arial" w:cs="Arial"/>
          <w:sz w:val="24"/>
          <w:szCs w:val="24"/>
          <w:lang w:val="en-GB"/>
        </w:rPr>
        <w:t>Minnaert</w:t>
      </w:r>
      <w:proofErr w:type="spellEnd"/>
      <w:r w:rsidRPr="00E352B7">
        <w:rPr>
          <w:rFonts w:ascii="Arial" w:hAnsi="Arial" w:cs="Arial"/>
          <w:sz w:val="24"/>
          <w:szCs w:val="24"/>
          <w:lang w:val="en-GB"/>
        </w:rPr>
        <w:t xml:space="preserve">, 2022). Holiday Inn Express; as a sub brand of InterContinental Hotels Group or IHG has CSR and it is active through the IHG Green Engage. This system enables the hotels to track, measure and depict the extent of environmental management and the mitigation measures to apply. The Green Engage system is a certification program that has four stages, where the goals are increasingly ambitious with each stage. Energy efficiency and conservation have always been important factors in energy policy (Gillingham, Newell, and Palmer, 2009). Replacing bulbs with efficient ones, using intelligent temperature controls, and measuring energy consumption are basic. Measures being sought by hotels to ensure they minimize their level of emission include energy efficiency, renewable energy and infrastructure improvements. In terms of water conservation the hotel uses low flow plumbing fixtures and water efficient measures. This not only saves water but also helps to work efficiently and sustainably, Water conservation subsidies did not contribute to lower water usage if conditions are representative of many river basins (Ward, and Pulido-Velazquez, 2008). In terms of water conservation the hotel uses low flow plumbing fixtures and water efficient measures. Policies on waste management in Holiday Inn Express include recycling and </w:t>
      </w:r>
      <w:r w:rsidRPr="00E352B7">
        <w:rPr>
          <w:rFonts w:ascii="Arial" w:hAnsi="Arial" w:cs="Arial"/>
          <w:sz w:val="24"/>
          <w:szCs w:val="24"/>
          <w:lang w:val="en-GB"/>
        </w:rPr>
        <w:lastRenderedPageBreak/>
        <w:t xml:space="preserve">composting, avoidance of plastics in bottles and straws, and decreasing portion control in order to reduce food waste. Waste management system must be improved (Khan </w:t>
      </w:r>
      <w:r w:rsidRPr="00E352B7">
        <w:rPr>
          <w:rFonts w:ascii="Arial" w:hAnsi="Arial" w:cs="Arial"/>
          <w:i/>
          <w:iCs/>
          <w:sz w:val="24"/>
          <w:szCs w:val="24"/>
          <w:lang w:val="en-GB"/>
        </w:rPr>
        <w:t>et al</w:t>
      </w:r>
      <w:r w:rsidRPr="00E352B7">
        <w:rPr>
          <w:rFonts w:ascii="Arial" w:hAnsi="Arial" w:cs="Arial"/>
          <w:sz w:val="24"/>
          <w:szCs w:val="24"/>
          <w:lang w:val="en-GB"/>
        </w:rPr>
        <w:t>, 2022). Reducing dependency on international products: This is an important aspect of supply chain management since the hotel only sources products that have passed through a sustainable supplier list. The approach minimizes transportations and its effects on the natural environment and boosts the local economy. When it comes to designing the new Holiday Inn Express properties, attention is being paid to such aspects as lower energy consumption and higher guest satisfaction, better insulation, effective windows, and utilizing environmentally friendly materials in building. </w:t>
      </w:r>
    </w:p>
    <w:p w14:paraId="6A15EE2A" w14:textId="77777777" w:rsidR="00E352B7" w:rsidRPr="00E352B7" w:rsidRDefault="00E352B7" w:rsidP="00E352B7">
      <w:pPr>
        <w:spacing w:line="360" w:lineRule="auto"/>
        <w:jc w:val="both"/>
        <w:rPr>
          <w:rFonts w:ascii="Arial" w:hAnsi="Arial" w:cs="Arial"/>
          <w:sz w:val="24"/>
          <w:szCs w:val="24"/>
          <w:lang w:val="en-GB"/>
        </w:rPr>
      </w:pPr>
      <w:r w:rsidRPr="00E352B7">
        <w:rPr>
          <w:rFonts w:ascii="Arial" w:hAnsi="Arial" w:cs="Arial"/>
          <w:sz w:val="24"/>
          <w:szCs w:val="24"/>
          <w:lang w:val="en-GB"/>
        </w:rPr>
        <w:t xml:space="preserve">The quantifiable benefits of travel and tourism, an important contributor to the world’s economy (Costa, and Costa, 2022). This is true since, although energy and water savings recur over time, the costs of amalgamating environmental technologies and converting utilities to environment friendly ones are expensive in the initial stages. For instance, in the case of installing energy-efficient HVAC, the use of renewable energy, or efficient water management also require significant initial capital expenditure. This can be quite challenging especially to the small hotel properties that may have limited capital base to absorb such events. CSR is still a relatively new concept that is taking root in business organizations all over the world. CSR also refers to their strategies towards society and their environment apart from their financial implications to the companies (Wirba, 2024). The company is situated across the world and sometimes it is challenging to implement similar CSR standards in diverse outlets such as Holiday Inn Express. It becomes complex to practice the same standardized strategies across properties in the different regions due differing environmental regulations and resources available. Introducing the Green Engage certification criteria, the management has to make sure that each hotel satisfies them while taking into consideration local conditions and restrictions as operational tasks. Sustainable tourism provides implementable strategies and strategies for healthy cooperation between communities, commerce, not-for-profit groups, institutions of higher education, and local, national, and international government, along with formulating administration strategies and philosophies for the conservation of natural, man-made and cultural areas and strengthening orderly economic growth (Edgell, 2020). </w:t>
      </w:r>
      <w:r w:rsidRPr="00E352B7">
        <w:rPr>
          <w:rFonts w:ascii="Arial" w:hAnsi="Arial" w:cs="Arial"/>
          <w:sz w:val="24"/>
          <w:szCs w:val="24"/>
          <w:lang w:val="en-GB"/>
        </w:rPr>
        <w:lastRenderedPageBreak/>
        <w:t>Accommodation is desired more on comfort and convenience in addition to being sustainable to the environment sometimes is a challenge. </w:t>
      </w:r>
    </w:p>
    <w:p w14:paraId="598A3C0F" w14:textId="58AE767A" w:rsidR="00E352B7" w:rsidRPr="00E352B7" w:rsidRDefault="00E352B7" w:rsidP="00E352B7">
      <w:pPr>
        <w:spacing w:line="360" w:lineRule="auto"/>
        <w:jc w:val="both"/>
        <w:rPr>
          <w:rFonts w:ascii="Arial" w:hAnsi="Arial" w:cs="Arial"/>
          <w:sz w:val="24"/>
          <w:szCs w:val="24"/>
          <w:lang w:val="en-GB"/>
        </w:rPr>
      </w:pPr>
      <w:r w:rsidRPr="00E352B7">
        <w:rPr>
          <w:rFonts w:ascii="Arial" w:hAnsi="Arial" w:cs="Arial"/>
          <w:sz w:val="24"/>
          <w:szCs w:val="24"/>
          <w:lang w:val="en-GB"/>
        </w:rPr>
        <w:t xml:space="preserve">Hence here too, the world is seeking solutions in the areas of energy, water, materials beyond traditional building solutions, use of resources, and rejuvenation in human and animal kind as well (Jauhari, 2021). In the Green Engage system, all indicators lower showing that the hotel indeed has lower environmental impact now. In a way that helps it save energy and water, recycle and employ sustainable supply chain choices, Holiday Inn Express assists in the conservation of resources. The emphasis on the usage of renewable energy, recycling and environmentally friendly construction inhibits climate change, and contributes to sustainability initiatives in general. On one hand, high energy consumption leads directly to the enterprises and government to bear a greater economic cost, and also gives adverse effects on the environment sustainably (Guo </w:t>
      </w:r>
      <w:r w:rsidRPr="00E352B7">
        <w:rPr>
          <w:rFonts w:ascii="Arial" w:hAnsi="Arial" w:cs="Arial"/>
          <w:i/>
          <w:iCs/>
          <w:sz w:val="24"/>
          <w:szCs w:val="24"/>
          <w:lang w:val="en-GB"/>
        </w:rPr>
        <w:t>et al</w:t>
      </w:r>
      <w:r w:rsidRPr="00E352B7">
        <w:rPr>
          <w:rFonts w:ascii="Arial" w:hAnsi="Arial" w:cs="Arial"/>
          <w:sz w:val="24"/>
          <w:szCs w:val="24"/>
          <w:lang w:val="en-GB"/>
        </w:rPr>
        <w:t xml:space="preserve">, 2022). Most of the sustainability practices yield operational cost savings after sometime. Some examples are energy-using products which minimize electricity consumption and water saving measures that decrease utility expenses. Lower waste disposal fees that are associated with good recycling programs are also another advantage. While adopting a sampling methodology and quantitative analysis may be costly in the initial year, substantial one-time expense, these gains prove economically beneficial eventually. Sustainability crystallized originally as a program with respect to society, environment, and the economy in general (Caradonna, 2022). This is crucial for the firm because a new segment of the market is served; more specifically, Holiday Inn Express has embraced sustainability and outperforms other competitors when working with those guests who understand the importance of environmental conservation. Therefore, such strategies as CSR effectiveness make up for the competitive advantage for the hotel as a growing number of consumers integrate sustainability into their choice of traveling. It can also help generate more sales and bigger brand following because clients will have affinity with your company’s commitment to preserving the environment. CSR is an idea which seeks to encourage firms to go the extra mile in contributing to the improvement of the economy, ecology and societal welfare (Kuzey </w:t>
      </w:r>
      <w:r w:rsidRPr="00E352B7">
        <w:rPr>
          <w:rFonts w:ascii="Arial" w:hAnsi="Arial" w:cs="Arial"/>
          <w:i/>
          <w:iCs/>
          <w:sz w:val="24"/>
          <w:szCs w:val="24"/>
          <w:lang w:val="en-GB"/>
        </w:rPr>
        <w:t>et al</w:t>
      </w:r>
      <w:r w:rsidRPr="00E352B7">
        <w:rPr>
          <w:rFonts w:ascii="Arial" w:hAnsi="Arial" w:cs="Arial"/>
          <w:sz w:val="24"/>
          <w:szCs w:val="24"/>
          <w:lang w:val="en-GB"/>
        </w:rPr>
        <w:t xml:space="preserve">, 2022). With an expanding consciousness of the environment, tourists are in search of green hotels. Since Holiday Inn Express already has the established Green Engage system, it would stand to become the place of choice </w:t>
      </w:r>
      <w:r w:rsidRPr="00E352B7">
        <w:rPr>
          <w:rFonts w:ascii="Arial" w:hAnsi="Arial" w:cs="Arial"/>
          <w:sz w:val="24"/>
          <w:szCs w:val="24"/>
          <w:lang w:val="en-GB"/>
        </w:rPr>
        <w:lastRenderedPageBreak/>
        <w:t>for the above segment of the market. Eco-tourism is a new trend, so customers like brands that care about nature and the environment as well as them.</w:t>
      </w:r>
    </w:p>
    <w:p w14:paraId="31002EF4" w14:textId="30D578DF" w:rsidR="00E352B7" w:rsidRPr="00E352B7" w:rsidRDefault="00E352B7" w:rsidP="00E352B7">
      <w:pPr>
        <w:spacing w:line="360" w:lineRule="auto"/>
        <w:jc w:val="both"/>
        <w:rPr>
          <w:rFonts w:ascii="Arial" w:hAnsi="Arial" w:cs="Arial"/>
          <w:sz w:val="24"/>
          <w:szCs w:val="24"/>
          <w:lang w:val="en-GB"/>
        </w:rPr>
      </w:pPr>
      <w:r w:rsidRPr="00E352B7">
        <w:rPr>
          <w:rFonts w:ascii="Arial" w:hAnsi="Arial" w:cs="Arial"/>
          <w:sz w:val="24"/>
          <w:szCs w:val="24"/>
          <w:lang w:val="en-GB"/>
        </w:rPr>
        <w:t>Climate change acts are a relatively recent subgenre of green economy legislation that has previously been defined as innovative legislation meant to reduce GHG emissions (</w:t>
      </w:r>
      <w:proofErr w:type="spellStart"/>
      <w:r w:rsidRPr="00E352B7">
        <w:rPr>
          <w:rFonts w:ascii="Arial" w:hAnsi="Arial" w:cs="Arial"/>
          <w:sz w:val="24"/>
          <w:szCs w:val="24"/>
          <w:lang w:val="en-GB"/>
        </w:rPr>
        <w:t>Muinzer</w:t>
      </w:r>
      <w:proofErr w:type="spellEnd"/>
      <w:r w:rsidRPr="00E352B7">
        <w:rPr>
          <w:rFonts w:ascii="Arial" w:hAnsi="Arial" w:cs="Arial"/>
          <w:sz w:val="24"/>
          <w:szCs w:val="24"/>
          <w:lang w:val="en-GB"/>
        </w:rPr>
        <w:t>, 2021). Climate Change Act 2008 laws mandate companies to cut emissions and help the country achieve its goals regarding emissions of greenhouse gasses and hotels are no exception. Holiday Inn Express is in compliance with this law since it uses energy-efficient technologies, renewable energy, and has a method of monitoring carbon footprint, from IHG’s Green engage system. Carbon dioxide from the greenhouse gas emission can be captured and used through carbon capture and utilization to produce value added products (Müller</w:t>
      </w:r>
      <w:r w:rsidRPr="00E352B7">
        <w:rPr>
          <w:rFonts w:ascii="Arial" w:hAnsi="Arial" w:cs="Arial"/>
          <w:i/>
          <w:iCs/>
          <w:sz w:val="24"/>
          <w:szCs w:val="24"/>
          <w:lang w:val="en-GB"/>
        </w:rPr>
        <w:t xml:space="preserve"> et al,</w:t>
      </w:r>
      <w:r w:rsidRPr="00E352B7">
        <w:rPr>
          <w:rFonts w:ascii="Arial" w:hAnsi="Arial" w:cs="Arial"/>
          <w:sz w:val="24"/>
          <w:szCs w:val="24"/>
          <w:lang w:val="en-GB"/>
        </w:rPr>
        <w:t xml:space="preserve"> 2020). Sustainability has frequently been discussed as an output like the environmental footprint and so on (Wickham, Donnelly, and French, 2021.). The ESOS requires large enterprises to perform energy audits at least once every four years and specify feasible measures for energy efficiency improvements. Such procedures are adopted by Holiday Inn Express where the firm fulfils these requirements by conducting energy assessment and energy conservation principles including use of LED bulbs and control of temperature through smart controls. Domestic energy efficiency policy can therefore be a technique for decreasing residential energy related GHG emissions and also cost for households in energy poverty (Bridgen, 2023). The Waste Regulations (England and Wales) 2011’s regulation on wastes means that a business had to minimize waste and dispose of it properly. Therefore further to these regulations Holiday Inn Express has lately implemented sound waste reduction and recycling measures in order to reduce on the dumping of waste at the landfill and therefore enhance recycling practices in a bid to support the circular economy approach.</w:t>
      </w:r>
    </w:p>
    <w:p w14:paraId="6F160953" w14:textId="0772E30F" w:rsidR="00E352B7" w:rsidRPr="0048561E" w:rsidRDefault="00E352B7" w:rsidP="0048561E">
      <w:pPr>
        <w:pStyle w:val="Heading1"/>
      </w:pPr>
    </w:p>
    <w:p w14:paraId="6BF60C4E" w14:textId="77777777" w:rsidR="00E352B7" w:rsidRPr="00E352B7" w:rsidRDefault="00E352B7" w:rsidP="00E352B7">
      <w:pPr>
        <w:spacing w:line="360" w:lineRule="auto"/>
        <w:jc w:val="both"/>
        <w:rPr>
          <w:rFonts w:ascii="Arial" w:hAnsi="Arial" w:cs="Arial"/>
          <w:sz w:val="24"/>
          <w:szCs w:val="24"/>
          <w:lang w:val="en-GB"/>
        </w:rPr>
      </w:pPr>
      <w:r w:rsidRPr="00E352B7">
        <w:rPr>
          <w:rFonts w:ascii="Arial" w:hAnsi="Arial" w:cs="Arial"/>
          <w:sz w:val="24"/>
          <w:szCs w:val="24"/>
          <w:lang w:val="en-GB"/>
        </w:rPr>
        <w:t xml:space="preserve">In the UK, CSR initiatives support legislative frameworks such as the Climate Change Act 2008 that aims at cutting carbon emission and the Energy Saving Opportunities Scheme (ESOS) that requires big firms to conduct energy surveys and exploit energy conservation action plans. These CSR policies help Holiday Inn Express operate long-term sustainable business and act legally required. Subsequently, Holiday Inn Express has also </w:t>
      </w:r>
      <w:r w:rsidRPr="00E352B7">
        <w:rPr>
          <w:rFonts w:ascii="Arial" w:hAnsi="Arial" w:cs="Arial"/>
          <w:sz w:val="24"/>
          <w:szCs w:val="24"/>
          <w:lang w:val="en-GB"/>
        </w:rPr>
        <w:lastRenderedPageBreak/>
        <w:t>implemented CSR through the IHG Green Engage system and the sustainable practices affecting the hotels’ operations and the local communities, and the physical environment. The potential long-term benefits, as noted in the areas of cost, reputation, and compliance with the law, are inherently a plus for the hotel and the hospitality business in general, despite the continuing difficulties of high implementation costs and the issue of maintaining homogeneity across different regions. Holiday Inn Express CSR is efficient since UK legislation like the Climate Change Act, Modern Slavery Act influences the organization’s decisions towards adopting sustainable/ethical practices. However, these laws go further than maintaining legal requirements, the sustainability of business operations in the long-run, company image and responsibility towards the natural environment.</w:t>
      </w:r>
    </w:p>
    <w:p w14:paraId="53EB5A92" w14:textId="77777777" w:rsidR="00C47525" w:rsidRDefault="00E352B7" w:rsidP="0048561E">
      <w:pPr>
        <w:pStyle w:val="Heading1"/>
      </w:pPr>
      <w:r w:rsidRPr="00E352B7">
        <w:br/>
      </w:r>
      <w:bookmarkStart w:id="0" w:name="_Toc179817301"/>
    </w:p>
    <w:p w14:paraId="6BEB4B28" w14:textId="77777777" w:rsidR="00C47525" w:rsidRDefault="00C47525">
      <w:pPr>
        <w:rPr>
          <w:rFonts w:ascii="Arial" w:eastAsiaTheme="majorEastAsia" w:hAnsi="Arial" w:cstheme="majorBidi"/>
          <w:b/>
          <w:sz w:val="32"/>
          <w:szCs w:val="32"/>
          <w:lang w:val="en-GB"/>
        </w:rPr>
      </w:pPr>
      <w:r>
        <w:rPr>
          <w:lang w:val="en-GB"/>
        </w:rPr>
        <w:br w:type="page"/>
      </w:r>
    </w:p>
    <w:p w14:paraId="50452E67" w14:textId="1F68D4CE" w:rsidR="00E352B7" w:rsidRPr="00C47525" w:rsidRDefault="00E352B7" w:rsidP="0048561E">
      <w:pPr>
        <w:pStyle w:val="Heading1"/>
      </w:pPr>
      <w:r w:rsidRPr="00E352B7">
        <w:lastRenderedPageBreak/>
        <w:t>Reference</w:t>
      </w:r>
      <w:bookmarkEnd w:id="0"/>
    </w:p>
    <w:p w14:paraId="6683F077" w14:textId="3C6EC81E" w:rsidR="00E352B7" w:rsidRPr="00E352B7" w:rsidRDefault="00E352B7" w:rsidP="00E352B7">
      <w:pPr>
        <w:spacing w:line="360" w:lineRule="auto"/>
        <w:jc w:val="both"/>
        <w:rPr>
          <w:rFonts w:ascii="Arial" w:hAnsi="Arial" w:cs="Arial"/>
          <w:sz w:val="24"/>
          <w:szCs w:val="24"/>
          <w:lang w:val="en-GB"/>
        </w:rPr>
      </w:pPr>
      <w:r w:rsidRPr="00E352B7">
        <w:rPr>
          <w:rFonts w:ascii="Arial" w:hAnsi="Arial" w:cs="Arial"/>
          <w:sz w:val="24"/>
          <w:szCs w:val="24"/>
          <w:lang w:val="en-GB"/>
        </w:rPr>
        <w:t xml:space="preserve">Bridgen, P., 2023. An eco-social solution to energy poverty? Substance and symbolism in England's use of domestic energy efficiency policy to achieve social and environmental synergies, 1997–2023. </w:t>
      </w:r>
      <w:r w:rsidRPr="00E352B7">
        <w:rPr>
          <w:rFonts w:ascii="Arial" w:hAnsi="Arial" w:cs="Arial"/>
          <w:i/>
          <w:iCs/>
          <w:sz w:val="24"/>
          <w:szCs w:val="24"/>
          <w:lang w:val="en-GB"/>
        </w:rPr>
        <w:t>European Journal of Social Security</w:t>
      </w:r>
      <w:r w:rsidRPr="00E352B7">
        <w:rPr>
          <w:rFonts w:ascii="Arial" w:hAnsi="Arial" w:cs="Arial"/>
          <w:sz w:val="24"/>
          <w:szCs w:val="24"/>
          <w:lang w:val="en-GB"/>
        </w:rPr>
        <w:t xml:space="preserve">, </w:t>
      </w:r>
      <w:r w:rsidRPr="00E352B7">
        <w:rPr>
          <w:rFonts w:ascii="Arial" w:hAnsi="Arial" w:cs="Arial"/>
          <w:i/>
          <w:iCs/>
          <w:sz w:val="24"/>
          <w:szCs w:val="24"/>
          <w:lang w:val="en-GB"/>
        </w:rPr>
        <w:t>25</w:t>
      </w:r>
      <w:r w:rsidRPr="00E352B7">
        <w:rPr>
          <w:rFonts w:ascii="Arial" w:hAnsi="Arial" w:cs="Arial"/>
          <w:sz w:val="24"/>
          <w:szCs w:val="24"/>
          <w:lang w:val="en-GB"/>
        </w:rPr>
        <w:t xml:space="preserve">(4), pp.388-407. Available on: </w:t>
      </w:r>
      <w:hyperlink r:id="rId8" w:history="1">
        <w:r w:rsidRPr="00E352B7">
          <w:rPr>
            <w:rStyle w:val="Hyperlink"/>
            <w:rFonts w:ascii="Arial" w:hAnsi="Arial" w:cs="Arial"/>
            <w:sz w:val="24"/>
            <w:szCs w:val="24"/>
            <w:lang w:val="en-GB"/>
          </w:rPr>
          <w:t>https://journals.sagepub.com/doi/pdf/10.1177/13882627231195722</w:t>
        </w:r>
      </w:hyperlink>
      <w:r w:rsidRPr="00E352B7">
        <w:rPr>
          <w:rFonts w:ascii="Arial" w:hAnsi="Arial" w:cs="Arial"/>
          <w:sz w:val="24"/>
          <w:szCs w:val="24"/>
          <w:lang w:val="en-GB"/>
        </w:rPr>
        <w:t xml:space="preserve"> [Accessed on: 14th October, 24]</w:t>
      </w:r>
    </w:p>
    <w:p w14:paraId="6EACE583" w14:textId="77777777" w:rsidR="00E352B7" w:rsidRPr="00E352B7" w:rsidRDefault="00E352B7" w:rsidP="00E352B7">
      <w:pPr>
        <w:spacing w:line="360" w:lineRule="auto"/>
        <w:jc w:val="both"/>
        <w:rPr>
          <w:rFonts w:ascii="Arial" w:hAnsi="Arial" w:cs="Arial"/>
          <w:sz w:val="24"/>
          <w:szCs w:val="24"/>
          <w:lang w:val="en-GB"/>
        </w:rPr>
      </w:pPr>
      <w:r w:rsidRPr="00E352B7">
        <w:rPr>
          <w:rFonts w:ascii="Arial" w:hAnsi="Arial" w:cs="Arial"/>
          <w:sz w:val="24"/>
          <w:szCs w:val="24"/>
          <w:lang w:val="en-GB"/>
        </w:rPr>
        <w:t xml:space="preserve">Caradonna, J.L., 2022. </w:t>
      </w:r>
      <w:r w:rsidRPr="00E352B7">
        <w:rPr>
          <w:rFonts w:ascii="Arial" w:hAnsi="Arial" w:cs="Arial"/>
          <w:i/>
          <w:iCs/>
          <w:sz w:val="24"/>
          <w:szCs w:val="24"/>
          <w:lang w:val="en-GB"/>
        </w:rPr>
        <w:t>Sustainability: A history</w:t>
      </w:r>
      <w:r w:rsidRPr="00E352B7">
        <w:rPr>
          <w:rFonts w:ascii="Arial" w:hAnsi="Arial" w:cs="Arial"/>
          <w:sz w:val="24"/>
          <w:szCs w:val="24"/>
          <w:lang w:val="en-GB"/>
        </w:rPr>
        <w:t xml:space="preserve">. Oxford University Press. Available on: </w:t>
      </w:r>
      <w:hyperlink r:id="rId9" w:history="1">
        <w:r w:rsidRPr="00E352B7">
          <w:rPr>
            <w:rStyle w:val="Hyperlink"/>
            <w:rFonts w:ascii="Arial" w:hAnsi="Arial" w:cs="Arial"/>
            <w:sz w:val="24"/>
            <w:szCs w:val="24"/>
            <w:lang w:val="en-GB"/>
          </w:rPr>
          <w:t>https://books.google.com/books?hl=en&amp;lr=&amp;id=EtrbEAAAQBAJ&amp;oi=fnd&amp;pg=PP1&amp;dq=sustainability&amp;ots=TmngUIXpny&amp;sig=oidTirkSiXlNkt7Il41Jkf_Ib4c</w:t>
        </w:r>
      </w:hyperlink>
      <w:r w:rsidRPr="00E352B7">
        <w:rPr>
          <w:rFonts w:ascii="Arial" w:hAnsi="Arial" w:cs="Arial"/>
          <w:sz w:val="24"/>
          <w:szCs w:val="24"/>
          <w:lang w:val="en-GB"/>
        </w:rPr>
        <w:t xml:space="preserve"> [Accessed on: 14th October, 24].</w:t>
      </w:r>
    </w:p>
    <w:p w14:paraId="79EDBC16" w14:textId="77777777" w:rsidR="00E352B7" w:rsidRPr="00E352B7" w:rsidRDefault="00E352B7" w:rsidP="00E352B7">
      <w:pPr>
        <w:spacing w:line="360" w:lineRule="auto"/>
        <w:jc w:val="both"/>
        <w:rPr>
          <w:rFonts w:ascii="Arial" w:hAnsi="Arial" w:cs="Arial"/>
          <w:sz w:val="24"/>
          <w:szCs w:val="24"/>
          <w:lang w:val="en-GB"/>
        </w:rPr>
      </w:pPr>
      <w:r w:rsidRPr="00E352B7">
        <w:rPr>
          <w:rFonts w:ascii="Arial" w:hAnsi="Arial" w:cs="Arial"/>
          <w:sz w:val="24"/>
          <w:szCs w:val="24"/>
          <w:lang w:val="en-GB"/>
        </w:rPr>
        <w:t>Costa, &amp; Costa, C. (2022). Sustainability and competitiveness in the hospitality industry (Costa &amp; C. Costa, Eds.). Business Science Reference.</w:t>
      </w:r>
    </w:p>
    <w:p w14:paraId="30558E9B" w14:textId="77777777" w:rsidR="00E352B7" w:rsidRPr="00E352B7" w:rsidRDefault="00E352B7" w:rsidP="00E352B7">
      <w:pPr>
        <w:spacing w:line="360" w:lineRule="auto"/>
        <w:jc w:val="both"/>
        <w:rPr>
          <w:rFonts w:ascii="Arial" w:hAnsi="Arial" w:cs="Arial"/>
          <w:sz w:val="24"/>
          <w:szCs w:val="24"/>
          <w:lang w:val="en-GB"/>
        </w:rPr>
      </w:pPr>
      <w:r w:rsidRPr="00E352B7">
        <w:rPr>
          <w:rFonts w:ascii="Arial" w:hAnsi="Arial" w:cs="Arial"/>
          <w:sz w:val="24"/>
          <w:szCs w:val="24"/>
          <w:lang w:val="en-GB"/>
        </w:rPr>
        <w:t xml:space="preserve">Du, S., Bhattacharya, C.B. and Sen, S., 2010. Maximizing business returns to corporate social responsibility (CSR): The role of CSR communication. </w:t>
      </w:r>
      <w:r w:rsidRPr="00E352B7">
        <w:rPr>
          <w:rFonts w:ascii="Arial" w:hAnsi="Arial" w:cs="Arial"/>
          <w:i/>
          <w:iCs/>
          <w:sz w:val="24"/>
          <w:szCs w:val="24"/>
          <w:lang w:val="en-GB"/>
        </w:rPr>
        <w:t>International journal of management reviews</w:t>
      </w:r>
      <w:r w:rsidRPr="00E352B7">
        <w:rPr>
          <w:rFonts w:ascii="Arial" w:hAnsi="Arial" w:cs="Arial"/>
          <w:sz w:val="24"/>
          <w:szCs w:val="24"/>
          <w:lang w:val="en-GB"/>
        </w:rPr>
        <w:t xml:space="preserve">, </w:t>
      </w:r>
      <w:r w:rsidRPr="00E352B7">
        <w:rPr>
          <w:rFonts w:ascii="Arial" w:hAnsi="Arial" w:cs="Arial"/>
          <w:i/>
          <w:iCs/>
          <w:sz w:val="24"/>
          <w:szCs w:val="24"/>
          <w:lang w:val="en-GB"/>
        </w:rPr>
        <w:t>12</w:t>
      </w:r>
      <w:r w:rsidRPr="00E352B7">
        <w:rPr>
          <w:rFonts w:ascii="Arial" w:hAnsi="Arial" w:cs="Arial"/>
          <w:sz w:val="24"/>
          <w:szCs w:val="24"/>
          <w:lang w:val="en-GB"/>
        </w:rPr>
        <w:t xml:space="preserve">(1), pp.8-19. Available on: </w:t>
      </w:r>
      <w:hyperlink r:id="rId10" w:history="1">
        <w:r w:rsidRPr="00E352B7">
          <w:rPr>
            <w:rStyle w:val="Hyperlink"/>
            <w:rFonts w:ascii="Arial" w:hAnsi="Arial" w:cs="Arial"/>
            <w:sz w:val="24"/>
            <w:szCs w:val="24"/>
            <w:lang w:val="en-GB"/>
          </w:rPr>
          <w:t>https://onlinelibrary.wiley.com/doi/abs/10.1111/j.1468-2370.2009.00276.x</w:t>
        </w:r>
      </w:hyperlink>
      <w:r w:rsidRPr="00E352B7">
        <w:rPr>
          <w:rFonts w:ascii="Arial" w:hAnsi="Arial" w:cs="Arial"/>
          <w:sz w:val="24"/>
          <w:szCs w:val="24"/>
          <w:lang w:val="en-GB"/>
        </w:rPr>
        <w:t xml:space="preserve"> [Accessed on: 14th October, 24].</w:t>
      </w:r>
    </w:p>
    <w:p w14:paraId="5D4C9877" w14:textId="77777777" w:rsidR="00E352B7" w:rsidRPr="00E352B7" w:rsidRDefault="00E352B7" w:rsidP="00E352B7">
      <w:pPr>
        <w:spacing w:line="360" w:lineRule="auto"/>
        <w:jc w:val="both"/>
        <w:rPr>
          <w:rFonts w:ascii="Arial" w:hAnsi="Arial" w:cs="Arial"/>
          <w:sz w:val="24"/>
          <w:szCs w:val="24"/>
          <w:lang w:val="en-GB"/>
        </w:rPr>
      </w:pPr>
      <w:r w:rsidRPr="00E352B7">
        <w:rPr>
          <w:rFonts w:ascii="Arial" w:hAnsi="Arial" w:cs="Arial"/>
          <w:sz w:val="24"/>
          <w:szCs w:val="24"/>
          <w:lang w:val="en-GB"/>
        </w:rPr>
        <w:t xml:space="preserve">Edgell. (2020). Managing sustainable tourism : a legacy for the future (Third edition). Routledge. Available on: </w:t>
      </w:r>
      <w:hyperlink r:id="rId11" w:history="1">
        <w:r w:rsidRPr="00E352B7">
          <w:rPr>
            <w:rStyle w:val="Hyperlink"/>
            <w:rFonts w:ascii="Arial" w:hAnsi="Arial" w:cs="Arial"/>
            <w:sz w:val="24"/>
            <w:szCs w:val="24"/>
            <w:lang w:val="en-GB"/>
          </w:rPr>
          <w:t>https://www.routledge.com/Managing-Sustainable-Tourism-A-Legacy-for-the-Future/EdgellSr/p/book/9780367331382?srsltid=AfmBOornKs66DHzP0woyjo_E58GxB5ZTD2T03PZaJH_R3VLQIz-JhQ3c</w:t>
        </w:r>
      </w:hyperlink>
      <w:r w:rsidRPr="00E352B7">
        <w:rPr>
          <w:rFonts w:ascii="Arial" w:hAnsi="Arial" w:cs="Arial"/>
          <w:sz w:val="24"/>
          <w:szCs w:val="24"/>
          <w:lang w:val="en-GB"/>
        </w:rPr>
        <w:t xml:space="preserve"> [Accessed on: 14th October, 24].</w:t>
      </w:r>
    </w:p>
    <w:p w14:paraId="5E81E3FF" w14:textId="77777777" w:rsidR="00E352B7" w:rsidRPr="00E352B7" w:rsidRDefault="00E352B7" w:rsidP="00E352B7">
      <w:pPr>
        <w:spacing w:line="360" w:lineRule="auto"/>
        <w:jc w:val="both"/>
        <w:rPr>
          <w:rFonts w:ascii="Arial" w:hAnsi="Arial" w:cs="Arial"/>
          <w:sz w:val="24"/>
          <w:szCs w:val="24"/>
          <w:lang w:val="en-GB"/>
        </w:rPr>
      </w:pPr>
      <w:proofErr w:type="spellStart"/>
      <w:r w:rsidRPr="00E352B7">
        <w:rPr>
          <w:rFonts w:ascii="Arial" w:hAnsi="Arial" w:cs="Arial"/>
          <w:sz w:val="24"/>
          <w:szCs w:val="24"/>
          <w:lang w:val="en-GB"/>
        </w:rPr>
        <w:t>Fillaudeau</w:t>
      </w:r>
      <w:proofErr w:type="spellEnd"/>
      <w:r w:rsidRPr="00E352B7">
        <w:rPr>
          <w:rFonts w:ascii="Arial" w:hAnsi="Arial" w:cs="Arial"/>
          <w:sz w:val="24"/>
          <w:szCs w:val="24"/>
          <w:lang w:val="en-GB"/>
        </w:rPr>
        <w:t xml:space="preserve">, L., </w:t>
      </w:r>
      <w:proofErr w:type="spellStart"/>
      <w:r w:rsidRPr="00E352B7">
        <w:rPr>
          <w:rFonts w:ascii="Arial" w:hAnsi="Arial" w:cs="Arial"/>
          <w:sz w:val="24"/>
          <w:szCs w:val="24"/>
          <w:lang w:val="en-GB"/>
        </w:rPr>
        <w:t>Blanpain-Avet</w:t>
      </w:r>
      <w:proofErr w:type="spellEnd"/>
      <w:r w:rsidRPr="00E352B7">
        <w:rPr>
          <w:rFonts w:ascii="Arial" w:hAnsi="Arial" w:cs="Arial"/>
          <w:sz w:val="24"/>
          <w:szCs w:val="24"/>
          <w:lang w:val="en-GB"/>
        </w:rPr>
        <w:t xml:space="preserve">, P. and </w:t>
      </w:r>
      <w:proofErr w:type="spellStart"/>
      <w:r w:rsidRPr="00E352B7">
        <w:rPr>
          <w:rFonts w:ascii="Arial" w:hAnsi="Arial" w:cs="Arial"/>
          <w:sz w:val="24"/>
          <w:szCs w:val="24"/>
          <w:lang w:val="en-GB"/>
        </w:rPr>
        <w:t>Daufin</w:t>
      </w:r>
      <w:proofErr w:type="spellEnd"/>
      <w:r w:rsidRPr="00E352B7">
        <w:rPr>
          <w:rFonts w:ascii="Arial" w:hAnsi="Arial" w:cs="Arial"/>
          <w:sz w:val="24"/>
          <w:szCs w:val="24"/>
          <w:lang w:val="en-GB"/>
        </w:rPr>
        <w:t xml:space="preserve">, G., 2006. Water, wastewater and waste management in brewing industries. </w:t>
      </w:r>
      <w:r w:rsidRPr="00E352B7">
        <w:rPr>
          <w:rFonts w:ascii="Arial" w:hAnsi="Arial" w:cs="Arial"/>
          <w:i/>
          <w:iCs/>
          <w:sz w:val="24"/>
          <w:szCs w:val="24"/>
          <w:lang w:val="en-GB"/>
        </w:rPr>
        <w:t>Journal of cleaner production</w:t>
      </w:r>
      <w:r w:rsidRPr="00E352B7">
        <w:rPr>
          <w:rFonts w:ascii="Arial" w:hAnsi="Arial" w:cs="Arial"/>
          <w:sz w:val="24"/>
          <w:szCs w:val="24"/>
          <w:lang w:val="en-GB"/>
        </w:rPr>
        <w:t xml:space="preserve">, </w:t>
      </w:r>
      <w:r w:rsidRPr="00E352B7">
        <w:rPr>
          <w:rFonts w:ascii="Arial" w:hAnsi="Arial" w:cs="Arial"/>
          <w:i/>
          <w:iCs/>
          <w:sz w:val="24"/>
          <w:szCs w:val="24"/>
          <w:lang w:val="en-GB"/>
        </w:rPr>
        <w:t>14</w:t>
      </w:r>
      <w:r w:rsidRPr="00E352B7">
        <w:rPr>
          <w:rFonts w:ascii="Arial" w:hAnsi="Arial" w:cs="Arial"/>
          <w:sz w:val="24"/>
          <w:szCs w:val="24"/>
          <w:lang w:val="en-GB"/>
        </w:rPr>
        <w:t xml:space="preserve">(5), pp.463-471. Available on: </w:t>
      </w:r>
      <w:hyperlink r:id="rId12" w:history="1">
        <w:r w:rsidRPr="00E352B7">
          <w:rPr>
            <w:rStyle w:val="Hyperlink"/>
            <w:rFonts w:ascii="Arial" w:hAnsi="Arial" w:cs="Arial"/>
            <w:sz w:val="24"/>
            <w:szCs w:val="24"/>
            <w:lang w:val="en-GB"/>
          </w:rPr>
          <w:t>https://citeseerx.ist.psu.edu/document?repid=rep1&amp;type=pdf&amp;doi=3f41139c49184b42ede069dd6759f82c64b769c5</w:t>
        </w:r>
      </w:hyperlink>
      <w:r w:rsidRPr="00E352B7">
        <w:rPr>
          <w:rFonts w:ascii="Arial" w:hAnsi="Arial" w:cs="Arial"/>
          <w:sz w:val="24"/>
          <w:szCs w:val="24"/>
          <w:lang w:val="en-GB"/>
        </w:rPr>
        <w:t xml:space="preserve"> [Accessed on: 14th October, 24].</w:t>
      </w:r>
    </w:p>
    <w:p w14:paraId="38149484" w14:textId="77777777" w:rsidR="00E352B7" w:rsidRPr="00E352B7" w:rsidRDefault="00E352B7" w:rsidP="00E352B7">
      <w:pPr>
        <w:spacing w:line="360" w:lineRule="auto"/>
        <w:jc w:val="both"/>
        <w:rPr>
          <w:rFonts w:ascii="Arial" w:hAnsi="Arial" w:cs="Arial"/>
          <w:sz w:val="24"/>
          <w:szCs w:val="24"/>
          <w:lang w:val="en-GB"/>
        </w:rPr>
      </w:pPr>
      <w:r w:rsidRPr="00E352B7">
        <w:rPr>
          <w:rFonts w:ascii="Arial" w:hAnsi="Arial" w:cs="Arial"/>
          <w:sz w:val="24"/>
          <w:szCs w:val="24"/>
          <w:lang w:val="en-GB"/>
        </w:rPr>
        <w:t xml:space="preserve">Gillingham, K., Newell, R.G. and Palmer, K., 2009. Energy efficiency economics and policy. </w:t>
      </w:r>
      <w:r w:rsidRPr="00E352B7">
        <w:rPr>
          <w:rFonts w:ascii="Arial" w:hAnsi="Arial" w:cs="Arial"/>
          <w:i/>
          <w:iCs/>
          <w:sz w:val="24"/>
          <w:szCs w:val="24"/>
          <w:lang w:val="en-GB"/>
        </w:rPr>
        <w:t xml:space="preserve">Annu. Rev. </w:t>
      </w:r>
      <w:proofErr w:type="spellStart"/>
      <w:r w:rsidRPr="00E352B7">
        <w:rPr>
          <w:rFonts w:ascii="Arial" w:hAnsi="Arial" w:cs="Arial"/>
          <w:i/>
          <w:iCs/>
          <w:sz w:val="24"/>
          <w:szCs w:val="24"/>
          <w:lang w:val="en-GB"/>
        </w:rPr>
        <w:t>Resour</w:t>
      </w:r>
      <w:proofErr w:type="spellEnd"/>
      <w:r w:rsidRPr="00E352B7">
        <w:rPr>
          <w:rFonts w:ascii="Arial" w:hAnsi="Arial" w:cs="Arial"/>
          <w:i/>
          <w:iCs/>
          <w:sz w:val="24"/>
          <w:szCs w:val="24"/>
          <w:lang w:val="en-GB"/>
        </w:rPr>
        <w:t>. Econ.</w:t>
      </w:r>
      <w:r w:rsidRPr="00E352B7">
        <w:rPr>
          <w:rFonts w:ascii="Arial" w:hAnsi="Arial" w:cs="Arial"/>
          <w:sz w:val="24"/>
          <w:szCs w:val="24"/>
          <w:lang w:val="en-GB"/>
        </w:rPr>
        <w:t xml:space="preserve">, </w:t>
      </w:r>
      <w:r w:rsidRPr="00E352B7">
        <w:rPr>
          <w:rFonts w:ascii="Arial" w:hAnsi="Arial" w:cs="Arial"/>
          <w:i/>
          <w:iCs/>
          <w:sz w:val="24"/>
          <w:szCs w:val="24"/>
          <w:lang w:val="en-GB"/>
        </w:rPr>
        <w:t>1</w:t>
      </w:r>
      <w:r w:rsidRPr="00E352B7">
        <w:rPr>
          <w:rFonts w:ascii="Arial" w:hAnsi="Arial" w:cs="Arial"/>
          <w:sz w:val="24"/>
          <w:szCs w:val="24"/>
          <w:lang w:val="en-GB"/>
        </w:rPr>
        <w:t xml:space="preserve">(1), pp.597-620. Available on: </w:t>
      </w:r>
      <w:hyperlink r:id="rId13" w:history="1">
        <w:r w:rsidRPr="00E352B7">
          <w:rPr>
            <w:rStyle w:val="Hyperlink"/>
            <w:rFonts w:ascii="Arial" w:hAnsi="Arial" w:cs="Arial"/>
            <w:sz w:val="24"/>
            <w:szCs w:val="24"/>
            <w:lang w:val="en-GB"/>
          </w:rPr>
          <w:t>https://www.nber.org/system/files/working_papers/w15031/w15031.pdf</w:t>
        </w:r>
      </w:hyperlink>
      <w:r w:rsidRPr="00E352B7">
        <w:rPr>
          <w:rFonts w:ascii="Arial" w:hAnsi="Arial" w:cs="Arial"/>
          <w:sz w:val="24"/>
          <w:szCs w:val="24"/>
          <w:lang w:val="en-GB"/>
        </w:rPr>
        <w:t xml:space="preserve"> [Accessed on: 14th October, 24].</w:t>
      </w:r>
    </w:p>
    <w:p w14:paraId="08924E7E" w14:textId="77777777" w:rsidR="00E352B7" w:rsidRPr="00E352B7" w:rsidRDefault="00E352B7" w:rsidP="00E352B7">
      <w:pPr>
        <w:spacing w:line="360" w:lineRule="auto"/>
        <w:jc w:val="both"/>
        <w:rPr>
          <w:rFonts w:ascii="Arial" w:hAnsi="Arial" w:cs="Arial"/>
          <w:sz w:val="24"/>
          <w:szCs w:val="24"/>
          <w:lang w:val="en-GB"/>
        </w:rPr>
      </w:pPr>
      <w:r w:rsidRPr="00E352B7">
        <w:rPr>
          <w:rFonts w:ascii="Arial" w:hAnsi="Arial" w:cs="Arial"/>
          <w:sz w:val="24"/>
          <w:szCs w:val="24"/>
          <w:lang w:val="en-GB"/>
        </w:rPr>
        <w:t xml:space="preserve">Guo, B., Yu, J., Yang, D., Leng, H. and Liao, B., 2022. Energy-efficient database systems: A systematic survey. </w:t>
      </w:r>
      <w:r w:rsidRPr="00E352B7">
        <w:rPr>
          <w:rFonts w:ascii="Arial" w:hAnsi="Arial" w:cs="Arial"/>
          <w:i/>
          <w:iCs/>
          <w:sz w:val="24"/>
          <w:szCs w:val="24"/>
          <w:lang w:val="en-GB"/>
        </w:rPr>
        <w:t>ACM Computing Surveys</w:t>
      </w:r>
      <w:r w:rsidRPr="00E352B7">
        <w:rPr>
          <w:rFonts w:ascii="Arial" w:hAnsi="Arial" w:cs="Arial"/>
          <w:sz w:val="24"/>
          <w:szCs w:val="24"/>
          <w:lang w:val="en-GB"/>
        </w:rPr>
        <w:t xml:space="preserve">, </w:t>
      </w:r>
      <w:r w:rsidRPr="00E352B7">
        <w:rPr>
          <w:rFonts w:ascii="Arial" w:hAnsi="Arial" w:cs="Arial"/>
          <w:i/>
          <w:iCs/>
          <w:sz w:val="24"/>
          <w:szCs w:val="24"/>
          <w:lang w:val="en-GB"/>
        </w:rPr>
        <w:t>55</w:t>
      </w:r>
      <w:r w:rsidRPr="00E352B7">
        <w:rPr>
          <w:rFonts w:ascii="Arial" w:hAnsi="Arial" w:cs="Arial"/>
          <w:sz w:val="24"/>
          <w:szCs w:val="24"/>
          <w:lang w:val="en-GB"/>
        </w:rPr>
        <w:t xml:space="preserve">(6), pp.1-53. Available on: </w:t>
      </w:r>
      <w:hyperlink r:id="rId14" w:history="1">
        <w:r w:rsidRPr="00E352B7">
          <w:rPr>
            <w:rStyle w:val="Hyperlink"/>
            <w:rFonts w:ascii="Arial" w:hAnsi="Arial" w:cs="Arial"/>
            <w:sz w:val="24"/>
            <w:szCs w:val="24"/>
            <w:lang w:val="en-GB"/>
          </w:rPr>
          <w:t>https://www.researchgate.net/profile/Binglei-Guo/publication/361294261_Energy-efficient_Database_Systems_A_Systematic_Survey/links/62b930926ec05339cca6b59e/Energy-Efficient-Database-Systems-A-Systematic-Survey.pdf</w:t>
        </w:r>
      </w:hyperlink>
      <w:r w:rsidRPr="00E352B7">
        <w:rPr>
          <w:rFonts w:ascii="Arial" w:hAnsi="Arial" w:cs="Arial"/>
          <w:sz w:val="24"/>
          <w:szCs w:val="24"/>
          <w:lang w:val="en-GB"/>
        </w:rPr>
        <w:t xml:space="preserve"> [Accessed on: 14th October, 24].</w:t>
      </w:r>
    </w:p>
    <w:p w14:paraId="6FD9F6A3" w14:textId="77777777" w:rsidR="00E352B7" w:rsidRPr="00E352B7" w:rsidRDefault="00E352B7" w:rsidP="00E352B7">
      <w:pPr>
        <w:spacing w:line="360" w:lineRule="auto"/>
        <w:jc w:val="both"/>
        <w:rPr>
          <w:rFonts w:ascii="Arial" w:hAnsi="Arial" w:cs="Arial"/>
          <w:sz w:val="24"/>
          <w:szCs w:val="24"/>
          <w:lang w:val="en-GB"/>
        </w:rPr>
      </w:pPr>
      <w:proofErr w:type="spellStart"/>
      <w:r w:rsidRPr="00E352B7">
        <w:rPr>
          <w:rFonts w:ascii="Arial" w:hAnsi="Arial" w:cs="Arial"/>
          <w:sz w:val="24"/>
          <w:szCs w:val="24"/>
          <w:lang w:val="en-GB"/>
        </w:rPr>
        <w:t>Haski-Leventhal</w:t>
      </w:r>
      <w:proofErr w:type="spellEnd"/>
      <w:r w:rsidRPr="00E352B7">
        <w:rPr>
          <w:rFonts w:ascii="Arial" w:hAnsi="Arial" w:cs="Arial"/>
          <w:sz w:val="24"/>
          <w:szCs w:val="24"/>
          <w:lang w:val="en-GB"/>
        </w:rPr>
        <w:t xml:space="preserve">, D., 2018. Strategic corporate social responsibility: Tools and theories for responsible management. Sage. Available on: </w:t>
      </w:r>
      <w:hyperlink r:id="rId15" w:history="1">
        <w:r w:rsidRPr="00E352B7">
          <w:rPr>
            <w:rStyle w:val="Hyperlink"/>
            <w:rFonts w:ascii="Arial" w:hAnsi="Arial" w:cs="Arial"/>
            <w:sz w:val="24"/>
            <w:szCs w:val="24"/>
            <w:lang w:val="en-GB"/>
          </w:rPr>
          <w:t>https://books.google.com/books?hl=en&amp;lr=&amp;id=BTlODwAAQBAJ&amp;oi=fnd&amp;pg=PP1&amp;dq=Haski-Leventhal,+D.+(2018)+Strategic+corporate+social+responsibility+:+tools+%26+theories+for+responsible+management.+London:+SAGE.&amp;ots=2cEZ9QC3vQ&amp;sig=RC5no3-9S_bahnsVDyRObBLUdGA</w:t>
        </w:r>
      </w:hyperlink>
      <w:r w:rsidRPr="00E352B7">
        <w:rPr>
          <w:rFonts w:ascii="Arial" w:hAnsi="Arial" w:cs="Arial"/>
          <w:sz w:val="24"/>
          <w:szCs w:val="24"/>
          <w:lang w:val="en-GB"/>
        </w:rPr>
        <w:t xml:space="preserve"> [Accessed on: 14th October, 24].</w:t>
      </w:r>
    </w:p>
    <w:p w14:paraId="17D7B444" w14:textId="77777777" w:rsidR="00E352B7" w:rsidRPr="00E352B7" w:rsidRDefault="00E352B7" w:rsidP="00E352B7">
      <w:pPr>
        <w:spacing w:line="360" w:lineRule="auto"/>
        <w:jc w:val="both"/>
        <w:rPr>
          <w:rFonts w:ascii="Arial" w:hAnsi="Arial" w:cs="Arial"/>
          <w:sz w:val="24"/>
          <w:szCs w:val="24"/>
          <w:lang w:val="en-GB"/>
        </w:rPr>
      </w:pPr>
      <w:proofErr w:type="spellStart"/>
      <w:r w:rsidRPr="00E352B7">
        <w:rPr>
          <w:rFonts w:ascii="Arial" w:hAnsi="Arial" w:cs="Arial"/>
          <w:sz w:val="24"/>
          <w:szCs w:val="24"/>
          <w:lang w:val="en-GB"/>
        </w:rPr>
        <w:t>Inkson</w:t>
      </w:r>
      <w:proofErr w:type="spellEnd"/>
      <w:r w:rsidRPr="00E352B7">
        <w:rPr>
          <w:rFonts w:ascii="Arial" w:hAnsi="Arial" w:cs="Arial"/>
          <w:sz w:val="24"/>
          <w:szCs w:val="24"/>
          <w:lang w:val="en-GB"/>
        </w:rPr>
        <w:t xml:space="preserve">, C. and Minnaert, L., 2022. </w:t>
      </w:r>
      <w:r w:rsidRPr="00E352B7">
        <w:rPr>
          <w:rFonts w:ascii="Arial" w:hAnsi="Arial" w:cs="Arial"/>
          <w:i/>
          <w:iCs/>
          <w:sz w:val="24"/>
          <w:szCs w:val="24"/>
          <w:lang w:val="en-GB"/>
        </w:rPr>
        <w:t>Tourism management: an introduction</w:t>
      </w:r>
      <w:r w:rsidRPr="00E352B7">
        <w:rPr>
          <w:rFonts w:ascii="Arial" w:hAnsi="Arial" w:cs="Arial"/>
          <w:sz w:val="24"/>
          <w:szCs w:val="24"/>
          <w:lang w:val="en-GB"/>
        </w:rPr>
        <w:t xml:space="preserve">. Sage. Available on: </w:t>
      </w:r>
      <w:hyperlink r:id="rId16" w:history="1">
        <w:r w:rsidRPr="00E352B7">
          <w:rPr>
            <w:rStyle w:val="Hyperlink"/>
            <w:rFonts w:ascii="Arial" w:hAnsi="Arial" w:cs="Arial"/>
            <w:sz w:val="24"/>
            <w:szCs w:val="24"/>
            <w:lang w:val="en-GB"/>
          </w:rPr>
          <w:t>https://books.google.com/books?hl=en&amp;lr=&amp;id=TXJnEAAAQBAJ&amp;oi=fnd&amp;pg=PP1&amp;dq=Inkson,+C.+and+Minnaert,+L.+(2018)+Tourism+management+:+an++introduction.+2nd+ed.+London:+SAGE.&amp;ots=hPhwCDFPgN&amp;sig=xh3QspctZYAfx3w9AeMNqZWbpSg</w:t>
        </w:r>
      </w:hyperlink>
      <w:r w:rsidRPr="00E352B7">
        <w:rPr>
          <w:rFonts w:ascii="Arial" w:hAnsi="Arial" w:cs="Arial"/>
          <w:sz w:val="24"/>
          <w:szCs w:val="24"/>
          <w:lang w:val="en-GB"/>
        </w:rPr>
        <w:t xml:space="preserve"> [Accessed on: 14th October, 24].</w:t>
      </w:r>
    </w:p>
    <w:p w14:paraId="492B61A7" w14:textId="7812255D" w:rsidR="00E352B7" w:rsidRPr="00E352B7" w:rsidRDefault="00E352B7" w:rsidP="00E352B7">
      <w:pPr>
        <w:spacing w:line="360" w:lineRule="auto"/>
        <w:jc w:val="both"/>
        <w:rPr>
          <w:rFonts w:ascii="Arial" w:hAnsi="Arial" w:cs="Arial"/>
          <w:sz w:val="24"/>
          <w:szCs w:val="24"/>
          <w:lang w:val="en-GB"/>
        </w:rPr>
      </w:pPr>
      <w:r w:rsidRPr="00E352B7">
        <w:rPr>
          <w:rFonts w:ascii="Arial" w:hAnsi="Arial" w:cs="Arial"/>
          <w:sz w:val="24"/>
          <w:szCs w:val="24"/>
          <w:lang w:val="en-GB"/>
        </w:rPr>
        <w:t>Jauhari, V (2021) ‘Managing Sustainability in the Hospitality and Tourism Industry: Paradigms and Directions for the Future 9th ed.</w:t>
      </w:r>
      <w:r>
        <w:rPr>
          <w:rFonts w:ascii="Arial" w:hAnsi="Arial" w:cs="Arial"/>
          <w:sz w:val="24"/>
          <w:szCs w:val="24"/>
          <w:lang w:val="en-GB"/>
        </w:rPr>
        <w:t xml:space="preserve"> </w:t>
      </w:r>
      <w:r w:rsidRPr="00E352B7">
        <w:rPr>
          <w:rFonts w:ascii="Arial" w:hAnsi="Arial" w:cs="Arial"/>
          <w:sz w:val="24"/>
          <w:szCs w:val="24"/>
          <w:lang w:val="en-GB"/>
        </w:rPr>
        <w:t>Oakville: Apple Academic Press. Inc</w:t>
      </w:r>
    </w:p>
    <w:p w14:paraId="204E326A" w14:textId="77777777" w:rsidR="00E352B7" w:rsidRPr="00E352B7" w:rsidRDefault="00E352B7" w:rsidP="00E352B7">
      <w:pPr>
        <w:spacing w:line="360" w:lineRule="auto"/>
        <w:jc w:val="both"/>
        <w:rPr>
          <w:rFonts w:ascii="Arial" w:hAnsi="Arial" w:cs="Arial"/>
          <w:sz w:val="24"/>
          <w:szCs w:val="24"/>
          <w:lang w:val="en-GB"/>
        </w:rPr>
      </w:pPr>
      <w:r w:rsidRPr="00E352B7">
        <w:rPr>
          <w:rFonts w:ascii="Arial" w:hAnsi="Arial" w:cs="Arial"/>
          <w:sz w:val="24"/>
          <w:szCs w:val="24"/>
          <w:lang w:val="en-GB"/>
        </w:rPr>
        <w:t xml:space="preserve">Khan, S., Anjum, R., </w:t>
      </w:r>
      <w:proofErr w:type="spellStart"/>
      <w:r w:rsidRPr="00E352B7">
        <w:rPr>
          <w:rFonts w:ascii="Arial" w:hAnsi="Arial" w:cs="Arial"/>
          <w:sz w:val="24"/>
          <w:szCs w:val="24"/>
          <w:lang w:val="en-GB"/>
        </w:rPr>
        <w:t>Raza</w:t>
      </w:r>
      <w:proofErr w:type="spellEnd"/>
      <w:r w:rsidRPr="00E352B7">
        <w:rPr>
          <w:rFonts w:ascii="Arial" w:hAnsi="Arial" w:cs="Arial"/>
          <w:sz w:val="24"/>
          <w:szCs w:val="24"/>
          <w:lang w:val="en-GB"/>
        </w:rPr>
        <w:t xml:space="preserve">, S.T., </w:t>
      </w:r>
      <w:proofErr w:type="spellStart"/>
      <w:r w:rsidRPr="00E352B7">
        <w:rPr>
          <w:rFonts w:ascii="Arial" w:hAnsi="Arial" w:cs="Arial"/>
          <w:sz w:val="24"/>
          <w:szCs w:val="24"/>
          <w:lang w:val="en-GB"/>
        </w:rPr>
        <w:t>Bazai</w:t>
      </w:r>
      <w:proofErr w:type="spellEnd"/>
      <w:r w:rsidRPr="00E352B7">
        <w:rPr>
          <w:rFonts w:ascii="Arial" w:hAnsi="Arial" w:cs="Arial"/>
          <w:sz w:val="24"/>
          <w:szCs w:val="24"/>
          <w:lang w:val="en-GB"/>
        </w:rPr>
        <w:t xml:space="preserve">, N.A. and </w:t>
      </w:r>
      <w:proofErr w:type="spellStart"/>
      <w:r w:rsidRPr="00E352B7">
        <w:rPr>
          <w:rFonts w:ascii="Arial" w:hAnsi="Arial" w:cs="Arial"/>
          <w:sz w:val="24"/>
          <w:szCs w:val="24"/>
          <w:lang w:val="en-GB"/>
        </w:rPr>
        <w:t>Ihtisham</w:t>
      </w:r>
      <w:proofErr w:type="spellEnd"/>
      <w:r w:rsidRPr="00E352B7">
        <w:rPr>
          <w:rFonts w:ascii="Arial" w:hAnsi="Arial" w:cs="Arial"/>
          <w:sz w:val="24"/>
          <w:szCs w:val="24"/>
          <w:lang w:val="en-GB"/>
        </w:rPr>
        <w:t xml:space="preserve">, M., 2022. Technologies for municipal solid waste management: Current status, challenges, and future perspectives. </w:t>
      </w:r>
      <w:r w:rsidRPr="00E352B7">
        <w:rPr>
          <w:rFonts w:ascii="Arial" w:hAnsi="Arial" w:cs="Arial"/>
          <w:i/>
          <w:iCs/>
          <w:sz w:val="24"/>
          <w:szCs w:val="24"/>
          <w:lang w:val="en-GB"/>
        </w:rPr>
        <w:t>Chemosphere</w:t>
      </w:r>
      <w:r w:rsidRPr="00E352B7">
        <w:rPr>
          <w:rFonts w:ascii="Arial" w:hAnsi="Arial" w:cs="Arial"/>
          <w:sz w:val="24"/>
          <w:szCs w:val="24"/>
          <w:lang w:val="en-GB"/>
        </w:rPr>
        <w:t xml:space="preserve">, </w:t>
      </w:r>
      <w:r w:rsidRPr="00E352B7">
        <w:rPr>
          <w:rFonts w:ascii="Arial" w:hAnsi="Arial" w:cs="Arial"/>
          <w:i/>
          <w:iCs/>
          <w:sz w:val="24"/>
          <w:szCs w:val="24"/>
          <w:lang w:val="en-GB"/>
        </w:rPr>
        <w:t>288</w:t>
      </w:r>
      <w:r w:rsidRPr="00E352B7">
        <w:rPr>
          <w:rFonts w:ascii="Arial" w:hAnsi="Arial" w:cs="Arial"/>
          <w:sz w:val="24"/>
          <w:szCs w:val="24"/>
          <w:lang w:val="en-GB"/>
        </w:rPr>
        <w:t xml:space="preserve">, p.132403. Available on: </w:t>
      </w:r>
      <w:hyperlink r:id="rId17" w:history="1">
        <w:r w:rsidRPr="00E352B7">
          <w:rPr>
            <w:rStyle w:val="Hyperlink"/>
            <w:rFonts w:ascii="Arial" w:hAnsi="Arial" w:cs="Arial"/>
            <w:sz w:val="24"/>
            <w:szCs w:val="24"/>
            <w:lang w:val="en-GB"/>
          </w:rPr>
          <w:t>https://www.sciencedirect.com/science/article/pii/S0045653521028757</w:t>
        </w:r>
      </w:hyperlink>
      <w:r w:rsidRPr="00E352B7">
        <w:rPr>
          <w:rFonts w:ascii="Arial" w:hAnsi="Arial" w:cs="Arial"/>
          <w:sz w:val="24"/>
          <w:szCs w:val="24"/>
          <w:lang w:val="en-GB"/>
        </w:rPr>
        <w:t xml:space="preserve"> [Accessed on: 14th October, 24].</w:t>
      </w:r>
    </w:p>
    <w:p w14:paraId="72F0D1D0" w14:textId="77777777" w:rsidR="00E352B7" w:rsidRPr="00E352B7" w:rsidRDefault="00E352B7" w:rsidP="00E352B7">
      <w:pPr>
        <w:spacing w:line="360" w:lineRule="auto"/>
        <w:jc w:val="both"/>
        <w:rPr>
          <w:rFonts w:ascii="Arial" w:hAnsi="Arial" w:cs="Arial"/>
          <w:sz w:val="24"/>
          <w:szCs w:val="24"/>
          <w:lang w:val="en-GB"/>
        </w:rPr>
      </w:pPr>
      <w:r w:rsidRPr="00E352B7">
        <w:rPr>
          <w:rFonts w:ascii="Arial" w:hAnsi="Arial" w:cs="Arial"/>
          <w:sz w:val="24"/>
          <w:szCs w:val="24"/>
          <w:lang w:val="en-GB"/>
        </w:rPr>
        <w:lastRenderedPageBreak/>
        <w:t xml:space="preserve">Kuzey, C., Fritz, M.M., Uyar, A. and Karaman, A.S., 2022. Board gender diversity, CSR strategy, and eco-friendly initiatives in the transportation and logistics sector. </w:t>
      </w:r>
      <w:r w:rsidRPr="00E352B7">
        <w:rPr>
          <w:rFonts w:ascii="Arial" w:hAnsi="Arial" w:cs="Arial"/>
          <w:i/>
          <w:iCs/>
          <w:sz w:val="24"/>
          <w:szCs w:val="24"/>
          <w:lang w:val="en-GB"/>
        </w:rPr>
        <w:t>International Journal of Production Economics</w:t>
      </w:r>
      <w:r w:rsidRPr="00E352B7">
        <w:rPr>
          <w:rFonts w:ascii="Arial" w:hAnsi="Arial" w:cs="Arial"/>
          <w:sz w:val="24"/>
          <w:szCs w:val="24"/>
          <w:lang w:val="en-GB"/>
        </w:rPr>
        <w:t xml:space="preserve">, </w:t>
      </w:r>
      <w:r w:rsidRPr="00E352B7">
        <w:rPr>
          <w:rFonts w:ascii="Arial" w:hAnsi="Arial" w:cs="Arial"/>
          <w:i/>
          <w:iCs/>
          <w:sz w:val="24"/>
          <w:szCs w:val="24"/>
          <w:lang w:val="en-GB"/>
        </w:rPr>
        <w:t>247</w:t>
      </w:r>
      <w:r w:rsidRPr="00E352B7">
        <w:rPr>
          <w:rFonts w:ascii="Arial" w:hAnsi="Arial" w:cs="Arial"/>
          <w:sz w:val="24"/>
          <w:szCs w:val="24"/>
          <w:lang w:val="en-GB"/>
        </w:rPr>
        <w:t xml:space="preserve">, p.108436. Available on: </w:t>
      </w:r>
      <w:hyperlink r:id="rId18" w:history="1">
        <w:r w:rsidRPr="00E352B7">
          <w:rPr>
            <w:rStyle w:val="Hyperlink"/>
            <w:rFonts w:ascii="Arial" w:hAnsi="Arial" w:cs="Arial"/>
            <w:sz w:val="24"/>
            <w:szCs w:val="24"/>
            <w:lang w:val="en-GB"/>
          </w:rPr>
          <w:t>https://www.sciencedirect.com/science/article/pii/S0925527322000299</w:t>
        </w:r>
      </w:hyperlink>
      <w:r w:rsidRPr="00E352B7">
        <w:rPr>
          <w:rFonts w:ascii="Arial" w:hAnsi="Arial" w:cs="Arial"/>
          <w:sz w:val="24"/>
          <w:szCs w:val="24"/>
          <w:lang w:val="en-GB"/>
        </w:rPr>
        <w:t xml:space="preserve"> [Accessed on: 14th October, 24].</w:t>
      </w:r>
    </w:p>
    <w:p w14:paraId="1BAE1971" w14:textId="77777777" w:rsidR="00E352B7" w:rsidRPr="00E352B7" w:rsidRDefault="00E352B7" w:rsidP="00E352B7">
      <w:pPr>
        <w:spacing w:line="360" w:lineRule="auto"/>
        <w:jc w:val="both"/>
        <w:rPr>
          <w:rFonts w:ascii="Arial" w:hAnsi="Arial" w:cs="Arial"/>
          <w:sz w:val="24"/>
          <w:szCs w:val="24"/>
          <w:lang w:val="en-GB"/>
        </w:rPr>
      </w:pPr>
      <w:r w:rsidRPr="00E352B7">
        <w:rPr>
          <w:rFonts w:ascii="Arial" w:hAnsi="Arial" w:cs="Arial"/>
          <w:sz w:val="24"/>
          <w:szCs w:val="24"/>
          <w:lang w:val="en-GB"/>
        </w:rPr>
        <w:t xml:space="preserve">McKinnon, A., 2010. Environmental sustainability. </w:t>
      </w:r>
      <w:r w:rsidRPr="00E352B7">
        <w:rPr>
          <w:rFonts w:ascii="Arial" w:hAnsi="Arial" w:cs="Arial"/>
          <w:i/>
          <w:iCs/>
          <w:sz w:val="24"/>
          <w:szCs w:val="24"/>
          <w:lang w:val="en-GB"/>
        </w:rPr>
        <w:t>Green logistics: improving the environmental sustainability of logistics. London</w:t>
      </w:r>
      <w:r w:rsidRPr="00E352B7">
        <w:rPr>
          <w:rFonts w:ascii="Arial" w:hAnsi="Arial" w:cs="Arial"/>
          <w:sz w:val="24"/>
          <w:szCs w:val="24"/>
          <w:lang w:val="en-GB"/>
        </w:rPr>
        <w:t xml:space="preserve">. Available on: </w:t>
      </w:r>
      <w:hyperlink r:id="rId19" w:anchor="page=16" w:history="1">
        <w:r w:rsidRPr="00E352B7">
          <w:rPr>
            <w:rStyle w:val="Hyperlink"/>
            <w:rFonts w:ascii="Arial" w:hAnsi="Arial" w:cs="Arial"/>
            <w:sz w:val="24"/>
            <w:szCs w:val="24"/>
            <w:lang w:val="en-GB"/>
          </w:rPr>
          <w:t>https://gc.scalahed.com/recursos/files/r161r/w25826w/McKinno_S1.pdf#page=16</w:t>
        </w:r>
      </w:hyperlink>
      <w:r w:rsidRPr="00E352B7">
        <w:rPr>
          <w:rFonts w:ascii="Arial" w:hAnsi="Arial" w:cs="Arial"/>
          <w:sz w:val="24"/>
          <w:szCs w:val="24"/>
          <w:lang w:val="en-GB"/>
        </w:rPr>
        <w:t xml:space="preserve"> [Accessed on: 14th October, 24].</w:t>
      </w:r>
    </w:p>
    <w:p w14:paraId="0112C7B7" w14:textId="77777777" w:rsidR="00E352B7" w:rsidRPr="00E352B7" w:rsidRDefault="00E352B7" w:rsidP="00E352B7">
      <w:pPr>
        <w:spacing w:line="360" w:lineRule="auto"/>
        <w:jc w:val="both"/>
        <w:rPr>
          <w:rFonts w:ascii="Arial" w:hAnsi="Arial" w:cs="Arial"/>
          <w:sz w:val="24"/>
          <w:szCs w:val="24"/>
          <w:lang w:val="en-GB"/>
        </w:rPr>
      </w:pPr>
      <w:proofErr w:type="spellStart"/>
      <w:r w:rsidRPr="00E352B7">
        <w:rPr>
          <w:rFonts w:ascii="Arial" w:hAnsi="Arial" w:cs="Arial"/>
          <w:sz w:val="24"/>
          <w:szCs w:val="24"/>
          <w:lang w:val="en-GB"/>
        </w:rPr>
        <w:t>Muinzer</w:t>
      </w:r>
      <w:proofErr w:type="spellEnd"/>
      <w:r w:rsidRPr="00E352B7">
        <w:rPr>
          <w:rFonts w:ascii="Arial" w:hAnsi="Arial" w:cs="Arial"/>
          <w:sz w:val="24"/>
          <w:szCs w:val="24"/>
          <w:lang w:val="en-GB"/>
        </w:rPr>
        <w:t xml:space="preserve">, T.L., 2021. What are national ‘climate change acts’?. </w:t>
      </w:r>
      <w:r w:rsidRPr="00E352B7">
        <w:rPr>
          <w:rFonts w:ascii="Arial" w:hAnsi="Arial" w:cs="Arial"/>
          <w:i/>
          <w:iCs/>
          <w:sz w:val="24"/>
          <w:szCs w:val="24"/>
          <w:lang w:val="en-GB"/>
        </w:rPr>
        <w:t>Journal of Energy &amp; Natural Resources Law</w:t>
      </w:r>
      <w:r w:rsidRPr="00E352B7">
        <w:rPr>
          <w:rFonts w:ascii="Arial" w:hAnsi="Arial" w:cs="Arial"/>
          <w:sz w:val="24"/>
          <w:szCs w:val="24"/>
          <w:lang w:val="en-GB"/>
        </w:rPr>
        <w:t xml:space="preserve">, </w:t>
      </w:r>
      <w:r w:rsidRPr="00E352B7">
        <w:rPr>
          <w:rFonts w:ascii="Arial" w:hAnsi="Arial" w:cs="Arial"/>
          <w:i/>
          <w:iCs/>
          <w:sz w:val="24"/>
          <w:szCs w:val="24"/>
          <w:lang w:val="en-GB"/>
        </w:rPr>
        <w:t>39</w:t>
      </w:r>
      <w:r w:rsidRPr="00E352B7">
        <w:rPr>
          <w:rFonts w:ascii="Arial" w:hAnsi="Arial" w:cs="Arial"/>
          <w:sz w:val="24"/>
          <w:szCs w:val="24"/>
          <w:lang w:val="en-GB"/>
        </w:rPr>
        <w:t xml:space="preserve">(4), pp.419-438. Available on: </w:t>
      </w:r>
      <w:hyperlink r:id="rId20" w:history="1">
        <w:r w:rsidRPr="00E352B7">
          <w:rPr>
            <w:rStyle w:val="Hyperlink"/>
            <w:rFonts w:ascii="Arial" w:hAnsi="Arial" w:cs="Arial"/>
            <w:sz w:val="24"/>
            <w:szCs w:val="24"/>
            <w:lang w:val="en-GB"/>
          </w:rPr>
          <w:t>https://www.tandfonline.com/doi/abs/10.1080/02646811.2020.1855020</w:t>
        </w:r>
      </w:hyperlink>
      <w:r w:rsidRPr="00E352B7">
        <w:rPr>
          <w:rFonts w:ascii="Arial" w:hAnsi="Arial" w:cs="Arial"/>
          <w:sz w:val="24"/>
          <w:szCs w:val="24"/>
          <w:lang w:val="en-GB"/>
        </w:rPr>
        <w:t xml:space="preserve"> [Accessed on: 14th October, 24].</w:t>
      </w:r>
    </w:p>
    <w:p w14:paraId="48846BC8" w14:textId="77777777" w:rsidR="00E352B7" w:rsidRPr="00E352B7" w:rsidRDefault="00E352B7" w:rsidP="00E352B7">
      <w:pPr>
        <w:spacing w:line="360" w:lineRule="auto"/>
        <w:jc w:val="both"/>
        <w:rPr>
          <w:rFonts w:ascii="Arial" w:hAnsi="Arial" w:cs="Arial"/>
          <w:sz w:val="24"/>
          <w:szCs w:val="24"/>
          <w:lang w:val="en-GB"/>
        </w:rPr>
      </w:pPr>
      <w:r w:rsidRPr="00E352B7">
        <w:rPr>
          <w:rFonts w:ascii="Arial" w:hAnsi="Arial" w:cs="Arial"/>
          <w:sz w:val="24"/>
          <w:szCs w:val="24"/>
          <w:lang w:val="en-GB"/>
        </w:rPr>
        <w:t xml:space="preserve">Müller, L.J., </w:t>
      </w:r>
      <w:proofErr w:type="spellStart"/>
      <w:r w:rsidRPr="00E352B7">
        <w:rPr>
          <w:rFonts w:ascii="Arial" w:hAnsi="Arial" w:cs="Arial"/>
          <w:sz w:val="24"/>
          <w:szCs w:val="24"/>
          <w:lang w:val="en-GB"/>
        </w:rPr>
        <w:t>Kätelhön</w:t>
      </w:r>
      <w:proofErr w:type="spellEnd"/>
      <w:r w:rsidRPr="00E352B7">
        <w:rPr>
          <w:rFonts w:ascii="Arial" w:hAnsi="Arial" w:cs="Arial"/>
          <w:sz w:val="24"/>
          <w:szCs w:val="24"/>
          <w:lang w:val="en-GB"/>
        </w:rPr>
        <w:t xml:space="preserve">, A., </w:t>
      </w:r>
      <w:proofErr w:type="spellStart"/>
      <w:r w:rsidRPr="00E352B7">
        <w:rPr>
          <w:rFonts w:ascii="Arial" w:hAnsi="Arial" w:cs="Arial"/>
          <w:sz w:val="24"/>
          <w:szCs w:val="24"/>
          <w:lang w:val="en-GB"/>
        </w:rPr>
        <w:t>Bringezu</w:t>
      </w:r>
      <w:proofErr w:type="spellEnd"/>
      <w:r w:rsidRPr="00E352B7">
        <w:rPr>
          <w:rFonts w:ascii="Arial" w:hAnsi="Arial" w:cs="Arial"/>
          <w:sz w:val="24"/>
          <w:szCs w:val="24"/>
          <w:lang w:val="en-GB"/>
        </w:rPr>
        <w:t xml:space="preserve">, S., McCoy, S., Suh, S., Edwards, R., Sick, V., Kaiser, S., Cuéllar-Franca, R., El Khamlichi, A. and Lee, J.H., 2020. The carbon footprint of the carbon feedstock CO 2. </w:t>
      </w:r>
      <w:r w:rsidRPr="00E352B7">
        <w:rPr>
          <w:rFonts w:ascii="Arial" w:hAnsi="Arial" w:cs="Arial"/>
          <w:i/>
          <w:iCs/>
          <w:sz w:val="24"/>
          <w:szCs w:val="24"/>
          <w:lang w:val="en-GB"/>
        </w:rPr>
        <w:t>Energy &amp; Environmental Science</w:t>
      </w:r>
      <w:r w:rsidRPr="00E352B7">
        <w:rPr>
          <w:rFonts w:ascii="Arial" w:hAnsi="Arial" w:cs="Arial"/>
          <w:sz w:val="24"/>
          <w:szCs w:val="24"/>
          <w:lang w:val="en-GB"/>
        </w:rPr>
        <w:t xml:space="preserve">, </w:t>
      </w:r>
      <w:r w:rsidRPr="00E352B7">
        <w:rPr>
          <w:rFonts w:ascii="Arial" w:hAnsi="Arial" w:cs="Arial"/>
          <w:i/>
          <w:iCs/>
          <w:sz w:val="24"/>
          <w:szCs w:val="24"/>
          <w:lang w:val="en-GB"/>
        </w:rPr>
        <w:t>13</w:t>
      </w:r>
      <w:r w:rsidRPr="00E352B7">
        <w:rPr>
          <w:rFonts w:ascii="Arial" w:hAnsi="Arial" w:cs="Arial"/>
          <w:sz w:val="24"/>
          <w:szCs w:val="24"/>
          <w:lang w:val="en-GB"/>
        </w:rPr>
        <w:t xml:space="preserve">(9), pp.2979-2992. Available on: </w:t>
      </w:r>
      <w:hyperlink r:id="rId21" w:history="1">
        <w:r w:rsidRPr="00E352B7">
          <w:rPr>
            <w:rStyle w:val="Hyperlink"/>
            <w:rFonts w:ascii="Arial" w:hAnsi="Arial" w:cs="Arial"/>
            <w:sz w:val="24"/>
            <w:szCs w:val="24"/>
            <w:lang w:val="en-GB"/>
          </w:rPr>
          <w:t>https://pubs.rsc.org/en/content/articlepdf/2020/ee/d0ee01530j</w:t>
        </w:r>
      </w:hyperlink>
      <w:r w:rsidRPr="00E352B7">
        <w:rPr>
          <w:rFonts w:ascii="Arial" w:hAnsi="Arial" w:cs="Arial"/>
          <w:sz w:val="24"/>
          <w:szCs w:val="24"/>
          <w:lang w:val="en-GB"/>
        </w:rPr>
        <w:t xml:space="preserve"> [Accessed on: 14th October, 24]</w:t>
      </w:r>
    </w:p>
    <w:p w14:paraId="1B27A942" w14:textId="77777777" w:rsidR="00E352B7" w:rsidRPr="00E352B7" w:rsidRDefault="00E352B7" w:rsidP="00E352B7">
      <w:pPr>
        <w:spacing w:line="360" w:lineRule="auto"/>
        <w:jc w:val="both"/>
        <w:rPr>
          <w:rFonts w:ascii="Arial" w:hAnsi="Arial" w:cs="Arial"/>
          <w:sz w:val="24"/>
          <w:szCs w:val="24"/>
          <w:lang w:val="en-GB"/>
        </w:rPr>
      </w:pPr>
      <w:r w:rsidRPr="00E352B7">
        <w:rPr>
          <w:rFonts w:ascii="Arial" w:hAnsi="Arial" w:cs="Arial"/>
          <w:sz w:val="24"/>
          <w:szCs w:val="24"/>
          <w:lang w:val="en-GB"/>
        </w:rPr>
        <w:t xml:space="preserve">Sloan, P., Legrand, W. and Chen, J.S. (2017) Sustainability in the hospitality industry : principles of sustainable operations. 3rd </w:t>
      </w:r>
      <w:proofErr w:type="spellStart"/>
      <w:r w:rsidRPr="00E352B7">
        <w:rPr>
          <w:rFonts w:ascii="Arial" w:hAnsi="Arial" w:cs="Arial"/>
          <w:sz w:val="24"/>
          <w:szCs w:val="24"/>
          <w:lang w:val="en-GB"/>
        </w:rPr>
        <w:t>edn</w:t>
      </w:r>
      <w:proofErr w:type="spellEnd"/>
      <w:r w:rsidRPr="00E352B7">
        <w:rPr>
          <w:rFonts w:ascii="Arial" w:hAnsi="Arial" w:cs="Arial"/>
          <w:sz w:val="24"/>
          <w:szCs w:val="24"/>
          <w:lang w:val="en-GB"/>
        </w:rPr>
        <w:t>. London: Butterworth-Heinemann.</w:t>
      </w:r>
    </w:p>
    <w:p w14:paraId="5B95007F" w14:textId="77777777" w:rsidR="00E352B7" w:rsidRPr="00E352B7" w:rsidRDefault="00E352B7" w:rsidP="00E352B7">
      <w:pPr>
        <w:spacing w:line="360" w:lineRule="auto"/>
        <w:jc w:val="both"/>
        <w:rPr>
          <w:rFonts w:ascii="Arial" w:hAnsi="Arial" w:cs="Arial"/>
          <w:sz w:val="24"/>
          <w:szCs w:val="24"/>
          <w:lang w:val="en-GB"/>
        </w:rPr>
      </w:pPr>
      <w:r w:rsidRPr="00E352B7">
        <w:rPr>
          <w:rFonts w:ascii="Arial" w:hAnsi="Arial" w:cs="Arial"/>
          <w:sz w:val="24"/>
          <w:szCs w:val="24"/>
          <w:lang w:val="en-GB"/>
        </w:rPr>
        <w:t xml:space="preserve">Ward, F.A. and Pulido-Velazquez, M., 2008. Water conservation in irrigation can increase water use. </w:t>
      </w:r>
      <w:r w:rsidRPr="00E352B7">
        <w:rPr>
          <w:rFonts w:ascii="Arial" w:hAnsi="Arial" w:cs="Arial"/>
          <w:i/>
          <w:iCs/>
          <w:sz w:val="24"/>
          <w:szCs w:val="24"/>
          <w:lang w:val="en-GB"/>
        </w:rPr>
        <w:t>Proceedings of the National Academy of Sciences</w:t>
      </w:r>
      <w:r w:rsidRPr="00E352B7">
        <w:rPr>
          <w:rFonts w:ascii="Arial" w:hAnsi="Arial" w:cs="Arial"/>
          <w:sz w:val="24"/>
          <w:szCs w:val="24"/>
          <w:lang w:val="en-GB"/>
        </w:rPr>
        <w:t xml:space="preserve">, </w:t>
      </w:r>
      <w:r w:rsidRPr="00E352B7">
        <w:rPr>
          <w:rFonts w:ascii="Arial" w:hAnsi="Arial" w:cs="Arial"/>
          <w:i/>
          <w:iCs/>
          <w:sz w:val="24"/>
          <w:szCs w:val="24"/>
          <w:lang w:val="en-GB"/>
        </w:rPr>
        <w:t>105</w:t>
      </w:r>
      <w:r w:rsidRPr="00E352B7">
        <w:rPr>
          <w:rFonts w:ascii="Arial" w:hAnsi="Arial" w:cs="Arial"/>
          <w:sz w:val="24"/>
          <w:szCs w:val="24"/>
          <w:lang w:val="en-GB"/>
        </w:rPr>
        <w:t xml:space="preserve">(47), pp.18215-18220. Available on: </w:t>
      </w:r>
      <w:hyperlink r:id="rId22" w:history="1">
        <w:r w:rsidRPr="00E352B7">
          <w:rPr>
            <w:rStyle w:val="Hyperlink"/>
            <w:rFonts w:ascii="Arial" w:hAnsi="Arial" w:cs="Arial"/>
            <w:sz w:val="24"/>
            <w:szCs w:val="24"/>
            <w:lang w:val="en-GB"/>
          </w:rPr>
          <w:t>https://www.pnas.org/doi/pdf/10.1073/pnas.0805554105</w:t>
        </w:r>
      </w:hyperlink>
      <w:r w:rsidRPr="00E352B7">
        <w:rPr>
          <w:rFonts w:ascii="Arial" w:hAnsi="Arial" w:cs="Arial"/>
          <w:sz w:val="24"/>
          <w:szCs w:val="24"/>
          <w:lang w:val="en-GB"/>
        </w:rPr>
        <w:t xml:space="preserve"> [Accessed on: 14th October, 24].</w:t>
      </w:r>
    </w:p>
    <w:p w14:paraId="7E40F8D3" w14:textId="77777777" w:rsidR="00E352B7" w:rsidRPr="00E352B7" w:rsidRDefault="00E352B7" w:rsidP="00E352B7">
      <w:pPr>
        <w:spacing w:line="360" w:lineRule="auto"/>
        <w:jc w:val="both"/>
        <w:rPr>
          <w:rFonts w:ascii="Arial" w:hAnsi="Arial" w:cs="Arial"/>
          <w:sz w:val="24"/>
          <w:szCs w:val="24"/>
          <w:lang w:val="en-GB"/>
        </w:rPr>
      </w:pPr>
      <w:r w:rsidRPr="00E352B7">
        <w:rPr>
          <w:rFonts w:ascii="Arial" w:hAnsi="Arial" w:cs="Arial"/>
          <w:sz w:val="24"/>
          <w:szCs w:val="24"/>
          <w:lang w:val="en-GB"/>
        </w:rPr>
        <w:t xml:space="preserve">Wickham, M., Donnelly, T. and French, L., 2021. Strategic sustainability management in the event sector. </w:t>
      </w:r>
      <w:r w:rsidRPr="00E352B7">
        <w:rPr>
          <w:rFonts w:ascii="Arial" w:hAnsi="Arial" w:cs="Arial"/>
          <w:i/>
          <w:iCs/>
          <w:sz w:val="24"/>
          <w:szCs w:val="24"/>
          <w:lang w:val="en-GB"/>
        </w:rPr>
        <w:t>Event Management</w:t>
      </w:r>
      <w:r w:rsidRPr="00E352B7">
        <w:rPr>
          <w:rFonts w:ascii="Arial" w:hAnsi="Arial" w:cs="Arial"/>
          <w:sz w:val="24"/>
          <w:szCs w:val="24"/>
          <w:lang w:val="en-GB"/>
        </w:rPr>
        <w:t xml:space="preserve">, </w:t>
      </w:r>
      <w:r w:rsidRPr="00E352B7">
        <w:rPr>
          <w:rFonts w:ascii="Arial" w:hAnsi="Arial" w:cs="Arial"/>
          <w:i/>
          <w:iCs/>
          <w:sz w:val="24"/>
          <w:szCs w:val="24"/>
          <w:lang w:val="en-GB"/>
        </w:rPr>
        <w:t>25</w:t>
      </w:r>
      <w:r w:rsidRPr="00E352B7">
        <w:rPr>
          <w:rFonts w:ascii="Arial" w:hAnsi="Arial" w:cs="Arial"/>
          <w:sz w:val="24"/>
          <w:szCs w:val="24"/>
          <w:lang w:val="en-GB"/>
        </w:rPr>
        <w:t xml:space="preserve">(3), pp.279-296. Available on: </w:t>
      </w:r>
      <w:hyperlink r:id="rId23" w:history="1">
        <w:r w:rsidRPr="00E352B7">
          <w:rPr>
            <w:rStyle w:val="Hyperlink"/>
            <w:rFonts w:ascii="Arial" w:hAnsi="Arial" w:cs="Arial"/>
            <w:sz w:val="24"/>
            <w:szCs w:val="24"/>
            <w:lang w:val="en-GB"/>
          </w:rPr>
          <w:t>https://figshare.utas.edu.au/articles/journal_contribution/Strategic_sustainability_management_in_the_event_sector/22992797/1/files/40741931.pdf</w:t>
        </w:r>
      </w:hyperlink>
      <w:r w:rsidRPr="00E352B7">
        <w:rPr>
          <w:rFonts w:ascii="Arial" w:hAnsi="Arial" w:cs="Arial"/>
          <w:sz w:val="24"/>
          <w:szCs w:val="24"/>
          <w:lang w:val="en-GB"/>
        </w:rPr>
        <w:t xml:space="preserve"> [Accessed on: 14th October, 24].</w:t>
      </w:r>
    </w:p>
    <w:p w14:paraId="1D96BE0D" w14:textId="77777777" w:rsidR="00E352B7" w:rsidRPr="00E352B7" w:rsidRDefault="00E352B7" w:rsidP="00E352B7">
      <w:pPr>
        <w:spacing w:line="360" w:lineRule="auto"/>
        <w:jc w:val="both"/>
        <w:rPr>
          <w:rFonts w:ascii="Arial" w:hAnsi="Arial" w:cs="Arial"/>
          <w:sz w:val="24"/>
          <w:szCs w:val="24"/>
          <w:lang w:val="en-GB"/>
        </w:rPr>
      </w:pPr>
      <w:r w:rsidRPr="00E352B7">
        <w:rPr>
          <w:rFonts w:ascii="Arial" w:hAnsi="Arial" w:cs="Arial"/>
          <w:sz w:val="24"/>
          <w:szCs w:val="24"/>
          <w:lang w:val="en-GB"/>
        </w:rPr>
        <w:lastRenderedPageBreak/>
        <w:t xml:space="preserve">Wirba, A.V., 2024. Corporate social responsibility (CSR): The role of government in promoting CSR. </w:t>
      </w:r>
      <w:r w:rsidRPr="00E352B7">
        <w:rPr>
          <w:rFonts w:ascii="Arial" w:hAnsi="Arial" w:cs="Arial"/>
          <w:i/>
          <w:iCs/>
          <w:sz w:val="24"/>
          <w:szCs w:val="24"/>
          <w:lang w:val="en-GB"/>
        </w:rPr>
        <w:t>Journal of the Knowledge Economy</w:t>
      </w:r>
      <w:r w:rsidRPr="00E352B7">
        <w:rPr>
          <w:rFonts w:ascii="Arial" w:hAnsi="Arial" w:cs="Arial"/>
          <w:sz w:val="24"/>
          <w:szCs w:val="24"/>
          <w:lang w:val="en-GB"/>
        </w:rPr>
        <w:t xml:space="preserve">, </w:t>
      </w:r>
      <w:r w:rsidRPr="00E352B7">
        <w:rPr>
          <w:rFonts w:ascii="Arial" w:hAnsi="Arial" w:cs="Arial"/>
          <w:i/>
          <w:iCs/>
          <w:sz w:val="24"/>
          <w:szCs w:val="24"/>
          <w:lang w:val="en-GB"/>
        </w:rPr>
        <w:t>15</w:t>
      </w:r>
      <w:r w:rsidRPr="00E352B7">
        <w:rPr>
          <w:rFonts w:ascii="Arial" w:hAnsi="Arial" w:cs="Arial"/>
          <w:sz w:val="24"/>
          <w:szCs w:val="24"/>
          <w:lang w:val="en-GB"/>
        </w:rPr>
        <w:t xml:space="preserve">(2), pp.7428-7454. Available on: </w:t>
      </w:r>
      <w:hyperlink r:id="rId24" w:history="1">
        <w:r w:rsidRPr="00E352B7">
          <w:rPr>
            <w:rStyle w:val="Hyperlink"/>
            <w:rFonts w:ascii="Arial" w:hAnsi="Arial" w:cs="Arial"/>
            <w:sz w:val="24"/>
            <w:szCs w:val="24"/>
            <w:lang w:val="en-GB"/>
          </w:rPr>
          <w:t>https://link.springer.com/content/pdf/10.1007/s13132-023-01185-0.pdf</w:t>
        </w:r>
      </w:hyperlink>
      <w:r w:rsidRPr="00E352B7">
        <w:rPr>
          <w:rFonts w:ascii="Arial" w:hAnsi="Arial" w:cs="Arial"/>
          <w:sz w:val="24"/>
          <w:szCs w:val="24"/>
          <w:lang w:val="en-GB"/>
        </w:rPr>
        <w:t xml:space="preserve"> [Accessed on: 14th October, 24].</w:t>
      </w:r>
    </w:p>
    <w:sectPr w:rsidR="00E352B7" w:rsidRPr="00E352B7">
      <w:footerReference w:type="default" r:id="rId25"/>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A82E89F" w14:textId="77777777" w:rsidR="00734899" w:rsidRDefault="00734899" w:rsidP="00E352B7">
      <w:pPr>
        <w:spacing w:after="0" w:line="240" w:lineRule="auto"/>
      </w:pPr>
      <w:r>
        <w:separator/>
      </w:r>
    </w:p>
  </w:endnote>
  <w:endnote w:type="continuationSeparator" w:id="0">
    <w:p w14:paraId="5B1779F2" w14:textId="77777777" w:rsidR="00734899" w:rsidRDefault="00734899" w:rsidP="00E352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933040925"/>
      <w:docPartObj>
        <w:docPartGallery w:val="Page Numbers (Bottom of Page)"/>
        <w:docPartUnique/>
      </w:docPartObj>
    </w:sdtPr>
    <w:sdtEndPr/>
    <w:sdtContent>
      <w:sdt>
        <w:sdtPr>
          <w:id w:val="-1769616900"/>
          <w:docPartObj>
            <w:docPartGallery w:val="Page Numbers (Top of Page)"/>
            <w:docPartUnique/>
          </w:docPartObj>
        </w:sdtPr>
        <w:sdtEndPr/>
        <w:sdtContent>
          <w:p w14:paraId="083EA3D0" w14:textId="5104F629" w:rsidR="00E352B7" w:rsidRDefault="00E352B7">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sidR="00C47525">
              <w:rPr>
                <w:b/>
                <w:bCs/>
                <w:noProof/>
              </w:rPr>
              <w:t>6</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C47525">
              <w:rPr>
                <w:b/>
                <w:bCs/>
                <w:noProof/>
              </w:rPr>
              <w:t>12</w:t>
            </w:r>
            <w:r>
              <w:rPr>
                <w:b/>
                <w:bCs/>
                <w:sz w:val="24"/>
                <w:szCs w:val="24"/>
              </w:rPr>
              <w:fldChar w:fldCharType="end"/>
            </w:r>
          </w:p>
        </w:sdtContent>
      </w:sdt>
    </w:sdtContent>
  </w:sdt>
  <w:p w14:paraId="4F72690E" w14:textId="77777777" w:rsidR="00E352B7" w:rsidRDefault="00E352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B38A38B" w14:textId="77777777" w:rsidR="00734899" w:rsidRDefault="00734899" w:rsidP="00E352B7">
      <w:pPr>
        <w:spacing w:after="0" w:line="240" w:lineRule="auto"/>
      </w:pPr>
      <w:r>
        <w:separator/>
      </w:r>
    </w:p>
  </w:footnote>
  <w:footnote w:type="continuationSeparator" w:id="0">
    <w:p w14:paraId="183749AC" w14:textId="77777777" w:rsidR="00734899" w:rsidRDefault="00734899" w:rsidP="00E352B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5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352B7"/>
    <w:rsid w:val="00060071"/>
    <w:rsid w:val="00200220"/>
    <w:rsid w:val="0048561E"/>
    <w:rsid w:val="004E3527"/>
    <w:rsid w:val="00587EC3"/>
    <w:rsid w:val="006D1C4D"/>
    <w:rsid w:val="00734899"/>
    <w:rsid w:val="007D34FA"/>
    <w:rsid w:val="00915B24"/>
    <w:rsid w:val="00984029"/>
    <w:rsid w:val="00C47525"/>
    <w:rsid w:val="00E27DEB"/>
    <w:rsid w:val="00E352B7"/>
    <w:rsid w:val="00E4208B"/>
    <w:rsid w:val="00E85D45"/>
    <w:rsid w:val="00EC292F"/>
    <w:rsid w:val="00ED6E4E"/>
    <w:rsid w:val="00F465F4"/>
    <w:rsid w:val="00FB4D62"/>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4A8B77A"/>
  <w15:chartTrackingRefBased/>
  <w15:docId w15:val="{918867BF-542A-457C-8277-1CFE757AF6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8561E"/>
    <w:pPr>
      <w:keepNext/>
      <w:keepLines/>
      <w:spacing w:before="240" w:after="0" w:line="360" w:lineRule="auto"/>
      <w:outlineLvl w:val="0"/>
    </w:pPr>
    <w:rPr>
      <w:rFonts w:ascii="Arial" w:eastAsiaTheme="majorEastAsia" w:hAnsi="Arial" w:cstheme="majorBidi"/>
      <w:b/>
      <w:sz w:val="28"/>
      <w:szCs w:val="28"/>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352B7"/>
    <w:rPr>
      <w:color w:val="0563C1" w:themeColor="hyperlink"/>
      <w:u w:val="single"/>
    </w:rPr>
  </w:style>
  <w:style w:type="character" w:customStyle="1" w:styleId="UnresolvedMention1">
    <w:name w:val="Unresolved Mention1"/>
    <w:basedOn w:val="DefaultParagraphFont"/>
    <w:uiPriority w:val="99"/>
    <w:semiHidden/>
    <w:unhideWhenUsed/>
    <w:rsid w:val="00E352B7"/>
    <w:rPr>
      <w:color w:val="605E5C"/>
      <w:shd w:val="clear" w:color="auto" w:fill="E1DFDD"/>
    </w:rPr>
  </w:style>
  <w:style w:type="character" w:customStyle="1" w:styleId="Heading1Char">
    <w:name w:val="Heading 1 Char"/>
    <w:basedOn w:val="DefaultParagraphFont"/>
    <w:link w:val="Heading1"/>
    <w:uiPriority w:val="9"/>
    <w:rsid w:val="0048561E"/>
    <w:rPr>
      <w:rFonts w:ascii="Arial" w:eastAsiaTheme="majorEastAsia" w:hAnsi="Arial" w:cstheme="majorBidi"/>
      <w:b/>
      <w:sz w:val="28"/>
      <w:szCs w:val="28"/>
      <w:lang w:val="en-GB"/>
    </w:rPr>
  </w:style>
  <w:style w:type="paragraph" w:styleId="TOCHeading">
    <w:name w:val="TOC Heading"/>
    <w:basedOn w:val="Heading1"/>
    <w:next w:val="Normal"/>
    <w:uiPriority w:val="39"/>
    <w:unhideWhenUsed/>
    <w:qFormat/>
    <w:rsid w:val="00E352B7"/>
    <w:pPr>
      <w:spacing w:line="259" w:lineRule="auto"/>
      <w:outlineLvl w:val="9"/>
    </w:pPr>
    <w:rPr>
      <w:rFonts w:asciiTheme="majorHAnsi" w:hAnsiTheme="majorHAnsi"/>
      <w:b w:val="0"/>
      <w:color w:val="2F5496" w:themeColor="accent1" w:themeShade="BF"/>
      <w:kern w:val="0"/>
      <w14:ligatures w14:val="none"/>
    </w:rPr>
  </w:style>
  <w:style w:type="paragraph" w:styleId="TOC1">
    <w:name w:val="toc 1"/>
    <w:basedOn w:val="Normal"/>
    <w:next w:val="Normal"/>
    <w:autoRedefine/>
    <w:uiPriority w:val="39"/>
    <w:unhideWhenUsed/>
    <w:rsid w:val="00E352B7"/>
    <w:pPr>
      <w:spacing w:after="100"/>
    </w:pPr>
  </w:style>
  <w:style w:type="paragraph" w:styleId="Header">
    <w:name w:val="header"/>
    <w:basedOn w:val="Normal"/>
    <w:link w:val="HeaderChar"/>
    <w:uiPriority w:val="99"/>
    <w:unhideWhenUsed/>
    <w:rsid w:val="00E352B7"/>
    <w:pPr>
      <w:tabs>
        <w:tab w:val="center" w:pos="4680"/>
        <w:tab w:val="right" w:pos="9360"/>
      </w:tabs>
      <w:spacing w:after="0" w:line="240" w:lineRule="auto"/>
    </w:pPr>
  </w:style>
  <w:style w:type="character" w:customStyle="1" w:styleId="HeaderChar">
    <w:name w:val="Header Char"/>
    <w:basedOn w:val="DefaultParagraphFont"/>
    <w:link w:val="Header"/>
    <w:uiPriority w:val="99"/>
    <w:rsid w:val="00E352B7"/>
  </w:style>
  <w:style w:type="paragraph" w:styleId="Footer">
    <w:name w:val="footer"/>
    <w:basedOn w:val="Normal"/>
    <w:link w:val="FooterChar"/>
    <w:uiPriority w:val="99"/>
    <w:unhideWhenUsed/>
    <w:rsid w:val="00E352B7"/>
    <w:pPr>
      <w:tabs>
        <w:tab w:val="center" w:pos="4680"/>
        <w:tab w:val="right" w:pos="9360"/>
      </w:tabs>
      <w:spacing w:after="0" w:line="240" w:lineRule="auto"/>
    </w:pPr>
  </w:style>
  <w:style w:type="character" w:customStyle="1" w:styleId="FooterChar">
    <w:name w:val="Footer Char"/>
    <w:basedOn w:val="DefaultParagraphFont"/>
    <w:link w:val="Footer"/>
    <w:uiPriority w:val="99"/>
    <w:rsid w:val="00E352B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91864364">
      <w:bodyDiv w:val="1"/>
      <w:marLeft w:val="0"/>
      <w:marRight w:val="0"/>
      <w:marTop w:val="0"/>
      <w:marBottom w:val="0"/>
      <w:divBdr>
        <w:top w:val="none" w:sz="0" w:space="0" w:color="auto"/>
        <w:left w:val="none" w:sz="0" w:space="0" w:color="auto"/>
        <w:bottom w:val="none" w:sz="0" w:space="0" w:color="auto"/>
        <w:right w:val="none" w:sz="0" w:space="0" w:color="auto"/>
      </w:divBdr>
    </w:div>
    <w:div w:id="1217089136">
      <w:bodyDiv w:val="1"/>
      <w:marLeft w:val="0"/>
      <w:marRight w:val="0"/>
      <w:marTop w:val="0"/>
      <w:marBottom w:val="0"/>
      <w:divBdr>
        <w:top w:val="none" w:sz="0" w:space="0" w:color="auto"/>
        <w:left w:val="none" w:sz="0" w:space="0" w:color="auto"/>
        <w:bottom w:val="none" w:sz="0" w:space="0" w:color="auto"/>
        <w:right w:val="none" w:sz="0" w:space="0" w:color="auto"/>
      </w:divBdr>
    </w:div>
    <w:div w:id="1605846799">
      <w:bodyDiv w:val="1"/>
      <w:marLeft w:val="0"/>
      <w:marRight w:val="0"/>
      <w:marTop w:val="0"/>
      <w:marBottom w:val="0"/>
      <w:divBdr>
        <w:top w:val="none" w:sz="0" w:space="0" w:color="auto"/>
        <w:left w:val="none" w:sz="0" w:space="0" w:color="auto"/>
        <w:bottom w:val="none" w:sz="0" w:space="0" w:color="auto"/>
        <w:right w:val="none" w:sz="0" w:space="0" w:color="auto"/>
      </w:divBdr>
    </w:div>
    <w:div w:id="17850043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journals.sagepub.com/doi/pdf/10.1177/13882627231195722" TargetMode="External"/><Relationship Id="rId13" Type="http://schemas.openxmlformats.org/officeDocument/2006/relationships/hyperlink" Target="https://www.nber.org/system/files/working_papers/w15031/w15031.pdf" TargetMode="External"/><Relationship Id="rId18" Type="http://schemas.openxmlformats.org/officeDocument/2006/relationships/hyperlink" Target="https://www.sciencedirect.com/science/article/pii/S0925527322000299"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pubs.rsc.org/en/content/articlepdf/2020/ee/d0ee01530j" TargetMode="External"/><Relationship Id="rId7" Type="http://schemas.openxmlformats.org/officeDocument/2006/relationships/image" Target="media/image1.png"/><Relationship Id="rId12" Type="http://schemas.openxmlformats.org/officeDocument/2006/relationships/hyperlink" Target="https://citeseerx.ist.psu.edu/document?repid=rep1&amp;type=pdf&amp;doi=3f41139c49184b42ede069dd6759f82c64b769c5" TargetMode="External"/><Relationship Id="rId17" Type="http://schemas.openxmlformats.org/officeDocument/2006/relationships/hyperlink" Target="https://www.sciencedirect.com/science/article/pii/S0045653521028757"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books.google.com/books?hl=en&amp;lr=&amp;id=TXJnEAAAQBAJ&amp;oi=fnd&amp;pg=PP1&amp;dq=Inkson,+C.+and+Minnaert,+L.+(2018)+Tourism+management+:+an++introduction.+2nd+ed.+London:+SAGE.&amp;ots=hPhwCDFPgN&amp;sig=xh3QspctZYAfx3w9AeMNqZWbpSg" TargetMode="External"/><Relationship Id="rId20" Type="http://schemas.openxmlformats.org/officeDocument/2006/relationships/hyperlink" Target="https://www.tandfonline.com/doi/abs/10.1080/02646811.2020.1855020"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routledge.com/Managing-Sustainable-Tourism-A-Legacy-for-the-Future/EdgellSr/p/book/9780367331382?srsltid=AfmBOornKs66DHzP0woyjo_E58GxB5ZTD2T03PZaJH_R3VLQIz-JhQ3c" TargetMode="External"/><Relationship Id="rId24" Type="http://schemas.openxmlformats.org/officeDocument/2006/relationships/hyperlink" Target="https://link.springer.com/content/pdf/10.1007/s13132-023-01185-0.pdf" TargetMode="External"/><Relationship Id="rId5" Type="http://schemas.openxmlformats.org/officeDocument/2006/relationships/footnotes" Target="footnotes.xml"/><Relationship Id="rId15" Type="http://schemas.openxmlformats.org/officeDocument/2006/relationships/hyperlink" Target="https://books.google.com/books?hl=en&amp;lr=&amp;id=BTlODwAAQBAJ&amp;oi=fnd&amp;pg=PP1&amp;dq=Haski-Leventhal,+D.+(2018)+Strategic+corporate+social+responsibility+:+tools+%26+theories+for+responsible+management.+London:+SAGE.&amp;ots=2cEZ9QC3vQ&amp;sig=RC5no3-9S_bahnsVDyRObBLUdGA" TargetMode="External"/><Relationship Id="rId23" Type="http://schemas.openxmlformats.org/officeDocument/2006/relationships/hyperlink" Target="https://figshare.utas.edu.au/articles/journal_contribution/Strategic_sustainability_management_in_the_event_sector/22992797/1/files/40741931.pdf" TargetMode="External"/><Relationship Id="rId10" Type="http://schemas.openxmlformats.org/officeDocument/2006/relationships/hyperlink" Target="https://onlinelibrary.wiley.com/doi/abs/10.1111/j.1468-2370.2009.00276.x" TargetMode="External"/><Relationship Id="rId19" Type="http://schemas.openxmlformats.org/officeDocument/2006/relationships/hyperlink" Target="https://gc.scalahed.com/recursos/files/r161r/w25826w/McKinno_S1.pdf" TargetMode="External"/><Relationship Id="rId4" Type="http://schemas.openxmlformats.org/officeDocument/2006/relationships/webSettings" Target="webSettings.xml"/><Relationship Id="rId9" Type="http://schemas.openxmlformats.org/officeDocument/2006/relationships/hyperlink" Target="https://books.google.com/books?hl=en&amp;lr=&amp;id=EtrbEAAAQBAJ&amp;oi=fnd&amp;pg=PP1&amp;dq=sustainability&amp;ots=TmngUIXpny&amp;sig=oidTirkSiXlNkt7Il41Jkf_Ib4c" TargetMode="External"/><Relationship Id="rId14" Type="http://schemas.openxmlformats.org/officeDocument/2006/relationships/hyperlink" Target="https://www.researchgate.net/profile/Binglei-Guo/publication/361294261_Energy-efficient_Database_Systems_A_Systematic_Survey/links/62b930926ec05339cca6b59e/Energy-Efficient-Database-Systems-A-Systematic-Survey.pdf" TargetMode="External"/><Relationship Id="rId22" Type="http://schemas.openxmlformats.org/officeDocument/2006/relationships/hyperlink" Target="https://www.pnas.org/doi/pdf/10.1073/pnas.0805554105"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BB945BF-90EB-43F7-A52E-9E5FA96BA49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11</Pages>
  <Words>2574</Words>
  <Characters>19372</Characters>
  <Application>Microsoft Office Word</Application>
  <DocSecurity>0</DocSecurity>
  <Lines>161</Lines>
  <Paragraphs>43</Paragraphs>
  <ScaleCrop>false</ScaleCrop>
  <Company/>
  <LinksUpToDate>false</LinksUpToDate>
  <CharactersWithSpaces>21903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Ayesha Siddiqua (2233548)</cp:lastModifiedBy>
  <cp:revision>5</cp:revision>
  <dcterms:created xsi:type="dcterms:W3CDTF">2024-10-21T06:03:00Z</dcterms:created>
  <dcterms:modified xsi:type="dcterms:W3CDTF">2024-10-21T06:09:00Z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1c47f95a-0ed5-4158-b3d1-bbc46f58e124</vt:lpwstr>
  </property>
</Properties>
</file>