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CEE89" w14:textId="77777777" w:rsidR="004B0D0F" w:rsidRDefault="004B0D0F" w:rsidP="004B0D0F">
      <w:pPr>
        <w:pStyle w:val="NormalWeb"/>
        <w:spacing w:before="0" w:beforeAutospacing="0" w:after="0" w:afterAutospacing="0"/>
        <w:ind w:left="-180" w:right="-334"/>
      </w:pPr>
      <w:r>
        <w:rPr>
          <w:noProof/>
        </w:rPr>
        <w:drawing>
          <wp:inline distT="0" distB="0" distL="0" distR="0" wp14:anchorId="5FFCEC3A" wp14:editId="04FF66E8">
            <wp:extent cx="1816100" cy="730250"/>
            <wp:effectExtent l="0" t="0" r="0" b="0"/>
            <wp:docPr id="159554854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548543" name="Picture 1" descr="A close-up of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6100" cy="730250"/>
                    </a:xfrm>
                    <a:prstGeom prst="rect">
                      <a:avLst/>
                    </a:prstGeom>
                    <a:noFill/>
                    <a:ln>
                      <a:noFill/>
                    </a:ln>
                  </pic:spPr>
                </pic:pic>
              </a:graphicData>
            </a:graphic>
          </wp:inline>
        </w:drawing>
      </w:r>
    </w:p>
    <w:p w14:paraId="3E67E6BF" w14:textId="77777777" w:rsidR="004B0D0F" w:rsidRDefault="004B0D0F" w:rsidP="004B0D0F">
      <w:pPr>
        <w:pStyle w:val="NormalWeb"/>
        <w:spacing w:before="0" w:beforeAutospacing="0" w:after="0" w:afterAutospacing="0"/>
        <w:ind w:left="-180" w:right="-334"/>
      </w:pPr>
    </w:p>
    <w:p w14:paraId="330BF339" w14:textId="77777777" w:rsidR="004B0D0F" w:rsidRDefault="004B0D0F" w:rsidP="004B0D0F">
      <w:pPr>
        <w:pStyle w:val="NormalWeb"/>
        <w:spacing w:before="0" w:beforeAutospacing="0" w:after="0" w:afterAutospacing="0"/>
        <w:ind w:left="-180" w:right="-334"/>
      </w:pPr>
    </w:p>
    <w:p w14:paraId="6C7E9045" w14:textId="77777777" w:rsidR="004B0D0F" w:rsidRDefault="004B0D0F" w:rsidP="004B0D0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E719A9B" w14:textId="77777777" w:rsidR="004B0D0F" w:rsidRPr="00230F35" w:rsidRDefault="004B0D0F" w:rsidP="004B0D0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74509BE" w14:textId="77777777" w:rsidR="004B0D0F" w:rsidRPr="00230F35" w:rsidRDefault="004B0D0F" w:rsidP="004B0D0F">
      <w:pPr>
        <w:rPr>
          <w:rFonts w:ascii="Arial" w:hAnsi="Arial" w:cs="Arial"/>
          <w:sz w:val="28"/>
          <w:szCs w:val="28"/>
          <w:lang w:val="cy-GB"/>
        </w:rPr>
      </w:pPr>
    </w:p>
    <w:p w14:paraId="2E93AB45" w14:textId="77777777" w:rsidR="004B0D0F" w:rsidRDefault="004B0D0F" w:rsidP="004B0D0F">
      <w:pPr>
        <w:pStyle w:val="Heading3"/>
        <w:jc w:val="center"/>
        <w:rPr>
          <w:lang w:val="cy-GB"/>
        </w:rPr>
      </w:pPr>
      <w:r>
        <w:rPr>
          <w:lang w:val="cy-GB"/>
        </w:rPr>
        <w:t>THIS SHEET MUST BE THE FIRST PAGE OF THE ASSIGNMENT YOU ARE SUBMITTING  (DO NOT SEND AS A SEPARATE FILE)</w:t>
      </w:r>
    </w:p>
    <w:p w14:paraId="721E499C" w14:textId="77777777" w:rsidR="004B0D0F" w:rsidRDefault="004B0D0F" w:rsidP="004B0D0F">
      <w:pPr>
        <w:pStyle w:val="Heading3"/>
        <w:jc w:val="center"/>
        <w:rPr>
          <w:rFonts w:ascii="Trebuchet MS" w:hAnsi="Trebuchet M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652"/>
        <w:gridCol w:w="500"/>
        <w:gridCol w:w="1838"/>
        <w:gridCol w:w="337"/>
        <w:gridCol w:w="2129"/>
      </w:tblGrid>
      <w:tr w:rsidR="004B0D0F" w:rsidRPr="00230F35" w14:paraId="479CD35D" w14:textId="77777777" w:rsidTr="004B0D0F">
        <w:trPr>
          <w:trHeight w:val="614"/>
        </w:trPr>
        <w:tc>
          <w:tcPr>
            <w:tcW w:w="5000" w:type="pct"/>
            <w:gridSpan w:val="5"/>
          </w:tcPr>
          <w:p w14:paraId="0EFAD3D2"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B0D0F" w:rsidRPr="00230F35" w14:paraId="7FAFF7A9" w14:textId="77777777" w:rsidTr="004B0D0F">
        <w:trPr>
          <w:trHeight w:val="718"/>
        </w:trPr>
        <w:tc>
          <w:tcPr>
            <w:tcW w:w="5000" w:type="pct"/>
            <w:gridSpan w:val="5"/>
          </w:tcPr>
          <w:p w14:paraId="666579D7" w14:textId="77777777" w:rsidR="004B0D0F"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Sophie Amos</w:t>
            </w:r>
          </w:p>
          <w:p w14:paraId="5E000BE3" w14:textId="77777777" w:rsidR="004B0D0F" w:rsidRPr="00230F35" w:rsidRDefault="004B0D0F" w:rsidP="00AC27CC">
            <w:pPr>
              <w:pStyle w:val="NormalWeb"/>
              <w:spacing w:before="0" w:beforeAutospacing="0" w:after="0" w:afterAutospacing="0"/>
              <w:ind w:right="34"/>
              <w:rPr>
                <w:rFonts w:ascii="Arial" w:hAnsi="Arial" w:cs="Arial"/>
                <w:sz w:val="22"/>
                <w:szCs w:val="22"/>
              </w:rPr>
            </w:pPr>
          </w:p>
          <w:p w14:paraId="42D4FB0D"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0A1822">
              <w:rPr>
                <w:rFonts w:ascii="Arial" w:hAnsi="Arial" w:cs="Arial"/>
                <w:sz w:val="22"/>
                <w:szCs w:val="22"/>
              </w:rPr>
              <w:t>2210733@student.uwtsd.ac.uk</w:t>
            </w:r>
          </w:p>
        </w:tc>
      </w:tr>
      <w:tr w:rsidR="004B0D0F" w:rsidRPr="00230F35" w14:paraId="20544CD0" w14:textId="77777777" w:rsidTr="004B0D0F">
        <w:trPr>
          <w:trHeight w:val="849"/>
        </w:trPr>
        <w:tc>
          <w:tcPr>
            <w:tcW w:w="2703" w:type="pct"/>
          </w:tcPr>
          <w:p w14:paraId="1CBD1BB6" w14:textId="0075E4D1"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4B0D0F">
              <w:rPr>
                <w:rFonts w:ascii="Arial" w:hAnsi="Arial" w:cs="Arial"/>
              </w:rPr>
              <w:t>HPCA7016</w:t>
            </w:r>
          </w:p>
          <w:p w14:paraId="1DDCDEC6" w14:textId="77777777" w:rsidR="004B0D0F" w:rsidRPr="00230F35" w:rsidRDefault="004B0D0F" w:rsidP="00AC27CC">
            <w:pPr>
              <w:pStyle w:val="NormalWeb"/>
              <w:spacing w:before="0" w:beforeAutospacing="0" w:after="0" w:afterAutospacing="0"/>
              <w:ind w:right="34"/>
              <w:rPr>
                <w:rFonts w:ascii="Arial" w:hAnsi="Arial" w:cs="Arial"/>
                <w:sz w:val="22"/>
                <w:szCs w:val="22"/>
              </w:rPr>
            </w:pPr>
          </w:p>
          <w:p w14:paraId="3D5B1A9C" w14:textId="22FD15FE" w:rsidR="004B0D0F"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Cs/>
                <w:sz w:val="22"/>
                <w:szCs w:val="22"/>
              </w:rPr>
              <w:t>Researching Contemporary Cosmologies</w:t>
            </w:r>
          </w:p>
          <w:p w14:paraId="6B18B3DA" w14:textId="77777777" w:rsidR="004B0D0F" w:rsidRPr="00230F35" w:rsidRDefault="004B0D0F" w:rsidP="00AC27CC">
            <w:pPr>
              <w:pStyle w:val="NormalWeb"/>
              <w:spacing w:before="0" w:beforeAutospacing="0" w:after="0" w:afterAutospacing="0"/>
              <w:ind w:right="34"/>
              <w:rPr>
                <w:rFonts w:ascii="Arial" w:hAnsi="Arial" w:cs="Arial"/>
                <w:sz w:val="22"/>
                <w:szCs w:val="22"/>
              </w:rPr>
            </w:pPr>
          </w:p>
        </w:tc>
        <w:tc>
          <w:tcPr>
            <w:tcW w:w="1279" w:type="pct"/>
            <w:gridSpan w:val="3"/>
          </w:tcPr>
          <w:p w14:paraId="2DB8A297"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2210733</w:t>
            </w:r>
          </w:p>
        </w:tc>
        <w:tc>
          <w:tcPr>
            <w:tcW w:w="1017" w:type="pct"/>
          </w:tcPr>
          <w:p w14:paraId="1F424004"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B9EA608"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B0D0F" w:rsidRPr="00230F35" w14:paraId="509D9F3B" w14:textId="77777777" w:rsidTr="004B0D0F">
        <w:trPr>
          <w:trHeight w:val="1139"/>
        </w:trPr>
        <w:tc>
          <w:tcPr>
            <w:tcW w:w="5000" w:type="pct"/>
            <w:gridSpan w:val="5"/>
          </w:tcPr>
          <w:p w14:paraId="38B2F39E" w14:textId="4937E01B" w:rsidR="004B0D0F" w:rsidRDefault="004B0D0F" w:rsidP="0022720F">
            <w:pPr>
              <w:pStyle w:val="NormalWeb"/>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4B0D0F">
              <w:rPr>
                <w:rFonts w:ascii="Arial" w:hAnsi="Arial" w:cs="Arial"/>
                <w:sz w:val="22"/>
                <w:szCs w:val="22"/>
              </w:rPr>
              <w:t>A Critical Comparison of Two Secondary Sources</w:t>
            </w:r>
          </w:p>
          <w:p w14:paraId="4438C300" w14:textId="7B3FF8BB"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Friday 15</w:t>
            </w:r>
            <w:r w:rsidRPr="004B0D0F">
              <w:rPr>
                <w:rFonts w:ascii="Arial" w:hAnsi="Arial" w:cs="Arial"/>
                <w:sz w:val="22"/>
                <w:szCs w:val="22"/>
                <w:vertAlign w:val="superscript"/>
              </w:rPr>
              <w:t>th</w:t>
            </w:r>
            <w:r>
              <w:rPr>
                <w:rFonts w:ascii="Arial" w:hAnsi="Arial" w:cs="Arial"/>
                <w:sz w:val="22"/>
                <w:szCs w:val="22"/>
              </w:rPr>
              <w:t xml:space="preserve"> March 2024</w:t>
            </w:r>
          </w:p>
        </w:tc>
      </w:tr>
      <w:tr w:rsidR="004B0D0F" w:rsidRPr="00230F35" w14:paraId="75F8EC60" w14:textId="77777777" w:rsidTr="004B0D0F">
        <w:trPr>
          <w:trHeight w:val="978"/>
        </w:trPr>
        <w:tc>
          <w:tcPr>
            <w:tcW w:w="5000" w:type="pct"/>
            <w:gridSpan w:val="5"/>
            <w:tcBorders>
              <w:bottom w:val="single" w:sz="4" w:space="0" w:color="000000"/>
            </w:tcBorders>
          </w:tcPr>
          <w:p w14:paraId="49F2782B" w14:textId="107F219E" w:rsidR="004B0D0F" w:rsidRPr="00230F35" w:rsidRDefault="004B0D0F" w:rsidP="00AC27C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2" w:name="Check15"/>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1"/>
                  </w:checkBox>
                </w:ffData>
              </w:fldChar>
            </w:r>
            <w:bookmarkStart w:id="3" w:name="Check16"/>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B0D0F" w:rsidRPr="00230F35" w14:paraId="5B854884" w14:textId="77777777" w:rsidTr="004B0D0F">
        <w:trPr>
          <w:trHeight w:val="978"/>
        </w:trPr>
        <w:tc>
          <w:tcPr>
            <w:tcW w:w="5000" w:type="pct"/>
            <w:gridSpan w:val="5"/>
            <w:shd w:val="clear" w:color="auto" w:fill="D9D9D9"/>
          </w:tcPr>
          <w:p w14:paraId="69910826" w14:textId="77777777" w:rsidR="004B0D0F" w:rsidRPr="00230F35"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BF27B95" w14:textId="77777777" w:rsidR="004B0D0F" w:rsidRDefault="004B0D0F" w:rsidP="00AC27C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w:t>
            </w:r>
            <w:proofErr w:type="gramStart"/>
            <w:r>
              <w:rPr>
                <w:rFonts w:ascii="Arial" w:hAnsi="Arial" w:cs="Arial"/>
                <w:sz w:val="22"/>
                <w:szCs w:val="22"/>
              </w:rPr>
              <w:t>E.AMOS</w:t>
            </w:r>
            <w:proofErr w:type="gramEnd"/>
          </w:p>
          <w:p w14:paraId="207C04E8" w14:textId="77777777" w:rsidR="004B0D0F" w:rsidRDefault="004B0D0F" w:rsidP="00AC27CC">
            <w:pPr>
              <w:pStyle w:val="NormalWeb"/>
              <w:spacing w:before="0" w:beforeAutospacing="0" w:after="0" w:afterAutospacing="0"/>
              <w:ind w:right="34"/>
              <w:rPr>
                <w:rFonts w:ascii="Arial" w:hAnsi="Arial" w:cs="Arial"/>
                <w:sz w:val="22"/>
                <w:szCs w:val="22"/>
              </w:rPr>
            </w:pPr>
          </w:p>
          <w:p w14:paraId="50D502D6" w14:textId="77777777" w:rsidR="004B0D0F" w:rsidRDefault="004B0D0F" w:rsidP="00AC27C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16DA9B52" w14:textId="77777777" w:rsidR="004B0D0F" w:rsidRPr="00230F35" w:rsidRDefault="004B0D0F" w:rsidP="00AC27C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B0D0F" w:rsidRPr="00230F35" w14:paraId="47833463" w14:textId="77777777" w:rsidTr="004B0D0F">
        <w:trPr>
          <w:trHeight w:val="3972"/>
        </w:trPr>
        <w:tc>
          <w:tcPr>
            <w:tcW w:w="5000" w:type="pct"/>
            <w:gridSpan w:val="5"/>
          </w:tcPr>
          <w:p w14:paraId="233BE4D8" w14:textId="77777777" w:rsidR="004B0D0F" w:rsidRDefault="004B0D0F" w:rsidP="00AC27CC">
            <w:pPr>
              <w:rPr>
                <w:rFonts w:ascii="Arial" w:hAnsi="Arial"/>
                <w:b/>
              </w:rPr>
            </w:pPr>
          </w:p>
          <w:p w14:paraId="4BC6F3BB" w14:textId="77777777" w:rsidR="004B0D0F" w:rsidRPr="00116CE6" w:rsidRDefault="004B0D0F" w:rsidP="00AC27C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B0D0F" w:rsidRPr="00116CE6" w14:paraId="2F15332A" w14:textId="77777777" w:rsidTr="00AC27CC">
              <w:tc>
                <w:tcPr>
                  <w:tcW w:w="6970" w:type="dxa"/>
                </w:tcPr>
                <w:p w14:paraId="2A812ECB" w14:textId="77777777" w:rsidR="004B0D0F" w:rsidRPr="00116CE6" w:rsidRDefault="004B0D0F" w:rsidP="00AC27CC">
                  <w:pPr>
                    <w:rPr>
                      <w:rFonts w:ascii="Arial" w:hAnsi="Arial"/>
                      <w:sz w:val="20"/>
                      <w:szCs w:val="20"/>
                    </w:rPr>
                  </w:pPr>
                </w:p>
                <w:p w14:paraId="38ECDDC4" w14:textId="77777777" w:rsidR="004B0D0F" w:rsidRPr="00116CE6" w:rsidRDefault="004B0D0F" w:rsidP="00AC27C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2046EA2" w14:textId="77777777" w:rsidR="004B0D0F" w:rsidRPr="00116CE6" w:rsidRDefault="004B0D0F" w:rsidP="00AC27CC">
                  <w:pPr>
                    <w:rPr>
                      <w:rFonts w:ascii="Arial" w:hAnsi="Arial"/>
                      <w:sz w:val="20"/>
                      <w:szCs w:val="20"/>
                    </w:rPr>
                  </w:pPr>
                </w:p>
              </w:tc>
            </w:tr>
            <w:tr w:rsidR="004B0D0F" w:rsidRPr="00116CE6" w14:paraId="2D590CB3" w14:textId="77777777" w:rsidTr="00AC27CC">
              <w:tc>
                <w:tcPr>
                  <w:tcW w:w="6970" w:type="dxa"/>
                </w:tcPr>
                <w:p w14:paraId="5B58A4E7" w14:textId="77777777" w:rsidR="004B0D0F" w:rsidRPr="00116CE6" w:rsidRDefault="004B0D0F" w:rsidP="00AC27CC">
                  <w:pPr>
                    <w:rPr>
                      <w:rFonts w:ascii="Arial" w:hAnsi="Arial"/>
                      <w:sz w:val="20"/>
                      <w:szCs w:val="20"/>
                    </w:rPr>
                  </w:pPr>
                </w:p>
                <w:p w14:paraId="72BB192B" w14:textId="77777777" w:rsidR="004B0D0F" w:rsidRPr="00116CE6" w:rsidRDefault="004B0D0F" w:rsidP="00AC27C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EC16C01" w14:textId="77777777" w:rsidR="004B0D0F" w:rsidRPr="00116CE6" w:rsidRDefault="004B0D0F" w:rsidP="00AC27CC">
                  <w:pPr>
                    <w:rPr>
                      <w:rFonts w:ascii="Arial" w:hAnsi="Arial"/>
                      <w:sz w:val="20"/>
                      <w:szCs w:val="20"/>
                    </w:rPr>
                  </w:pPr>
                </w:p>
              </w:tc>
            </w:tr>
            <w:tr w:rsidR="004B0D0F" w:rsidRPr="00116CE6" w14:paraId="23920136" w14:textId="77777777" w:rsidTr="00AC27CC">
              <w:tc>
                <w:tcPr>
                  <w:tcW w:w="6970" w:type="dxa"/>
                </w:tcPr>
                <w:p w14:paraId="4C48FA8E" w14:textId="77777777" w:rsidR="004B0D0F" w:rsidRPr="00116CE6" w:rsidRDefault="004B0D0F" w:rsidP="00AC27CC">
                  <w:pPr>
                    <w:rPr>
                      <w:rFonts w:ascii="Arial" w:hAnsi="Arial"/>
                      <w:sz w:val="20"/>
                      <w:szCs w:val="20"/>
                    </w:rPr>
                  </w:pPr>
                </w:p>
                <w:p w14:paraId="26C0F706" w14:textId="77777777" w:rsidR="004B0D0F" w:rsidRPr="00116CE6" w:rsidRDefault="004B0D0F" w:rsidP="00AC27C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D16810" w14:textId="77777777" w:rsidR="004B0D0F" w:rsidRPr="00116CE6" w:rsidRDefault="004B0D0F" w:rsidP="00AC27CC">
                  <w:pPr>
                    <w:rPr>
                      <w:rFonts w:ascii="Arial" w:hAnsi="Arial"/>
                      <w:sz w:val="20"/>
                      <w:szCs w:val="20"/>
                    </w:rPr>
                  </w:pPr>
                </w:p>
              </w:tc>
            </w:tr>
            <w:tr w:rsidR="004B0D0F" w:rsidRPr="00116CE6" w14:paraId="5153424B" w14:textId="77777777" w:rsidTr="00AC27CC">
              <w:tc>
                <w:tcPr>
                  <w:tcW w:w="6970" w:type="dxa"/>
                </w:tcPr>
                <w:p w14:paraId="33452E77" w14:textId="77777777" w:rsidR="004B0D0F" w:rsidRDefault="004B0D0F" w:rsidP="00AC27CC">
                  <w:pPr>
                    <w:rPr>
                      <w:rFonts w:ascii="Arial" w:hAnsi="Arial"/>
                      <w:sz w:val="20"/>
                      <w:szCs w:val="20"/>
                    </w:rPr>
                  </w:pPr>
                </w:p>
                <w:p w14:paraId="00144767" w14:textId="77777777" w:rsidR="004B0D0F" w:rsidRPr="00022345" w:rsidRDefault="004B0D0F" w:rsidP="00AC27CC">
                  <w:pPr>
                    <w:rPr>
                      <w:rFonts w:ascii="Arial" w:hAnsi="Arial"/>
                      <w:b/>
                      <w:sz w:val="20"/>
                      <w:szCs w:val="20"/>
                    </w:rPr>
                  </w:pPr>
                  <w:r w:rsidRPr="00022345">
                    <w:rPr>
                      <w:rFonts w:ascii="Arial" w:hAnsi="Arial"/>
                      <w:b/>
                      <w:sz w:val="20"/>
                      <w:szCs w:val="20"/>
                    </w:rPr>
                    <w:t>Final Mark</w:t>
                  </w:r>
                </w:p>
                <w:p w14:paraId="2503E86D" w14:textId="77777777" w:rsidR="004B0D0F" w:rsidRPr="00116CE6" w:rsidRDefault="004B0D0F" w:rsidP="00AC27CC">
                  <w:pPr>
                    <w:rPr>
                      <w:rFonts w:ascii="Arial" w:hAnsi="Arial"/>
                      <w:sz w:val="20"/>
                      <w:szCs w:val="20"/>
                    </w:rPr>
                  </w:pPr>
                </w:p>
              </w:tc>
              <w:tc>
                <w:tcPr>
                  <w:tcW w:w="1660" w:type="dxa"/>
                </w:tcPr>
                <w:p w14:paraId="21F8654F" w14:textId="77777777" w:rsidR="004B0D0F" w:rsidRPr="00116CE6" w:rsidRDefault="004B0D0F" w:rsidP="00AC27CC">
                  <w:pPr>
                    <w:rPr>
                      <w:rFonts w:ascii="Arial" w:hAnsi="Arial"/>
                      <w:sz w:val="20"/>
                      <w:szCs w:val="20"/>
                    </w:rPr>
                  </w:pPr>
                </w:p>
              </w:tc>
            </w:tr>
          </w:tbl>
          <w:p w14:paraId="022312BD" w14:textId="77777777" w:rsidR="004B0D0F" w:rsidRDefault="004B0D0F" w:rsidP="00AC27CC">
            <w:pPr>
              <w:pStyle w:val="NormalWeb"/>
              <w:spacing w:before="0" w:beforeAutospacing="0" w:after="0" w:afterAutospacing="0"/>
              <w:ind w:left="142" w:right="34"/>
              <w:rPr>
                <w:rFonts w:ascii="Arial" w:hAnsi="Arial" w:cs="Arial"/>
                <w:b/>
                <w:sz w:val="22"/>
                <w:szCs w:val="22"/>
              </w:rPr>
            </w:pPr>
          </w:p>
          <w:p w14:paraId="169287D2" w14:textId="77777777" w:rsidR="004B0D0F" w:rsidRPr="00230F35" w:rsidRDefault="004B0D0F" w:rsidP="00AC27C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E714EBF" w14:textId="77777777" w:rsidR="004B0D0F" w:rsidRDefault="004B0D0F" w:rsidP="00AC27CC">
            <w:pPr>
              <w:pStyle w:val="NormalWeb"/>
              <w:spacing w:before="0" w:beforeAutospacing="0" w:after="0" w:afterAutospacing="0"/>
              <w:rPr>
                <w:rFonts w:ascii="Arial" w:hAnsi="Arial" w:cs="Arial"/>
                <w:b/>
                <w:sz w:val="22"/>
                <w:szCs w:val="22"/>
              </w:rPr>
            </w:pPr>
          </w:p>
          <w:p w14:paraId="2BE6BC7F" w14:textId="77777777" w:rsidR="004B0D0F" w:rsidRDefault="004B0D0F" w:rsidP="00AC27CC">
            <w:pPr>
              <w:pStyle w:val="NormalWeb"/>
              <w:spacing w:before="0" w:beforeAutospacing="0" w:after="0" w:afterAutospacing="0"/>
              <w:rPr>
                <w:rFonts w:ascii="Arial" w:hAnsi="Arial" w:cs="Arial"/>
                <w:b/>
                <w:sz w:val="22"/>
                <w:szCs w:val="22"/>
              </w:rPr>
            </w:pPr>
          </w:p>
          <w:p w14:paraId="4DDA1613" w14:textId="77777777" w:rsidR="004B0D0F" w:rsidRDefault="004B0D0F" w:rsidP="00AC27CC">
            <w:pPr>
              <w:pStyle w:val="NormalWeb"/>
              <w:spacing w:before="0" w:beforeAutospacing="0" w:after="0" w:afterAutospacing="0"/>
              <w:rPr>
                <w:rFonts w:ascii="Arial" w:hAnsi="Arial" w:cs="Arial"/>
                <w:b/>
                <w:sz w:val="22"/>
                <w:szCs w:val="22"/>
              </w:rPr>
            </w:pPr>
          </w:p>
          <w:p w14:paraId="428DAABF" w14:textId="77777777" w:rsidR="004B0D0F" w:rsidRDefault="004B0D0F" w:rsidP="00AC27CC">
            <w:pPr>
              <w:pStyle w:val="NormalWeb"/>
              <w:spacing w:before="0" w:beforeAutospacing="0" w:after="0" w:afterAutospacing="0"/>
              <w:rPr>
                <w:rFonts w:ascii="Arial" w:hAnsi="Arial" w:cs="Arial"/>
                <w:b/>
                <w:sz w:val="22"/>
                <w:szCs w:val="22"/>
              </w:rPr>
            </w:pPr>
          </w:p>
          <w:p w14:paraId="4FDC450A" w14:textId="77777777" w:rsidR="004B0D0F" w:rsidRDefault="004B0D0F" w:rsidP="00AC27CC">
            <w:pPr>
              <w:pStyle w:val="NormalWeb"/>
              <w:spacing w:before="0" w:beforeAutospacing="0" w:after="0" w:afterAutospacing="0"/>
              <w:rPr>
                <w:rFonts w:ascii="Arial" w:hAnsi="Arial" w:cs="Arial"/>
                <w:b/>
                <w:sz w:val="22"/>
                <w:szCs w:val="22"/>
              </w:rPr>
            </w:pPr>
          </w:p>
          <w:p w14:paraId="505180CD" w14:textId="77777777" w:rsidR="004B0D0F" w:rsidRPr="00230F35" w:rsidRDefault="004B0D0F" w:rsidP="00AC27C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1C70F17" w14:textId="77777777" w:rsidR="004B0D0F" w:rsidRDefault="004B0D0F" w:rsidP="00AC27CC">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2C9ABE4C" w14:textId="77777777" w:rsidR="004B0D0F" w:rsidRPr="00001C3B" w:rsidRDefault="004B0D0F" w:rsidP="00AC27CC">
            <w:pPr>
              <w:pStyle w:val="NormalWeb"/>
              <w:rPr>
                <w:rFonts w:ascii="Arial" w:hAnsi="Arial" w:cs="Arial"/>
                <w:sz w:val="22"/>
                <w:szCs w:val="22"/>
              </w:rPr>
            </w:pPr>
          </w:p>
        </w:tc>
      </w:tr>
      <w:tr w:rsidR="004B0D0F" w:rsidRPr="00230F35" w14:paraId="2D4D6C17" w14:textId="77777777" w:rsidTr="004B0D0F">
        <w:trPr>
          <w:trHeight w:val="492"/>
        </w:trPr>
        <w:tc>
          <w:tcPr>
            <w:tcW w:w="3821" w:type="pct"/>
            <w:gridSpan w:val="3"/>
          </w:tcPr>
          <w:p w14:paraId="0F7D9E72" w14:textId="77777777" w:rsidR="004B0D0F" w:rsidRPr="00230F35" w:rsidRDefault="004B0D0F" w:rsidP="00AC27CC">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1179" w:type="pct"/>
            <w:gridSpan w:val="2"/>
          </w:tcPr>
          <w:p w14:paraId="61344524" w14:textId="77777777" w:rsidR="004B0D0F" w:rsidRPr="00230F35" w:rsidRDefault="004B0D0F" w:rsidP="00AC27CC">
            <w:pPr>
              <w:pStyle w:val="NormalWeb"/>
              <w:spacing w:after="0"/>
              <w:ind w:left="142" w:right="34"/>
              <w:rPr>
                <w:rFonts w:ascii="Arial" w:hAnsi="Arial" w:cs="Arial"/>
                <w:sz w:val="22"/>
                <w:szCs w:val="22"/>
              </w:rPr>
            </w:pPr>
            <w:r w:rsidRPr="00230F35">
              <w:rPr>
                <w:rFonts w:ascii="Arial" w:hAnsi="Arial" w:cs="Arial"/>
                <w:sz w:val="22"/>
                <w:szCs w:val="22"/>
              </w:rPr>
              <w:t>Date:</w:t>
            </w:r>
          </w:p>
        </w:tc>
      </w:tr>
      <w:tr w:rsidR="004B0D0F" w:rsidRPr="002F467C" w14:paraId="32D357E0" w14:textId="77777777" w:rsidTr="004B0D0F">
        <w:tc>
          <w:tcPr>
            <w:tcW w:w="5000" w:type="pct"/>
            <w:gridSpan w:val="5"/>
          </w:tcPr>
          <w:p w14:paraId="0E388B6B" w14:textId="77777777" w:rsidR="004B0D0F" w:rsidRPr="00230F35" w:rsidRDefault="004B0D0F" w:rsidP="00AC27CC">
            <w:pPr>
              <w:pStyle w:val="NormalWeb"/>
              <w:spacing w:before="0" w:beforeAutospacing="0" w:after="0" w:afterAutospacing="0"/>
              <w:ind w:right="-334"/>
              <w:rPr>
                <w:rFonts w:ascii="Arial" w:hAnsi="Arial" w:cs="Arial"/>
                <w:bCs/>
                <w:i/>
                <w:sz w:val="22"/>
                <w:szCs w:val="22"/>
              </w:rPr>
            </w:pPr>
          </w:p>
          <w:p w14:paraId="2A495247" w14:textId="77777777" w:rsidR="004B0D0F" w:rsidRPr="00230F35" w:rsidRDefault="004B0D0F" w:rsidP="00AC27C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9E62F6E" w14:textId="77777777" w:rsidR="004B0D0F" w:rsidRPr="00230F35" w:rsidRDefault="004B0D0F" w:rsidP="00AC27CC">
            <w:pPr>
              <w:pStyle w:val="NormalWeb"/>
              <w:spacing w:before="0" w:beforeAutospacing="0" w:after="0" w:afterAutospacing="0"/>
              <w:ind w:right="-334"/>
              <w:rPr>
                <w:rFonts w:ascii="Arial" w:hAnsi="Arial" w:cs="Arial"/>
                <w:b/>
                <w:bCs/>
                <w:sz w:val="22"/>
                <w:szCs w:val="22"/>
              </w:rPr>
            </w:pPr>
          </w:p>
          <w:p w14:paraId="6EB66D4B"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78BCA62"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8E0006B"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447CFB83"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09C9A723"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181D9553"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41F6600D"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23CFB6D4"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2A5B044"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96804F5" w14:textId="77777777" w:rsidR="004B0D0F" w:rsidRDefault="004B0D0F" w:rsidP="00AC27CC">
            <w:pPr>
              <w:pStyle w:val="NormalWeb"/>
              <w:spacing w:before="0" w:beforeAutospacing="0" w:after="0" w:afterAutospacing="0"/>
              <w:ind w:right="-334"/>
              <w:rPr>
                <w:rFonts w:ascii="Arial" w:hAnsi="Arial" w:cs="Arial"/>
                <w:bCs/>
                <w:sz w:val="22"/>
                <w:szCs w:val="22"/>
              </w:rPr>
            </w:pPr>
          </w:p>
          <w:p w14:paraId="06930658"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167218E"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C7F1847"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tc>
      </w:tr>
      <w:tr w:rsidR="004B0D0F" w:rsidRPr="002F467C" w14:paraId="05F50495" w14:textId="77777777" w:rsidTr="004B0D0F">
        <w:trPr>
          <w:trHeight w:val="720"/>
        </w:trPr>
        <w:tc>
          <w:tcPr>
            <w:tcW w:w="2942" w:type="pct"/>
            <w:gridSpan w:val="2"/>
          </w:tcPr>
          <w:p w14:paraId="70DEFE6B"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2058" w:type="pct"/>
            <w:gridSpan w:val="3"/>
          </w:tcPr>
          <w:p w14:paraId="35D34B1A"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B0D0F" w:rsidRPr="002F467C" w14:paraId="4FA36F12" w14:textId="77777777" w:rsidTr="004B0D0F">
        <w:trPr>
          <w:trHeight w:val="720"/>
        </w:trPr>
        <w:tc>
          <w:tcPr>
            <w:tcW w:w="5000" w:type="pct"/>
            <w:gridSpan w:val="5"/>
          </w:tcPr>
          <w:p w14:paraId="23BD7D54" w14:textId="77777777" w:rsidR="004B0D0F" w:rsidRPr="00B34964" w:rsidRDefault="004B0D0F" w:rsidP="00AC27CC">
            <w:pPr>
              <w:rPr>
                <w:rFonts w:ascii="Arial" w:hAnsi="Arial" w:cs="Arial"/>
                <w:b/>
                <w:sz w:val="22"/>
                <w:szCs w:val="22"/>
              </w:rPr>
            </w:pPr>
            <w:r w:rsidRPr="00B34964">
              <w:rPr>
                <w:rFonts w:ascii="Arial" w:hAnsi="Arial" w:cs="Arial"/>
                <w:b/>
                <w:sz w:val="22"/>
                <w:szCs w:val="22"/>
              </w:rPr>
              <w:t>External Examiner’s comments (if relevant)</w:t>
            </w:r>
          </w:p>
          <w:p w14:paraId="377DD802"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1D48C0E"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020DF24C"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6C14EECD"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7A1A1A38"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66CCEE7"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274A57CD"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6A170BD1"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112D418C" w14:textId="77777777" w:rsidR="004B0D0F" w:rsidRDefault="004B0D0F" w:rsidP="00AC27CC">
            <w:pPr>
              <w:pStyle w:val="NormalWeb"/>
              <w:spacing w:before="0" w:beforeAutospacing="0" w:after="0" w:afterAutospacing="0"/>
              <w:ind w:right="-334"/>
              <w:rPr>
                <w:rFonts w:ascii="Arial" w:hAnsi="Arial" w:cs="Arial"/>
                <w:bCs/>
                <w:sz w:val="22"/>
                <w:szCs w:val="22"/>
              </w:rPr>
            </w:pPr>
          </w:p>
          <w:p w14:paraId="10384B90"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p w14:paraId="5AB79386" w14:textId="77777777" w:rsidR="004B0D0F" w:rsidRPr="00230F35" w:rsidRDefault="004B0D0F" w:rsidP="00AC27CC">
            <w:pPr>
              <w:pStyle w:val="NormalWeb"/>
              <w:spacing w:before="0" w:beforeAutospacing="0" w:after="0" w:afterAutospacing="0"/>
              <w:ind w:right="-334"/>
              <w:rPr>
                <w:rFonts w:ascii="Arial" w:hAnsi="Arial" w:cs="Arial"/>
                <w:bCs/>
                <w:sz w:val="22"/>
                <w:szCs w:val="22"/>
              </w:rPr>
            </w:pPr>
          </w:p>
        </w:tc>
      </w:tr>
      <w:tr w:rsidR="004B0D0F" w:rsidRPr="002F467C" w14:paraId="1C73A458" w14:textId="77777777" w:rsidTr="004B0D0F">
        <w:trPr>
          <w:trHeight w:val="720"/>
        </w:trPr>
        <w:tc>
          <w:tcPr>
            <w:tcW w:w="2942" w:type="pct"/>
            <w:gridSpan w:val="2"/>
          </w:tcPr>
          <w:p w14:paraId="4BE8D4E3" w14:textId="77777777" w:rsidR="004B0D0F" w:rsidRPr="00230F35" w:rsidRDefault="004B0D0F" w:rsidP="00AC27CC">
            <w:pPr>
              <w:rPr>
                <w:rFonts w:ascii="Arial" w:hAnsi="Arial" w:cs="Arial"/>
                <w:sz w:val="22"/>
                <w:szCs w:val="22"/>
              </w:rPr>
            </w:pPr>
            <w:r w:rsidRPr="00230F35">
              <w:rPr>
                <w:rFonts w:ascii="Arial" w:hAnsi="Arial" w:cs="Arial"/>
                <w:sz w:val="22"/>
                <w:szCs w:val="22"/>
              </w:rPr>
              <w:t>External Examiner’s Signature:</w:t>
            </w:r>
          </w:p>
        </w:tc>
        <w:tc>
          <w:tcPr>
            <w:tcW w:w="2058" w:type="pct"/>
            <w:gridSpan w:val="3"/>
          </w:tcPr>
          <w:p w14:paraId="3E3BF004" w14:textId="77777777" w:rsidR="004B0D0F" w:rsidRPr="00230F35" w:rsidRDefault="004B0D0F" w:rsidP="00AC27CC">
            <w:pPr>
              <w:rPr>
                <w:rFonts w:ascii="Arial" w:hAnsi="Arial" w:cs="Arial"/>
                <w:sz w:val="22"/>
                <w:szCs w:val="22"/>
              </w:rPr>
            </w:pPr>
            <w:r w:rsidRPr="00230F35">
              <w:rPr>
                <w:rFonts w:ascii="Arial" w:hAnsi="Arial" w:cs="Arial"/>
                <w:sz w:val="22"/>
                <w:szCs w:val="22"/>
              </w:rPr>
              <w:t>Date:</w:t>
            </w:r>
          </w:p>
        </w:tc>
      </w:tr>
    </w:tbl>
    <w:p w14:paraId="1B74841C" w14:textId="77777777" w:rsidR="004B0D0F" w:rsidRPr="00D67BF8" w:rsidRDefault="004B0D0F" w:rsidP="004B0D0F">
      <w:pPr>
        <w:pStyle w:val="NormalWeb"/>
        <w:spacing w:before="0" w:beforeAutospacing="0" w:after="0" w:afterAutospacing="0"/>
        <w:ind w:right="-334"/>
        <w:rPr>
          <w:rFonts w:ascii="Trebuchet MS" w:hAnsi="Trebuchet MS" w:cs="Tahoma"/>
          <w:bCs/>
          <w:sz w:val="24"/>
          <w:szCs w:val="24"/>
        </w:rPr>
      </w:pPr>
    </w:p>
    <w:p w14:paraId="21A97ABC" w14:textId="77777777" w:rsidR="0022720F" w:rsidRDefault="0022720F" w:rsidP="004B0D0F">
      <w:pPr>
        <w:sectPr w:rsidR="0022720F" w:rsidSect="00CC3918">
          <w:headerReference w:type="default" r:id="rId8"/>
          <w:pgSz w:w="11906" w:h="16838"/>
          <w:pgMar w:top="454" w:right="720" w:bottom="720" w:left="720" w:header="0" w:footer="454" w:gutter="0"/>
          <w:cols w:space="708"/>
          <w:docGrid w:linePitch="360"/>
        </w:sectPr>
      </w:pPr>
    </w:p>
    <w:p w14:paraId="21E1FB76" w14:textId="77777777" w:rsidR="0022720F" w:rsidRDefault="0022720F" w:rsidP="0022720F">
      <w:pPr>
        <w:spacing w:line="360" w:lineRule="auto"/>
        <w:jc w:val="center"/>
        <w:rPr>
          <w:rFonts w:ascii="Arial" w:hAnsi="Arial" w:cs="Arial"/>
          <w:sz w:val="22"/>
          <w:szCs w:val="22"/>
        </w:rPr>
      </w:pPr>
    </w:p>
    <w:p w14:paraId="31D93BB0" w14:textId="77777777" w:rsidR="0022720F" w:rsidRDefault="0022720F" w:rsidP="0022720F">
      <w:pPr>
        <w:spacing w:line="360" w:lineRule="auto"/>
        <w:jc w:val="center"/>
        <w:rPr>
          <w:rFonts w:ascii="Arial" w:hAnsi="Arial" w:cs="Arial"/>
          <w:sz w:val="22"/>
          <w:szCs w:val="22"/>
        </w:rPr>
      </w:pPr>
    </w:p>
    <w:p w14:paraId="52104235" w14:textId="77777777" w:rsidR="0022720F" w:rsidRDefault="0022720F" w:rsidP="0022720F">
      <w:pPr>
        <w:spacing w:line="360" w:lineRule="auto"/>
        <w:jc w:val="center"/>
        <w:rPr>
          <w:rFonts w:ascii="Arial" w:hAnsi="Arial" w:cs="Arial"/>
          <w:sz w:val="22"/>
          <w:szCs w:val="22"/>
        </w:rPr>
      </w:pPr>
    </w:p>
    <w:p w14:paraId="37EFDC5A" w14:textId="77777777" w:rsidR="0022720F" w:rsidRDefault="0022720F" w:rsidP="0022720F">
      <w:pPr>
        <w:spacing w:line="360" w:lineRule="auto"/>
        <w:jc w:val="center"/>
        <w:rPr>
          <w:rFonts w:ascii="Arial" w:hAnsi="Arial" w:cs="Arial"/>
          <w:sz w:val="22"/>
          <w:szCs w:val="22"/>
        </w:rPr>
      </w:pPr>
    </w:p>
    <w:p w14:paraId="026705BD" w14:textId="77777777" w:rsidR="0022720F" w:rsidRDefault="0022720F" w:rsidP="0022720F">
      <w:pPr>
        <w:spacing w:line="360" w:lineRule="auto"/>
        <w:jc w:val="center"/>
        <w:rPr>
          <w:rFonts w:ascii="Arial" w:hAnsi="Arial" w:cs="Arial"/>
          <w:sz w:val="22"/>
          <w:szCs w:val="22"/>
        </w:rPr>
      </w:pPr>
    </w:p>
    <w:p w14:paraId="3A26C5C6" w14:textId="77777777" w:rsidR="0022720F" w:rsidRDefault="0022720F" w:rsidP="0022720F">
      <w:pPr>
        <w:spacing w:line="360" w:lineRule="auto"/>
        <w:jc w:val="center"/>
        <w:rPr>
          <w:rFonts w:ascii="Arial" w:hAnsi="Arial" w:cs="Arial"/>
          <w:sz w:val="22"/>
          <w:szCs w:val="22"/>
        </w:rPr>
      </w:pPr>
    </w:p>
    <w:p w14:paraId="095F5638" w14:textId="77777777" w:rsidR="0022720F" w:rsidRDefault="0022720F" w:rsidP="0022720F">
      <w:pPr>
        <w:spacing w:line="360" w:lineRule="auto"/>
        <w:jc w:val="center"/>
        <w:rPr>
          <w:rFonts w:ascii="Arial" w:hAnsi="Arial" w:cs="Arial"/>
          <w:sz w:val="22"/>
          <w:szCs w:val="22"/>
        </w:rPr>
      </w:pPr>
    </w:p>
    <w:p w14:paraId="7DCB919C" w14:textId="77777777" w:rsidR="0022720F" w:rsidRDefault="0022720F" w:rsidP="0022720F">
      <w:pPr>
        <w:spacing w:line="360" w:lineRule="auto"/>
        <w:jc w:val="center"/>
        <w:rPr>
          <w:rFonts w:ascii="Arial" w:hAnsi="Arial" w:cs="Arial"/>
          <w:sz w:val="22"/>
          <w:szCs w:val="22"/>
        </w:rPr>
      </w:pPr>
    </w:p>
    <w:p w14:paraId="1B256085" w14:textId="77777777" w:rsidR="0022720F" w:rsidRDefault="0022720F" w:rsidP="0022720F">
      <w:pPr>
        <w:spacing w:line="360" w:lineRule="auto"/>
        <w:jc w:val="center"/>
        <w:rPr>
          <w:rFonts w:ascii="Arial" w:hAnsi="Arial" w:cs="Arial"/>
          <w:sz w:val="22"/>
          <w:szCs w:val="22"/>
        </w:rPr>
      </w:pPr>
    </w:p>
    <w:p w14:paraId="5ADE43F8" w14:textId="77777777" w:rsidR="0022720F" w:rsidRDefault="0022720F" w:rsidP="0022720F">
      <w:pPr>
        <w:spacing w:line="360" w:lineRule="auto"/>
        <w:jc w:val="center"/>
        <w:rPr>
          <w:rFonts w:ascii="Arial" w:hAnsi="Arial" w:cs="Arial"/>
          <w:sz w:val="22"/>
          <w:szCs w:val="22"/>
        </w:rPr>
      </w:pPr>
    </w:p>
    <w:p w14:paraId="5A2B41EE" w14:textId="77777777" w:rsidR="0022720F" w:rsidRDefault="0022720F" w:rsidP="0022720F">
      <w:pPr>
        <w:spacing w:line="360" w:lineRule="auto"/>
        <w:jc w:val="center"/>
        <w:rPr>
          <w:rFonts w:ascii="Arial" w:hAnsi="Arial" w:cs="Arial"/>
          <w:sz w:val="22"/>
          <w:szCs w:val="22"/>
        </w:rPr>
      </w:pPr>
    </w:p>
    <w:p w14:paraId="692F398C" w14:textId="77777777" w:rsidR="0022720F" w:rsidRDefault="0022720F" w:rsidP="0022720F">
      <w:pPr>
        <w:spacing w:line="360" w:lineRule="auto"/>
        <w:jc w:val="center"/>
        <w:rPr>
          <w:rFonts w:ascii="Arial" w:hAnsi="Arial" w:cs="Arial"/>
          <w:sz w:val="22"/>
          <w:szCs w:val="22"/>
        </w:rPr>
      </w:pPr>
    </w:p>
    <w:p w14:paraId="7A53D8AE" w14:textId="77777777" w:rsidR="0022720F" w:rsidRDefault="0022720F" w:rsidP="0022720F">
      <w:pPr>
        <w:spacing w:line="360" w:lineRule="auto"/>
        <w:jc w:val="center"/>
        <w:rPr>
          <w:rFonts w:ascii="Arial" w:hAnsi="Arial" w:cs="Arial"/>
          <w:sz w:val="22"/>
          <w:szCs w:val="22"/>
        </w:rPr>
      </w:pPr>
    </w:p>
    <w:p w14:paraId="0FEC4059" w14:textId="5A1372BE" w:rsidR="0022720F" w:rsidRDefault="0022720F" w:rsidP="0022720F">
      <w:pPr>
        <w:spacing w:line="360" w:lineRule="auto"/>
        <w:jc w:val="center"/>
        <w:rPr>
          <w:rFonts w:ascii="Calibri" w:hAnsi="Calibri" w:cs="Calibri"/>
        </w:rPr>
      </w:pPr>
      <w:r w:rsidRPr="004B0D0F">
        <w:rPr>
          <w:rFonts w:ascii="Arial" w:hAnsi="Arial" w:cs="Arial"/>
          <w:sz w:val="22"/>
          <w:szCs w:val="22"/>
        </w:rPr>
        <w:t>A Critical Comparison of Two Secondary Sources</w:t>
      </w:r>
      <w:r w:rsidRPr="00ED6225">
        <w:rPr>
          <w:rFonts w:ascii="Calibri" w:hAnsi="Calibri" w:cs="Calibri"/>
        </w:rPr>
        <w:t xml:space="preserve"> </w:t>
      </w:r>
    </w:p>
    <w:p w14:paraId="1379B1E2" w14:textId="6FFFA9EA" w:rsidR="0022720F" w:rsidRPr="00ED6225" w:rsidRDefault="0022720F" w:rsidP="0022720F">
      <w:pPr>
        <w:spacing w:line="360" w:lineRule="auto"/>
        <w:jc w:val="center"/>
        <w:rPr>
          <w:rFonts w:ascii="Calibri" w:hAnsi="Calibri" w:cs="Calibri"/>
        </w:rPr>
      </w:pPr>
      <w:r w:rsidRPr="00ED6225">
        <w:rPr>
          <w:rFonts w:ascii="Calibri" w:hAnsi="Calibri" w:cs="Calibri"/>
        </w:rPr>
        <w:t>HPCA70</w:t>
      </w:r>
      <w:r>
        <w:rPr>
          <w:rFonts w:ascii="Calibri" w:hAnsi="Calibri" w:cs="Calibri"/>
        </w:rPr>
        <w:t>16</w:t>
      </w:r>
      <w:r w:rsidRPr="00ED6225">
        <w:rPr>
          <w:rFonts w:ascii="Calibri" w:hAnsi="Calibri" w:cs="Calibri"/>
        </w:rPr>
        <w:t xml:space="preserve"> – Essay 1</w:t>
      </w:r>
    </w:p>
    <w:p w14:paraId="3EA9D5D0" w14:textId="77777777" w:rsidR="0022720F" w:rsidRPr="00ED6225" w:rsidRDefault="0022720F" w:rsidP="0022720F">
      <w:pPr>
        <w:spacing w:line="360" w:lineRule="auto"/>
        <w:jc w:val="center"/>
        <w:rPr>
          <w:rFonts w:ascii="Calibri" w:hAnsi="Calibri" w:cs="Calibri"/>
          <w:bCs/>
        </w:rPr>
      </w:pPr>
      <w:r w:rsidRPr="00ED6225">
        <w:rPr>
          <w:rFonts w:ascii="Calibri" w:hAnsi="Calibri" w:cs="Calibri"/>
          <w:bCs/>
        </w:rPr>
        <w:t>Sophie Amos 2210733</w:t>
      </w:r>
    </w:p>
    <w:p w14:paraId="147C5492" w14:textId="2FEAFEFD" w:rsidR="0022720F" w:rsidRPr="00ED6225" w:rsidRDefault="0022720F" w:rsidP="0022720F">
      <w:pPr>
        <w:spacing w:line="360" w:lineRule="auto"/>
        <w:jc w:val="center"/>
        <w:rPr>
          <w:rFonts w:ascii="Calibri" w:hAnsi="Calibri" w:cs="Calibri"/>
          <w:bCs/>
        </w:rPr>
      </w:pPr>
      <w:r w:rsidRPr="00ED6225">
        <w:rPr>
          <w:rFonts w:ascii="Calibri" w:hAnsi="Calibri" w:cs="Calibri"/>
        </w:rPr>
        <w:t>Word Count:</w:t>
      </w:r>
      <w:r>
        <w:rPr>
          <w:rFonts w:ascii="Calibri" w:hAnsi="Calibri" w:cs="Calibri"/>
        </w:rPr>
        <w:t xml:space="preserve"> </w:t>
      </w:r>
      <w:r>
        <w:rPr>
          <w:rFonts w:ascii="Calibri" w:hAnsi="Calibri" w:cs="Calibri"/>
        </w:rPr>
        <w:t>2423</w:t>
      </w:r>
    </w:p>
    <w:p w14:paraId="7B3519C8" w14:textId="35416F9B" w:rsidR="00FA6765" w:rsidRDefault="00FA6765" w:rsidP="0022720F">
      <w:pPr>
        <w:jc w:val="center"/>
      </w:pPr>
    </w:p>
    <w:p w14:paraId="1E990D48" w14:textId="77777777" w:rsidR="0022720F" w:rsidRDefault="0022720F" w:rsidP="0022720F">
      <w:pPr>
        <w:jc w:val="center"/>
      </w:pPr>
    </w:p>
    <w:p w14:paraId="2B46E540" w14:textId="77777777" w:rsidR="0022720F" w:rsidRDefault="0022720F" w:rsidP="0022720F">
      <w:pPr>
        <w:jc w:val="center"/>
      </w:pPr>
    </w:p>
    <w:p w14:paraId="741419E3" w14:textId="77777777" w:rsidR="0022720F" w:rsidRDefault="0022720F" w:rsidP="0022720F">
      <w:pPr>
        <w:jc w:val="center"/>
      </w:pPr>
    </w:p>
    <w:p w14:paraId="147A649E" w14:textId="77777777" w:rsidR="0022720F" w:rsidRDefault="0022720F" w:rsidP="0022720F">
      <w:pPr>
        <w:jc w:val="center"/>
      </w:pPr>
    </w:p>
    <w:p w14:paraId="68DCAF31" w14:textId="77777777" w:rsidR="0022720F" w:rsidRDefault="0022720F" w:rsidP="0022720F">
      <w:pPr>
        <w:jc w:val="center"/>
      </w:pPr>
    </w:p>
    <w:p w14:paraId="48920733" w14:textId="77777777" w:rsidR="0022720F" w:rsidRDefault="0022720F" w:rsidP="0022720F">
      <w:pPr>
        <w:jc w:val="center"/>
      </w:pPr>
    </w:p>
    <w:p w14:paraId="017A5126" w14:textId="77777777" w:rsidR="0022720F" w:rsidRDefault="0022720F" w:rsidP="0022720F">
      <w:pPr>
        <w:jc w:val="center"/>
      </w:pPr>
    </w:p>
    <w:p w14:paraId="119AE5D5" w14:textId="77777777" w:rsidR="0022720F" w:rsidRDefault="0022720F" w:rsidP="0022720F">
      <w:pPr>
        <w:jc w:val="center"/>
      </w:pPr>
    </w:p>
    <w:p w14:paraId="242C6339" w14:textId="77777777" w:rsidR="0022720F" w:rsidRDefault="0022720F" w:rsidP="0022720F">
      <w:pPr>
        <w:jc w:val="center"/>
      </w:pPr>
    </w:p>
    <w:p w14:paraId="2315508F" w14:textId="77777777" w:rsidR="0022720F" w:rsidRDefault="0022720F" w:rsidP="0022720F">
      <w:pPr>
        <w:jc w:val="center"/>
      </w:pPr>
    </w:p>
    <w:p w14:paraId="7F62F232" w14:textId="77777777" w:rsidR="0022720F" w:rsidRDefault="0022720F" w:rsidP="0022720F">
      <w:pPr>
        <w:jc w:val="center"/>
      </w:pPr>
    </w:p>
    <w:p w14:paraId="1D275E0D" w14:textId="77777777" w:rsidR="0022720F" w:rsidRDefault="0022720F" w:rsidP="0022720F">
      <w:pPr>
        <w:jc w:val="center"/>
      </w:pPr>
    </w:p>
    <w:p w14:paraId="34565B4F" w14:textId="77777777" w:rsidR="0022720F" w:rsidRDefault="0022720F" w:rsidP="0022720F">
      <w:pPr>
        <w:jc w:val="center"/>
      </w:pPr>
    </w:p>
    <w:p w14:paraId="5B10847C" w14:textId="77777777" w:rsidR="0022720F" w:rsidRDefault="0022720F" w:rsidP="0022720F">
      <w:pPr>
        <w:jc w:val="center"/>
      </w:pPr>
    </w:p>
    <w:p w14:paraId="4F929688" w14:textId="77777777" w:rsidR="0022720F" w:rsidRDefault="0022720F" w:rsidP="0022720F">
      <w:pPr>
        <w:jc w:val="center"/>
      </w:pPr>
    </w:p>
    <w:p w14:paraId="00228A30" w14:textId="77777777" w:rsidR="0022720F" w:rsidRDefault="0022720F" w:rsidP="0022720F">
      <w:pPr>
        <w:jc w:val="center"/>
      </w:pPr>
    </w:p>
    <w:p w14:paraId="7322F4A2" w14:textId="77777777" w:rsidR="0022720F" w:rsidRDefault="0022720F" w:rsidP="0022720F">
      <w:pPr>
        <w:jc w:val="center"/>
      </w:pPr>
    </w:p>
    <w:p w14:paraId="3C46FD0C" w14:textId="77777777" w:rsidR="0022720F" w:rsidRDefault="0022720F" w:rsidP="0022720F">
      <w:pPr>
        <w:jc w:val="center"/>
      </w:pPr>
    </w:p>
    <w:p w14:paraId="19E41C79" w14:textId="77777777" w:rsidR="0022720F" w:rsidRDefault="0022720F" w:rsidP="0022720F">
      <w:pPr>
        <w:jc w:val="center"/>
      </w:pPr>
    </w:p>
    <w:p w14:paraId="29AC3163" w14:textId="77777777" w:rsidR="0022720F" w:rsidRDefault="0022720F" w:rsidP="0022720F">
      <w:pPr>
        <w:jc w:val="center"/>
      </w:pPr>
    </w:p>
    <w:p w14:paraId="739D0A28" w14:textId="77777777" w:rsidR="0022720F" w:rsidRDefault="0022720F" w:rsidP="0022720F">
      <w:pPr>
        <w:jc w:val="center"/>
      </w:pPr>
    </w:p>
    <w:p w14:paraId="6EEB040B" w14:textId="77777777" w:rsidR="0022720F" w:rsidRDefault="0022720F" w:rsidP="0022720F">
      <w:pPr>
        <w:jc w:val="center"/>
      </w:pPr>
    </w:p>
    <w:p w14:paraId="30BB85E5" w14:textId="77777777" w:rsidR="0022720F" w:rsidRDefault="0022720F" w:rsidP="0022720F">
      <w:pPr>
        <w:jc w:val="center"/>
      </w:pPr>
    </w:p>
    <w:p w14:paraId="67085E3A" w14:textId="77777777" w:rsidR="0022720F" w:rsidRDefault="0022720F" w:rsidP="0022720F">
      <w:pPr>
        <w:jc w:val="center"/>
      </w:pPr>
    </w:p>
    <w:p w14:paraId="0F679055" w14:textId="77777777" w:rsidR="0022720F" w:rsidRDefault="0022720F" w:rsidP="0022720F">
      <w:pPr>
        <w:jc w:val="center"/>
        <w:sectPr w:rsidR="0022720F" w:rsidSect="00CC3918">
          <w:pgSz w:w="11906" w:h="16838"/>
          <w:pgMar w:top="1440" w:right="1440" w:bottom="1440" w:left="1440" w:header="0" w:footer="454" w:gutter="0"/>
          <w:cols w:space="708"/>
          <w:docGrid w:linePitch="360"/>
        </w:sectPr>
      </w:pPr>
    </w:p>
    <w:p w14:paraId="75DD5D68" w14:textId="77777777" w:rsidR="0022720F" w:rsidRPr="00912238" w:rsidRDefault="0022720F" w:rsidP="0022720F">
      <w:pPr>
        <w:spacing w:line="360" w:lineRule="auto"/>
        <w:rPr>
          <w:rFonts w:ascii="Calibri" w:hAnsi="Calibri" w:cs="Calibri"/>
        </w:rPr>
      </w:pPr>
      <w:r w:rsidRPr="00912238">
        <w:rPr>
          <w:rFonts w:ascii="Calibri" w:hAnsi="Calibri" w:cs="Calibri"/>
        </w:rPr>
        <w:lastRenderedPageBreak/>
        <w:t>This essay critically compares and contrasts Terry L Brink’s 1978 journal article ‘Inconsistency of Belief among Roman Catholic Girls: Concerning Religion, Astrology, Reincarnation’</w:t>
      </w:r>
      <w:r w:rsidRPr="00912238">
        <w:rPr>
          <w:rStyle w:val="FootnoteReference"/>
          <w:rFonts w:ascii="Calibri" w:hAnsi="Calibri" w:cs="Calibri"/>
        </w:rPr>
        <w:footnoteReference w:id="1"/>
      </w:r>
      <w:r w:rsidRPr="00912238">
        <w:rPr>
          <w:rFonts w:ascii="Calibri" w:hAnsi="Calibri" w:cs="Calibri"/>
        </w:rPr>
        <w:t xml:space="preserve"> and ‘“If I Knew </w:t>
      </w:r>
      <w:proofErr w:type="gramStart"/>
      <w:r w:rsidRPr="00912238">
        <w:rPr>
          <w:rFonts w:ascii="Calibri" w:hAnsi="Calibri" w:cs="Calibri"/>
        </w:rPr>
        <w:t>You</w:t>
      </w:r>
      <w:proofErr w:type="gramEnd"/>
      <w:r w:rsidRPr="00912238">
        <w:rPr>
          <w:rFonts w:ascii="Calibri" w:hAnsi="Calibri" w:cs="Calibri"/>
        </w:rPr>
        <w:t xml:space="preserve"> were Coming I'd Have Baked a Cake”: The Folklore of Foreknowledge in a </w:t>
      </w:r>
      <w:proofErr w:type="spellStart"/>
      <w:r w:rsidRPr="00912238">
        <w:rPr>
          <w:rFonts w:ascii="Calibri" w:hAnsi="Calibri" w:cs="Calibri"/>
        </w:rPr>
        <w:t>Neighborhood</w:t>
      </w:r>
      <w:proofErr w:type="spellEnd"/>
      <w:r w:rsidRPr="00912238">
        <w:rPr>
          <w:rFonts w:ascii="Calibri" w:hAnsi="Calibri" w:cs="Calibri"/>
        </w:rPr>
        <w:t xml:space="preserve"> Group’</w:t>
      </w:r>
      <w:r w:rsidRPr="00912238">
        <w:rPr>
          <w:rStyle w:val="FootnoteReference"/>
          <w:rFonts w:ascii="Calibri" w:hAnsi="Calibri" w:cs="Calibri"/>
        </w:rPr>
        <w:footnoteReference w:id="2"/>
      </w:r>
      <w:r w:rsidRPr="00912238">
        <w:rPr>
          <w:rFonts w:ascii="Calibri" w:hAnsi="Calibri" w:cs="Calibri"/>
        </w:rPr>
        <w:t xml:space="preserve">, by Gillian Bennett. </w:t>
      </w:r>
      <w:r>
        <w:rPr>
          <w:rFonts w:ascii="Calibri" w:hAnsi="Calibri" w:cs="Calibri"/>
        </w:rPr>
        <w:t xml:space="preserve"> </w:t>
      </w:r>
      <w:r w:rsidRPr="00912238">
        <w:rPr>
          <w:rFonts w:ascii="Calibri" w:hAnsi="Calibri" w:cs="Calibri"/>
        </w:rPr>
        <w:t>The research for Brink’s paper was started in 1976,</w:t>
      </w:r>
      <w:r>
        <w:rPr>
          <w:rFonts w:ascii="Calibri" w:hAnsi="Calibri" w:cs="Calibri"/>
        </w:rPr>
        <w:t xml:space="preserve"> with 227 participants</w:t>
      </w:r>
      <w:r w:rsidRPr="00912238">
        <w:rPr>
          <w:rFonts w:ascii="Calibri" w:hAnsi="Calibri" w:cs="Calibri"/>
        </w:rPr>
        <w:t xml:space="preserve"> and the results were published in The Review of Religious Research in 1978. The paper, which initiates the inquiry by positing the logical incompatibility between certain tenets of Roman Catholicism and beliefs in astrology and reincarnation, w</w:t>
      </w:r>
      <w:r>
        <w:rPr>
          <w:rFonts w:ascii="Calibri" w:hAnsi="Calibri" w:cs="Calibri"/>
        </w:rPr>
        <w:t>as</w:t>
      </w:r>
      <w:r w:rsidRPr="00912238">
        <w:rPr>
          <w:rFonts w:ascii="Calibri" w:hAnsi="Calibri" w:cs="Calibri"/>
        </w:rPr>
        <w:t xml:space="preserve"> written by author and social scientist Terry L. Brink. In this paper, Brink postulates that the </w:t>
      </w:r>
      <w:proofErr w:type="spellStart"/>
      <w:r w:rsidRPr="00912238">
        <w:rPr>
          <w:rFonts w:ascii="Calibri" w:hAnsi="Calibri" w:cs="Calibri"/>
        </w:rPr>
        <w:t>predeterministic</w:t>
      </w:r>
      <w:proofErr w:type="spellEnd"/>
      <w:r w:rsidRPr="00912238">
        <w:rPr>
          <w:rFonts w:ascii="Calibri" w:hAnsi="Calibri" w:cs="Calibri"/>
        </w:rPr>
        <w:t xml:space="preserve"> perspective of reincarnation and the fatalistic perspective found in astrology are opposite to Catholic doctrine's central conviction about the presence of an all-powerful God. A hypothesis that stands as the foundation of the investigation. From the writing and content of the paper, it can be assumed that the audience for this study was directed to scholars and experts to reevaluate their understanding of religious beliefs in society and to take a more nuanced approach.</w:t>
      </w:r>
      <w:r>
        <w:rPr>
          <w:rFonts w:ascii="Calibri" w:hAnsi="Calibri" w:cs="Calibri"/>
        </w:rPr>
        <w:t xml:space="preserve"> </w:t>
      </w:r>
      <w:r w:rsidRPr="00912238">
        <w:rPr>
          <w:rFonts w:ascii="Calibri" w:hAnsi="Calibri" w:cs="Calibri"/>
        </w:rPr>
        <w:t xml:space="preserve">‘If I Knew You were </w:t>
      </w:r>
      <w:proofErr w:type="gramStart"/>
      <w:r w:rsidRPr="00912238">
        <w:rPr>
          <w:rFonts w:ascii="Calibri" w:hAnsi="Calibri" w:cs="Calibri"/>
        </w:rPr>
        <w:t>Coming</w:t>
      </w:r>
      <w:proofErr w:type="gramEnd"/>
      <w:r w:rsidRPr="00912238">
        <w:rPr>
          <w:rFonts w:ascii="Calibri" w:hAnsi="Calibri" w:cs="Calibri"/>
        </w:rPr>
        <w:t xml:space="preserve"> I'd Have Baked a Cake […]’ is a paper which was published in "Out of the Ordinary: Folklore and the Supernatural," in 1995 and was written by Gillian Bennett, a scholar who specialised in contemporary legends and supernatural beliefs</w:t>
      </w:r>
      <w:r w:rsidRPr="00912238">
        <w:rPr>
          <w:rStyle w:val="FootnoteReference"/>
          <w:rFonts w:ascii="Calibri" w:hAnsi="Calibri" w:cs="Calibri"/>
        </w:rPr>
        <w:footnoteReference w:id="3"/>
      </w:r>
      <w:r w:rsidRPr="00912238">
        <w:rPr>
          <w:rFonts w:ascii="Calibri" w:hAnsi="Calibri" w:cs="Calibri"/>
        </w:rPr>
        <w:t xml:space="preserve">. In this paper, Bennett delves into the narratives surrounding foreknowledge as recounted by a group of </w:t>
      </w:r>
      <w:r>
        <w:rPr>
          <w:rFonts w:ascii="Calibri" w:hAnsi="Calibri" w:cs="Calibri"/>
        </w:rPr>
        <w:t xml:space="preserve">120 </w:t>
      </w:r>
      <w:r w:rsidRPr="00912238">
        <w:rPr>
          <w:rFonts w:ascii="Calibri" w:hAnsi="Calibri" w:cs="Calibri"/>
        </w:rPr>
        <w:t>elderly women in her hometown. Through the examination of folklore and supernatural phenomena, community dynamics and social conventions are uncovered to challenge customary ideas. Bennett's study is arranged inside the broader setting of legends considers, human studies, humanism, and social studies. By the nature of the paper, the presumed audience is relevant to researchers, analysts, and specialists interested in the elements of social transmission, who may discover valuable insights for cultivating social strength and understanding inside differing communities.</w:t>
      </w:r>
    </w:p>
    <w:p w14:paraId="58EE1CE7" w14:textId="77777777" w:rsidR="0022720F" w:rsidRDefault="0022720F" w:rsidP="0022720F">
      <w:pPr>
        <w:spacing w:line="360" w:lineRule="auto"/>
        <w:rPr>
          <w:rFonts w:ascii="Calibri" w:hAnsi="Calibri" w:cs="Calibri"/>
        </w:rPr>
        <w:sectPr w:rsidR="0022720F" w:rsidSect="00CC3918">
          <w:headerReference w:type="default" r:id="rId9"/>
          <w:pgSz w:w="11906" w:h="16838"/>
          <w:pgMar w:top="1440" w:right="1440" w:bottom="1440" w:left="1440" w:header="0" w:footer="454" w:gutter="0"/>
          <w:cols w:space="708"/>
          <w:docGrid w:linePitch="360"/>
        </w:sectPr>
      </w:pPr>
      <w:r w:rsidRPr="00B140D8">
        <w:rPr>
          <w:rFonts w:ascii="Calibri" w:hAnsi="Calibri" w:cs="Calibri"/>
        </w:rPr>
        <w:t xml:space="preserve">In both studies, distinct methodological approaches are utilised to investigate different aspects of cultural and religious phenomena, and both employ the approach of quantitative </w:t>
      </w:r>
    </w:p>
    <w:p w14:paraId="3D275EF5" w14:textId="77777777" w:rsidR="0022720F" w:rsidRDefault="0022720F" w:rsidP="0022720F">
      <w:pPr>
        <w:spacing w:line="360" w:lineRule="auto"/>
        <w:rPr>
          <w:rFonts w:ascii="Calibri" w:hAnsi="Calibri" w:cs="Calibri"/>
        </w:rPr>
        <w:sectPr w:rsidR="0022720F" w:rsidSect="00CC3918">
          <w:headerReference w:type="default" r:id="rId10"/>
          <w:pgSz w:w="11906" w:h="16838"/>
          <w:pgMar w:top="1440" w:right="1440" w:bottom="1440" w:left="1440" w:header="0" w:footer="454" w:gutter="0"/>
          <w:cols w:space="708"/>
          <w:docGrid w:linePitch="360"/>
        </w:sectPr>
      </w:pPr>
      <w:r w:rsidRPr="00B140D8">
        <w:rPr>
          <w:rFonts w:ascii="Calibri" w:hAnsi="Calibri" w:cs="Calibri"/>
        </w:rPr>
        <w:lastRenderedPageBreak/>
        <w:t>methods. In Brink’s research a quantitative approach is employed to explore religious beliefs among participants enrolled in a mandatory religious class, utilising a yes/no questionnaire to substantiate a hypothesis regarding religious beliefs. Critics claim that the use of quantitative methodology is limited, especially in social sciences as the method only provides a snapshot of a phenomenon</w:t>
      </w:r>
      <w:r w:rsidRPr="00B140D8">
        <w:rPr>
          <w:rStyle w:val="FootnoteReference"/>
          <w:rFonts w:ascii="Calibri" w:hAnsi="Calibri" w:cs="Calibri"/>
        </w:rPr>
        <w:footnoteReference w:id="4"/>
      </w:r>
      <w:r w:rsidRPr="00B140D8">
        <w:rPr>
          <w:rFonts w:ascii="Calibri" w:hAnsi="Calibri" w:cs="Calibri"/>
        </w:rPr>
        <w:t>. This can be seen in the study of work from Brink while quantitative research offers valuable insights through its systematic and rigorous approach, it is debatably lacking in the conclusively of evidence due to the principles of positivism that quantitative research adheres to. It is defined by academics that the use of positivism provides an objective analysis of observable phenomena through the methodical measurement and experimentation with the subject’s feelings and emotions being detached from the study</w:t>
      </w:r>
      <w:r w:rsidRPr="00B140D8">
        <w:rPr>
          <w:rStyle w:val="FootnoteReference"/>
          <w:rFonts w:ascii="Calibri" w:hAnsi="Calibri" w:cs="Calibri"/>
        </w:rPr>
        <w:footnoteReference w:id="5"/>
      </w:r>
      <w:r w:rsidRPr="00B140D8">
        <w:rPr>
          <w:rFonts w:ascii="Calibri" w:hAnsi="Calibri" w:cs="Calibri"/>
        </w:rPr>
        <w:t>, which in turn can been seen as problematic within the social sciences and in the validity of Brink’s study. In contrast, Gillian Bennett's study on foreknowledge folklore employs a mixed-methods approach, combining qualitative and quantitative methodologies through interviews, conversations, participant observation and demographic study. It can be suggested that through the engagement of triangulation research methodologies a comprehensive exploration of the original hypothesis has been conducted. Academics support this theory by explaining that the use of triangulation in study is a validity measure where the convergence of multiple and different sources of information form to support the findings of the same phenomenon</w:t>
      </w:r>
      <w:r w:rsidRPr="00B140D8">
        <w:rPr>
          <w:rStyle w:val="FootnoteReference"/>
          <w:rFonts w:ascii="Calibri" w:hAnsi="Calibri" w:cs="Calibri"/>
        </w:rPr>
        <w:footnoteReference w:id="6"/>
      </w:r>
      <w:r w:rsidRPr="00B140D8">
        <w:rPr>
          <w:rFonts w:ascii="Calibri" w:hAnsi="Calibri" w:cs="Calibri"/>
        </w:rPr>
        <w:t xml:space="preserve">. </w:t>
      </w:r>
      <w:r>
        <w:rPr>
          <w:rFonts w:ascii="Calibri" w:hAnsi="Calibri" w:cs="Calibri"/>
        </w:rPr>
        <w:t xml:space="preserve">In the paper </w:t>
      </w:r>
      <w:r w:rsidRPr="00B140D8">
        <w:rPr>
          <w:rFonts w:ascii="Calibri" w:hAnsi="Calibri" w:cs="Calibri"/>
        </w:rPr>
        <w:t xml:space="preserve">Bennett </w:t>
      </w:r>
      <w:r>
        <w:rPr>
          <w:rFonts w:ascii="Calibri" w:hAnsi="Calibri" w:cs="Calibri"/>
        </w:rPr>
        <w:t>uses</w:t>
      </w:r>
      <w:r w:rsidRPr="00B140D8">
        <w:rPr>
          <w:rFonts w:ascii="Calibri" w:hAnsi="Calibri" w:cs="Calibri"/>
        </w:rPr>
        <w:t xml:space="preserve"> the socio-demographics factors of the subjects have been included to support the qualitative research conducted and emphasise the methodological rigor. Although there are seemingly clear advantages to the methodology used in Bennetts study, there are also clear disadvantages. Studies have shown that there is an argument that the use of two or more methodologies in social science studies can provide poor results. Methodical triangulation with human studies can provide false conclusions which will affect the data</w:t>
      </w:r>
      <w:r w:rsidRPr="00B140D8">
        <w:rPr>
          <w:rStyle w:val="FootnoteReference"/>
          <w:rFonts w:ascii="Calibri" w:hAnsi="Calibri" w:cs="Calibri"/>
        </w:rPr>
        <w:footnoteReference w:id="7"/>
      </w:r>
      <w:r w:rsidRPr="00B140D8">
        <w:rPr>
          <w:rFonts w:ascii="Calibri" w:hAnsi="Calibri" w:cs="Calibri"/>
        </w:rPr>
        <w:t>. In Brink’s methodological approach,</w:t>
      </w:r>
    </w:p>
    <w:p w14:paraId="110F34C1" w14:textId="2C3CE572" w:rsidR="0022720F" w:rsidRDefault="0022720F" w:rsidP="0022720F">
      <w:pPr>
        <w:spacing w:line="360" w:lineRule="auto"/>
        <w:rPr>
          <w:rFonts w:ascii="Calibri" w:hAnsi="Calibri" w:cs="Calibri"/>
        </w:rPr>
      </w:pPr>
      <w:r w:rsidRPr="00B140D8">
        <w:rPr>
          <w:rFonts w:ascii="Calibri" w:hAnsi="Calibri" w:cs="Calibri"/>
        </w:rPr>
        <w:lastRenderedPageBreak/>
        <w:t>through anonymous closed questionnaires, there is no scope for interviewer bias or subjects to give a socially desirable answer, by employing qualitative research methodologies it can be argued that Bennett has threatened the study for gaining honest answers. While both studies have used quantitative methodologies the different approaches offer equal disadvantages.</w:t>
      </w:r>
      <w:r>
        <w:rPr>
          <w:rFonts w:ascii="Calibri" w:hAnsi="Calibri" w:cs="Calibri"/>
        </w:rPr>
        <w:t xml:space="preserve"> </w:t>
      </w:r>
    </w:p>
    <w:p w14:paraId="036CCDAB" w14:textId="77777777" w:rsidR="0022720F" w:rsidRDefault="0022720F" w:rsidP="0022720F">
      <w:pPr>
        <w:spacing w:line="360" w:lineRule="auto"/>
        <w:rPr>
          <w:rFonts w:ascii="Calibri" w:hAnsi="Calibri" w:cs="Calibri"/>
        </w:rPr>
        <w:sectPr w:rsidR="0022720F" w:rsidSect="00CC3918">
          <w:headerReference w:type="default" r:id="rId11"/>
          <w:pgSz w:w="11906" w:h="16838"/>
          <w:pgMar w:top="1440" w:right="1440" w:bottom="1440" w:left="1440" w:header="0" w:footer="454" w:gutter="0"/>
          <w:cols w:space="708"/>
          <w:docGrid w:linePitch="360"/>
        </w:sectPr>
      </w:pPr>
      <w:r w:rsidRPr="00D01520">
        <w:rPr>
          <w:rFonts w:ascii="Calibri" w:hAnsi="Calibri" w:cs="Calibri"/>
        </w:rPr>
        <w:t>In the realm of academic research, ethical considerations play a fundamental role in ensuring the integrity and validity of studies involving human subjects. As both studies were conducted after 1974, the analysis of the papers has been conducted in line with the National Research Act (1974) and The Belmont Report</w:t>
      </w:r>
      <w:r w:rsidRPr="00D01520">
        <w:rPr>
          <w:rStyle w:val="FootnoteReference"/>
          <w:rFonts w:ascii="Calibri" w:hAnsi="Calibri" w:cs="Calibri"/>
        </w:rPr>
        <w:footnoteReference w:id="8"/>
      </w:r>
      <w:r w:rsidRPr="00D01520">
        <w:rPr>
          <w:rFonts w:ascii="Calibri" w:hAnsi="Calibri" w:cs="Calibri"/>
        </w:rPr>
        <w:t xml:space="preserve">, which provide guidelines for research involving human subjects such as basic ethical principles and applications of those principles. In both studies there are clear uses of the guidelines in positive and negative aspects. In Brink’s study an ethical concern arises regarding informed consent, the subjects participated in a mandatory session, </w:t>
      </w:r>
      <w:r>
        <w:rPr>
          <w:rFonts w:ascii="Calibri" w:hAnsi="Calibri" w:cs="Calibri"/>
        </w:rPr>
        <w:t xml:space="preserve">making it </w:t>
      </w:r>
      <w:r w:rsidRPr="00D01520">
        <w:rPr>
          <w:rFonts w:ascii="Calibri" w:hAnsi="Calibri" w:cs="Calibri"/>
        </w:rPr>
        <w:t>unclear whether they were given the option to refuse participation. According to Spiker</w:t>
      </w:r>
      <w:r w:rsidRPr="00D01520">
        <w:rPr>
          <w:rStyle w:val="FootnoteReference"/>
          <w:rFonts w:ascii="Calibri" w:hAnsi="Calibri" w:cs="Calibri"/>
        </w:rPr>
        <w:footnoteReference w:id="9"/>
      </w:r>
      <w:r w:rsidRPr="00D01520">
        <w:rPr>
          <w:rFonts w:ascii="Calibri" w:hAnsi="Calibri" w:cs="Calibri"/>
        </w:rPr>
        <w:t xml:space="preserve"> there are two main objections to gaining consent: practical, where the consent cannot be gained due to feasibility such as observing people at a football match. The second objection being methodological, also known as the Hawthorne effect where subjects respond differently when they know they are being observed.  From the paper it can be assumed that none of the above objections would have been applicable to not gaining consent therefore the autonomy of the participants may be compromised, raising ethical questions about coercion and voluntariness in research participation. Comparatively in the study conducted by Bennett, she clearly states that permission was gained and informed consent was obtained: ‘[w]</w:t>
      </w:r>
      <w:proofErr w:type="spellStart"/>
      <w:r w:rsidRPr="00D01520">
        <w:rPr>
          <w:rFonts w:ascii="Calibri" w:hAnsi="Calibri" w:cs="Calibri"/>
        </w:rPr>
        <w:t>ith</w:t>
      </w:r>
      <w:proofErr w:type="spellEnd"/>
      <w:r w:rsidRPr="00D01520">
        <w:rPr>
          <w:rFonts w:ascii="Calibri" w:hAnsi="Calibri" w:cs="Calibri"/>
        </w:rPr>
        <w:t xml:space="preserve"> their permission, I simply sat in on their treatment, told them what I was researching and how I was planning to use the material, and recorded everything that was said</w:t>
      </w:r>
      <w:r w:rsidRPr="00D01520">
        <w:rPr>
          <w:rStyle w:val="FootnoteReference"/>
          <w:rFonts w:ascii="Calibri" w:hAnsi="Calibri" w:cs="Calibri"/>
        </w:rPr>
        <w:footnoteReference w:id="10"/>
      </w:r>
      <w:r w:rsidRPr="00D01520">
        <w:rPr>
          <w:rFonts w:ascii="Calibri" w:hAnsi="Calibri" w:cs="Calibri"/>
        </w:rPr>
        <w:t>’.  From this it can be concluded that the research was conducted with a commitment to ethical research practices</w:t>
      </w:r>
      <w:r>
        <w:rPr>
          <w:rFonts w:ascii="Calibri" w:hAnsi="Calibri" w:cs="Calibri"/>
        </w:rPr>
        <w:t xml:space="preserve"> h</w:t>
      </w:r>
      <w:r w:rsidRPr="00D01520">
        <w:rPr>
          <w:rFonts w:ascii="Calibri" w:hAnsi="Calibri" w:cs="Calibri"/>
        </w:rPr>
        <w:t xml:space="preserve">owever </w:t>
      </w:r>
    </w:p>
    <w:p w14:paraId="502D086F" w14:textId="001AC4CF" w:rsidR="0022720F" w:rsidRDefault="0022720F" w:rsidP="0022720F">
      <w:pPr>
        <w:spacing w:line="360" w:lineRule="auto"/>
        <w:rPr>
          <w:rFonts w:ascii="Calibri" w:hAnsi="Calibri" w:cs="Calibri"/>
        </w:rPr>
      </w:pPr>
      <w:r w:rsidRPr="00D01520">
        <w:rPr>
          <w:rFonts w:ascii="Calibri" w:hAnsi="Calibri" w:cs="Calibri"/>
        </w:rPr>
        <w:lastRenderedPageBreak/>
        <w:t>from the paper a suspicion arises into how transparent the researcher was being with the participants. In the paper Bennett states:</w:t>
      </w:r>
    </w:p>
    <w:p w14:paraId="3232B00D" w14:textId="77777777" w:rsidR="0022720F" w:rsidRPr="00D01520" w:rsidRDefault="0022720F" w:rsidP="0022720F">
      <w:pPr>
        <w:ind w:left="720"/>
        <w:rPr>
          <w:rFonts w:ascii="Calibri" w:hAnsi="Calibri" w:cs="Calibri"/>
        </w:rPr>
      </w:pPr>
      <w:r w:rsidRPr="00D01520">
        <w:rPr>
          <w:rFonts w:ascii="Calibri" w:hAnsi="Calibri" w:cs="Calibri"/>
        </w:rPr>
        <w:t>[m]y father was able to give me at least a minimum of demographic information about the majority of these women-their approximate age, their marital status, and their domestic circumstances</w:t>
      </w:r>
      <w:r w:rsidRPr="00D01520">
        <w:rPr>
          <w:rStyle w:val="FootnoteReference"/>
          <w:rFonts w:ascii="Calibri" w:hAnsi="Calibri" w:cs="Calibri"/>
        </w:rPr>
        <w:footnoteReference w:id="11"/>
      </w:r>
      <w:r w:rsidRPr="00D01520">
        <w:rPr>
          <w:rFonts w:ascii="Calibri" w:hAnsi="Calibri" w:cs="Calibri"/>
        </w:rPr>
        <w:t xml:space="preserve">. </w:t>
      </w:r>
    </w:p>
    <w:p w14:paraId="3362184E" w14:textId="77777777" w:rsidR="0022720F" w:rsidRDefault="0022720F" w:rsidP="0022720F">
      <w:pPr>
        <w:spacing w:line="360" w:lineRule="auto"/>
        <w:rPr>
          <w:rFonts w:ascii="Calibri" w:hAnsi="Calibri" w:cs="Calibri"/>
        </w:rPr>
        <w:sectPr w:rsidR="0022720F" w:rsidSect="00CC3918">
          <w:headerReference w:type="default" r:id="rId12"/>
          <w:pgSz w:w="11906" w:h="16838"/>
          <w:pgMar w:top="1440" w:right="1440" w:bottom="1440" w:left="1440" w:header="0" w:footer="454" w:gutter="0"/>
          <w:cols w:space="708"/>
          <w:docGrid w:linePitch="360"/>
        </w:sectPr>
      </w:pPr>
      <w:r w:rsidRPr="00D01520">
        <w:rPr>
          <w:rFonts w:ascii="Calibri" w:hAnsi="Calibri" w:cs="Calibri"/>
        </w:rPr>
        <w:t>From this statement it can be suggested that the information obtained from a family member of the researcher in a trusted position, is a potential breach of confidentiality to the subject. This is generating further concern in the validity of the findings as later in the research Bennett uses first names and direct quotes which could be seen as a risk to confidentiality. However, to define anonymity is a difficult as it has been stated that ‘a</w:t>
      </w:r>
      <w:r w:rsidRPr="00D01520">
        <w:rPr>
          <w:rFonts w:ascii="Calibri" w:hAnsi="Calibri" w:cs="Calibri"/>
          <w:shd w:val="clear" w:color="auto" w:fill="FFFFFF"/>
        </w:rPr>
        <w:t>nonymity is a continuum (from fully anonymous to very nearly identifiable)</w:t>
      </w:r>
      <w:r w:rsidRPr="00D01520">
        <w:rPr>
          <w:rStyle w:val="FootnoteReference"/>
          <w:rFonts w:ascii="Calibri" w:hAnsi="Calibri" w:cs="Calibri"/>
          <w:shd w:val="clear" w:color="auto" w:fill="FFFFFF"/>
        </w:rPr>
        <w:footnoteReference w:id="12"/>
      </w:r>
      <w:r w:rsidRPr="00D01520">
        <w:rPr>
          <w:rFonts w:ascii="Calibri" w:hAnsi="Calibri" w:cs="Calibri"/>
          <w:shd w:val="clear" w:color="auto" w:fill="FFFFFF"/>
        </w:rPr>
        <w:t xml:space="preserve">’ therefore from this it can be concluded that Bennetts study could still be considered </w:t>
      </w:r>
      <w:r>
        <w:rPr>
          <w:rFonts w:ascii="Calibri" w:hAnsi="Calibri" w:cs="Calibri"/>
          <w:shd w:val="clear" w:color="auto" w:fill="FFFFFF"/>
        </w:rPr>
        <w:t>as anonymous</w:t>
      </w:r>
      <w:r w:rsidRPr="00D01520">
        <w:rPr>
          <w:rFonts w:ascii="Calibri" w:hAnsi="Calibri" w:cs="Calibri"/>
          <w:shd w:val="clear" w:color="auto" w:fill="FFFFFF"/>
        </w:rPr>
        <w:t xml:space="preserve">. </w:t>
      </w:r>
      <w:r w:rsidRPr="00D01520">
        <w:rPr>
          <w:rFonts w:ascii="Calibri" w:hAnsi="Calibri" w:cs="Calibri"/>
        </w:rPr>
        <w:t xml:space="preserve">In Brinks paper the study ensures the anonymity of its participants by not using names or distinguishing factors, which is a crucial ethical consideration in research involving sensitive topics. However, the extent to which confidentiality was maintained is not specified. </w:t>
      </w:r>
      <w:r w:rsidRPr="00E47A84">
        <w:rPr>
          <w:rFonts w:ascii="Calibri" w:hAnsi="Calibri" w:cs="Calibri"/>
        </w:rPr>
        <w:t>Without assurance of confidentiality, participants may hesitate to disclose personal beliefs, potentially compromising the integrity of the data and the ethical standards of the study.</w:t>
      </w:r>
      <w:r w:rsidRPr="00D01520">
        <w:rPr>
          <w:rFonts w:ascii="Calibri" w:hAnsi="Calibri" w:cs="Calibri"/>
        </w:rPr>
        <w:t xml:space="preserve"> Furthermore, both studies grapple with the ethical implications of researcher bias and subjectivity. In the study conducted by Brink he has approached the subject from an outsider perspective which allows for objective observation and keep the researcher free from commitment to the group</w:t>
      </w:r>
      <w:r w:rsidRPr="00D01520">
        <w:rPr>
          <w:rStyle w:val="FootnoteReference"/>
          <w:rFonts w:ascii="Calibri" w:hAnsi="Calibri" w:cs="Calibri"/>
        </w:rPr>
        <w:footnoteReference w:id="13"/>
      </w:r>
      <w:r w:rsidRPr="00D01520">
        <w:rPr>
          <w:rFonts w:ascii="Calibri" w:hAnsi="Calibri" w:cs="Calibri"/>
        </w:rPr>
        <w:t>. Conversely Bennett has approached the research as an insider conducting in line with her own beliefs, which allows the researcher to obtain trust quicker and to be seen as part of research experience</w:t>
      </w:r>
      <w:r w:rsidRPr="00D01520">
        <w:rPr>
          <w:rStyle w:val="FootnoteReference"/>
          <w:rFonts w:ascii="Calibri" w:hAnsi="Calibri" w:cs="Calibri"/>
        </w:rPr>
        <w:footnoteReference w:id="14"/>
      </w:r>
      <w:r w:rsidRPr="00D01520">
        <w:rPr>
          <w:rFonts w:ascii="Calibri" w:hAnsi="Calibri" w:cs="Calibri"/>
        </w:rPr>
        <w:t xml:space="preserve"> rather than being the observer, which could be more comforting to the participants. Although both papers come from different inside/outside perspective they both share a concern of bias towards the results.</w:t>
      </w:r>
    </w:p>
    <w:p w14:paraId="18DEB0D6" w14:textId="6196CCD4" w:rsidR="0022720F" w:rsidRDefault="0022720F" w:rsidP="0022720F">
      <w:pPr>
        <w:spacing w:line="360" w:lineRule="auto"/>
        <w:rPr>
          <w:rFonts w:ascii="Calibri" w:hAnsi="Calibri" w:cs="Calibri"/>
        </w:rPr>
      </w:pPr>
      <w:r w:rsidRPr="00D01520">
        <w:rPr>
          <w:rFonts w:ascii="Calibri" w:hAnsi="Calibri" w:cs="Calibri"/>
        </w:rPr>
        <w:lastRenderedPageBreak/>
        <w:t>While they share similarities in addressing issues such as informed consent, anonymity, and researcher bias, they differ in their approach to cultural sensitivity and respect for participants' beliefs and practices. Sieber</w:t>
      </w:r>
      <w:r w:rsidRPr="00D01520">
        <w:rPr>
          <w:rStyle w:val="FootnoteReference"/>
          <w:rFonts w:ascii="Calibri" w:hAnsi="Calibri" w:cs="Calibri"/>
        </w:rPr>
        <w:footnoteReference w:id="15"/>
      </w:r>
      <w:r w:rsidRPr="00D01520">
        <w:rPr>
          <w:rFonts w:ascii="Calibri" w:hAnsi="Calibri" w:cs="Calibri"/>
        </w:rPr>
        <w:t xml:space="preserve"> states that cultural sensitivity is an important aspect of research as it provides an understanding and approaches which will enable the researcher to gain the information they require. In the religious beliefs study, the addressing the cultural context of the research falls short, Bennett's research demonstrates a commitment to respecting the cultural context of the study and upholding ethical standards.</w:t>
      </w:r>
      <w:r>
        <w:rPr>
          <w:rFonts w:ascii="Calibri" w:hAnsi="Calibri" w:cs="Calibri"/>
        </w:rPr>
        <w:t xml:space="preserve"> </w:t>
      </w:r>
    </w:p>
    <w:p w14:paraId="759668C4" w14:textId="77777777" w:rsidR="0022720F" w:rsidRDefault="0022720F" w:rsidP="0022720F">
      <w:pPr>
        <w:spacing w:line="360" w:lineRule="auto"/>
        <w:rPr>
          <w:rFonts w:ascii="Calibri" w:hAnsi="Calibri" w:cs="Calibri"/>
        </w:rPr>
        <w:sectPr w:rsidR="0022720F" w:rsidSect="00CC3918">
          <w:headerReference w:type="default" r:id="rId13"/>
          <w:pgSz w:w="11906" w:h="16838"/>
          <w:pgMar w:top="1440" w:right="1440" w:bottom="1440" w:left="1440" w:header="0" w:footer="454" w:gutter="0"/>
          <w:cols w:space="708"/>
          <w:docGrid w:linePitch="360"/>
        </w:sectPr>
      </w:pPr>
      <w:r w:rsidRPr="00DE0AC5">
        <w:rPr>
          <w:rFonts w:ascii="Calibri" w:hAnsi="Calibri" w:cs="Calibri"/>
        </w:rPr>
        <w:t>Both papers offer valuable insights into belief systems within distinct cultural contexts. However, they differ significantly in terms of their approach, organization, and integration of literature review with empirical findings. Firstly, in terms of approach, the study on religious beliefs relies heavily on assumptions regarding the compatibility of different belief systems, without substantial empirical evidence to support these claims. This becomes problematic in terms of research due to an assumption being an unexamined belief which evolves into inferences or conclusions which are often not thought about critically</w:t>
      </w:r>
      <w:r w:rsidRPr="00DE0AC5">
        <w:rPr>
          <w:rStyle w:val="FootnoteReference"/>
          <w:rFonts w:ascii="Calibri" w:hAnsi="Calibri" w:cs="Calibri"/>
        </w:rPr>
        <w:footnoteReference w:id="16"/>
      </w:r>
      <w:r w:rsidRPr="00DE0AC5">
        <w:rPr>
          <w:rFonts w:ascii="Calibri" w:hAnsi="Calibri" w:cs="Calibri"/>
        </w:rPr>
        <w:t xml:space="preserve">. The assertion that simultaneous belief in these ideologies is logically incompatible lacks substantiation from secondary sources, which is founded from the limited literature review for the study. The study's literature review focused on the psychology of belief without specific reference to Roman Catholic belief systems in contemporary New York. While the review provided valuable insights into the broader psychological aspects of belief, the absence of literature directly relevant to the study's context raises concerns about the validity of the claim. Without definitive evidence or scholarly support, it is reasonable to infer that these assertions reflect the perspectives of the researcher, rather than established facts. In contrast, Bennett's work adopts a more empirical approach through an extensive literature review, which provides readers with a comprehensive overview of relevant scholarship on the topic. Drawing on a wide range of sources from folklore studies, anthropology, sociology, and psychology, Bennett situates the research within the broader theoretical landscape, demonstrating the relevance of the study to existing discourses on </w:t>
      </w:r>
    </w:p>
    <w:p w14:paraId="2E1B32E1" w14:textId="263E0E3C" w:rsidR="0022720F" w:rsidRDefault="0022720F" w:rsidP="0022720F">
      <w:pPr>
        <w:spacing w:line="360" w:lineRule="auto"/>
        <w:rPr>
          <w:rFonts w:ascii="Calibri" w:hAnsi="Calibri" w:cs="Calibri"/>
        </w:rPr>
      </w:pPr>
      <w:r w:rsidRPr="00DE0AC5">
        <w:rPr>
          <w:rFonts w:ascii="Calibri" w:hAnsi="Calibri" w:cs="Calibri"/>
        </w:rPr>
        <w:lastRenderedPageBreak/>
        <w:t>belief systems and cultural practices. By adopting a literature review within the writing of the paper the main theoretical frameworks and key concepts are introduced, often from a range of different sources from various linked sources and fields of studies</w:t>
      </w:r>
      <w:r w:rsidRPr="00DE0AC5">
        <w:rPr>
          <w:rStyle w:val="FootnoteReference"/>
          <w:rFonts w:ascii="Calibri" w:hAnsi="Calibri" w:cs="Calibri"/>
        </w:rPr>
        <w:footnoteReference w:id="17"/>
      </w:r>
      <w:r w:rsidRPr="00DE0AC5">
        <w:rPr>
          <w:rFonts w:ascii="Calibri" w:hAnsi="Calibri" w:cs="Calibri"/>
        </w:rPr>
        <w:t>.</w:t>
      </w:r>
      <w:r>
        <w:rPr>
          <w:rFonts w:ascii="Calibri" w:hAnsi="Calibri" w:cs="Calibri"/>
        </w:rPr>
        <w:t xml:space="preserve"> </w:t>
      </w:r>
      <w:proofErr w:type="gramStart"/>
      <w:r>
        <w:rPr>
          <w:rFonts w:ascii="Calibri" w:hAnsi="Calibri" w:cs="Calibri"/>
        </w:rPr>
        <w:t>Furthermore</w:t>
      </w:r>
      <w:proofErr w:type="gramEnd"/>
      <w:r>
        <w:rPr>
          <w:rFonts w:ascii="Calibri" w:hAnsi="Calibri" w:cs="Calibri"/>
        </w:rPr>
        <w:t xml:space="preserve"> the </w:t>
      </w:r>
      <w:r w:rsidRPr="00DE0AC5">
        <w:rPr>
          <w:rFonts w:ascii="Calibri" w:hAnsi="Calibri" w:cs="Calibri"/>
        </w:rPr>
        <w:t xml:space="preserve">skilful linking of theoretical concepts from the literature to their own empirical findings, </w:t>
      </w:r>
      <w:r>
        <w:rPr>
          <w:rFonts w:ascii="Calibri" w:hAnsi="Calibri" w:cs="Calibri"/>
        </w:rPr>
        <w:t>bridge</w:t>
      </w:r>
      <w:r w:rsidRPr="00DE0AC5">
        <w:rPr>
          <w:rFonts w:ascii="Calibri" w:hAnsi="Calibri" w:cs="Calibri"/>
        </w:rPr>
        <w:t xml:space="preserve"> the gap between theory and practice. This conclusiveness is found in the descriptive research conducted in the paper which is </w:t>
      </w:r>
      <w:r w:rsidRPr="00DE0AC5">
        <w:rPr>
          <w:rFonts w:ascii="Calibri" w:hAnsi="Calibri" w:cs="Calibri"/>
          <w:shd w:val="clear" w:color="auto" w:fill="FFFFFF"/>
        </w:rPr>
        <w:t>a systematic description that is as objective and accurate as possible</w:t>
      </w:r>
      <w:r w:rsidRPr="00DE0AC5">
        <w:rPr>
          <w:rStyle w:val="FootnoteReference"/>
          <w:rFonts w:ascii="Calibri" w:hAnsi="Calibri" w:cs="Calibri"/>
          <w:shd w:val="clear" w:color="auto" w:fill="FFFFFF"/>
        </w:rPr>
        <w:footnoteReference w:id="18"/>
      </w:r>
      <w:r w:rsidRPr="00DE0AC5">
        <w:rPr>
          <w:rFonts w:ascii="Calibri" w:hAnsi="Calibri" w:cs="Calibri"/>
          <w:shd w:val="clear" w:color="auto" w:fill="FFFFFF"/>
        </w:rPr>
        <w:t xml:space="preserve">, from the demographic information gathered in the study. </w:t>
      </w:r>
      <w:r w:rsidRPr="00DE0AC5">
        <w:rPr>
          <w:rFonts w:ascii="Calibri" w:hAnsi="Calibri" w:cs="Calibri"/>
        </w:rPr>
        <w:t>This seamless integration of theoretical insights with empirical evidence enhances the credibility and depth of Bennett's research, underscoring the importance of interdisciplinary approaches in folklore studies.</w:t>
      </w:r>
    </w:p>
    <w:p w14:paraId="41074F28" w14:textId="77777777" w:rsidR="0022720F" w:rsidRDefault="0022720F" w:rsidP="0022720F">
      <w:pPr>
        <w:spacing w:line="360" w:lineRule="auto"/>
        <w:rPr>
          <w:rFonts w:ascii="Calibri" w:hAnsi="Calibri" w:cs="Calibri"/>
        </w:rPr>
        <w:sectPr w:rsidR="0022720F" w:rsidSect="00CC3918">
          <w:headerReference w:type="default" r:id="rId14"/>
          <w:pgSz w:w="11906" w:h="16838"/>
          <w:pgMar w:top="1440" w:right="1440" w:bottom="1440" w:left="1440" w:header="0" w:footer="454" w:gutter="0"/>
          <w:cols w:space="708"/>
          <w:docGrid w:linePitch="360"/>
        </w:sectPr>
      </w:pPr>
      <w:r w:rsidRPr="00FB75DB">
        <w:rPr>
          <w:rFonts w:ascii="Calibri" w:hAnsi="Calibri" w:cs="Calibri"/>
        </w:rPr>
        <w:t xml:space="preserve">In summation, the critical examination of two differing papers looking at two different cultures and belief systems has shown that both have a degree of complexity in the </w:t>
      </w:r>
      <w:proofErr w:type="gramStart"/>
      <w:r w:rsidRPr="00FB75DB">
        <w:rPr>
          <w:rFonts w:ascii="Calibri" w:hAnsi="Calibri" w:cs="Calibri"/>
        </w:rPr>
        <w:t>writing</w:t>
      </w:r>
      <w:proofErr w:type="gramEnd"/>
      <w:r w:rsidRPr="00FB75DB">
        <w:rPr>
          <w:rFonts w:ascii="Calibri" w:hAnsi="Calibri" w:cs="Calibri"/>
        </w:rPr>
        <w:t xml:space="preserve"> and both have strengths and weaknesses in the methodology, ethical considerations and research process. Where both studies have been published in academic journals and are intended for professionals and academics, they are both about differing cultures. Both studies strive for clear and cogent structures; Brink's work is praised for being readable but could be criticised for having too broad conclusions that lack specificity, while Bennett's study is praised for being linearly organised and skilfully fusing theoretical concepts with empirical observations. Both researchers employ distinct methodological approaches, Brink adopting the quantitative approach and Bennett employing a dual methodological approach, both with their errors. Brink's investigation provides a snapshot of belief incongruities but lacks comprehensive depth. Critics argue that this can result in limited outcomes, that can be dependent on a plethora of external uncontrollable conditions</w:t>
      </w:r>
      <w:r w:rsidRPr="00FB75DB">
        <w:rPr>
          <w:rStyle w:val="FootnoteReference"/>
          <w:rFonts w:ascii="Calibri" w:hAnsi="Calibri" w:cs="Calibri"/>
        </w:rPr>
        <w:footnoteReference w:id="19"/>
      </w:r>
      <w:r w:rsidRPr="00FB75DB">
        <w:rPr>
          <w:rFonts w:ascii="Calibri" w:hAnsi="Calibri" w:cs="Calibri"/>
        </w:rPr>
        <w:t xml:space="preserve">. Whereas Bennett's work furnishes a nuanced exploration of folklore supplemented by interdisciplinary insights, which has been contended is subjective and lacks scientific weight </w:t>
      </w:r>
    </w:p>
    <w:p w14:paraId="5B4378B7" w14:textId="50747ABC" w:rsidR="0022720F" w:rsidRPr="00FB75DB" w:rsidRDefault="0022720F" w:rsidP="0022720F">
      <w:pPr>
        <w:spacing w:line="360" w:lineRule="auto"/>
        <w:rPr>
          <w:rFonts w:ascii="Calibri" w:hAnsi="Calibri" w:cs="Calibri"/>
        </w:rPr>
      </w:pPr>
      <w:r w:rsidRPr="00FB75DB">
        <w:rPr>
          <w:rFonts w:ascii="Calibri" w:hAnsi="Calibri" w:cs="Calibri"/>
        </w:rPr>
        <w:lastRenderedPageBreak/>
        <w:t>in research</w:t>
      </w:r>
      <w:r w:rsidRPr="00FB75DB">
        <w:rPr>
          <w:rStyle w:val="FootnoteReference"/>
          <w:rFonts w:ascii="Calibri" w:hAnsi="Calibri" w:cs="Calibri"/>
        </w:rPr>
        <w:footnoteReference w:id="20"/>
      </w:r>
      <w:r w:rsidRPr="00FB75DB">
        <w:rPr>
          <w:rFonts w:ascii="Calibri" w:hAnsi="Calibri" w:cs="Calibri"/>
        </w:rPr>
        <w:t>.  While Brink's study centres on assumptions and Bennetts research was done from an insider perspective, both are different but similar in the argument that they both could be subjected to researcher bias. Although the bias could be unintentional and misrepresented in the paper the bias of the authors would be considered when weighing up the results of the research, therefore bringing the ‘truth’ into question</w:t>
      </w:r>
      <w:r w:rsidRPr="00FB75DB">
        <w:rPr>
          <w:rStyle w:val="FootnoteReference"/>
          <w:rFonts w:ascii="Calibri" w:hAnsi="Calibri" w:cs="Calibri"/>
        </w:rPr>
        <w:footnoteReference w:id="21"/>
      </w:r>
      <w:r w:rsidRPr="00FB75DB">
        <w:rPr>
          <w:rFonts w:ascii="Calibri" w:hAnsi="Calibri" w:cs="Calibri"/>
        </w:rPr>
        <w:t>.  Ethical considerations play a pivotal role in both studies, with deliberations arising regarding informed consent, confidentiality, anonymity, and researcher bias. Brink's study exhibits ambiguity regarding informed consent and confidentiality, whereas Bennett's research ensures informed consent while prompting apprehensions about potential breaches of confidentiality. The comparison of these two papers underscores the complexities inherent in social and cultural research, highlighting strengths and weaknesses in methodology, ethical considerations, and the research process.</w:t>
      </w:r>
    </w:p>
    <w:p w14:paraId="74ABE011" w14:textId="77777777" w:rsidR="0022720F" w:rsidRDefault="0022720F" w:rsidP="0022720F">
      <w:pPr>
        <w:spacing w:line="360" w:lineRule="auto"/>
        <w:sectPr w:rsidR="0022720F" w:rsidSect="00CC3918">
          <w:headerReference w:type="default" r:id="rId15"/>
          <w:pgSz w:w="11906" w:h="16838"/>
          <w:pgMar w:top="1440" w:right="1440" w:bottom="1440" w:left="1440" w:header="0" w:footer="454" w:gutter="0"/>
          <w:cols w:space="708"/>
          <w:docGrid w:linePitch="360"/>
        </w:sectPr>
      </w:pPr>
    </w:p>
    <w:p w14:paraId="2C4F0B8D" w14:textId="77777777" w:rsidR="0022720F" w:rsidRPr="00EA7897" w:rsidRDefault="0022720F" w:rsidP="0022720F">
      <w:pPr>
        <w:spacing w:before="240" w:line="360" w:lineRule="auto"/>
        <w:rPr>
          <w:rFonts w:ascii="Calibri" w:hAnsi="Calibri" w:cs="Calibri"/>
        </w:rPr>
      </w:pPr>
      <w:bookmarkStart w:id="15" w:name="_Hlk160896867"/>
      <w:r w:rsidRPr="00EA7897">
        <w:rPr>
          <w:rFonts w:ascii="Calibri" w:hAnsi="Calibri" w:cs="Calibri"/>
        </w:rPr>
        <w:lastRenderedPageBreak/>
        <w:t xml:space="preserve">Bennett, G. 1995. “If I Knew You were </w:t>
      </w:r>
      <w:proofErr w:type="gramStart"/>
      <w:r w:rsidRPr="00EA7897">
        <w:rPr>
          <w:rFonts w:ascii="Calibri" w:hAnsi="Calibri" w:cs="Calibri"/>
        </w:rPr>
        <w:t>Coming</w:t>
      </w:r>
      <w:proofErr w:type="gramEnd"/>
      <w:r w:rsidRPr="00EA7897">
        <w:rPr>
          <w:rFonts w:ascii="Calibri" w:hAnsi="Calibri" w:cs="Calibri"/>
        </w:rPr>
        <w:t xml:space="preserve"> I'd Have Baked a Cake”: The Folklore of Foreknowledge in a </w:t>
      </w:r>
      <w:proofErr w:type="spellStart"/>
      <w:r w:rsidRPr="00EA7897">
        <w:rPr>
          <w:rFonts w:ascii="Calibri" w:hAnsi="Calibri" w:cs="Calibri"/>
        </w:rPr>
        <w:t>Neighborhood</w:t>
      </w:r>
      <w:proofErr w:type="spellEnd"/>
      <w:r w:rsidRPr="00EA7897">
        <w:rPr>
          <w:rFonts w:ascii="Calibri" w:hAnsi="Calibri" w:cs="Calibri"/>
        </w:rPr>
        <w:t xml:space="preserve"> Group. In Out of the Ordinary: Folklore and the Supernatural, edited by Barbara Walker, 122-142. Logan, Utah: Utah University Press.</w:t>
      </w:r>
    </w:p>
    <w:bookmarkEnd w:id="15"/>
    <w:p w14:paraId="6F7AF916"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BFBFB"/>
        </w:rPr>
        <w:t>Bonner, Ann &amp; Tolhurst Gerda, 'Insider-outsider perspectives of participant observation', Nurse Researcher, 9 (2002), 7-19 (pp. 13) &lt;</w:t>
      </w:r>
      <w:r w:rsidRPr="00EA7897">
        <w:rPr>
          <w:rFonts w:ascii="Calibri" w:hAnsi="Calibri" w:cs="Calibri"/>
        </w:rPr>
        <w:t xml:space="preserve"> </w:t>
      </w:r>
      <w:r w:rsidRPr="00EA7897">
        <w:rPr>
          <w:rFonts w:ascii="Calibri" w:hAnsi="Calibri" w:cs="Calibri"/>
          <w:shd w:val="clear" w:color="auto" w:fill="FBFBFB"/>
        </w:rPr>
        <w:t>https://www.researchgate.net/publication/11232650_Insider-outsider_perspectives_of_participant_observation?_tp=eyJjb250ZXh0Ijp7ImZpcnN0UGFnZSI6Il9kaXJlY3QiLCJwYWdlIjoiX2RpcmVjdCJ9fQ&gt; [accessed 27 February 2024].</w:t>
      </w:r>
    </w:p>
    <w:p w14:paraId="5BB2AB2A" w14:textId="77777777" w:rsidR="0022720F" w:rsidRPr="00EA7897" w:rsidRDefault="0022720F" w:rsidP="0022720F">
      <w:pPr>
        <w:spacing w:before="240" w:line="360" w:lineRule="auto"/>
        <w:rPr>
          <w:rFonts w:ascii="Calibri" w:hAnsi="Calibri" w:cs="Calibri"/>
        </w:rPr>
      </w:pPr>
      <w:r w:rsidRPr="00EA7897">
        <w:rPr>
          <w:rFonts w:ascii="Calibri" w:hAnsi="Calibri" w:cs="Calibri"/>
        </w:rPr>
        <w:t>Brink, T. L. 1978. ‘Inconsistency of Belief among Roman Catholic Girls: Concerning Religion, Astrology, Reincarnation.’ Review of Religious Research, 20, 82-85.</w:t>
      </w:r>
    </w:p>
    <w:p w14:paraId="705D52EE" w14:textId="77777777" w:rsidR="0022720F" w:rsidRPr="00EA7897" w:rsidRDefault="0022720F" w:rsidP="0022720F">
      <w:pPr>
        <w:pStyle w:val="FootnoteText"/>
        <w:spacing w:before="240" w:line="360" w:lineRule="auto"/>
        <w:rPr>
          <w:rFonts w:ascii="Calibri" w:hAnsi="Calibri" w:cs="Calibri"/>
          <w:sz w:val="24"/>
          <w:szCs w:val="24"/>
          <w:shd w:val="clear" w:color="auto" w:fill="FBFBFB"/>
        </w:rPr>
      </w:pPr>
      <w:r w:rsidRPr="00EA7897">
        <w:rPr>
          <w:rFonts w:ascii="Calibri" w:hAnsi="Calibri" w:cs="Calibri"/>
          <w:sz w:val="24"/>
          <w:szCs w:val="24"/>
          <w:shd w:val="clear" w:color="auto" w:fill="FBFBFB"/>
        </w:rPr>
        <w:t>Chetty, Priya, </w:t>
      </w:r>
      <w:proofErr w:type="gramStart"/>
      <w:r w:rsidRPr="00EA7897">
        <w:rPr>
          <w:rFonts w:ascii="Calibri" w:hAnsi="Calibri" w:cs="Calibri"/>
          <w:i/>
          <w:iCs/>
          <w:sz w:val="24"/>
          <w:szCs w:val="24"/>
          <w:shd w:val="clear" w:color="auto" w:fill="FBFBFB"/>
        </w:rPr>
        <w:t>Limitations</w:t>
      </w:r>
      <w:proofErr w:type="gramEnd"/>
      <w:r w:rsidRPr="00EA7897">
        <w:rPr>
          <w:rFonts w:ascii="Calibri" w:hAnsi="Calibri" w:cs="Calibri"/>
          <w:i/>
          <w:iCs/>
          <w:sz w:val="24"/>
          <w:szCs w:val="24"/>
          <w:shd w:val="clear" w:color="auto" w:fill="FBFBFB"/>
        </w:rPr>
        <w:t xml:space="preserve"> and weakness of quantitative research methods</w:t>
      </w:r>
      <w:r w:rsidRPr="00EA7897">
        <w:rPr>
          <w:rFonts w:ascii="Calibri" w:hAnsi="Calibri" w:cs="Calibri"/>
          <w:sz w:val="24"/>
          <w:szCs w:val="24"/>
          <w:shd w:val="clear" w:color="auto" w:fill="FBFBFB"/>
        </w:rPr>
        <w:t> (2016) &lt;https://www.projectguru.in/limitations-quantitative-research/&gt; [accessed 26 February 2024].</w:t>
      </w:r>
    </w:p>
    <w:p w14:paraId="47436B26" w14:textId="77777777" w:rsidR="0022720F" w:rsidRPr="00EA7897" w:rsidRDefault="0022720F" w:rsidP="0022720F">
      <w:pPr>
        <w:spacing w:before="240" w:line="360" w:lineRule="auto"/>
        <w:rPr>
          <w:rFonts w:ascii="Calibri" w:hAnsi="Calibri" w:cs="Calibri"/>
          <w:shd w:val="clear" w:color="auto" w:fill="FBFBFB"/>
        </w:rPr>
      </w:pPr>
      <w:proofErr w:type="spellStart"/>
      <w:r w:rsidRPr="00EA7897">
        <w:rPr>
          <w:rFonts w:ascii="Calibri" w:hAnsi="Calibri" w:cs="Calibri"/>
          <w:shd w:val="clear" w:color="auto" w:fill="FBFBFB"/>
        </w:rPr>
        <w:t>Consultores</w:t>
      </w:r>
      <w:proofErr w:type="spellEnd"/>
      <w:r w:rsidRPr="00EA7897">
        <w:rPr>
          <w:rFonts w:ascii="Calibri" w:hAnsi="Calibri" w:cs="Calibri"/>
          <w:shd w:val="clear" w:color="auto" w:fill="FBFBFB"/>
        </w:rPr>
        <w:t>, Bastis. </w:t>
      </w:r>
      <w:r w:rsidRPr="00EA7897">
        <w:rPr>
          <w:rFonts w:ascii="Calibri" w:hAnsi="Calibri" w:cs="Calibri"/>
          <w:i/>
          <w:iCs/>
          <w:shd w:val="clear" w:color="auto" w:fill="FBFBFB"/>
        </w:rPr>
        <w:t>Conclusive Research</w:t>
      </w:r>
      <w:r w:rsidRPr="00EA7897">
        <w:rPr>
          <w:rFonts w:ascii="Calibri" w:hAnsi="Calibri" w:cs="Calibri"/>
          <w:shd w:val="clear" w:color="auto" w:fill="FBFBFB"/>
        </w:rPr>
        <w:t> (2021) &lt;</w:t>
      </w:r>
      <w:r w:rsidRPr="00EA7897">
        <w:rPr>
          <w:rFonts w:ascii="Calibri" w:hAnsi="Calibri" w:cs="Calibri"/>
        </w:rPr>
        <w:t xml:space="preserve"> </w:t>
      </w:r>
      <w:r w:rsidRPr="00EA7897">
        <w:rPr>
          <w:rFonts w:ascii="Calibri" w:hAnsi="Calibri" w:cs="Calibri"/>
          <w:shd w:val="clear" w:color="auto" w:fill="FBFBFB"/>
        </w:rPr>
        <w:t>https://online-tesis.com/en/conclusive-research/&gt; [accessed 29 February 2024].</w:t>
      </w:r>
    </w:p>
    <w:p w14:paraId="00725FDC" w14:textId="77777777" w:rsidR="0022720F" w:rsidRPr="00EA7897" w:rsidRDefault="0022720F" w:rsidP="0022720F">
      <w:pPr>
        <w:pStyle w:val="FootnoteText"/>
        <w:spacing w:before="240" w:line="360" w:lineRule="auto"/>
        <w:rPr>
          <w:rFonts w:ascii="Calibri" w:hAnsi="Calibri" w:cs="Calibri"/>
          <w:sz w:val="24"/>
          <w:szCs w:val="24"/>
          <w:shd w:val="clear" w:color="auto" w:fill="FBFBFB"/>
        </w:rPr>
      </w:pPr>
      <w:proofErr w:type="spellStart"/>
      <w:r w:rsidRPr="00EA7897">
        <w:rPr>
          <w:rFonts w:ascii="Calibri" w:hAnsi="Calibri" w:cs="Calibri"/>
          <w:sz w:val="24"/>
          <w:szCs w:val="24"/>
          <w:shd w:val="clear" w:color="auto" w:fill="FBFBFB"/>
        </w:rPr>
        <w:t>Detmering</w:t>
      </w:r>
      <w:proofErr w:type="spellEnd"/>
      <w:r w:rsidRPr="00EA7897">
        <w:rPr>
          <w:rFonts w:ascii="Calibri" w:hAnsi="Calibri" w:cs="Calibri"/>
          <w:sz w:val="24"/>
          <w:szCs w:val="24"/>
          <w:shd w:val="clear" w:color="auto" w:fill="FBFBFB"/>
        </w:rPr>
        <w:t>, Rob. </w:t>
      </w:r>
      <w:r w:rsidRPr="00EA7897">
        <w:rPr>
          <w:rFonts w:ascii="Calibri" w:hAnsi="Calibri" w:cs="Calibri"/>
          <w:i/>
          <w:iCs/>
          <w:sz w:val="24"/>
          <w:szCs w:val="24"/>
          <w:shd w:val="clear" w:color="auto" w:fill="FBFBFB"/>
        </w:rPr>
        <w:t>UofL Libraries: Critical Thinking and Academic Research: Assumptions</w:t>
      </w:r>
      <w:r w:rsidRPr="00EA7897">
        <w:rPr>
          <w:rFonts w:ascii="Calibri" w:hAnsi="Calibri" w:cs="Calibri"/>
          <w:sz w:val="24"/>
          <w:szCs w:val="24"/>
          <w:shd w:val="clear" w:color="auto" w:fill="FBFBFB"/>
        </w:rPr>
        <w:t> (2023) &lt;</w:t>
      </w:r>
      <w:r w:rsidRPr="00EA7897">
        <w:rPr>
          <w:rFonts w:ascii="Calibri" w:hAnsi="Calibri" w:cs="Calibri"/>
          <w:sz w:val="24"/>
          <w:szCs w:val="24"/>
        </w:rPr>
        <w:t xml:space="preserve"> </w:t>
      </w:r>
      <w:r w:rsidRPr="00EA7897">
        <w:rPr>
          <w:rFonts w:ascii="Calibri" w:hAnsi="Calibri" w:cs="Calibri"/>
          <w:sz w:val="24"/>
          <w:szCs w:val="24"/>
          <w:shd w:val="clear" w:color="auto" w:fill="FBFBFB"/>
        </w:rPr>
        <w:t xml:space="preserve">https://library.louisville.edu/ekstrom/criticalthinking/assumptions &gt; [accessed 26 February 2024]. </w:t>
      </w:r>
    </w:p>
    <w:p w14:paraId="3ED4203D" w14:textId="77777777" w:rsidR="0022720F" w:rsidRPr="00EA7897" w:rsidRDefault="0022720F" w:rsidP="0022720F">
      <w:pPr>
        <w:spacing w:before="240" w:line="360" w:lineRule="auto"/>
        <w:rPr>
          <w:rFonts w:ascii="Calibri" w:hAnsi="Calibri" w:cs="Calibri"/>
        </w:rPr>
      </w:pPr>
      <w:r w:rsidRPr="00EA7897">
        <w:rPr>
          <w:rFonts w:ascii="Calibri" w:hAnsi="Calibri" w:cs="Calibri"/>
          <w:shd w:val="clear" w:color="auto" w:fill="FBFBFB"/>
        </w:rPr>
        <w:t>Hammersley, Martyn. 'Troubles with triangulation', in </w:t>
      </w:r>
      <w:r w:rsidRPr="00EA7897">
        <w:rPr>
          <w:rFonts w:ascii="Calibri" w:hAnsi="Calibri" w:cs="Calibri"/>
          <w:i/>
          <w:iCs/>
          <w:shd w:val="clear" w:color="auto" w:fill="FBFBFB"/>
        </w:rPr>
        <w:t>Advances in Mixed Methods of Research</w:t>
      </w:r>
      <w:r w:rsidRPr="00EA7897">
        <w:rPr>
          <w:rFonts w:ascii="Calibri" w:hAnsi="Calibri" w:cs="Calibri"/>
          <w:shd w:val="clear" w:color="auto" w:fill="FBFBFB"/>
        </w:rPr>
        <w:t>, ed. by Manfred Max Bergman (London: Sage, 2008), pp. 22-36 (p. 25).</w:t>
      </w:r>
    </w:p>
    <w:p w14:paraId="6AE5892B" w14:textId="77777777" w:rsidR="0022720F" w:rsidRPr="00EA7897" w:rsidRDefault="0022720F" w:rsidP="0022720F">
      <w:pPr>
        <w:pStyle w:val="FootnoteText"/>
        <w:spacing w:before="240" w:line="360" w:lineRule="auto"/>
        <w:rPr>
          <w:rFonts w:ascii="Calibri" w:hAnsi="Calibri" w:cs="Calibri"/>
          <w:sz w:val="24"/>
          <w:szCs w:val="24"/>
        </w:rPr>
      </w:pPr>
      <w:r w:rsidRPr="00EA7897">
        <w:rPr>
          <w:rFonts w:ascii="Calibri" w:eastAsia="Times New Roman" w:hAnsi="Calibri" w:cs="Calibri"/>
          <w:kern w:val="0"/>
          <w:sz w:val="24"/>
          <w:szCs w:val="24"/>
          <w:lang w:eastAsia="en-GB"/>
          <w14:ligatures w14:val="none"/>
        </w:rPr>
        <w:t>Kaye, D. Bondy Valdovinos. </w:t>
      </w:r>
      <w:r w:rsidRPr="00EA7897">
        <w:rPr>
          <w:rFonts w:ascii="Calibri" w:eastAsia="Times New Roman" w:hAnsi="Calibri" w:cs="Calibri"/>
          <w:i/>
          <w:iCs/>
          <w:kern w:val="0"/>
          <w:sz w:val="24"/>
          <w:szCs w:val="24"/>
          <w:shd w:val="clear" w:color="auto" w:fill="FFFFFF"/>
          <w:lang w:eastAsia="en-GB"/>
          <w14:ligatures w14:val="none"/>
        </w:rPr>
        <w:t>Three Benefits of a Literature Review</w:t>
      </w:r>
      <w:r w:rsidRPr="00EA7897">
        <w:rPr>
          <w:rFonts w:ascii="Calibri" w:eastAsia="Times New Roman" w:hAnsi="Calibri" w:cs="Calibri"/>
          <w:kern w:val="0"/>
          <w:sz w:val="24"/>
          <w:szCs w:val="24"/>
          <w:shd w:val="clear" w:color="auto" w:fill="FFFFFF"/>
          <w:lang w:eastAsia="en-GB"/>
          <w14:ligatures w14:val="none"/>
        </w:rPr>
        <w:t> (2023) &lt;</w:t>
      </w:r>
      <w:r w:rsidRPr="00EA7897">
        <w:rPr>
          <w:rFonts w:ascii="Calibri" w:hAnsi="Calibri" w:cs="Calibri"/>
          <w:sz w:val="24"/>
          <w:szCs w:val="24"/>
        </w:rPr>
        <w:t xml:space="preserve"> </w:t>
      </w:r>
      <w:r w:rsidRPr="00EA7897">
        <w:rPr>
          <w:rFonts w:ascii="Calibri" w:eastAsia="Times New Roman" w:hAnsi="Calibri" w:cs="Calibri"/>
          <w:kern w:val="0"/>
          <w:sz w:val="24"/>
          <w:szCs w:val="24"/>
          <w:shd w:val="clear" w:color="auto" w:fill="FFFFFF"/>
          <w:lang w:eastAsia="en-GB"/>
          <w14:ligatures w14:val="none"/>
        </w:rPr>
        <w:t>https://researchmethodscommunity.sagepub.com/blog/three-benefits-of-a-literature-review&gt; [accessed 26 February 2024].</w:t>
      </w:r>
    </w:p>
    <w:p w14:paraId="4B4BA18E" w14:textId="77777777" w:rsidR="0022720F" w:rsidRDefault="0022720F" w:rsidP="0022720F">
      <w:pPr>
        <w:spacing w:before="240" w:line="360" w:lineRule="auto"/>
        <w:rPr>
          <w:rFonts w:ascii="Calibri" w:hAnsi="Calibri" w:cs="Calibri"/>
          <w:shd w:val="clear" w:color="auto" w:fill="FBFBFB"/>
        </w:rPr>
        <w:sectPr w:rsidR="0022720F" w:rsidSect="00CC3918">
          <w:headerReference w:type="default" r:id="rId16"/>
          <w:pgSz w:w="11906" w:h="16838"/>
          <w:pgMar w:top="1440" w:right="1440" w:bottom="1440" w:left="1440" w:header="708" w:footer="708" w:gutter="0"/>
          <w:cols w:space="708"/>
          <w:docGrid w:linePitch="360"/>
        </w:sectPr>
      </w:pPr>
      <w:r w:rsidRPr="00EA7897">
        <w:rPr>
          <w:rFonts w:ascii="Calibri" w:hAnsi="Calibri" w:cs="Calibri"/>
          <w:shd w:val="clear" w:color="auto" w:fill="FBFBFB"/>
        </w:rPr>
        <w:t>National Commission for the Protection of Human Subjects of Biomedical and Behavioural Research. </w:t>
      </w:r>
      <w:r w:rsidRPr="00EA7897">
        <w:rPr>
          <w:rFonts w:ascii="Calibri" w:hAnsi="Calibri" w:cs="Calibri"/>
          <w:i/>
          <w:iCs/>
          <w:shd w:val="clear" w:color="auto" w:fill="FBFBFB"/>
        </w:rPr>
        <w:t>The Belmont Report</w:t>
      </w:r>
      <w:r w:rsidRPr="00EA7897">
        <w:rPr>
          <w:rFonts w:ascii="Calibri" w:hAnsi="Calibri" w:cs="Calibri"/>
          <w:shd w:val="clear" w:color="auto" w:fill="FBFBFB"/>
        </w:rPr>
        <w:t>. Office of the Secretary, 1979. &lt;</w:t>
      </w:r>
      <w:r w:rsidRPr="00EA7897">
        <w:rPr>
          <w:rFonts w:ascii="Calibri" w:hAnsi="Calibri" w:cs="Calibri"/>
        </w:rPr>
        <w:t xml:space="preserve"> </w:t>
      </w:r>
      <w:r w:rsidRPr="00EA7897">
        <w:rPr>
          <w:rFonts w:ascii="Calibri" w:hAnsi="Calibri" w:cs="Calibri"/>
          <w:shd w:val="clear" w:color="auto" w:fill="FBFBFB"/>
        </w:rPr>
        <w:t>https://www.hhs.gov/ohrp/regulations-and-policy/belmont-report/read-the-belmont-report/index.html&gt; [accessed 27 February 2024]. </w:t>
      </w:r>
    </w:p>
    <w:p w14:paraId="32E9892B"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BFBFB"/>
        </w:rPr>
        <w:lastRenderedPageBreak/>
        <w:t>Paul Spicker. </w:t>
      </w:r>
      <w:r w:rsidRPr="00EA7897">
        <w:rPr>
          <w:rFonts w:ascii="Calibri" w:hAnsi="Calibri" w:cs="Calibri"/>
          <w:i/>
          <w:iCs/>
          <w:shd w:val="clear" w:color="auto" w:fill="FBFBFB"/>
        </w:rPr>
        <w:t>Research Without Consent</w:t>
      </w:r>
      <w:r w:rsidRPr="00EA7897">
        <w:rPr>
          <w:rFonts w:ascii="Calibri" w:hAnsi="Calibri" w:cs="Calibri"/>
          <w:shd w:val="clear" w:color="auto" w:fill="FBFBFB"/>
        </w:rPr>
        <w:t>. University of Surrey, 2007. https://sru.soc.surrey.ac.uk/SRU51.pdf [accessed 28 February 2024]</w:t>
      </w:r>
    </w:p>
    <w:p w14:paraId="44401362"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BFBFB"/>
        </w:rPr>
        <w:t xml:space="preserve">Rahman, Md </w:t>
      </w:r>
      <w:proofErr w:type="spellStart"/>
      <w:r w:rsidRPr="00EA7897">
        <w:rPr>
          <w:rFonts w:ascii="Calibri" w:hAnsi="Calibri" w:cs="Calibri"/>
          <w:shd w:val="clear" w:color="auto" w:fill="FBFBFB"/>
        </w:rPr>
        <w:t>Shidur</w:t>
      </w:r>
      <w:proofErr w:type="spellEnd"/>
      <w:r w:rsidRPr="00EA7897">
        <w:rPr>
          <w:rFonts w:ascii="Calibri" w:hAnsi="Calibri" w:cs="Calibri"/>
          <w:shd w:val="clear" w:color="auto" w:fill="FBFBFB"/>
        </w:rPr>
        <w:t>. 'The Advantages and Disadvantages of Using Qualitative and Quantitative Approaches and Methods in Language "Testing and Assessment" Research: A Literature Review', </w:t>
      </w:r>
      <w:r w:rsidRPr="00EA7897">
        <w:rPr>
          <w:rFonts w:ascii="Calibri" w:hAnsi="Calibri" w:cs="Calibri"/>
          <w:i/>
          <w:iCs/>
          <w:shd w:val="clear" w:color="auto" w:fill="FBFBFB"/>
        </w:rPr>
        <w:t>Journal of Education and Learning</w:t>
      </w:r>
      <w:r w:rsidRPr="00EA7897">
        <w:rPr>
          <w:rFonts w:ascii="Calibri" w:hAnsi="Calibri" w:cs="Calibri"/>
          <w:shd w:val="clear" w:color="auto" w:fill="FBFBFB"/>
        </w:rPr>
        <w:t>, Volume number. Issue number, 6.1 (2017) &lt;</w:t>
      </w:r>
      <w:r w:rsidRPr="00EA7897">
        <w:rPr>
          <w:rFonts w:ascii="Calibri" w:hAnsi="Calibri" w:cs="Calibri"/>
        </w:rPr>
        <w:t xml:space="preserve"> http://dx.doi.org/10.5539/jel.v6n1p102 </w:t>
      </w:r>
      <w:r w:rsidRPr="00EA7897">
        <w:rPr>
          <w:rFonts w:ascii="Calibri" w:hAnsi="Calibri" w:cs="Calibri"/>
          <w:shd w:val="clear" w:color="auto" w:fill="FBFBFB"/>
        </w:rPr>
        <w:t>&gt; [28 February 2024].</w:t>
      </w:r>
    </w:p>
    <w:p w14:paraId="6934827F"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BFBFB"/>
        </w:rPr>
        <w:t>Religious Research Association, </w:t>
      </w:r>
      <w:r w:rsidRPr="00EA7897">
        <w:rPr>
          <w:rFonts w:ascii="Calibri" w:hAnsi="Calibri" w:cs="Calibri"/>
          <w:i/>
          <w:iCs/>
          <w:shd w:val="clear" w:color="auto" w:fill="FBFBFB"/>
        </w:rPr>
        <w:t>Journal: Review of Religious Research</w:t>
      </w:r>
      <w:r w:rsidRPr="00EA7897">
        <w:rPr>
          <w:rFonts w:ascii="Calibri" w:hAnsi="Calibri" w:cs="Calibri"/>
          <w:shd w:val="clear" w:color="auto" w:fill="FBFBFB"/>
        </w:rPr>
        <w:t> (2024) &lt;</w:t>
      </w:r>
      <w:r w:rsidRPr="00EA7897">
        <w:rPr>
          <w:rFonts w:ascii="Calibri" w:hAnsi="Calibri" w:cs="Calibri"/>
        </w:rPr>
        <w:t xml:space="preserve"> </w:t>
      </w:r>
      <w:r w:rsidRPr="00EA7897">
        <w:rPr>
          <w:rFonts w:ascii="Calibri" w:hAnsi="Calibri" w:cs="Calibri"/>
          <w:shd w:val="clear" w:color="auto" w:fill="FBFBFB"/>
        </w:rPr>
        <w:t>https://www.rraweb.org/journal-review-of-religious-research/&gt; [28 February 2024].</w:t>
      </w:r>
    </w:p>
    <w:p w14:paraId="1E7F318F" w14:textId="77777777" w:rsidR="0022720F" w:rsidRPr="00EA7897" w:rsidRDefault="0022720F" w:rsidP="0022720F">
      <w:pPr>
        <w:pStyle w:val="FootnoteText"/>
        <w:spacing w:before="240" w:line="360" w:lineRule="auto"/>
        <w:rPr>
          <w:rFonts w:ascii="Calibri" w:hAnsi="Calibri" w:cs="Calibri"/>
          <w:sz w:val="24"/>
          <w:szCs w:val="24"/>
          <w:shd w:val="clear" w:color="auto" w:fill="FBFBFB"/>
        </w:rPr>
      </w:pPr>
      <w:r w:rsidRPr="00EA7897">
        <w:rPr>
          <w:rFonts w:ascii="Calibri" w:hAnsi="Calibri" w:cs="Calibri"/>
          <w:sz w:val="24"/>
          <w:szCs w:val="24"/>
          <w:shd w:val="clear" w:color="auto" w:fill="FBFBFB"/>
        </w:rPr>
        <w:t xml:space="preserve">Roller, Margaret R.  and </w:t>
      </w:r>
      <w:proofErr w:type="spellStart"/>
      <w:r w:rsidRPr="00EA7897">
        <w:rPr>
          <w:rFonts w:ascii="Calibri" w:hAnsi="Calibri" w:cs="Calibri"/>
          <w:sz w:val="24"/>
          <w:szCs w:val="24"/>
          <w:shd w:val="clear" w:color="auto" w:fill="FBFBFB"/>
        </w:rPr>
        <w:t>Lavrakas</w:t>
      </w:r>
      <w:proofErr w:type="spellEnd"/>
      <w:r w:rsidRPr="00EA7897">
        <w:rPr>
          <w:rFonts w:ascii="Calibri" w:hAnsi="Calibri" w:cs="Calibri"/>
          <w:sz w:val="24"/>
          <w:szCs w:val="24"/>
          <w:shd w:val="clear" w:color="auto" w:fill="FBFBFB"/>
        </w:rPr>
        <w:t>, Paul J., </w:t>
      </w:r>
      <w:r w:rsidRPr="00EA7897">
        <w:rPr>
          <w:rFonts w:ascii="Calibri" w:hAnsi="Calibri" w:cs="Calibri"/>
          <w:i/>
          <w:iCs/>
          <w:sz w:val="24"/>
          <w:szCs w:val="24"/>
          <w:shd w:val="clear" w:color="auto" w:fill="FBFBFB"/>
        </w:rPr>
        <w:t>Applied Qualitative Research Design: A Total Quality Framework Approach </w:t>
      </w:r>
      <w:r w:rsidRPr="00EA7897">
        <w:rPr>
          <w:rFonts w:ascii="Calibri" w:hAnsi="Calibri" w:cs="Calibri"/>
          <w:sz w:val="24"/>
          <w:szCs w:val="24"/>
          <w:shd w:val="clear" w:color="auto" w:fill="FBFBFB"/>
        </w:rPr>
        <w:t>(New York: Guilford Publications, 2015).</w:t>
      </w:r>
    </w:p>
    <w:p w14:paraId="109CF240"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FFFFF"/>
        </w:rPr>
        <w:t>Saunders, B. Kitzinger, J., Kitzinger</w:t>
      </w:r>
      <w:r w:rsidRPr="00EA7897">
        <w:rPr>
          <w:rFonts w:ascii="Calibri" w:hAnsi="Calibri" w:cs="Calibri"/>
          <w:shd w:val="clear" w:color="auto" w:fill="FBFBFB"/>
        </w:rPr>
        <w:t>, C., '</w:t>
      </w:r>
      <w:r w:rsidRPr="00EA7897">
        <w:rPr>
          <w:rFonts w:ascii="Calibri" w:hAnsi="Calibri" w:cs="Calibri"/>
          <w:shd w:val="clear" w:color="auto" w:fill="FFFFFF"/>
        </w:rPr>
        <w:t>Anonymising interview data: challenges and compromise in practice</w:t>
      </w:r>
      <w:r w:rsidRPr="00EA7897">
        <w:rPr>
          <w:rFonts w:ascii="Calibri" w:hAnsi="Calibri" w:cs="Calibri"/>
          <w:shd w:val="clear" w:color="auto" w:fill="FBFBFB"/>
        </w:rPr>
        <w:t>', </w:t>
      </w:r>
      <w:r w:rsidRPr="00EA7897">
        <w:rPr>
          <w:rFonts w:ascii="Calibri" w:hAnsi="Calibri" w:cs="Calibri"/>
          <w:i/>
          <w:iCs/>
          <w:shd w:val="clear" w:color="auto" w:fill="FBFBFB"/>
        </w:rPr>
        <w:t>Qual Res.</w:t>
      </w:r>
      <w:r w:rsidRPr="00EA7897">
        <w:rPr>
          <w:rFonts w:ascii="Calibri" w:hAnsi="Calibri" w:cs="Calibri"/>
          <w:shd w:val="clear" w:color="auto" w:fill="FBFBFB"/>
        </w:rPr>
        <w:t>, 15. 5. (2015), 616-632 (pp. 618) &lt;</w:t>
      </w:r>
      <w:r w:rsidRPr="00EA7897">
        <w:rPr>
          <w:rFonts w:ascii="Calibri" w:hAnsi="Calibri" w:cs="Calibri"/>
        </w:rPr>
        <w:t xml:space="preserve"> </w:t>
      </w:r>
      <w:r w:rsidRPr="00EA7897">
        <w:rPr>
          <w:rFonts w:ascii="Calibri" w:hAnsi="Calibri" w:cs="Calibri"/>
          <w:shd w:val="clear" w:color="auto" w:fill="FBFBFB"/>
        </w:rPr>
        <w:t>https://www.ncbi.nlm.nih.gov/pmc/articles/PMC4582834/&gt; [accessed 26 February 2024].</w:t>
      </w:r>
    </w:p>
    <w:p w14:paraId="700636AC"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BFBFB"/>
        </w:rPr>
        <w:t>Sieber, Joan E. </w:t>
      </w:r>
      <w:r w:rsidRPr="00EA7897">
        <w:rPr>
          <w:rFonts w:ascii="Calibri" w:hAnsi="Calibri" w:cs="Calibri"/>
          <w:i/>
          <w:iCs/>
          <w:shd w:val="clear" w:color="auto" w:fill="FBFBFB"/>
        </w:rPr>
        <w:t>Planning Ethically Responsible Research: A Guide for Students and Internal Review Boards</w:t>
      </w:r>
      <w:r w:rsidRPr="00EA7897">
        <w:rPr>
          <w:rFonts w:ascii="Calibri" w:hAnsi="Calibri" w:cs="Calibri"/>
          <w:shd w:val="clear" w:color="auto" w:fill="FBFBFB"/>
        </w:rPr>
        <w:t>, (London: SAGE, 1992), pp. 20.</w:t>
      </w:r>
    </w:p>
    <w:p w14:paraId="396C51E1" w14:textId="77777777" w:rsidR="0022720F" w:rsidRPr="00EA7897" w:rsidRDefault="0022720F" w:rsidP="0022720F">
      <w:pPr>
        <w:spacing w:before="240" w:line="360" w:lineRule="auto"/>
        <w:rPr>
          <w:rFonts w:ascii="Calibri" w:hAnsi="Calibri" w:cs="Calibri"/>
          <w:shd w:val="clear" w:color="auto" w:fill="FBFBFB"/>
        </w:rPr>
      </w:pPr>
      <w:proofErr w:type="spellStart"/>
      <w:r w:rsidRPr="00EA7897">
        <w:rPr>
          <w:rFonts w:ascii="Calibri" w:hAnsi="Calibri" w:cs="Calibri"/>
          <w:shd w:val="clear" w:color="auto" w:fill="FFFFFF"/>
        </w:rPr>
        <w:t>Šimundić</w:t>
      </w:r>
      <w:proofErr w:type="spellEnd"/>
      <w:r w:rsidRPr="00EA7897">
        <w:rPr>
          <w:rFonts w:ascii="Calibri" w:hAnsi="Calibri" w:cs="Calibri"/>
          <w:shd w:val="clear" w:color="auto" w:fill="FBFBFB"/>
        </w:rPr>
        <w:t xml:space="preserve">, </w:t>
      </w:r>
      <w:r w:rsidRPr="00EA7897">
        <w:rPr>
          <w:rFonts w:ascii="Calibri" w:hAnsi="Calibri" w:cs="Calibri"/>
          <w:shd w:val="clear" w:color="auto" w:fill="FFFFFF"/>
        </w:rPr>
        <w:t>Ana-Maria,</w:t>
      </w:r>
      <w:r w:rsidRPr="00EA7897">
        <w:rPr>
          <w:rFonts w:ascii="Calibri" w:hAnsi="Calibri" w:cs="Calibri"/>
          <w:shd w:val="clear" w:color="auto" w:fill="FBFBFB"/>
        </w:rPr>
        <w:t xml:space="preserve"> 'Bias </w:t>
      </w:r>
      <w:proofErr w:type="gramStart"/>
      <w:r w:rsidRPr="00EA7897">
        <w:rPr>
          <w:rFonts w:ascii="Calibri" w:hAnsi="Calibri" w:cs="Calibri"/>
          <w:shd w:val="clear" w:color="auto" w:fill="FBFBFB"/>
        </w:rPr>
        <w:t>In</w:t>
      </w:r>
      <w:proofErr w:type="gramEnd"/>
      <w:r w:rsidRPr="00EA7897">
        <w:rPr>
          <w:rFonts w:ascii="Calibri" w:hAnsi="Calibri" w:cs="Calibri"/>
          <w:shd w:val="clear" w:color="auto" w:fill="FBFBFB"/>
        </w:rPr>
        <w:t xml:space="preserve"> Research', </w:t>
      </w:r>
      <w:proofErr w:type="spellStart"/>
      <w:r w:rsidRPr="00EA7897">
        <w:rPr>
          <w:rFonts w:ascii="Calibri" w:hAnsi="Calibri" w:cs="Calibri"/>
          <w:i/>
          <w:iCs/>
          <w:shd w:val="clear" w:color="auto" w:fill="FBFBFB"/>
        </w:rPr>
        <w:t>Biochem</w:t>
      </w:r>
      <w:proofErr w:type="spellEnd"/>
      <w:r w:rsidRPr="00EA7897">
        <w:rPr>
          <w:rFonts w:ascii="Calibri" w:hAnsi="Calibri" w:cs="Calibri"/>
          <w:i/>
          <w:iCs/>
          <w:shd w:val="clear" w:color="auto" w:fill="FBFBFB"/>
        </w:rPr>
        <w:t xml:space="preserve"> Med</w:t>
      </w:r>
      <w:r w:rsidRPr="00EA7897">
        <w:rPr>
          <w:rFonts w:ascii="Calibri" w:hAnsi="Calibri" w:cs="Calibri"/>
          <w:shd w:val="clear" w:color="auto" w:fill="FBFBFB"/>
        </w:rPr>
        <w:t>, 23.1 (2013), 12-15 (p. 13). https://www.biochemia-medica.com/en/journal/23/1/10.11613/BM.2013.003 [Accessed: 26 February 2024]</w:t>
      </w:r>
    </w:p>
    <w:p w14:paraId="0B8E0613" w14:textId="77777777" w:rsidR="0022720F" w:rsidRPr="00EA7897" w:rsidRDefault="0022720F" w:rsidP="0022720F">
      <w:pPr>
        <w:spacing w:before="240" w:line="360" w:lineRule="auto"/>
        <w:rPr>
          <w:rFonts w:ascii="Calibri" w:hAnsi="Calibri" w:cs="Calibri"/>
          <w:shd w:val="clear" w:color="auto" w:fill="FFFFFF"/>
        </w:rPr>
      </w:pPr>
      <w:r w:rsidRPr="00EA7897">
        <w:rPr>
          <w:rFonts w:ascii="Calibri" w:hAnsi="Calibri" w:cs="Calibri"/>
          <w:shd w:val="clear" w:color="auto" w:fill="FFFFFF"/>
        </w:rPr>
        <w:t xml:space="preserve">T. Brannick, &amp; D. Coghlan. ‘In </w:t>
      </w:r>
      <w:proofErr w:type="spellStart"/>
      <w:r w:rsidRPr="00EA7897">
        <w:rPr>
          <w:rFonts w:ascii="Calibri" w:hAnsi="Calibri" w:cs="Calibri"/>
          <w:shd w:val="clear" w:color="auto" w:fill="FFFFFF"/>
        </w:rPr>
        <w:t>Defense</w:t>
      </w:r>
      <w:proofErr w:type="spellEnd"/>
      <w:r w:rsidRPr="00EA7897">
        <w:rPr>
          <w:rFonts w:ascii="Calibri" w:hAnsi="Calibri" w:cs="Calibri"/>
          <w:shd w:val="clear" w:color="auto" w:fill="FFFFFF"/>
        </w:rPr>
        <w:t xml:space="preserve"> of being “Native”: The case for insider academic research’. </w:t>
      </w:r>
      <w:r w:rsidRPr="00EA7897">
        <w:rPr>
          <w:rStyle w:val="Emphasis"/>
          <w:rFonts w:ascii="Calibri" w:hAnsi="Calibri" w:cs="Calibri"/>
          <w:shd w:val="clear" w:color="auto" w:fill="FFFFFF"/>
        </w:rPr>
        <w:t xml:space="preserve">Organizational Research Methods, 10.1. </w:t>
      </w:r>
      <w:r w:rsidRPr="00EA7897">
        <w:rPr>
          <w:rFonts w:ascii="Calibri" w:hAnsi="Calibri" w:cs="Calibri"/>
          <w:shd w:val="clear" w:color="auto" w:fill="FFFFFF"/>
        </w:rPr>
        <w:t>(2007</w:t>
      </w:r>
      <w:proofErr w:type="gramStart"/>
      <w:r w:rsidRPr="00EA7897">
        <w:rPr>
          <w:rFonts w:ascii="Calibri" w:hAnsi="Calibri" w:cs="Calibri"/>
          <w:shd w:val="clear" w:color="auto" w:fill="FFFFFF"/>
        </w:rPr>
        <w:t>) ,</w:t>
      </w:r>
      <w:proofErr w:type="gramEnd"/>
      <w:r w:rsidRPr="00EA7897">
        <w:rPr>
          <w:rFonts w:ascii="Calibri" w:hAnsi="Calibri" w:cs="Calibri"/>
          <w:shd w:val="clear" w:color="auto" w:fill="FFFFFF"/>
        </w:rPr>
        <w:t xml:space="preserve"> 59–74. doi:10.1177/1094428106289253</w:t>
      </w:r>
    </w:p>
    <w:p w14:paraId="628BB881" w14:textId="77777777" w:rsidR="0022720F" w:rsidRPr="00EA7897" w:rsidRDefault="0022720F" w:rsidP="0022720F">
      <w:pPr>
        <w:spacing w:before="240" w:line="360" w:lineRule="auto"/>
        <w:rPr>
          <w:rFonts w:ascii="Calibri" w:hAnsi="Calibri" w:cs="Calibri"/>
          <w:shd w:val="clear" w:color="auto" w:fill="FBFBFB"/>
        </w:rPr>
      </w:pPr>
      <w:r w:rsidRPr="00EA7897">
        <w:rPr>
          <w:rFonts w:ascii="Calibri" w:hAnsi="Calibri" w:cs="Calibri"/>
          <w:shd w:val="clear" w:color="auto" w:fill="FBFBFB"/>
        </w:rPr>
        <w:t xml:space="preserve">Todd D. </w:t>
      </w:r>
      <w:proofErr w:type="spellStart"/>
      <w:r w:rsidRPr="00EA7897">
        <w:rPr>
          <w:rFonts w:ascii="Calibri" w:hAnsi="Calibri" w:cs="Calibri"/>
          <w:shd w:val="clear" w:color="auto" w:fill="FBFBFB"/>
        </w:rPr>
        <w:t>Jick</w:t>
      </w:r>
      <w:proofErr w:type="spellEnd"/>
      <w:r w:rsidRPr="00EA7897">
        <w:rPr>
          <w:rFonts w:ascii="Calibri" w:hAnsi="Calibri" w:cs="Calibri"/>
          <w:shd w:val="clear" w:color="auto" w:fill="FBFBFB"/>
        </w:rPr>
        <w:t>, 'Mixing Qualitative and Quantitative Methods: Triangulation in Action', </w:t>
      </w:r>
      <w:r w:rsidRPr="00EA7897">
        <w:rPr>
          <w:rFonts w:ascii="Calibri" w:hAnsi="Calibri" w:cs="Calibri"/>
          <w:i/>
          <w:iCs/>
          <w:shd w:val="clear" w:color="auto" w:fill="FBFBFB"/>
        </w:rPr>
        <w:t>Administrative Science Quarterly</w:t>
      </w:r>
      <w:r w:rsidRPr="00EA7897">
        <w:rPr>
          <w:rFonts w:ascii="Calibri" w:hAnsi="Calibri" w:cs="Calibri"/>
          <w:shd w:val="clear" w:color="auto" w:fill="FBFBFB"/>
        </w:rPr>
        <w:t>, 24. 4 (1979), pp. 602-611 (p. 602).</w:t>
      </w:r>
    </w:p>
    <w:p w14:paraId="0EF91B46" w14:textId="4F5BB954" w:rsidR="0022720F" w:rsidRPr="004B0D0F" w:rsidRDefault="0022720F" w:rsidP="0022720F">
      <w:pPr>
        <w:spacing w:before="240" w:line="360" w:lineRule="auto"/>
      </w:pPr>
      <w:r w:rsidRPr="00EA7897">
        <w:rPr>
          <w:rFonts w:ascii="Calibri" w:hAnsi="Calibri" w:cs="Calibri"/>
          <w:shd w:val="clear" w:color="auto" w:fill="FBFBFB"/>
        </w:rPr>
        <w:t>University Press of Colorado, </w:t>
      </w:r>
      <w:r w:rsidRPr="00EA7897">
        <w:rPr>
          <w:rFonts w:ascii="Calibri" w:hAnsi="Calibri" w:cs="Calibri"/>
          <w:i/>
          <w:iCs/>
          <w:shd w:val="clear" w:color="auto" w:fill="FBFBFB"/>
        </w:rPr>
        <w:t>Alas, Poor Ghost! Traditions of Belief in Story and Discourse</w:t>
      </w:r>
      <w:r w:rsidRPr="00EA7897">
        <w:rPr>
          <w:rFonts w:ascii="Calibri" w:hAnsi="Calibri" w:cs="Calibri"/>
          <w:shd w:val="clear" w:color="auto" w:fill="FBFBFB"/>
        </w:rPr>
        <w:t> (2023) &lt;</w:t>
      </w:r>
      <w:r w:rsidRPr="00EA7897">
        <w:rPr>
          <w:rFonts w:ascii="Calibri" w:hAnsi="Calibri" w:cs="Calibri"/>
        </w:rPr>
        <w:t xml:space="preserve"> </w:t>
      </w:r>
      <w:r w:rsidRPr="00EA7897">
        <w:rPr>
          <w:rFonts w:ascii="Calibri" w:hAnsi="Calibri" w:cs="Calibri"/>
          <w:shd w:val="clear" w:color="auto" w:fill="FBFBFB"/>
        </w:rPr>
        <w:t>https://upcolorado.com/utah-state-university-press/item/2143-alas-poor-ghost &gt; [accessed 28 February 2023].</w:t>
      </w:r>
    </w:p>
    <w:sectPr w:rsidR="0022720F" w:rsidRPr="004B0D0F" w:rsidSect="00CC3918">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3D58E" w14:textId="77777777" w:rsidR="00CC3918" w:rsidRDefault="00CC3918" w:rsidP="004B0D0F">
      <w:r>
        <w:separator/>
      </w:r>
    </w:p>
  </w:endnote>
  <w:endnote w:type="continuationSeparator" w:id="0">
    <w:p w14:paraId="7C05DEAE" w14:textId="77777777" w:rsidR="00CC3918" w:rsidRDefault="00CC3918" w:rsidP="004B0D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regular-class">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5B95C" w14:textId="77777777" w:rsidR="00CC3918" w:rsidRDefault="00CC3918" w:rsidP="004B0D0F">
      <w:r>
        <w:separator/>
      </w:r>
    </w:p>
  </w:footnote>
  <w:footnote w:type="continuationSeparator" w:id="0">
    <w:p w14:paraId="5E6C5B24" w14:textId="77777777" w:rsidR="00CC3918" w:rsidRDefault="00CC3918" w:rsidP="004B0D0F">
      <w:r>
        <w:continuationSeparator/>
      </w:r>
    </w:p>
  </w:footnote>
  <w:footnote w:id="1">
    <w:p w14:paraId="48554B0D" w14:textId="77777777" w:rsidR="0022720F" w:rsidRPr="00D01520" w:rsidRDefault="0022720F" w:rsidP="0022720F">
      <w:pPr>
        <w:rPr>
          <w:rFonts w:ascii="Calibri" w:hAnsi="Calibri" w:cs="Calibri"/>
          <w:sz w:val="20"/>
          <w:szCs w:val="20"/>
        </w:rPr>
      </w:pPr>
      <w:r w:rsidRPr="00D01520">
        <w:rPr>
          <w:rStyle w:val="FootnoteReference"/>
          <w:rFonts w:ascii="Calibri" w:hAnsi="Calibri" w:cs="Calibri"/>
          <w:sz w:val="20"/>
          <w:szCs w:val="20"/>
        </w:rPr>
        <w:footnoteRef/>
      </w:r>
      <w:r w:rsidRPr="00D01520">
        <w:rPr>
          <w:rFonts w:ascii="Calibri" w:hAnsi="Calibri" w:cs="Calibri"/>
          <w:sz w:val="20"/>
          <w:szCs w:val="20"/>
        </w:rPr>
        <w:t xml:space="preserve"> Brink, T. L. 1978. ‘Inconsistency of Belief among Roman Catholic Girls: Concerning Religion, Astrology, Reincarnation.’ Review of Religious Research, 20, 82-85.</w:t>
      </w:r>
    </w:p>
  </w:footnote>
  <w:footnote w:id="2">
    <w:p w14:paraId="0B2D1DB3" w14:textId="77777777" w:rsidR="0022720F" w:rsidRPr="00D01520" w:rsidRDefault="0022720F" w:rsidP="0022720F">
      <w:pPr>
        <w:rPr>
          <w:rFonts w:ascii="Calibri" w:hAnsi="Calibri" w:cs="Calibri"/>
          <w:sz w:val="20"/>
          <w:szCs w:val="20"/>
        </w:rPr>
      </w:pPr>
      <w:r w:rsidRPr="00D01520">
        <w:rPr>
          <w:rStyle w:val="FootnoteReference"/>
          <w:rFonts w:ascii="Calibri" w:hAnsi="Calibri" w:cs="Calibri"/>
          <w:sz w:val="20"/>
          <w:szCs w:val="20"/>
        </w:rPr>
        <w:footnoteRef/>
      </w:r>
      <w:r w:rsidRPr="00D01520">
        <w:rPr>
          <w:rFonts w:ascii="Calibri" w:hAnsi="Calibri" w:cs="Calibri"/>
          <w:sz w:val="20"/>
          <w:szCs w:val="20"/>
        </w:rPr>
        <w:t xml:space="preserve"> Bennett, G. 1995. “If I Knew You were </w:t>
      </w:r>
      <w:proofErr w:type="gramStart"/>
      <w:r w:rsidRPr="00D01520">
        <w:rPr>
          <w:rFonts w:ascii="Calibri" w:hAnsi="Calibri" w:cs="Calibri"/>
          <w:sz w:val="20"/>
          <w:szCs w:val="20"/>
        </w:rPr>
        <w:t>Coming</w:t>
      </w:r>
      <w:proofErr w:type="gramEnd"/>
      <w:r w:rsidRPr="00D01520">
        <w:rPr>
          <w:rFonts w:ascii="Calibri" w:hAnsi="Calibri" w:cs="Calibri"/>
          <w:sz w:val="20"/>
          <w:szCs w:val="20"/>
        </w:rPr>
        <w:t xml:space="preserve"> I'd Have Baked a Cake”: The Folklore of Foreknowledge in a </w:t>
      </w:r>
      <w:proofErr w:type="spellStart"/>
      <w:r w:rsidRPr="00D01520">
        <w:rPr>
          <w:rFonts w:ascii="Calibri" w:hAnsi="Calibri" w:cs="Calibri"/>
          <w:sz w:val="20"/>
          <w:szCs w:val="20"/>
        </w:rPr>
        <w:t>Neighborhood</w:t>
      </w:r>
      <w:proofErr w:type="spellEnd"/>
      <w:r w:rsidRPr="00D01520">
        <w:rPr>
          <w:rFonts w:ascii="Calibri" w:hAnsi="Calibri" w:cs="Calibri"/>
          <w:sz w:val="20"/>
          <w:szCs w:val="20"/>
        </w:rPr>
        <w:t xml:space="preserve"> Group. In Out of the Ordinary: Folklore and the Supernatural, edited by Barbara Walker, 122-142. Logan, Utah: Utah University Press.</w:t>
      </w:r>
    </w:p>
  </w:footnote>
  <w:footnote w:id="3">
    <w:p w14:paraId="5CD905B0" w14:textId="77777777" w:rsidR="0022720F" w:rsidRPr="00102CF2" w:rsidRDefault="0022720F" w:rsidP="0022720F">
      <w:pPr>
        <w:pStyle w:val="FootnoteText"/>
        <w:rPr>
          <w:lang w:val="en-US"/>
        </w:rPr>
      </w:pPr>
      <w:r w:rsidRPr="00D01520">
        <w:rPr>
          <w:rStyle w:val="FootnoteReference"/>
          <w:rFonts w:ascii="Calibri" w:hAnsi="Calibri" w:cs="Calibri"/>
        </w:rPr>
        <w:footnoteRef/>
      </w:r>
      <w:r w:rsidRPr="00D01520">
        <w:rPr>
          <w:rFonts w:ascii="Calibri" w:hAnsi="Calibri" w:cs="Calibri"/>
        </w:rPr>
        <w:t xml:space="preserve"> </w:t>
      </w:r>
      <w:bookmarkStart w:id="6" w:name="_Hlk160876378"/>
      <w:r w:rsidRPr="00D01520">
        <w:rPr>
          <w:rFonts w:ascii="Calibri" w:hAnsi="Calibri" w:cs="Calibri"/>
          <w:shd w:val="clear" w:color="auto" w:fill="FBFBFB"/>
        </w:rPr>
        <w:t>University Press of Colorado, </w:t>
      </w:r>
      <w:r w:rsidRPr="00D01520">
        <w:rPr>
          <w:rFonts w:ascii="Calibri" w:hAnsi="Calibri" w:cs="Calibri"/>
          <w:i/>
          <w:iCs/>
          <w:shd w:val="clear" w:color="auto" w:fill="FBFBFB"/>
        </w:rPr>
        <w:t>Alas, Poor Ghost! Traditions of Belief in Story and Discourse</w:t>
      </w:r>
      <w:r w:rsidRPr="00D01520">
        <w:rPr>
          <w:rFonts w:ascii="Calibri" w:hAnsi="Calibri" w:cs="Calibri"/>
          <w:shd w:val="clear" w:color="auto" w:fill="FBFBFB"/>
        </w:rPr>
        <w:t> (2023) &lt;</w:t>
      </w:r>
      <w:r w:rsidRPr="00D01520">
        <w:rPr>
          <w:rFonts w:ascii="Calibri" w:hAnsi="Calibri" w:cs="Calibri"/>
        </w:rPr>
        <w:t xml:space="preserve"> </w:t>
      </w:r>
      <w:r w:rsidRPr="00D01520">
        <w:rPr>
          <w:rFonts w:ascii="Calibri" w:hAnsi="Calibri" w:cs="Calibri"/>
          <w:shd w:val="clear" w:color="auto" w:fill="FBFBFB"/>
        </w:rPr>
        <w:t>https://upcolorado.com/utah-state-university-press/item/2143-alas-poor-ghost &gt; [accessed 28 February 2023].</w:t>
      </w:r>
      <w:bookmarkEnd w:id="6"/>
    </w:p>
  </w:footnote>
  <w:footnote w:id="4">
    <w:p w14:paraId="330DAB8E" w14:textId="77777777" w:rsidR="0022720F" w:rsidRPr="00B140D8" w:rsidRDefault="0022720F" w:rsidP="0022720F">
      <w:pPr>
        <w:pStyle w:val="FootnoteText"/>
        <w:rPr>
          <w:rFonts w:ascii="Calibri" w:hAnsi="Calibri" w:cs="Calibri"/>
          <w:lang w:val="en-US"/>
        </w:rPr>
      </w:pPr>
      <w:r w:rsidRPr="00B140D8">
        <w:rPr>
          <w:rStyle w:val="FootnoteReference"/>
          <w:rFonts w:ascii="Calibri" w:hAnsi="Calibri" w:cs="Calibri"/>
        </w:rPr>
        <w:footnoteRef/>
      </w:r>
      <w:r w:rsidRPr="00B140D8">
        <w:rPr>
          <w:rFonts w:ascii="Calibri" w:hAnsi="Calibri" w:cs="Calibri"/>
        </w:rPr>
        <w:t xml:space="preserve"> </w:t>
      </w:r>
      <w:r w:rsidRPr="00B140D8">
        <w:rPr>
          <w:rFonts w:ascii="Calibri" w:hAnsi="Calibri" w:cs="Calibri"/>
          <w:color w:val="333333"/>
          <w:shd w:val="clear" w:color="auto" w:fill="FBFBFB"/>
        </w:rPr>
        <w:t xml:space="preserve">Md </w:t>
      </w:r>
      <w:proofErr w:type="spellStart"/>
      <w:r w:rsidRPr="00B140D8">
        <w:rPr>
          <w:rFonts w:ascii="Calibri" w:hAnsi="Calibri" w:cs="Calibri"/>
          <w:color w:val="333333"/>
          <w:shd w:val="clear" w:color="auto" w:fill="FBFBFB"/>
        </w:rPr>
        <w:t>Shidur</w:t>
      </w:r>
      <w:proofErr w:type="spellEnd"/>
      <w:r w:rsidRPr="00B140D8">
        <w:rPr>
          <w:rFonts w:ascii="Calibri" w:hAnsi="Calibri" w:cs="Calibri"/>
          <w:color w:val="333333"/>
          <w:shd w:val="clear" w:color="auto" w:fill="FBFBFB"/>
        </w:rPr>
        <w:t xml:space="preserve"> Rahman, 'The Advantages and Disadvantages of Using Qualitative and Quantitative Approaches and Methods in Language "Testing and Assessment" Research: A Literature Review', </w:t>
      </w:r>
      <w:r w:rsidRPr="00B140D8">
        <w:rPr>
          <w:rFonts w:ascii="Calibri" w:hAnsi="Calibri" w:cs="Calibri"/>
          <w:i/>
          <w:iCs/>
          <w:color w:val="333333"/>
          <w:shd w:val="clear" w:color="auto" w:fill="FBFBFB"/>
        </w:rPr>
        <w:t>Journal of Education and Learning</w:t>
      </w:r>
      <w:r w:rsidRPr="00B140D8">
        <w:rPr>
          <w:rFonts w:ascii="Calibri" w:hAnsi="Calibri" w:cs="Calibri"/>
          <w:color w:val="333333"/>
          <w:shd w:val="clear" w:color="auto" w:fill="FBFBFB"/>
        </w:rPr>
        <w:t>, Volume number. Issue number, 6.1 (2017) &lt;</w:t>
      </w:r>
      <w:r w:rsidRPr="00B140D8">
        <w:rPr>
          <w:rFonts w:ascii="Calibri" w:hAnsi="Calibri" w:cs="Calibri"/>
        </w:rPr>
        <w:t xml:space="preserve"> http://dx.doi.org/10.5539/jel.v6n1p102 </w:t>
      </w:r>
      <w:r w:rsidRPr="00B140D8">
        <w:rPr>
          <w:rFonts w:ascii="Calibri" w:hAnsi="Calibri" w:cs="Calibri"/>
          <w:color w:val="333333"/>
          <w:shd w:val="clear" w:color="auto" w:fill="FBFBFB"/>
        </w:rPr>
        <w:t>&gt; [28 February 2024].</w:t>
      </w:r>
    </w:p>
  </w:footnote>
  <w:footnote w:id="5">
    <w:p w14:paraId="2E7B2D78" w14:textId="77777777" w:rsidR="0022720F" w:rsidRPr="00B140D8" w:rsidRDefault="0022720F" w:rsidP="0022720F">
      <w:pPr>
        <w:pStyle w:val="FootnoteText"/>
        <w:rPr>
          <w:rFonts w:ascii="Calibri" w:hAnsi="Calibri" w:cs="Calibri"/>
          <w:lang w:val="en-US"/>
        </w:rPr>
      </w:pPr>
      <w:r w:rsidRPr="00B140D8">
        <w:rPr>
          <w:rStyle w:val="FootnoteReference"/>
          <w:rFonts w:ascii="Calibri" w:hAnsi="Calibri" w:cs="Calibri"/>
        </w:rPr>
        <w:footnoteRef/>
      </w:r>
      <w:r w:rsidRPr="00B140D8">
        <w:rPr>
          <w:rFonts w:ascii="Calibri" w:hAnsi="Calibri" w:cs="Calibri"/>
        </w:rPr>
        <w:t xml:space="preserve"> </w:t>
      </w:r>
      <w:r w:rsidRPr="00B140D8">
        <w:rPr>
          <w:rFonts w:ascii="Calibri" w:hAnsi="Calibri" w:cs="Calibri"/>
          <w:color w:val="333333"/>
          <w:shd w:val="clear" w:color="auto" w:fill="FBFBFB"/>
        </w:rPr>
        <w:t>Charlotte Nickerson, </w:t>
      </w:r>
      <w:r w:rsidRPr="00B140D8">
        <w:rPr>
          <w:rFonts w:ascii="Calibri" w:hAnsi="Calibri" w:cs="Calibri"/>
          <w:i/>
          <w:iCs/>
          <w:color w:val="333333"/>
          <w:shd w:val="clear" w:color="auto" w:fill="FBFBFB"/>
        </w:rPr>
        <w:t xml:space="preserve">Positivism </w:t>
      </w:r>
      <w:proofErr w:type="gramStart"/>
      <w:r w:rsidRPr="00B140D8">
        <w:rPr>
          <w:rFonts w:ascii="Calibri" w:hAnsi="Calibri" w:cs="Calibri"/>
          <w:i/>
          <w:iCs/>
          <w:color w:val="333333"/>
          <w:shd w:val="clear" w:color="auto" w:fill="FBFBFB"/>
        </w:rPr>
        <w:t>In</w:t>
      </w:r>
      <w:proofErr w:type="gramEnd"/>
      <w:r w:rsidRPr="00B140D8">
        <w:rPr>
          <w:rFonts w:ascii="Calibri" w:hAnsi="Calibri" w:cs="Calibri"/>
          <w:i/>
          <w:iCs/>
          <w:color w:val="333333"/>
          <w:shd w:val="clear" w:color="auto" w:fill="FBFBFB"/>
        </w:rPr>
        <w:t xml:space="preserve"> Sociology: Definition, Theory &amp; Examples</w:t>
      </w:r>
      <w:r w:rsidRPr="00B140D8">
        <w:rPr>
          <w:rFonts w:ascii="Calibri" w:hAnsi="Calibri" w:cs="Calibri"/>
          <w:color w:val="333333"/>
          <w:shd w:val="clear" w:color="auto" w:fill="FBFBFB"/>
        </w:rPr>
        <w:t> (2023) &lt;</w:t>
      </w:r>
      <w:r w:rsidRPr="00B140D8">
        <w:rPr>
          <w:rFonts w:ascii="Calibri" w:hAnsi="Calibri" w:cs="Calibri"/>
        </w:rPr>
        <w:t xml:space="preserve"> </w:t>
      </w:r>
      <w:r w:rsidRPr="00B140D8">
        <w:rPr>
          <w:rFonts w:ascii="Calibri" w:hAnsi="Calibri" w:cs="Calibri"/>
          <w:color w:val="333333"/>
          <w:shd w:val="clear" w:color="auto" w:fill="FBFBFB"/>
        </w:rPr>
        <w:t>https://www.simplypsychology.org/positivism-in-sociology-definition-theory-examples.html#Key-Principles&gt; [accessed 29 February 2024].</w:t>
      </w:r>
    </w:p>
  </w:footnote>
  <w:footnote w:id="6">
    <w:p w14:paraId="468C27FD" w14:textId="77777777" w:rsidR="0022720F" w:rsidRPr="00B140D8" w:rsidRDefault="0022720F" w:rsidP="0022720F">
      <w:pPr>
        <w:pStyle w:val="FootnoteText"/>
        <w:rPr>
          <w:rFonts w:ascii="Calibri" w:hAnsi="Calibri" w:cs="Calibri"/>
          <w:lang w:val="en-US"/>
        </w:rPr>
      </w:pPr>
      <w:r w:rsidRPr="00B140D8">
        <w:rPr>
          <w:rStyle w:val="FootnoteReference"/>
          <w:rFonts w:ascii="Calibri" w:hAnsi="Calibri" w:cs="Calibri"/>
        </w:rPr>
        <w:footnoteRef/>
      </w:r>
      <w:r w:rsidRPr="00B140D8">
        <w:rPr>
          <w:rFonts w:ascii="Calibri" w:hAnsi="Calibri" w:cs="Calibri"/>
        </w:rPr>
        <w:t xml:space="preserve"> </w:t>
      </w:r>
      <w:r w:rsidRPr="00B140D8">
        <w:rPr>
          <w:rFonts w:ascii="Calibri" w:hAnsi="Calibri" w:cs="Calibri"/>
          <w:color w:val="333333"/>
          <w:shd w:val="clear" w:color="auto" w:fill="FBFBFB"/>
        </w:rPr>
        <w:t xml:space="preserve">Todd D. </w:t>
      </w:r>
      <w:proofErr w:type="spellStart"/>
      <w:r w:rsidRPr="00B140D8">
        <w:rPr>
          <w:rFonts w:ascii="Calibri" w:hAnsi="Calibri" w:cs="Calibri"/>
          <w:color w:val="333333"/>
          <w:shd w:val="clear" w:color="auto" w:fill="FBFBFB"/>
        </w:rPr>
        <w:t>Jick</w:t>
      </w:r>
      <w:proofErr w:type="spellEnd"/>
      <w:r w:rsidRPr="00B140D8">
        <w:rPr>
          <w:rFonts w:ascii="Calibri" w:hAnsi="Calibri" w:cs="Calibri"/>
          <w:color w:val="333333"/>
          <w:shd w:val="clear" w:color="auto" w:fill="FBFBFB"/>
        </w:rPr>
        <w:t>, 'Mixing Qualitative and Quantitative Methods: Triangulation in Action', </w:t>
      </w:r>
      <w:r w:rsidRPr="00B140D8">
        <w:rPr>
          <w:rFonts w:ascii="Calibri" w:hAnsi="Calibri" w:cs="Calibri"/>
          <w:i/>
          <w:iCs/>
          <w:color w:val="333333"/>
          <w:shd w:val="clear" w:color="auto" w:fill="FBFBFB"/>
        </w:rPr>
        <w:t>Administrative Science Quarterly</w:t>
      </w:r>
      <w:r w:rsidRPr="00B140D8">
        <w:rPr>
          <w:rFonts w:ascii="Calibri" w:hAnsi="Calibri" w:cs="Calibri"/>
          <w:color w:val="333333"/>
          <w:shd w:val="clear" w:color="auto" w:fill="FBFBFB"/>
        </w:rPr>
        <w:t>, 24. 4 (1979), pp. 602-611 (p. 602).</w:t>
      </w:r>
    </w:p>
  </w:footnote>
  <w:footnote w:id="7">
    <w:p w14:paraId="09E6F51F" w14:textId="77777777" w:rsidR="0022720F" w:rsidRPr="00F91FDC" w:rsidRDefault="0022720F" w:rsidP="0022720F">
      <w:pPr>
        <w:pStyle w:val="FootnoteText"/>
        <w:rPr>
          <w:lang w:val="en-US"/>
        </w:rPr>
      </w:pPr>
      <w:r w:rsidRPr="00B140D8">
        <w:rPr>
          <w:rStyle w:val="FootnoteReference"/>
          <w:rFonts w:ascii="Calibri" w:hAnsi="Calibri" w:cs="Calibri"/>
        </w:rPr>
        <w:footnoteRef/>
      </w:r>
      <w:r w:rsidRPr="00B140D8">
        <w:rPr>
          <w:rFonts w:ascii="Calibri" w:hAnsi="Calibri" w:cs="Calibri"/>
        </w:rPr>
        <w:t xml:space="preserve"> </w:t>
      </w:r>
      <w:r w:rsidRPr="00B140D8">
        <w:rPr>
          <w:rFonts w:ascii="Calibri" w:hAnsi="Calibri" w:cs="Calibri"/>
          <w:color w:val="333333"/>
          <w:shd w:val="clear" w:color="auto" w:fill="FBFBFB"/>
        </w:rPr>
        <w:t>Martyn Hammersley, 'Troubles with triangulation', in </w:t>
      </w:r>
      <w:r w:rsidRPr="00B140D8">
        <w:rPr>
          <w:rFonts w:ascii="Calibri" w:hAnsi="Calibri" w:cs="Calibri"/>
          <w:i/>
          <w:iCs/>
          <w:color w:val="333333"/>
          <w:shd w:val="clear" w:color="auto" w:fill="FBFBFB"/>
        </w:rPr>
        <w:t>Advances in Mixed Methods of Research</w:t>
      </w:r>
      <w:r w:rsidRPr="00B140D8">
        <w:rPr>
          <w:rFonts w:ascii="Calibri" w:hAnsi="Calibri" w:cs="Calibri"/>
          <w:color w:val="333333"/>
          <w:shd w:val="clear" w:color="auto" w:fill="FBFBFB"/>
        </w:rPr>
        <w:t>, ed. by Manfred Max Bergman (London: Sage, 2008), pp. 22-36 (p. 25).</w:t>
      </w:r>
    </w:p>
  </w:footnote>
  <w:footnote w:id="8">
    <w:p w14:paraId="0331A5DE" w14:textId="77777777" w:rsidR="0022720F" w:rsidRPr="00D01520" w:rsidRDefault="0022720F" w:rsidP="0022720F">
      <w:pPr>
        <w:pStyle w:val="FootnoteText"/>
        <w:rPr>
          <w:rFonts w:ascii="Calibri" w:hAnsi="Calibri" w:cs="Calibri"/>
          <w:lang w:val="en-US"/>
        </w:rPr>
      </w:pPr>
      <w:r w:rsidRPr="00D01520">
        <w:rPr>
          <w:rStyle w:val="FootnoteReference"/>
          <w:rFonts w:ascii="Calibri" w:hAnsi="Calibri" w:cs="Calibri"/>
        </w:rPr>
        <w:footnoteRef/>
      </w:r>
      <w:r w:rsidRPr="00D01520">
        <w:rPr>
          <w:rFonts w:ascii="Calibri" w:hAnsi="Calibri" w:cs="Calibri"/>
        </w:rPr>
        <w:t xml:space="preserve"> </w:t>
      </w:r>
      <w:r w:rsidRPr="00D01520">
        <w:rPr>
          <w:rFonts w:ascii="Calibri" w:hAnsi="Calibri" w:cs="Calibri"/>
          <w:color w:val="333333"/>
          <w:shd w:val="clear" w:color="auto" w:fill="FBFBFB"/>
        </w:rPr>
        <w:t>National Commission for the Protection of Human Subjects of Biomedical and Behavioural Research. </w:t>
      </w:r>
      <w:r w:rsidRPr="00D01520">
        <w:rPr>
          <w:rFonts w:ascii="Calibri" w:hAnsi="Calibri" w:cs="Calibri"/>
          <w:i/>
          <w:iCs/>
          <w:color w:val="333333"/>
          <w:shd w:val="clear" w:color="auto" w:fill="FBFBFB"/>
        </w:rPr>
        <w:t>The Belmont Report</w:t>
      </w:r>
      <w:r w:rsidRPr="00D01520">
        <w:rPr>
          <w:rFonts w:ascii="Calibri" w:hAnsi="Calibri" w:cs="Calibri"/>
          <w:color w:val="333333"/>
          <w:shd w:val="clear" w:color="auto" w:fill="FBFBFB"/>
        </w:rPr>
        <w:t>. Office of the Secretary, 1979. &lt;</w:t>
      </w:r>
      <w:r w:rsidRPr="00D01520">
        <w:rPr>
          <w:rFonts w:ascii="Calibri" w:hAnsi="Calibri" w:cs="Calibri"/>
        </w:rPr>
        <w:t xml:space="preserve"> </w:t>
      </w:r>
      <w:r w:rsidRPr="00D01520">
        <w:rPr>
          <w:rFonts w:ascii="Calibri" w:hAnsi="Calibri" w:cs="Calibri"/>
          <w:color w:val="333333"/>
          <w:shd w:val="clear" w:color="auto" w:fill="FBFBFB"/>
        </w:rPr>
        <w:t>https://www.hhs.gov/ohrp/regulations-and-policy/belmont-report/read-the-belmont-report/index.html&gt; [27 February 2024]. </w:t>
      </w:r>
    </w:p>
  </w:footnote>
  <w:footnote w:id="9">
    <w:p w14:paraId="22B4F171" w14:textId="77777777" w:rsidR="0022720F" w:rsidRPr="00D01520" w:rsidRDefault="0022720F" w:rsidP="0022720F">
      <w:pPr>
        <w:pStyle w:val="FootnoteText"/>
        <w:rPr>
          <w:rFonts w:ascii="Calibri" w:hAnsi="Calibri" w:cs="Calibri"/>
        </w:rPr>
      </w:pPr>
      <w:r w:rsidRPr="00D01520">
        <w:rPr>
          <w:rStyle w:val="FootnoteReference"/>
          <w:rFonts w:ascii="Calibri" w:hAnsi="Calibri" w:cs="Calibri"/>
        </w:rPr>
        <w:footnoteRef/>
      </w:r>
      <w:r w:rsidRPr="00D01520">
        <w:rPr>
          <w:rFonts w:ascii="Calibri" w:hAnsi="Calibri" w:cs="Calibri"/>
        </w:rPr>
        <w:t xml:space="preserve"> </w:t>
      </w:r>
      <w:bookmarkStart w:id="7" w:name="_Hlk160896417"/>
      <w:r w:rsidRPr="00D01520">
        <w:rPr>
          <w:rFonts w:ascii="Calibri" w:hAnsi="Calibri" w:cs="Calibri"/>
          <w:color w:val="333333"/>
          <w:shd w:val="clear" w:color="auto" w:fill="FBFBFB"/>
        </w:rPr>
        <w:t>Paul Spicker. </w:t>
      </w:r>
      <w:r w:rsidRPr="00D01520">
        <w:rPr>
          <w:rFonts w:ascii="Calibri" w:hAnsi="Calibri" w:cs="Calibri"/>
          <w:i/>
          <w:iCs/>
          <w:color w:val="333333"/>
          <w:shd w:val="clear" w:color="auto" w:fill="FBFBFB"/>
        </w:rPr>
        <w:t>Research Without Consent</w:t>
      </w:r>
      <w:r w:rsidRPr="00D01520">
        <w:rPr>
          <w:rFonts w:ascii="Calibri" w:hAnsi="Calibri" w:cs="Calibri"/>
          <w:color w:val="333333"/>
          <w:shd w:val="clear" w:color="auto" w:fill="FBFBFB"/>
        </w:rPr>
        <w:t>. University of Surrey, 2007. https://sru.soc.surrey.ac.uk/SRU51.pdf [Accessed: 28 February 2024]</w:t>
      </w:r>
      <w:bookmarkEnd w:id="7"/>
    </w:p>
  </w:footnote>
  <w:footnote w:id="10">
    <w:p w14:paraId="129F53F2" w14:textId="77777777" w:rsidR="0022720F" w:rsidRPr="00AA5D32" w:rsidRDefault="0022720F" w:rsidP="0022720F">
      <w:pPr>
        <w:rPr>
          <w:rFonts w:ascii="Calibri" w:hAnsi="Calibri" w:cs="Calibri"/>
        </w:rPr>
      </w:pPr>
      <w:r w:rsidRPr="00D01520">
        <w:rPr>
          <w:rStyle w:val="FootnoteReference"/>
          <w:rFonts w:ascii="Calibri" w:hAnsi="Calibri" w:cs="Calibri"/>
          <w:sz w:val="20"/>
          <w:szCs w:val="20"/>
        </w:rPr>
        <w:footnoteRef/>
      </w:r>
      <w:r w:rsidRPr="00D01520">
        <w:rPr>
          <w:rFonts w:ascii="Calibri" w:hAnsi="Calibri" w:cs="Calibri"/>
          <w:sz w:val="20"/>
          <w:szCs w:val="20"/>
        </w:rPr>
        <w:t xml:space="preserve"> Bennett, G. 1995. “If I Knew You were </w:t>
      </w:r>
      <w:proofErr w:type="gramStart"/>
      <w:r w:rsidRPr="00D01520">
        <w:rPr>
          <w:rFonts w:ascii="Calibri" w:hAnsi="Calibri" w:cs="Calibri"/>
          <w:sz w:val="20"/>
          <w:szCs w:val="20"/>
        </w:rPr>
        <w:t>Coming</w:t>
      </w:r>
      <w:proofErr w:type="gramEnd"/>
      <w:r w:rsidRPr="00D01520">
        <w:rPr>
          <w:rFonts w:ascii="Calibri" w:hAnsi="Calibri" w:cs="Calibri"/>
          <w:sz w:val="20"/>
          <w:szCs w:val="20"/>
        </w:rPr>
        <w:t xml:space="preserve"> I'd Have Baked a Cake”: The Folklore of Foreknowledge in a </w:t>
      </w:r>
      <w:proofErr w:type="spellStart"/>
      <w:r w:rsidRPr="00D01520">
        <w:rPr>
          <w:rFonts w:ascii="Calibri" w:hAnsi="Calibri" w:cs="Calibri"/>
          <w:sz w:val="20"/>
          <w:szCs w:val="20"/>
        </w:rPr>
        <w:t>Neighborhood</w:t>
      </w:r>
      <w:proofErr w:type="spellEnd"/>
      <w:r w:rsidRPr="00D01520">
        <w:rPr>
          <w:rFonts w:ascii="Calibri" w:hAnsi="Calibri" w:cs="Calibri"/>
          <w:sz w:val="20"/>
          <w:szCs w:val="20"/>
        </w:rPr>
        <w:t xml:space="preserve"> Group. In Out of the Ordinary: Folklore and the Supernatural, edited by Barbara Walker, 122-142. Logan, Utah: Utah University Press. pp. 127.</w:t>
      </w:r>
    </w:p>
  </w:footnote>
  <w:footnote w:id="11">
    <w:p w14:paraId="5D989FF0" w14:textId="77777777" w:rsidR="0022720F" w:rsidRPr="00D01520" w:rsidRDefault="0022720F" w:rsidP="0022720F">
      <w:pPr>
        <w:pStyle w:val="FootnoteText"/>
        <w:rPr>
          <w:rFonts w:ascii="Calibri" w:hAnsi="Calibri" w:cs="Calibri"/>
        </w:rPr>
      </w:pPr>
      <w:r w:rsidRPr="00D01520">
        <w:rPr>
          <w:rStyle w:val="FootnoteReference"/>
          <w:rFonts w:ascii="Calibri" w:hAnsi="Calibri" w:cs="Calibri"/>
        </w:rPr>
        <w:footnoteRef/>
      </w:r>
      <w:r w:rsidRPr="00D01520">
        <w:rPr>
          <w:rFonts w:ascii="Calibri" w:hAnsi="Calibri" w:cs="Calibri"/>
        </w:rPr>
        <w:t xml:space="preserve"> Bennett, G. 1995. “If I Knew You were </w:t>
      </w:r>
      <w:proofErr w:type="gramStart"/>
      <w:r w:rsidRPr="00D01520">
        <w:rPr>
          <w:rFonts w:ascii="Calibri" w:hAnsi="Calibri" w:cs="Calibri"/>
        </w:rPr>
        <w:t>Coming</w:t>
      </w:r>
      <w:proofErr w:type="gramEnd"/>
      <w:r w:rsidRPr="00D01520">
        <w:rPr>
          <w:rFonts w:ascii="Calibri" w:hAnsi="Calibri" w:cs="Calibri"/>
        </w:rPr>
        <w:t xml:space="preserve"> I'd Have Baked a Cake”: The Folklore of Foreknowledge in a </w:t>
      </w:r>
      <w:proofErr w:type="spellStart"/>
      <w:r w:rsidRPr="00D01520">
        <w:rPr>
          <w:rFonts w:ascii="Calibri" w:hAnsi="Calibri" w:cs="Calibri"/>
        </w:rPr>
        <w:t>Neighborhood</w:t>
      </w:r>
      <w:proofErr w:type="spellEnd"/>
      <w:r w:rsidRPr="00D01520">
        <w:rPr>
          <w:rFonts w:ascii="Calibri" w:hAnsi="Calibri" w:cs="Calibri"/>
        </w:rPr>
        <w:t xml:space="preserve"> Group. In Out of the Ordinary: Folklore and the Supernatural, edited by Barbara Walker, 122-142. Logan, Utah: Utah University Press. pp. 127.</w:t>
      </w:r>
    </w:p>
  </w:footnote>
  <w:footnote w:id="12">
    <w:p w14:paraId="2A8F582C" w14:textId="77777777" w:rsidR="0022720F" w:rsidRPr="00D01520" w:rsidRDefault="0022720F" w:rsidP="0022720F">
      <w:pPr>
        <w:pStyle w:val="FootnoteText"/>
        <w:rPr>
          <w:rFonts w:ascii="Calibri" w:hAnsi="Calibri" w:cs="Calibri"/>
        </w:rPr>
      </w:pPr>
      <w:r w:rsidRPr="00D01520">
        <w:rPr>
          <w:rStyle w:val="FootnoteReference"/>
          <w:rFonts w:ascii="Calibri" w:hAnsi="Calibri" w:cs="Calibri"/>
        </w:rPr>
        <w:footnoteRef/>
      </w:r>
      <w:r w:rsidRPr="00D01520">
        <w:rPr>
          <w:rFonts w:ascii="Calibri" w:hAnsi="Calibri" w:cs="Calibri"/>
        </w:rPr>
        <w:t xml:space="preserve"> </w:t>
      </w:r>
      <w:bookmarkStart w:id="8" w:name="_Hlk160900612"/>
      <w:r w:rsidRPr="00D01520">
        <w:rPr>
          <w:rFonts w:ascii="Calibri" w:hAnsi="Calibri" w:cs="Calibri"/>
          <w:shd w:val="clear" w:color="auto" w:fill="FFFFFF"/>
        </w:rPr>
        <w:t>B. Saunders, J. Kitzinger, C. Kitzinger</w:t>
      </w:r>
      <w:r w:rsidRPr="00D01520">
        <w:rPr>
          <w:rFonts w:ascii="Calibri" w:hAnsi="Calibri" w:cs="Calibri"/>
          <w:shd w:val="clear" w:color="auto" w:fill="FBFBFB"/>
        </w:rPr>
        <w:t>, '</w:t>
      </w:r>
      <w:r w:rsidRPr="00D01520">
        <w:rPr>
          <w:rFonts w:ascii="Calibri" w:hAnsi="Calibri" w:cs="Calibri"/>
          <w:shd w:val="clear" w:color="auto" w:fill="FFFFFF"/>
        </w:rPr>
        <w:t>Anonymising interview data: challenges and compromise in practice</w:t>
      </w:r>
      <w:r w:rsidRPr="00D01520">
        <w:rPr>
          <w:rFonts w:ascii="Calibri" w:hAnsi="Calibri" w:cs="Calibri"/>
          <w:shd w:val="clear" w:color="auto" w:fill="FBFBFB"/>
        </w:rPr>
        <w:t>', </w:t>
      </w:r>
      <w:r w:rsidRPr="00D01520">
        <w:rPr>
          <w:rFonts w:ascii="Calibri" w:hAnsi="Calibri" w:cs="Calibri"/>
          <w:i/>
          <w:iCs/>
          <w:shd w:val="clear" w:color="auto" w:fill="FBFBFB"/>
        </w:rPr>
        <w:t>Qual Res.</w:t>
      </w:r>
      <w:r w:rsidRPr="00D01520">
        <w:rPr>
          <w:rFonts w:ascii="Calibri" w:hAnsi="Calibri" w:cs="Calibri"/>
          <w:shd w:val="clear" w:color="auto" w:fill="FBFBFB"/>
        </w:rPr>
        <w:t>, 15. 5. (2015), 616-632 (pp. 618) &lt;</w:t>
      </w:r>
      <w:r w:rsidRPr="00D01520">
        <w:rPr>
          <w:rFonts w:ascii="Calibri" w:hAnsi="Calibri" w:cs="Calibri"/>
        </w:rPr>
        <w:t xml:space="preserve"> </w:t>
      </w:r>
      <w:r w:rsidRPr="00D01520">
        <w:rPr>
          <w:rFonts w:ascii="Calibri" w:hAnsi="Calibri" w:cs="Calibri"/>
          <w:shd w:val="clear" w:color="auto" w:fill="FBFBFB"/>
        </w:rPr>
        <w:t>https://www.ncbi.nlm.nih.gov/pmc/articles/PMC4582834/&gt; [accessed 26 February 2024].</w:t>
      </w:r>
      <w:bookmarkEnd w:id="8"/>
    </w:p>
  </w:footnote>
  <w:footnote w:id="13">
    <w:p w14:paraId="583655BE" w14:textId="77777777" w:rsidR="0022720F" w:rsidRPr="00D01520" w:rsidRDefault="0022720F" w:rsidP="0022720F">
      <w:pPr>
        <w:pStyle w:val="FootnoteText"/>
        <w:rPr>
          <w:rFonts w:ascii="Calibri" w:hAnsi="Calibri" w:cs="Calibri"/>
        </w:rPr>
      </w:pPr>
      <w:r w:rsidRPr="00D01520">
        <w:rPr>
          <w:rStyle w:val="FootnoteReference"/>
          <w:rFonts w:ascii="Calibri" w:hAnsi="Calibri" w:cs="Calibri"/>
        </w:rPr>
        <w:footnoteRef/>
      </w:r>
      <w:r w:rsidRPr="00D01520">
        <w:rPr>
          <w:rFonts w:ascii="Calibri" w:hAnsi="Calibri" w:cs="Calibri"/>
        </w:rPr>
        <w:t xml:space="preserve"> </w:t>
      </w:r>
      <w:bookmarkStart w:id="9" w:name="_Hlk160901665"/>
      <w:r w:rsidRPr="00D01520">
        <w:rPr>
          <w:rFonts w:ascii="Calibri" w:hAnsi="Calibri" w:cs="Calibri"/>
          <w:shd w:val="clear" w:color="auto" w:fill="FBFBFB"/>
        </w:rPr>
        <w:t>Ann Bonner &amp; Gerda Tolhurst, 'Insider-outsider perspectives of participant observation', Nurse Researcher, 9 (2002), 7-19 (pp. 13) &lt;</w:t>
      </w:r>
      <w:r w:rsidRPr="00D01520">
        <w:rPr>
          <w:rFonts w:ascii="Calibri" w:hAnsi="Calibri" w:cs="Calibri"/>
        </w:rPr>
        <w:t xml:space="preserve"> </w:t>
      </w:r>
      <w:r w:rsidRPr="00D01520">
        <w:rPr>
          <w:rFonts w:ascii="Calibri" w:hAnsi="Calibri" w:cs="Calibri"/>
          <w:shd w:val="clear" w:color="auto" w:fill="FBFBFB"/>
        </w:rPr>
        <w:t>https://www.researchgate.net/publication/11232650_Insider-outsider_perspectives_of_participant_observation?_tp=eyJjb250ZXh0Ijp7ImZpcnN0UGFnZSI6Il9kaXJlY3QiLCJwYWdlIjoiX2RpcmVjdCJ9fQ&gt; [accessed 27 February 2024].</w:t>
      </w:r>
      <w:bookmarkEnd w:id="9"/>
    </w:p>
  </w:footnote>
  <w:footnote w:id="14">
    <w:p w14:paraId="378437FC" w14:textId="77777777" w:rsidR="0022720F" w:rsidRPr="00D01520" w:rsidRDefault="0022720F" w:rsidP="0022720F">
      <w:pPr>
        <w:pStyle w:val="FootnoteText"/>
        <w:rPr>
          <w:rFonts w:ascii="Calibri" w:hAnsi="Calibri" w:cs="Calibri"/>
        </w:rPr>
      </w:pPr>
      <w:r w:rsidRPr="00D01520">
        <w:rPr>
          <w:rStyle w:val="FootnoteReference"/>
          <w:rFonts w:ascii="Calibri" w:hAnsi="Calibri" w:cs="Calibri"/>
        </w:rPr>
        <w:footnoteRef/>
      </w:r>
      <w:r w:rsidRPr="00D01520">
        <w:rPr>
          <w:rFonts w:ascii="Calibri" w:hAnsi="Calibri" w:cs="Calibri"/>
        </w:rPr>
        <w:t xml:space="preserve"> </w:t>
      </w:r>
      <w:bookmarkStart w:id="10" w:name="_Hlk160901975"/>
      <w:r w:rsidRPr="00D01520">
        <w:rPr>
          <w:rFonts w:ascii="Calibri" w:hAnsi="Calibri" w:cs="Calibri"/>
          <w:shd w:val="clear" w:color="auto" w:fill="FFFFFF"/>
        </w:rPr>
        <w:t xml:space="preserve">T. Brannick, &amp; D. Coghlan. ‘In </w:t>
      </w:r>
      <w:proofErr w:type="spellStart"/>
      <w:r w:rsidRPr="00D01520">
        <w:rPr>
          <w:rFonts w:ascii="Calibri" w:hAnsi="Calibri" w:cs="Calibri"/>
          <w:shd w:val="clear" w:color="auto" w:fill="FFFFFF"/>
        </w:rPr>
        <w:t>Defense</w:t>
      </w:r>
      <w:proofErr w:type="spellEnd"/>
      <w:r w:rsidRPr="00D01520">
        <w:rPr>
          <w:rFonts w:ascii="Calibri" w:hAnsi="Calibri" w:cs="Calibri"/>
          <w:shd w:val="clear" w:color="auto" w:fill="FFFFFF"/>
        </w:rPr>
        <w:t xml:space="preserve"> of being “Native”: The case for insider academic research’. </w:t>
      </w:r>
      <w:r w:rsidRPr="00D01520">
        <w:rPr>
          <w:rStyle w:val="Emphasis"/>
          <w:rFonts w:ascii="Calibri" w:hAnsi="Calibri" w:cs="Calibri"/>
          <w:shd w:val="clear" w:color="auto" w:fill="FFFFFF"/>
        </w:rPr>
        <w:t xml:space="preserve">Organizational Research Methods, 10.1. </w:t>
      </w:r>
      <w:r w:rsidRPr="00D01520">
        <w:rPr>
          <w:rFonts w:ascii="Calibri" w:hAnsi="Calibri" w:cs="Calibri"/>
          <w:shd w:val="clear" w:color="auto" w:fill="FFFFFF"/>
        </w:rPr>
        <w:t>(2007</w:t>
      </w:r>
      <w:proofErr w:type="gramStart"/>
      <w:r w:rsidRPr="00D01520">
        <w:rPr>
          <w:rFonts w:ascii="Calibri" w:hAnsi="Calibri" w:cs="Calibri"/>
          <w:shd w:val="clear" w:color="auto" w:fill="FFFFFF"/>
        </w:rPr>
        <w:t>) ,</w:t>
      </w:r>
      <w:proofErr w:type="gramEnd"/>
      <w:r w:rsidRPr="00D01520">
        <w:rPr>
          <w:rFonts w:ascii="Calibri" w:hAnsi="Calibri" w:cs="Calibri"/>
          <w:shd w:val="clear" w:color="auto" w:fill="FFFFFF"/>
        </w:rPr>
        <w:t xml:space="preserve"> 59–74. doi:10.1177/1094428106289253</w:t>
      </w:r>
      <w:bookmarkEnd w:id="10"/>
    </w:p>
  </w:footnote>
  <w:footnote w:id="15">
    <w:p w14:paraId="3F9BD389" w14:textId="77777777" w:rsidR="0022720F" w:rsidRPr="0022720F" w:rsidRDefault="0022720F" w:rsidP="0022720F">
      <w:pPr>
        <w:pStyle w:val="FootnoteText"/>
        <w:rPr>
          <w:rFonts w:ascii="Calibri" w:hAnsi="Calibri" w:cs="Calibri"/>
        </w:rPr>
      </w:pPr>
      <w:r w:rsidRPr="0022720F">
        <w:rPr>
          <w:rStyle w:val="FootnoteReference"/>
          <w:rFonts w:ascii="Calibri" w:hAnsi="Calibri" w:cs="Calibri"/>
        </w:rPr>
        <w:footnoteRef/>
      </w:r>
      <w:r w:rsidRPr="0022720F">
        <w:rPr>
          <w:rFonts w:ascii="Calibri" w:hAnsi="Calibri" w:cs="Calibri"/>
        </w:rPr>
        <w:t xml:space="preserve"> </w:t>
      </w:r>
      <w:r w:rsidRPr="0022720F">
        <w:rPr>
          <w:rFonts w:ascii="Calibri" w:hAnsi="Calibri" w:cs="Calibri"/>
          <w:shd w:val="clear" w:color="auto" w:fill="FBFBFB"/>
        </w:rPr>
        <w:t>Joan E. Sieber, </w:t>
      </w:r>
      <w:r w:rsidRPr="0022720F">
        <w:rPr>
          <w:rFonts w:ascii="Calibri" w:hAnsi="Calibri" w:cs="Calibri"/>
          <w:i/>
          <w:iCs/>
          <w:shd w:val="clear" w:color="auto" w:fill="FBFBFB"/>
        </w:rPr>
        <w:t>Planning Ethically Responsible Research: A Guide for Students and Internal Review Boards</w:t>
      </w:r>
      <w:r w:rsidRPr="0022720F">
        <w:rPr>
          <w:rFonts w:ascii="Calibri" w:hAnsi="Calibri" w:cs="Calibri"/>
          <w:shd w:val="clear" w:color="auto" w:fill="FBFBFB"/>
        </w:rPr>
        <w:t>, (London: SAGE, 1992), pp. 20.</w:t>
      </w:r>
    </w:p>
  </w:footnote>
  <w:footnote w:id="16">
    <w:p w14:paraId="769C13AE" w14:textId="77777777" w:rsidR="0022720F" w:rsidRDefault="0022720F" w:rsidP="0022720F">
      <w:pPr>
        <w:pStyle w:val="FootnoteText"/>
      </w:pPr>
      <w:bookmarkStart w:id="11" w:name="_Hlk161076536"/>
      <w:bookmarkStart w:id="12" w:name="_Hlk161076537"/>
      <w:r w:rsidRPr="0022720F">
        <w:rPr>
          <w:rStyle w:val="FootnoteReference"/>
          <w:rFonts w:ascii="Calibri" w:hAnsi="Calibri" w:cs="Calibri"/>
        </w:rPr>
        <w:footnoteRef/>
      </w:r>
      <w:r w:rsidRPr="0022720F">
        <w:rPr>
          <w:rFonts w:ascii="Calibri" w:hAnsi="Calibri" w:cs="Calibri"/>
        </w:rPr>
        <w:t xml:space="preserve"> </w:t>
      </w:r>
      <w:r w:rsidRPr="0022720F">
        <w:rPr>
          <w:rFonts w:ascii="Calibri" w:hAnsi="Calibri" w:cs="Calibri"/>
          <w:color w:val="333333"/>
          <w:shd w:val="clear" w:color="auto" w:fill="FBFBFB"/>
        </w:rPr>
        <w:t xml:space="preserve">Rob </w:t>
      </w:r>
      <w:proofErr w:type="spellStart"/>
      <w:r w:rsidRPr="0022720F">
        <w:rPr>
          <w:rFonts w:ascii="Calibri" w:hAnsi="Calibri" w:cs="Calibri"/>
          <w:color w:val="333333"/>
          <w:shd w:val="clear" w:color="auto" w:fill="FBFBFB"/>
        </w:rPr>
        <w:t>Detmering</w:t>
      </w:r>
      <w:proofErr w:type="spellEnd"/>
      <w:r w:rsidRPr="0022720F">
        <w:rPr>
          <w:rFonts w:ascii="Calibri" w:hAnsi="Calibri" w:cs="Calibri"/>
          <w:color w:val="333333"/>
          <w:shd w:val="clear" w:color="auto" w:fill="FBFBFB"/>
        </w:rPr>
        <w:t>, </w:t>
      </w:r>
      <w:r w:rsidRPr="0022720F">
        <w:rPr>
          <w:rFonts w:ascii="Calibri" w:hAnsi="Calibri" w:cs="Calibri"/>
          <w:i/>
          <w:iCs/>
          <w:color w:val="333333"/>
          <w:shd w:val="clear" w:color="auto" w:fill="FBFBFB"/>
        </w:rPr>
        <w:t>UofL Libraries: Critical Thinking and Academic Research: Assumptions</w:t>
      </w:r>
      <w:r w:rsidRPr="0022720F">
        <w:rPr>
          <w:rFonts w:ascii="Calibri" w:hAnsi="Calibri" w:cs="Calibri"/>
          <w:color w:val="333333"/>
          <w:shd w:val="clear" w:color="auto" w:fill="FBFBFB"/>
        </w:rPr>
        <w:t> (2023) &lt;</w:t>
      </w:r>
      <w:r w:rsidRPr="0022720F">
        <w:rPr>
          <w:rFonts w:ascii="Calibri" w:hAnsi="Calibri" w:cs="Calibri"/>
        </w:rPr>
        <w:t xml:space="preserve"> </w:t>
      </w:r>
      <w:r w:rsidRPr="0022720F">
        <w:rPr>
          <w:rFonts w:ascii="Calibri" w:hAnsi="Calibri" w:cs="Calibri"/>
          <w:color w:val="333333"/>
          <w:shd w:val="clear" w:color="auto" w:fill="FBFBFB"/>
        </w:rPr>
        <w:t>https://library.louisville.edu/ekstrom/criticalthinking/assumptions &gt; [accessed 26 February 2024].</w:t>
      </w:r>
      <w:r>
        <w:rPr>
          <w:rFonts w:ascii="avenir-regular-class" w:hAnsi="avenir-regular-class"/>
          <w:color w:val="333333"/>
          <w:sz w:val="23"/>
          <w:szCs w:val="23"/>
          <w:shd w:val="clear" w:color="auto" w:fill="FBFBFB"/>
        </w:rPr>
        <w:t xml:space="preserve"> </w:t>
      </w:r>
      <w:bookmarkEnd w:id="11"/>
      <w:bookmarkEnd w:id="12"/>
    </w:p>
  </w:footnote>
  <w:footnote w:id="17">
    <w:p w14:paraId="35B4C985" w14:textId="77777777" w:rsidR="0022720F" w:rsidRPr="0022720F" w:rsidRDefault="0022720F" w:rsidP="0022720F">
      <w:pPr>
        <w:rPr>
          <w:rFonts w:ascii="Calibri" w:eastAsia="Times New Roman" w:hAnsi="Calibri" w:cs="Calibri"/>
          <w:sz w:val="20"/>
          <w:szCs w:val="20"/>
          <w:lang w:eastAsia="en-GB"/>
        </w:rPr>
      </w:pPr>
      <w:r w:rsidRPr="0022720F">
        <w:rPr>
          <w:rStyle w:val="FootnoteReference"/>
          <w:rFonts w:ascii="Calibri" w:hAnsi="Calibri" w:cs="Calibri"/>
          <w:sz w:val="20"/>
          <w:szCs w:val="20"/>
        </w:rPr>
        <w:footnoteRef/>
      </w:r>
      <w:r w:rsidRPr="0022720F">
        <w:rPr>
          <w:rFonts w:ascii="Calibri" w:hAnsi="Calibri" w:cs="Calibri"/>
          <w:sz w:val="20"/>
          <w:szCs w:val="20"/>
        </w:rPr>
        <w:t xml:space="preserve"> </w:t>
      </w:r>
      <w:bookmarkStart w:id="13" w:name="_Hlk161077084"/>
      <w:r w:rsidRPr="0022720F">
        <w:rPr>
          <w:rFonts w:ascii="Calibri" w:eastAsia="Times New Roman" w:hAnsi="Calibri" w:cs="Calibri"/>
          <w:sz w:val="20"/>
          <w:szCs w:val="20"/>
          <w:lang w:eastAsia="en-GB"/>
        </w:rPr>
        <w:t>D. Bondy Valdovinos Kaye, </w:t>
      </w:r>
      <w:r w:rsidRPr="0022720F">
        <w:rPr>
          <w:rFonts w:ascii="Calibri" w:eastAsia="Times New Roman" w:hAnsi="Calibri" w:cs="Calibri"/>
          <w:i/>
          <w:iCs/>
          <w:sz w:val="20"/>
          <w:szCs w:val="20"/>
          <w:shd w:val="clear" w:color="auto" w:fill="FFFFFF"/>
          <w:lang w:eastAsia="en-GB"/>
        </w:rPr>
        <w:t>Three Benefits of a Literature Review</w:t>
      </w:r>
      <w:r w:rsidRPr="0022720F">
        <w:rPr>
          <w:rFonts w:ascii="Calibri" w:eastAsia="Times New Roman" w:hAnsi="Calibri" w:cs="Calibri"/>
          <w:sz w:val="20"/>
          <w:szCs w:val="20"/>
          <w:shd w:val="clear" w:color="auto" w:fill="FFFFFF"/>
          <w:lang w:eastAsia="en-GB"/>
        </w:rPr>
        <w:t> (2023) &lt;</w:t>
      </w:r>
      <w:r w:rsidRPr="0022720F">
        <w:rPr>
          <w:rFonts w:ascii="Calibri" w:hAnsi="Calibri" w:cs="Calibri"/>
          <w:sz w:val="20"/>
          <w:szCs w:val="20"/>
        </w:rPr>
        <w:t xml:space="preserve"> </w:t>
      </w:r>
      <w:r w:rsidRPr="0022720F">
        <w:rPr>
          <w:rFonts w:ascii="Calibri" w:eastAsia="Times New Roman" w:hAnsi="Calibri" w:cs="Calibri"/>
          <w:sz w:val="20"/>
          <w:szCs w:val="20"/>
          <w:shd w:val="clear" w:color="auto" w:fill="FFFFFF"/>
          <w:lang w:eastAsia="en-GB"/>
        </w:rPr>
        <w:t>https://researchmethodscommunity.sagepub.com/blog/three-benefits-of-a-literature-review&gt; [accessed 26 February 2024].</w:t>
      </w:r>
      <w:bookmarkEnd w:id="13"/>
    </w:p>
  </w:footnote>
  <w:footnote w:id="18">
    <w:p w14:paraId="73A3D638" w14:textId="77777777" w:rsidR="0022720F" w:rsidRDefault="0022720F" w:rsidP="0022720F">
      <w:pPr>
        <w:pStyle w:val="FootnoteText"/>
      </w:pPr>
      <w:r w:rsidRPr="0022720F">
        <w:rPr>
          <w:rStyle w:val="FootnoteReference"/>
          <w:rFonts w:ascii="Calibri" w:hAnsi="Calibri" w:cs="Calibri"/>
        </w:rPr>
        <w:footnoteRef/>
      </w:r>
      <w:r w:rsidRPr="0022720F">
        <w:rPr>
          <w:rFonts w:ascii="Calibri" w:hAnsi="Calibri" w:cs="Calibri"/>
        </w:rPr>
        <w:t xml:space="preserve"> </w:t>
      </w:r>
      <w:bookmarkStart w:id="14" w:name="_Hlk161082136"/>
      <w:r w:rsidRPr="0022720F">
        <w:rPr>
          <w:rFonts w:ascii="Calibri" w:hAnsi="Calibri" w:cs="Calibri"/>
          <w:color w:val="333333"/>
          <w:shd w:val="clear" w:color="auto" w:fill="FBFBFB"/>
        </w:rPr>
        <w:t xml:space="preserve">Bastis </w:t>
      </w:r>
      <w:proofErr w:type="spellStart"/>
      <w:r w:rsidRPr="0022720F">
        <w:rPr>
          <w:rFonts w:ascii="Calibri" w:hAnsi="Calibri" w:cs="Calibri"/>
          <w:color w:val="333333"/>
          <w:shd w:val="clear" w:color="auto" w:fill="FBFBFB"/>
        </w:rPr>
        <w:t>Consultores</w:t>
      </w:r>
      <w:proofErr w:type="spellEnd"/>
      <w:r w:rsidRPr="0022720F">
        <w:rPr>
          <w:rFonts w:ascii="Calibri" w:hAnsi="Calibri" w:cs="Calibri"/>
          <w:color w:val="333333"/>
          <w:shd w:val="clear" w:color="auto" w:fill="FBFBFB"/>
        </w:rPr>
        <w:t>, </w:t>
      </w:r>
      <w:r w:rsidRPr="0022720F">
        <w:rPr>
          <w:rFonts w:ascii="Calibri" w:hAnsi="Calibri" w:cs="Calibri"/>
          <w:i/>
          <w:iCs/>
          <w:color w:val="333333"/>
          <w:shd w:val="clear" w:color="auto" w:fill="FBFBFB"/>
        </w:rPr>
        <w:t>Conclusive Research</w:t>
      </w:r>
      <w:r w:rsidRPr="0022720F">
        <w:rPr>
          <w:rFonts w:ascii="Calibri" w:hAnsi="Calibri" w:cs="Calibri"/>
          <w:color w:val="333333"/>
          <w:shd w:val="clear" w:color="auto" w:fill="FBFBFB"/>
        </w:rPr>
        <w:t> (2021) &lt;</w:t>
      </w:r>
      <w:r w:rsidRPr="0022720F">
        <w:rPr>
          <w:rFonts w:ascii="Calibri" w:hAnsi="Calibri" w:cs="Calibri"/>
        </w:rPr>
        <w:t xml:space="preserve"> </w:t>
      </w:r>
      <w:r w:rsidRPr="0022720F">
        <w:rPr>
          <w:rFonts w:ascii="Calibri" w:hAnsi="Calibri" w:cs="Calibri"/>
          <w:color w:val="333333"/>
          <w:shd w:val="clear" w:color="auto" w:fill="FBFBFB"/>
        </w:rPr>
        <w:t>https://online-tesis.com/en/conclusive-research/&gt; [accessed 29 February 2024].</w:t>
      </w:r>
      <w:bookmarkEnd w:id="14"/>
    </w:p>
  </w:footnote>
  <w:footnote w:id="19">
    <w:p w14:paraId="467AF0D4" w14:textId="77777777" w:rsidR="0022720F" w:rsidRPr="0038277A" w:rsidRDefault="0022720F" w:rsidP="0022720F">
      <w:pPr>
        <w:pStyle w:val="FootnoteText"/>
        <w:rPr>
          <w:lang w:val="en-US"/>
        </w:rPr>
      </w:pPr>
      <w:r>
        <w:rPr>
          <w:rStyle w:val="FootnoteReference"/>
        </w:rPr>
        <w:footnoteRef/>
      </w:r>
      <w:r>
        <w:t xml:space="preserve"> </w:t>
      </w:r>
      <w:r>
        <w:rPr>
          <w:rFonts w:ascii="avenir-regular-class" w:hAnsi="avenir-regular-class"/>
          <w:color w:val="333333"/>
          <w:sz w:val="23"/>
          <w:szCs w:val="23"/>
          <w:shd w:val="clear" w:color="auto" w:fill="FBFBFB"/>
        </w:rPr>
        <w:t>Priya Chetty, </w:t>
      </w:r>
      <w:proofErr w:type="gramStart"/>
      <w:r>
        <w:rPr>
          <w:rFonts w:ascii="avenir-regular-class" w:hAnsi="avenir-regular-class"/>
          <w:i/>
          <w:iCs/>
          <w:color w:val="333333"/>
          <w:sz w:val="23"/>
          <w:szCs w:val="23"/>
          <w:shd w:val="clear" w:color="auto" w:fill="FBFBFB"/>
        </w:rPr>
        <w:t>Limitations</w:t>
      </w:r>
      <w:proofErr w:type="gramEnd"/>
      <w:r>
        <w:rPr>
          <w:rFonts w:ascii="avenir-regular-class" w:hAnsi="avenir-regular-class"/>
          <w:i/>
          <w:iCs/>
          <w:color w:val="333333"/>
          <w:sz w:val="23"/>
          <w:szCs w:val="23"/>
          <w:shd w:val="clear" w:color="auto" w:fill="FBFBFB"/>
        </w:rPr>
        <w:t xml:space="preserve"> and weakness of quantitative research methods</w:t>
      </w:r>
      <w:r>
        <w:rPr>
          <w:rFonts w:ascii="avenir-regular-class" w:hAnsi="avenir-regular-class"/>
          <w:color w:val="333333"/>
          <w:sz w:val="23"/>
          <w:szCs w:val="23"/>
          <w:shd w:val="clear" w:color="auto" w:fill="FBFBFB"/>
        </w:rPr>
        <w:t> (2016) &lt;</w:t>
      </w:r>
      <w:r w:rsidRPr="0038277A">
        <w:rPr>
          <w:rFonts w:ascii="avenir-regular-class" w:hAnsi="avenir-regular-class"/>
          <w:color w:val="333333"/>
          <w:sz w:val="23"/>
          <w:szCs w:val="23"/>
          <w:shd w:val="clear" w:color="auto" w:fill="FBFBFB"/>
        </w:rPr>
        <w:t>https://www.projectguru.in/limitations-quantitative-research/</w:t>
      </w:r>
      <w:r>
        <w:rPr>
          <w:rFonts w:ascii="avenir-regular-class" w:hAnsi="avenir-regular-class"/>
          <w:color w:val="333333"/>
          <w:sz w:val="23"/>
          <w:szCs w:val="23"/>
          <w:shd w:val="clear" w:color="auto" w:fill="FBFBFB"/>
        </w:rPr>
        <w:t>&gt; [accessed 26 February 2024].</w:t>
      </w:r>
    </w:p>
  </w:footnote>
  <w:footnote w:id="20">
    <w:p w14:paraId="1F9569E5" w14:textId="77777777" w:rsidR="0022720F" w:rsidRPr="0022720F" w:rsidRDefault="0022720F" w:rsidP="0022720F">
      <w:pPr>
        <w:pStyle w:val="FootnoteText"/>
        <w:rPr>
          <w:rFonts w:ascii="Calibri" w:hAnsi="Calibri" w:cs="Calibri"/>
          <w:lang w:val="en-US"/>
        </w:rPr>
      </w:pPr>
      <w:r w:rsidRPr="0022720F">
        <w:rPr>
          <w:rStyle w:val="FootnoteReference"/>
          <w:rFonts w:ascii="Calibri" w:hAnsi="Calibri" w:cs="Calibri"/>
        </w:rPr>
        <w:footnoteRef/>
      </w:r>
      <w:r w:rsidRPr="0022720F">
        <w:rPr>
          <w:rFonts w:ascii="Calibri" w:hAnsi="Calibri" w:cs="Calibri"/>
        </w:rPr>
        <w:t xml:space="preserve"> </w:t>
      </w:r>
      <w:r w:rsidRPr="0022720F">
        <w:rPr>
          <w:rFonts w:ascii="Calibri" w:hAnsi="Calibri" w:cs="Calibri"/>
          <w:shd w:val="clear" w:color="auto" w:fill="FBFBFB"/>
        </w:rPr>
        <w:t xml:space="preserve">Margaret R. Roller and Paul J. </w:t>
      </w:r>
      <w:proofErr w:type="spellStart"/>
      <w:r w:rsidRPr="0022720F">
        <w:rPr>
          <w:rFonts w:ascii="Calibri" w:hAnsi="Calibri" w:cs="Calibri"/>
          <w:shd w:val="clear" w:color="auto" w:fill="FBFBFB"/>
        </w:rPr>
        <w:t>Lavrakas</w:t>
      </w:r>
      <w:proofErr w:type="spellEnd"/>
      <w:r w:rsidRPr="0022720F">
        <w:rPr>
          <w:rFonts w:ascii="Calibri" w:hAnsi="Calibri" w:cs="Calibri"/>
          <w:shd w:val="clear" w:color="auto" w:fill="FBFBFB"/>
        </w:rPr>
        <w:t>, </w:t>
      </w:r>
      <w:r w:rsidRPr="0022720F">
        <w:rPr>
          <w:rFonts w:ascii="Calibri" w:hAnsi="Calibri" w:cs="Calibri"/>
          <w:i/>
          <w:iCs/>
          <w:shd w:val="clear" w:color="auto" w:fill="FBFBFB"/>
        </w:rPr>
        <w:t>Applied Qualitative Research Design: A Total Quality Framework Approach </w:t>
      </w:r>
      <w:r w:rsidRPr="0022720F">
        <w:rPr>
          <w:rFonts w:ascii="Calibri" w:hAnsi="Calibri" w:cs="Calibri"/>
          <w:shd w:val="clear" w:color="auto" w:fill="FBFBFB"/>
        </w:rPr>
        <w:t>(New York: Guilford Publications, 2015), p. 2.</w:t>
      </w:r>
    </w:p>
  </w:footnote>
  <w:footnote w:id="21">
    <w:p w14:paraId="420C49BD" w14:textId="77777777" w:rsidR="0022720F" w:rsidRPr="0087243C" w:rsidRDefault="0022720F" w:rsidP="0022720F">
      <w:pPr>
        <w:pStyle w:val="FootnoteText"/>
        <w:rPr>
          <w:lang w:val="en-US"/>
        </w:rPr>
      </w:pPr>
      <w:r w:rsidRPr="0022720F">
        <w:rPr>
          <w:rStyle w:val="FootnoteReference"/>
          <w:rFonts w:ascii="Calibri" w:hAnsi="Calibri" w:cs="Calibri"/>
        </w:rPr>
        <w:footnoteRef/>
      </w:r>
      <w:r w:rsidRPr="0022720F">
        <w:rPr>
          <w:rFonts w:ascii="Calibri" w:hAnsi="Calibri" w:cs="Calibri"/>
        </w:rPr>
        <w:t xml:space="preserve"> </w:t>
      </w:r>
      <w:r w:rsidRPr="0022720F">
        <w:rPr>
          <w:rFonts w:ascii="Calibri" w:hAnsi="Calibri" w:cs="Calibri"/>
          <w:shd w:val="clear" w:color="auto" w:fill="FFFFFF"/>
        </w:rPr>
        <w:t xml:space="preserve">Ana-Maria </w:t>
      </w:r>
      <w:proofErr w:type="spellStart"/>
      <w:r w:rsidRPr="0022720F">
        <w:rPr>
          <w:rFonts w:ascii="Calibri" w:hAnsi="Calibri" w:cs="Calibri"/>
          <w:shd w:val="clear" w:color="auto" w:fill="FFFFFF"/>
        </w:rPr>
        <w:t>Šimundić</w:t>
      </w:r>
      <w:proofErr w:type="spellEnd"/>
      <w:r w:rsidRPr="0022720F">
        <w:rPr>
          <w:rFonts w:ascii="Calibri" w:hAnsi="Calibri" w:cs="Calibri"/>
          <w:shd w:val="clear" w:color="auto" w:fill="FBFBFB"/>
        </w:rPr>
        <w:t xml:space="preserve">, 'Bias </w:t>
      </w:r>
      <w:proofErr w:type="gramStart"/>
      <w:r w:rsidRPr="0022720F">
        <w:rPr>
          <w:rFonts w:ascii="Calibri" w:hAnsi="Calibri" w:cs="Calibri"/>
          <w:shd w:val="clear" w:color="auto" w:fill="FBFBFB"/>
        </w:rPr>
        <w:t>In</w:t>
      </w:r>
      <w:proofErr w:type="gramEnd"/>
      <w:r w:rsidRPr="0022720F">
        <w:rPr>
          <w:rFonts w:ascii="Calibri" w:hAnsi="Calibri" w:cs="Calibri"/>
          <w:shd w:val="clear" w:color="auto" w:fill="FBFBFB"/>
        </w:rPr>
        <w:t xml:space="preserve"> Research', </w:t>
      </w:r>
      <w:proofErr w:type="spellStart"/>
      <w:r w:rsidRPr="0022720F">
        <w:rPr>
          <w:rFonts w:ascii="Calibri" w:hAnsi="Calibri" w:cs="Calibri"/>
          <w:i/>
          <w:iCs/>
          <w:shd w:val="clear" w:color="auto" w:fill="FBFBFB"/>
        </w:rPr>
        <w:t>Biochem</w:t>
      </w:r>
      <w:proofErr w:type="spellEnd"/>
      <w:r w:rsidRPr="0022720F">
        <w:rPr>
          <w:rFonts w:ascii="Calibri" w:hAnsi="Calibri" w:cs="Calibri"/>
          <w:i/>
          <w:iCs/>
          <w:shd w:val="clear" w:color="auto" w:fill="FBFBFB"/>
        </w:rPr>
        <w:t xml:space="preserve"> Med</w:t>
      </w:r>
      <w:r w:rsidRPr="0022720F">
        <w:rPr>
          <w:rFonts w:ascii="Calibri" w:hAnsi="Calibri" w:cs="Calibri"/>
          <w:shd w:val="clear" w:color="auto" w:fill="FBFBFB"/>
        </w:rPr>
        <w:t>, 23.1 (2013), 12-15 (p. 13). https://www.biochemia-medica.com/en/journal/23/1/10.11613/BM.2013.003 [Accessed: 26 February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6A6DA" w14:textId="77777777" w:rsidR="0022720F" w:rsidRPr="0022720F" w:rsidRDefault="0022720F">
    <w:pPr>
      <w:pStyle w:val="Header"/>
      <w:rPr>
        <w:rFonts w:ascii="Calibri" w:hAnsi="Calibri" w:cs="Calibri"/>
        <w:lang w:val="en-US"/>
      </w:rPr>
    </w:pPr>
  </w:p>
  <w:p w14:paraId="32F6C34C" w14:textId="77777777" w:rsidR="0022720F" w:rsidRPr="0022720F" w:rsidRDefault="0022720F">
    <w:pPr>
      <w:pStyle w:val="Header"/>
      <w:rPr>
        <w:rFonts w:ascii="Calibri" w:hAnsi="Calibri" w:cs="Calibri"/>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01E49" w14:textId="77777777" w:rsidR="0022720F" w:rsidRPr="0022720F" w:rsidRDefault="0022720F">
    <w:pPr>
      <w:pStyle w:val="Header"/>
      <w:rPr>
        <w:rFonts w:ascii="Calibri" w:hAnsi="Calibri" w:cs="Calibri"/>
        <w:lang w:val="en-US"/>
      </w:rPr>
    </w:pPr>
  </w:p>
  <w:p w14:paraId="0EB6C69E" w14:textId="77777777" w:rsidR="0022720F" w:rsidRPr="0022720F" w:rsidRDefault="0022720F">
    <w:pPr>
      <w:pStyle w:val="Header"/>
      <w:rPr>
        <w:rFonts w:ascii="Calibri" w:hAnsi="Calibri" w:cs="Calibri"/>
        <w:lang w:val="en-US"/>
      </w:rPr>
    </w:pPr>
  </w:p>
  <w:p w14:paraId="14EE44B0" w14:textId="2F724FB4" w:rsidR="0022720F" w:rsidRPr="0022720F" w:rsidRDefault="0022720F" w:rsidP="0022720F">
    <w:pPr>
      <w:pStyle w:val="Header"/>
      <w:rPr>
        <w:rFonts w:ascii="Calibri" w:hAnsi="Calibri" w:cs="Calibri"/>
        <w:lang w:val="en-US"/>
      </w:rPr>
    </w:pPr>
    <w:r w:rsidRPr="0022720F">
      <w:rPr>
        <w:rFonts w:ascii="Calibri" w:hAnsi="Calibri" w:cs="Calibri"/>
        <w:lang w:val="en-US"/>
      </w:rPr>
      <w:t xml:space="preserve">Sophie Amos 2210733                                                                                      Page 1 of </w:t>
    </w:r>
    <w:r w:rsidR="00C21BB4">
      <w:rPr>
        <w:rFonts w:ascii="Calibri" w:hAnsi="Calibri" w:cs="Calibri"/>
        <w:lang w:val="en-US"/>
      </w:rPr>
      <w:t>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6626D" w14:textId="77777777" w:rsidR="0022720F" w:rsidRPr="0022720F" w:rsidRDefault="0022720F">
    <w:pPr>
      <w:pStyle w:val="Header"/>
      <w:rPr>
        <w:rFonts w:ascii="Calibri" w:hAnsi="Calibri" w:cs="Calibri"/>
        <w:lang w:val="en-US"/>
      </w:rPr>
    </w:pPr>
  </w:p>
  <w:p w14:paraId="190AEA55" w14:textId="77777777" w:rsidR="0022720F" w:rsidRPr="0022720F" w:rsidRDefault="0022720F">
    <w:pPr>
      <w:pStyle w:val="Header"/>
      <w:rPr>
        <w:rFonts w:ascii="Calibri" w:hAnsi="Calibri" w:cs="Calibri"/>
        <w:lang w:val="en-US"/>
      </w:rPr>
    </w:pPr>
  </w:p>
  <w:p w14:paraId="52CC86BC" w14:textId="6F67ACD8" w:rsidR="0022720F" w:rsidRPr="0022720F" w:rsidRDefault="0022720F" w:rsidP="0022720F">
    <w:pPr>
      <w:pStyle w:val="Header"/>
      <w:rPr>
        <w:rFonts w:ascii="Calibri" w:hAnsi="Calibri" w:cs="Calibri"/>
        <w:lang w:val="en-US"/>
      </w:rPr>
    </w:pPr>
    <w:r w:rsidRPr="0022720F">
      <w:rPr>
        <w:rFonts w:ascii="Calibri" w:hAnsi="Calibri" w:cs="Calibri"/>
        <w:lang w:val="en-US"/>
      </w:rPr>
      <w:t xml:space="preserve">Sophie Amos 2210733                                                                                      Page </w:t>
    </w:r>
    <w:r w:rsidR="00C21BB4">
      <w:rPr>
        <w:rFonts w:ascii="Calibri" w:hAnsi="Calibri" w:cs="Calibri"/>
        <w:lang w:val="en-US"/>
      </w:rPr>
      <w:t>2</w:t>
    </w:r>
    <w:r w:rsidRPr="0022720F">
      <w:rPr>
        <w:rFonts w:ascii="Calibri" w:hAnsi="Calibri" w:cs="Calibri"/>
        <w:lang w:val="en-US"/>
      </w:rPr>
      <w:t xml:space="preserve"> of </w:t>
    </w:r>
    <w:r w:rsidR="00C21BB4">
      <w:rPr>
        <w:rFonts w:ascii="Calibri" w:hAnsi="Calibri" w:cs="Calibri"/>
        <w:lang w:val="en-US"/>
      </w:rPr>
      <w:t>9</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A8190" w14:textId="77777777" w:rsidR="00C21BB4" w:rsidRPr="0022720F" w:rsidRDefault="00C21BB4">
    <w:pPr>
      <w:pStyle w:val="Header"/>
      <w:rPr>
        <w:rFonts w:ascii="Calibri" w:hAnsi="Calibri" w:cs="Calibri"/>
        <w:lang w:val="en-US"/>
      </w:rPr>
    </w:pPr>
  </w:p>
  <w:p w14:paraId="4FB95857" w14:textId="77777777" w:rsidR="00C21BB4" w:rsidRPr="0022720F" w:rsidRDefault="00C21BB4">
    <w:pPr>
      <w:pStyle w:val="Header"/>
      <w:rPr>
        <w:rFonts w:ascii="Calibri" w:hAnsi="Calibri" w:cs="Calibri"/>
        <w:lang w:val="en-US"/>
      </w:rPr>
    </w:pPr>
  </w:p>
  <w:p w14:paraId="147ED215" w14:textId="311E4F0D" w:rsidR="00C21BB4" w:rsidRPr="0022720F" w:rsidRDefault="00C21BB4" w:rsidP="0022720F">
    <w:pPr>
      <w:pStyle w:val="Header"/>
      <w:rPr>
        <w:rFonts w:ascii="Calibri" w:hAnsi="Calibri" w:cs="Calibri"/>
        <w:lang w:val="en-US"/>
      </w:rPr>
    </w:pPr>
    <w:r w:rsidRPr="0022720F">
      <w:rPr>
        <w:rFonts w:ascii="Calibri" w:hAnsi="Calibri" w:cs="Calibri"/>
        <w:lang w:val="en-US"/>
      </w:rPr>
      <w:t xml:space="preserve">Sophie Amos 2210733                                                                                      Page </w:t>
    </w:r>
    <w:r>
      <w:rPr>
        <w:rFonts w:ascii="Calibri" w:hAnsi="Calibri" w:cs="Calibri"/>
        <w:lang w:val="en-US"/>
      </w:rPr>
      <w:t>3</w:t>
    </w:r>
    <w:r w:rsidRPr="0022720F">
      <w:rPr>
        <w:rFonts w:ascii="Calibri" w:hAnsi="Calibri" w:cs="Calibri"/>
        <w:lang w:val="en-US"/>
      </w:rPr>
      <w:t xml:space="preserve"> of </w:t>
    </w:r>
    <w:r>
      <w:rPr>
        <w:rFonts w:ascii="Calibri" w:hAnsi="Calibri" w:cs="Calibri"/>
        <w:lang w:val="en-US"/>
      </w:rPr>
      <w:t>9</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5CB9D" w14:textId="77777777" w:rsidR="00C21BB4" w:rsidRPr="0022720F" w:rsidRDefault="00C21BB4">
    <w:pPr>
      <w:pStyle w:val="Header"/>
      <w:rPr>
        <w:rFonts w:ascii="Calibri" w:hAnsi="Calibri" w:cs="Calibri"/>
        <w:lang w:val="en-US"/>
      </w:rPr>
    </w:pPr>
  </w:p>
  <w:p w14:paraId="16912F2A" w14:textId="77777777" w:rsidR="00C21BB4" w:rsidRPr="0022720F" w:rsidRDefault="00C21BB4">
    <w:pPr>
      <w:pStyle w:val="Header"/>
      <w:rPr>
        <w:rFonts w:ascii="Calibri" w:hAnsi="Calibri" w:cs="Calibri"/>
        <w:lang w:val="en-US"/>
      </w:rPr>
    </w:pPr>
  </w:p>
  <w:p w14:paraId="5ACB0BAA" w14:textId="0E59C458" w:rsidR="00C21BB4" w:rsidRPr="0022720F" w:rsidRDefault="00C21BB4" w:rsidP="0022720F">
    <w:pPr>
      <w:pStyle w:val="Header"/>
      <w:rPr>
        <w:rFonts w:ascii="Calibri" w:hAnsi="Calibri" w:cs="Calibri"/>
        <w:lang w:val="en-US"/>
      </w:rPr>
    </w:pPr>
    <w:r w:rsidRPr="0022720F">
      <w:rPr>
        <w:rFonts w:ascii="Calibri" w:hAnsi="Calibri" w:cs="Calibri"/>
        <w:lang w:val="en-US"/>
      </w:rPr>
      <w:t xml:space="preserve">Sophie Amos 2210733                                                                                      Page </w:t>
    </w:r>
    <w:r>
      <w:rPr>
        <w:rFonts w:ascii="Calibri" w:hAnsi="Calibri" w:cs="Calibri"/>
        <w:lang w:val="en-US"/>
      </w:rPr>
      <w:t>4</w:t>
    </w:r>
    <w:r w:rsidRPr="0022720F">
      <w:rPr>
        <w:rFonts w:ascii="Calibri" w:hAnsi="Calibri" w:cs="Calibri"/>
        <w:lang w:val="en-US"/>
      </w:rPr>
      <w:t xml:space="preserve"> of </w:t>
    </w:r>
    <w:r>
      <w:rPr>
        <w:rFonts w:ascii="Calibri" w:hAnsi="Calibri" w:cs="Calibri"/>
        <w:lang w:val="en-US"/>
      </w:rPr>
      <w:t>9</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EF0F" w14:textId="77777777" w:rsidR="00C21BB4" w:rsidRPr="0022720F" w:rsidRDefault="00C21BB4">
    <w:pPr>
      <w:pStyle w:val="Header"/>
      <w:rPr>
        <w:rFonts w:ascii="Calibri" w:hAnsi="Calibri" w:cs="Calibri"/>
        <w:lang w:val="en-US"/>
      </w:rPr>
    </w:pPr>
  </w:p>
  <w:p w14:paraId="17AED60A" w14:textId="77777777" w:rsidR="00C21BB4" w:rsidRPr="0022720F" w:rsidRDefault="00C21BB4">
    <w:pPr>
      <w:pStyle w:val="Header"/>
      <w:rPr>
        <w:rFonts w:ascii="Calibri" w:hAnsi="Calibri" w:cs="Calibri"/>
        <w:lang w:val="en-US"/>
      </w:rPr>
    </w:pPr>
  </w:p>
  <w:p w14:paraId="2955EAF7" w14:textId="5AA69CD3" w:rsidR="00C21BB4" w:rsidRPr="0022720F" w:rsidRDefault="00C21BB4" w:rsidP="0022720F">
    <w:pPr>
      <w:pStyle w:val="Header"/>
      <w:rPr>
        <w:rFonts w:ascii="Calibri" w:hAnsi="Calibri" w:cs="Calibri"/>
        <w:lang w:val="en-US"/>
      </w:rPr>
    </w:pPr>
    <w:r w:rsidRPr="0022720F">
      <w:rPr>
        <w:rFonts w:ascii="Calibri" w:hAnsi="Calibri" w:cs="Calibri"/>
        <w:lang w:val="en-US"/>
      </w:rPr>
      <w:t xml:space="preserve">Sophie Amos 2210733                                                                                      Page </w:t>
    </w:r>
    <w:r>
      <w:rPr>
        <w:rFonts w:ascii="Calibri" w:hAnsi="Calibri" w:cs="Calibri"/>
        <w:lang w:val="en-US"/>
      </w:rPr>
      <w:t>5</w:t>
    </w:r>
    <w:r w:rsidRPr="0022720F">
      <w:rPr>
        <w:rFonts w:ascii="Calibri" w:hAnsi="Calibri" w:cs="Calibri"/>
        <w:lang w:val="en-US"/>
      </w:rPr>
      <w:t xml:space="preserve"> of </w:t>
    </w:r>
    <w:r>
      <w:rPr>
        <w:rFonts w:ascii="Calibri" w:hAnsi="Calibri" w:cs="Calibri"/>
        <w:lang w:val="en-US"/>
      </w:rPr>
      <w:t>9</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F3502" w14:textId="77777777" w:rsidR="00C21BB4" w:rsidRPr="0022720F" w:rsidRDefault="00C21BB4">
    <w:pPr>
      <w:pStyle w:val="Header"/>
      <w:rPr>
        <w:rFonts w:ascii="Calibri" w:hAnsi="Calibri" w:cs="Calibri"/>
        <w:lang w:val="en-US"/>
      </w:rPr>
    </w:pPr>
  </w:p>
  <w:p w14:paraId="59816B9C" w14:textId="77777777" w:rsidR="00C21BB4" w:rsidRPr="0022720F" w:rsidRDefault="00C21BB4">
    <w:pPr>
      <w:pStyle w:val="Header"/>
      <w:rPr>
        <w:rFonts w:ascii="Calibri" w:hAnsi="Calibri" w:cs="Calibri"/>
        <w:lang w:val="en-US"/>
      </w:rPr>
    </w:pPr>
  </w:p>
  <w:p w14:paraId="550A305D" w14:textId="09397463" w:rsidR="00C21BB4" w:rsidRPr="0022720F" w:rsidRDefault="00C21BB4" w:rsidP="0022720F">
    <w:pPr>
      <w:pStyle w:val="Header"/>
      <w:rPr>
        <w:rFonts w:ascii="Calibri" w:hAnsi="Calibri" w:cs="Calibri"/>
        <w:lang w:val="en-US"/>
      </w:rPr>
    </w:pPr>
    <w:r w:rsidRPr="0022720F">
      <w:rPr>
        <w:rFonts w:ascii="Calibri" w:hAnsi="Calibri" w:cs="Calibri"/>
        <w:lang w:val="en-US"/>
      </w:rPr>
      <w:t xml:space="preserve">Sophie Amos 2210733                                                                                      Page </w:t>
    </w:r>
    <w:r>
      <w:rPr>
        <w:rFonts w:ascii="Calibri" w:hAnsi="Calibri" w:cs="Calibri"/>
        <w:lang w:val="en-US"/>
      </w:rPr>
      <w:t>6</w:t>
    </w:r>
    <w:r w:rsidRPr="0022720F">
      <w:rPr>
        <w:rFonts w:ascii="Calibri" w:hAnsi="Calibri" w:cs="Calibri"/>
        <w:lang w:val="en-US"/>
      </w:rPr>
      <w:t xml:space="preserve"> of </w:t>
    </w:r>
    <w:r>
      <w:rPr>
        <w:rFonts w:ascii="Calibri" w:hAnsi="Calibri" w:cs="Calibri"/>
        <w:lang w:val="en-US"/>
      </w:rPr>
      <w:t>9</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75E1C" w14:textId="77777777" w:rsidR="00C21BB4" w:rsidRPr="0022720F" w:rsidRDefault="00C21BB4">
    <w:pPr>
      <w:pStyle w:val="Header"/>
      <w:rPr>
        <w:rFonts w:ascii="Calibri" w:hAnsi="Calibri" w:cs="Calibri"/>
        <w:lang w:val="en-US"/>
      </w:rPr>
    </w:pPr>
  </w:p>
  <w:p w14:paraId="5541FDA3" w14:textId="77777777" w:rsidR="00C21BB4" w:rsidRPr="0022720F" w:rsidRDefault="00C21BB4">
    <w:pPr>
      <w:pStyle w:val="Header"/>
      <w:rPr>
        <w:rFonts w:ascii="Calibri" w:hAnsi="Calibri" w:cs="Calibri"/>
        <w:lang w:val="en-US"/>
      </w:rPr>
    </w:pPr>
  </w:p>
  <w:p w14:paraId="5FAC2929" w14:textId="12A48FEE" w:rsidR="00C21BB4" w:rsidRPr="0022720F" w:rsidRDefault="00C21BB4" w:rsidP="0022720F">
    <w:pPr>
      <w:pStyle w:val="Header"/>
      <w:rPr>
        <w:rFonts w:ascii="Calibri" w:hAnsi="Calibri" w:cs="Calibri"/>
        <w:lang w:val="en-US"/>
      </w:rPr>
    </w:pPr>
    <w:r w:rsidRPr="0022720F">
      <w:rPr>
        <w:rFonts w:ascii="Calibri" w:hAnsi="Calibri" w:cs="Calibri"/>
        <w:lang w:val="en-US"/>
      </w:rPr>
      <w:t xml:space="preserve">Sophie Amos 2210733                                                                                      Page </w:t>
    </w:r>
    <w:r>
      <w:rPr>
        <w:rFonts w:ascii="Calibri" w:hAnsi="Calibri" w:cs="Calibri"/>
        <w:lang w:val="en-US"/>
      </w:rPr>
      <w:t>7</w:t>
    </w:r>
    <w:r w:rsidRPr="0022720F">
      <w:rPr>
        <w:rFonts w:ascii="Calibri" w:hAnsi="Calibri" w:cs="Calibri"/>
        <w:lang w:val="en-US"/>
      </w:rPr>
      <w:t xml:space="preserve"> of </w:t>
    </w:r>
    <w:r>
      <w:rPr>
        <w:rFonts w:ascii="Calibri" w:hAnsi="Calibri" w:cs="Calibri"/>
        <w:lang w:val="en-US"/>
      </w:rPr>
      <w:t>9</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DFCC1" w14:textId="45CF7F67" w:rsidR="00C21BB4" w:rsidRPr="0022720F" w:rsidRDefault="00C21BB4" w:rsidP="00C21BB4">
    <w:pPr>
      <w:pStyle w:val="Header"/>
      <w:rPr>
        <w:rFonts w:ascii="Calibri" w:hAnsi="Calibri" w:cs="Calibri"/>
        <w:lang w:val="en-US"/>
      </w:rPr>
    </w:pPr>
    <w:r w:rsidRPr="0022720F">
      <w:rPr>
        <w:rFonts w:ascii="Calibri" w:hAnsi="Calibri" w:cs="Calibri"/>
        <w:lang w:val="en-US"/>
      </w:rPr>
      <w:t xml:space="preserve">Sophie Amos 2210733                                   </w:t>
    </w:r>
    <w:r>
      <w:rPr>
        <w:rFonts w:ascii="Calibri" w:hAnsi="Calibri" w:cs="Calibri"/>
        <w:lang w:val="en-US"/>
      </w:rPr>
      <w:t>References</w:t>
    </w:r>
    <w:r w:rsidRPr="0022720F">
      <w:rPr>
        <w:rFonts w:ascii="Calibri" w:hAnsi="Calibri" w:cs="Calibri"/>
        <w:lang w:val="en-US"/>
      </w:rPr>
      <w:t xml:space="preserve">                                                   Page </w:t>
    </w:r>
    <w:r>
      <w:rPr>
        <w:rFonts w:ascii="Calibri" w:hAnsi="Calibri" w:cs="Calibri"/>
        <w:lang w:val="en-US"/>
      </w:rPr>
      <w:t>8</w:t>
    </w:r>
    <w:r w:rsidRPr="0022720F">
      <w:rPr>
        <w:rFonts w:ascii="Calibri" w:hAnsi="Calibri" w:cs="Calibri"/>
        <w:lang w:val="en-US"/>
      </w:rPr>
      <w:t xml:space="preserve"> of </w:t>
    </w:r>
    <w:r>
      <w:rPr>
        <w:rFonts w:ascii="Calibri" w:hAnsi="Calibri" w:cs="Calibri"/>
        <w:lang w:val="en-US"/>
      </w:rPr>
      <w:t>9</w:t>
    </w:r>
  </w:p>
  <w:p w14:paraId="458FD6F5" w14:textId="7E6F402D" w:rsidR="00000000" w:rsidRPr="00C21BB4" w:rsidRDefault="00000000" w:rsidP="00C21BB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2C835" w14:textId="3B9EC7B1" w:rsidR="00C21BB4" w:rsidRPr="0022720F" w:rsidRDefault="00C21BB4" w:rsidP="00C21BB4">
    <w:pPr>
      <w:pStyle w:val="Header"/>
      <w:rPr>
        <w:rFonts w:ascii="Calibri" w:hAnsi="Calibri" w:cs="Calibri"/>
        <w:lang w:val="en-US"/>
      </w:rPr>
    </w:pPr>
    <w:r w:rsidRPr="0022720F">
      <w:rPr>
        <w:rFonts w:ascii="Calibri" w:hAnsi="Calibri" w:cs="Calibri"/>
        <w:lang w:val="en-US"/>
      </w:rPr>
      <w:t xml:space="preserve">Sophie Amos 2210733                                   </w:t>
    </w:r>
    <w:r>
      <w:rPr>
        <w:rFonts w:ascii="Calibri" w:hAnsi="Calibri" w:cs="Calibri"/>
        <w:lang w:val="en-US"/>
      </w:rPr>
      <w:t>References</w:t>
    </w:r>
    <w:r w:rsidRPr="0022720F">
      <w:rPr>
        <w:rFonts w:ascii="Calibri" w:hAnsi="Calibri" w:cs="Calibri"/>
        <w:lang w:val="en-US"/>
      </w:rPr>
      <w:t xml:space="preserve">                                                   Page </w:t>
    </w:r>
    <w:r>
      <w:rPr>
        <w:rFonts w:ascii="Calibri" w:hAnsi="Calibri" w:cs="Calibri"/>
        <w:lang w:val="en-US"/>
      </w:rPr>
      <w:t>9</w:t>
    </w:r>
    <w:r w:rsidRPr="0022720F">
      <w:rPr>
        <w:rFonts w:ascii="Calibri" w:hAnsi="Calibri" w:cs="Calibri"/>
        <w:lang w:val="en-US"/>
      </w:rPr>
      <w:t xml:space="preserve"> of </w:t>
    </w:r>
    <w:r>
      <w:rPr>
        <w:rFonts w:ascii="Calibri" w:hAnsi="Calibri" w:cs="Calibri"/>
        <w:lang w:val="en-US"/>
      </w:rPr>
      <w:t>9</w:t>
    </w:r>
  </w:p>
  <w:p w14:paraId="0CA228C5" w14:textId="0F574162" w:rsidR="00000000" w:rsidRPr="00C21BB4" w:rsidRDefault="00000000" w:rsidP="00C21B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0F"/>
    <w:rsid w:val="001B2544"/>
    <w:rsid w:val="0022720F"/>
    <w:rsid w:val="004B0D0F"/>
    <w:rsid w:val="00B64A5E"/>
    <w:rsid w:val="00C21BB4"/>
    <w:rsid w:val="00CC3918"/>
    <w:rsid w:val="00FA6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95205"/>
  <w15:chartTrackingRefBased/>
  <w15:docId w15:val="{C486320B-9B09-49D6-AC47-47F114108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D0F"/>
    <w:pPr>
      <w:spacing w:after="0" w:line="240" w:lineRule="auto"/>
    </w:pPr>
    <w:rPr>
      <w:rFonts w:ascii="Times New Roman" w:eastAsia="SimSu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4B0D0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B0D0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nhideWhenUsed/>
    <w:qFormat/>
    <w:rsid w:val="004B0D0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B0D0F"/>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4B0D0F"/>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4B0D0F"/>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4B0D0F"/>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4B0D0F"/>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4B0D0F"/>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4B0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D0F"/>
    <w:rPr>
      <w:rFonts w:eastAsiaTheme="majorEastAsia" w:cstheme="majorBidi"/>
      <w:color w:val="272727" w:themeColor="text1" w:themeTint="D8"/>
    </w:rPr>
  </w:style>
  <w:style w:type="paragraph" w:styleId="Title">
    <w:name w:val="Title"/>
    <w:basedOn w:val="Normal"/>
    <w:next w:val="Normal"/>
    <w:link w:val="TitleChar"/>
    <w:uiPriority w:val="10"/>
    <w:qFormat/>
    <w:rsid w:val="004B0D0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B0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D0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B0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D0F"/>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4B0D0F"/>
    <w:rPr>
      <w:i/>
      <w:iCs/>
      <w:color w:val="404040" w:themeColor="text1" w:themeTint="BF"/>
    </w:rPr>
  </w:style>
  <w:style w:type="paragraph" w:styleId="ListParagraph">
    <w:name w:val="List Paragraph"/>
    <w:basedOn w:val="Normal"/>
    <w:uiPriority w:val="34"/>
    <w:qFormat/>
    <w:rsid w:val="004B0D0F"/>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4B0D0F"/>
    <w:rPr>
      <w:i/>
      <w:iCs/>
      <w:color w:val="0F4761" w:themeColor="accent1" w:themeShade="BF"/>
    </w:rPr>
  </w:style>
  <w:style w:type="paragraph" w:styleId="IntenseQuote">
    <w:name w:val="Intense Quote"/>
    <w:basedOn w:val="Normal"/>
    <w:next w:val="Normal"/>
    <w:link w:val="IntenseQuoteChar"/>
    <w:uiPriority w:val="30"/>
    <w:qFormat/>
    <w:rsid w:val="004B0D0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4B0D0F"/>
    <w:rPr>
      <w:i/>
      <w:iCs/>
      <w:color w:val="0F4761" w:themeColor="accent1" w:themeShade="BF"/>
    </w:rPr>
  </w:style>
  <w:style w:type="character" w:styleId="IntenseReference">
    <w:name w:val="Intense Reference"/>
    <w:basedOn w:val="DefaultParagraphFont"/>
    <w:uiPriority w:val="32"/>
    <w:qFormat/>
    <w:rsid w:val="004B0D0F"/>
    <w:rPr>
      <w:b/>
      <w:bCs/>
      <w:smallCaps/>
      <w:color w:val="0F4761" w:themeColor="accent1" w:themeShade="BF"/>
      <w:spacing w:val="5"/>
    </w:rPr>
  </w:style>
  <w:style w:type="paragraph" w:styleId="NormalWeb">
    <w:name w:val="Normal (Web)"/>
    <w:basedOn w:val="Normal"/>
    <w:uiPriority w:val="99"/>
    <w:rsid w:val="004B0D0F"/>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4B0D0F"/>
    <w:pPr>
      <w:tabs>
        <w:tab w:val="center" w:pos="4513"/>
        <w:tab w:val="right" w:pos="9026"/>
      </w:tabs>
    </w:pPr>
  </w:style>
  <w:style w:type="character" w:customStyle="1" w:styleId="HeaderChar">
    <w:name w:val="Header Char"/>
    <w:basedOn w:val="DefaultParagraphFont"/>
    <w:link w:val="Header"/>
    <w:uiPriority w:val="99"/>
    <w:rsid w:val="004B0D0F"/>
    <w:rPr>
      <w:rFonts w:ascii="Times New Roman" w:eastAsia="SimSun" w:hAnsi="Times New Roman" w:cs="Times New Roman"/>
      <w:kern w:val="0"/>
      <w:sz w:val="24"/>
      <w:szCs w:val="24"/>
      <w:lang w:eastAsia="zh-CN"/>
      <w14:ligatures w14:val="none"/>
    </w:rPr>
  </w:style>
  <w:style w:type="paragraph" w:styleId="Footer">
    <w:name w:val="footer"/>
    <w:basedOn w:val="Normal"/>
    <w:link w:val="FooterChar"/>
    <w:uiPriority w:val="99"/>
    <w:unhideWhenUsed/>
    <w:rsid w:val="004B0D0F"/>
    <w:pPr>
      <w:tabs>
        <w:tab w:val="center" w:pos="4513"/>
        <w:tab w:val="right" w:pos="9026"/>
      </w:tabs>
    </w:pPr>
  </w:style>
  <w:style w:type="character" w:customStyle="1" w:styleId="FooterChar">
    <w:name w:val="Footer Char"/>
    <w:basedOn w:val="DefaultParagraphFont"/>
    <w:link w:val="Footer"/>
    <w:uiPriority w:val="99"/>
    <w:rsid w:val="004B0D0F"/>
    <w:rPr>
      <w:rFonts w:ascii="Times New Roman" w:eastAsia="SimSun" w:hAnsi="Times New Roman" w:cs="Times New Roman"/>
      <w:kern w:val="0"/>
      <w:sz w:val="24"/>
      <w:szCs w:val="24"/>
      <w:lang w:eastAsia="zh-CN"/>
      <w14:ligatures w14:val="none"/>
    </w:rPr>
  </w:style>
  <w:style w:type="paragraph" w:styleId="FootnoteText">
    <w:name w:val="footnote text"/>
    <w:basedOn w:val="Normal"/>
    <w:link w:val="FootnoteTextChar"/>
    <w:uiPriority w:val="99"/>
    <w:semiHidden/>
    <w:unhideWhenUsed/>
    <w:rsid w:val="0022720F"/>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22720F"/>
    <w:rPr>
      <w:sz w:val="20"/>
      <w:szCs w:val="20"/>
    </w:rPr>
  </w:style>
  <w:style w:type="character" w:styleId="FootnoteReference">
    <w:name w:val="footnote reference"/>
    <w:basedOn w:val="DefaultParagraphFont"/>
    <w:uiPriority w:val="99"/>
    <w:semiHidden/>
    <w:unhideWhenUsed/>
    <w:rsid w:val="0022720F"/>
    <w:rPr>
      <w:vertAlign w:val="superscript"/>
    </w:rPr>
  </w:style>
  <w:style w:type="character" w:styleId="Emphasis">
    <w:name w:val="Emphasis"/>
    <w:basedOn w:val="DefaultParagraphFont"/>
    <w:uiPriority w:val="20"/>
    <w:qFormat/>
    <w:rsid w:val="002272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6.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5.xml"/><Relationship Id="rId17" Type="http://schemas.openxmlformats.org/officeDocument/2006/relationships/header" Target="header10.xml"/><Relationship Id="rId2" Type="http://schemas.openxmlformats.org/officeDocument/2006/relationships/styles" Target="styles.xml"/><Relationship Id="rId16"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4.xml"/><Relationship Id="rId5" Type="http://schemas.openxmlformats.org/officeDocument/2006/relationships/footnotes" Target="footnotes.xml"/><Relationship Id="rId15" Type="http://schemas.openxmlformats.org/officeDocument/2006/relationships/header" Target="header8.xml"/><Relationship Id="rId10" Type="http://schemas.openxmlformats.org/officeDocument/2006/relationships/header" Target="header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51E7C-DF99-4F8C-9A14-668F9D34B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2968</Words>
  <Characters>16921</Characters>
  <Application>Microsoft Office Word</Application>
  <DocSecurity>0</DocSecurity>
  <Lines>141</Lines>
  <Paragraphs>39</Paragraphs>
  <ScaleCrop>false</ScaleCrop>
  <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Amos</dc:creator>
  <cp:keywords/>
  <dc:description/>
  <cp:lastModifiedBy>Sophie Amos</cp:lastModifiedBy>
  <cp:revision>3</cp:revision>
  <dcterms:created xsi:type="dcterms:W3CDTF">2024-02-18T15:56:00Z</dcterms:created>
  <dcterms:modified xsi:type="dcterms:W3CDTF">2024-03-14T18:10:00Z</dcterms:modified>
</cp:coreProperties>
</file>