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A9C98" w14:textId="640F43CC" w:rsidR="009A0E86" w:rsidRPr="009A0E86" w:rsidRDefault="009A0E86" w:rsidP="00A34EE8">
      <w:pPr>
        <w:pStyle w:val="NormalWeb"/>
        <w:rPr>
          <w:b/>
          <w:bCs/>
          <w:sz w:val="32"/>
          <w:szCs w:val="32"/>
          <w:u w:val="single"/>
        </w:rPr>
      </w:pPr>
      <w:r w:rsidRPr="009A0E86">
        <w:rPr>
          <w:rFonts w:ascii="Arial Nova" w:hAnsi="Arial Nova"/>
          <w:b/>
          <w:bCs/>
          <w:sz w:val="28"/>
          <w:szCs w:val="28"/>
          <w:u w:val="single"/>
        </w:rPr>
        <w:t>Research Project: Case Study based on an Electives Experience</w:t>
      </w:r>
    </w:p>
    <w:p w14:paraId="3B3F3763" w14:textId="77777777" w:rsidR="00060998" w:rsidRDefault="00060998" w:rsidP="009A0E86">
      <w:pPr>
        <w:pStyle w:val="NormalWeb"/>
        <w:jc w:val="center"/>
        <w:rPr>
          <w:rFonts w:ascii="Arial Nova" w:hAnsi="Arial Nova"/>
          <w:b/>
          <w:bCs/>
          <w:sz w:val="28"/>
          <w:szCs w:val="28"/>
          <w:u w:val="single"/>
        </w:rPr>
      </w:pPr>
    </w:p>
    <w:p w14:paraId="11E659F3" w14:textId="6C6D616B" w:rsidR="009A0E86" w:rsidRPr="009A0E86" w:rsidRDefault="009A0E86" w:rsidP="009A0E86">
      <w:pPr>
        <w:pStyle w:val="NormalWeb"/>
        <w:jc w:val="center"/>
        <w:rPr>
          <w:b/>
          <w:bCs/>
          <w:sz w:val="32"/>
          <w:szCs w:val="32"/>
          <w:u w:val="single"/>
        </w:rPr>
      </w:pPr>
      <w:r w:rsidRPr="009A0E86">
        <w:rPr>
          <w:rFonts w:ascii="Arial Nova" w:hAnsi="Arial Nova"/>
          <w:b/>
          <w:bCs/>
          <w:sz w:val="28"/>
          <w:szCs w:val="28"/>
          <w:u w:val="single"/>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038B9DC1" w14:textId="77777777" w:rsidR="009A0E86" w:rsidRDefault="009A0E86"/>
    <w:p w14:paraId="0665DA95" w14:textId="475E8C2A" w:rsidR="00590114" w:rsidRPr="00333261" w:rsidRDefault="00590114" w:rsidP="009A0E86">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This assignment aims to explore the case study that examines the impact and perceptions of teachers with the relationship between SEBD (social, emotional, behaviour disorder) and progression within learning and education. The study was carried out in a school within the catchment of neath port talbot. Within this assignment I will keep this school disclosed and referred to the school as ‘School A’ in accordance with BERA guidelines (BERA, 2018) School A is a primary school within the Neath Port Talbot County borough with 389 children on roll. Within the school they have a Social, emotional, behaviour disorder area which is broken down into two classroom which is given the name as Coedwig. Coedwig has 4% of the children of the school which includes 14 children (Estyn, 2023) The school strives for the best for each child and strives to improves the well-being of all staff and learners within the school by embedding the importance’s of one of the four purposes of the </w:t>
      </w:r>
      <w:proofErr w:type="spellStart"/>
      <w:r w:rsidRPr="00333261">
        <w:rPr>
          <w:rFonts w:asciiTheme="minorHAnsi" w:hAnsiTheme="minorHAnsi" w:cstheme="minorHAnsi"/>
        </w:rPr>
        <w:t>welsh</w:t>
      </w:r>
      <w:proofErr w:type="spellEnd"/>
      <w:r w:rsidRPr="00333261">
        <w:rPr>
          <w:rFonts w:asciiTheme="minorHAnsi" w:hAnsiTheme="minorHAnsi" w:cstheme="minorHAnsi"/>
        </w:rPr>
        <w:t xml:space="preserve"> curriculum ‘healthy, confident individuals. </w:t>
      </w:r>
      <w:r w:rsidRPr="00333261">
        <w:rPr>
          <w:rFonts w:asciiTheme="minorHAnsi" w:hAnsiTheme="minorHAnsi" w:cstheme="minorHAnsi"/>
        </w:rPr>
        <w:t>Students will quickly grow into creative contributors prepared to participate fully in life and the workplace by being given the opportunity to express their emotions, form and maintain healthy relationships, and take on a variety of tasks and responsibilities (Welsh Government, 2020).</w:t>
      </w:r>
      <w:r w:rsidRPr="00333261">
        <w:rPr>
          <w:rFonts w:asciiTheme="minorHAnsi" w:hAnsiTheme="minorHAnsi" w:cstheme="minorHAnsi"/>
        </w:rPr>
        <w:t xml:space="preserve"> </w:t>
      </w:r>
      <w:r w:rsidRPr="00333261">
        <w:rPr>
          <w:rFonts w:asciiTheme="minorHAnsi" w:hAnsiTheme="minorHAnsi" w:cstheme="minorHAnsi"/>
        </w:rPr>
        <w:t>Decisions made by stakeholders may be influenced by research findings and conclusions (</w:t>
      </w:r>
      <w:r w:rsidRPr="00333261">
        <w:rPr>
          <w:rFonts w:asciiTheme="minorHAnsi" w:eastAsiaTheme="minorHAnsi" w:hAnsiTheme="minorHAnsi" w:cstheme="minorHAnsi"/>
          <w:lang w:eastAsia="en-US"/>
        </w:rPr>
        <w:t>Ferreira, V., Barreira, A.P., Pinto, P. and Panagopoulos, T. (2022)</w:t>
      </w:r>
      <w:r w:rsidRPr="00333261">
        <w:rPr>
          <w:rFonts w:asciiTheme="minorHAnsi" w:eastAsiaTheme="minorHAnsi" w:hAnsiTheme="minorHAnsi" w:cstheme="minorHAnsi"/>
          <w:lang w:eastAsia="en-US"/>
        </w:rPr>
        <w:t xml:space="preserve"> The intention of this case study it to establish and gain a further understanding of how the continuum with progression and children that sufferer with social, emotional, behaviour disorder progress within education.</w:t>
      </w:r>
      <w:r w:rsidRPr="00333261">
        <w:rPr>
          <w:rFonts w:asciiTheme="minorHAnsi" w:hAnsiTheme="minorHAnsi" w:cstheme="minorHAnsi"/>
        </w:rPr>
        <w:t xml:space="preserve"> </w:t>
      </w:r>
      <w:r w:rsidRPr="00333261">
        <w:rPr>
          <w:rFonts w:asciiTheme="minorHAnsi" w:eastAsiaTheme="minorHAnsi" w:hAnsiTheme="minorHAnsi" w:cstheme="minorHAnsi"/>
          <w:lang w:eastAsia="en-US"/>
        </w:rPr>
        <w:t xml:space="preserve">Examining the perspectives of both staff and students will help researchers get important data about how successfully </w:t>
      </w:r>
      <w:r w:rsidRPr="00333261">
        <w:rPr>
          <w:rFonts w:asciiTheme="minorHAnsi" w:eastAsiaTheme="minorHAnsi" w:hAnsiTheme="minorHAnsi" w:cstheme="minorHAnsi"/>
          <w:lang w:eastAsia="en-US"/>
        </w:rPr>
        <w:t xml:space="preserve">children progress with social, emotional, behaviour disorder and the link between the alternative </w:t>
      </w:r>
      <w:proofErr w:type="spellStart"/>
      <w:r w:rsidRPr="00333261">
        <w:rPr>
          <w:rFonts w:asciiTheme="minorHAnsi" w:eastAsiaTheme="minorHAnsi" w:hAnsiTheme="minorHAnsi" w:cstheme="minorHAnsi"/>
          <w:lang w:eastAsia="en-US"/>
        </w:rPr>
        <w:t>curiculum</w:t>
      </w:r>
      <w:proofErr w:type="spellEnd"/>
      <w:r w:rsidRPr="00333261">
        <w:rPr>
          <w:rFonts w:asciiTheme="minorHAnsi" w:eastAsiaTheme="minorHAnsi" w:hAnsiTheme="minorHAnsi" w:cstheme="minorHAnsi"/>
          <w:lang w:eastAsia="en-US"/>
        </w:rPr>
        <w:t>.  The results of the study should hopefully further our understanding and help develop effective treatments and support networks for students in learning contexts.</w:t>
      </w:r>
    </w:p>
    <w:p w14:paraId="458B2718" w14:textId="77777777" w:rsidR="00A34EE8" w:rsidRDefault="00A34EE8" w:rsidP="002C1AD8">
      <w:pPr>
        <w:spacing w:before="100" w:beforeAutospacing="1" w:after="100" w:afterAutospacing="1"/>
        <w:rPr>
          <w:rFonts w:asciiTheme="minorHAnsi" w:hAnsiTheme="minorHAnsi" w:cstheme="minorHAnsi"/>
        </w:rPr>
      </w:pPr>
    </w:p>
    <w:p w14:paraId="348CBF6E" w14:textId="42D6CD34" w:rsidR="002C1AD8" w:rsidRPr="00333261" w:rsidRDefault="00564E11" w:rsidP="002C1AD8">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Social, emotional and behaviour disorder/difficulties refer to the detrimental range of challenges that individuals may faces in their social interactions, </w:t>
      </w:r>
      <w:proofErr w:type="gramStart"/>
      <w:r w:rsidRPr="00333261">
        <w:rPr>
          <w:rFonts w:asciiTheme="minorHAnsi" w:hAnsiTheme="minorHAnsi" w:cstheme="minorHAnsi"/>
        </w:rPr>
        <w:t>emotions</w:t>
      </w:r>
      <w:proofErr w:type="gramEnd"/>
      <w:r w:rsidRPr="00333261">
        <w:rPr>
          <w:rFonts w:asciiTheme="minorHAnsi" w:hAnsiTheme="minorHAnsi" w:cstheme="minorHAnsi"/>
        </w:rPr>
        <w:t xml:space="preserve"> or behaviours. </w:t>
      </w:r>
      <w:r w:rsidR="00060998" w:rsidRPr="00333261">
        <w:rPr>
          <w:rFonts w:asciiTheme="minorHAnsi" w:hAnsiTheme="minorHAnsi" w:cstheme="minorHAnsi"/>
        </w:rPr>
        <w:t xml:space="preserve">School A presents the use of an alternative curriculum within coedwigg that has a detrimental focus on child wellbeing. </w:t>
      </w:r>
      <w:r w:rsidRPr="00333261">
        <w:rPr>
          <w:rFonts w:asciiTheme="minorHAnsi" w:hAnsiTheme="minorHAnsi" w:cstheme="minorHAnsi"/>
        </w:rPr>
        <w:t xml:space="preserve">Physical, emotional, and social aspects should all be included in the multifaceted concept of child wellness. It should </w:t>
      </w:r>
      <w:proofErr w:type="gramStart"/>
      <w:r w:rsidRPr="00333261">
        <w:rPr>
          <w:rFonts w:asciiTheme="minorHAnsi" w:hAnsiTheme="minorHAnsi" w:cstheme="minorHAnsi"/>
        </w:rPr>
        <w:t>take into account</w:t>
      </w:r>
      <w:proofErr w:type="gramEnd"/>
      <w:r w:rsidRPr="00333261">
        <w:rPr>
          <w:rFonts w:asciiTheme="minorHAnsi" w:hAnsiTheme="minorHAnsi" w:cstheme="minorHAnsi"/>
        </w:rPr>
        <w:t xml:space="preserve"> the children's future lives in addition to their present life, and it should include both subjective </w:t>
      </w:r>
      <w:r w:rsidRPr="00333261">
        <w:rPr>
          <w:rFonts w:asciiTheme="minorHAnsi" w:hAnsiTheme="minorHAnsi" w:cstheme="minorHAnsi"/>
        </w:rPr>
        <w:lastRenderedPageBreak/>
        <w:t>and objective measures</w:t>
      </w:r>
      <w:r w:rsidRPr="00333261">
        <w:rPr>
          <w:rFonts w:asciiTheme="minorHAnsi" w:hAnsiTheme="minorHAnsi" w:cstheme="minorHAnsi"/>
        </w:rPr>
        <w:t xml:space="preserve"> (Statham, J. and chase, E. (2010). </w:t>
      </w:r>
      <w:r w:rsidRPr="00333261">
        <w:rPr>
          <w:rFonts w:asciiTheme="minorHAnsi" w:hAnsiTheme="minorHAnsi" w:cstheme="minorHAnsi"/>
        </w:rPr>
        <w:t xml:space="preserve">In 2008, the Government Office for Science and Foresight released </w:t>
      </w:r>
      <w:proofErr w:type="gramStart"/>
      <w:r w:rsidRPr="00333261">
        <w:rPr>
          <w:rFonts w:asciiTheme="minorHAnsi" w:hAnsiTheme="minorHAnsi" w:cstheme="minorHAnsi"/>
        </w:rPr>
        <w:t>a research</w:t>
      </w:r>
      <w:proofErr w:type="gramEnd"/>
      <w:r w:rsidRPr="00333261">
        <w:rPr>
          <w:rFonts w:asciiTheme="minorHAnsi" w:hAnsiTheme="minorHAnsi" w:cstheme="minorHAnsi"/>
        </w:rPr>
        <w:t xml:space="preserve"> on mental capital and wellbeing. The paper states that wellbeing is a dynamic condition that becomes better when individuals feel purposeful in society and </w:t>
      </w:r>
      <w:proofErr w:type="gramStart"/>
      <w:r w:rsidRPr="00333261">
        <w:rPr>
          <w:rFonts w:asciiTheme="minorHAnsi" w:hAnsiTheme="minorHAnsi" w:cstheme="minorHAnsi"/>
        </w:rPr>
        <w:t>are able to</w:t>
      </w:r>
      <w:proofErr w:type="gramEnd"/>
      <w:r w:rsidRPr="00333261">
        <w:rPr>
          <w:rFonts w:asciiTheme="minorHAnsi" w:hAnsiTheme="minorHAnsi" w:cstheme="minorHAnsi"/>
        </w:rPr>
        <w:t xml:space="preserve"> accomplish their goals both personally and socially.</w:t>
      </w:r>
      <w:r w:rsidRPr="00333261">
        <w:rPr>
          <w:rFonts w:asciiTheme="minorHAnsi" w:hAnsiTheme="minorHAnsi" w:cstheme="minorHAnsi"/>
        </w:rPr>
        <w:t xml:space="preserve"> Rath, T and Harter, J.K. (2010) book ‘Well-being: the five essential elements’ </w:t>
      </w:r>
      <w:proofErr w:type="spellStart"/>
      <w:r w:rsidRPr="00333261">
        <w:rPr>
          <w:rFonts w:asciiTheme="minorHAnsi" w:hAnsiTheme="minorHAnsi" w:cstheme="minorHAnsi"/>
        </w:rPr>
        <w:t>potrays</w:t>
      </w:r>
      <w:proofErr w:type="spellEnd"/>
      <w:r w:rsidRPr="00333261">
        <w:rPr>
          <w:rFonts w:asciiTheme="minorHAnsi" w:hAnsiTheme="minorHAnsi" w:cstheme="minorHAnsi"/>
        </w:rPr>
        <w:t xml:space="preserve"> that well-being </w:t>
      </w:r>
      <w:proofErr w:type="gramStart"/>
      <w:r w:rsidRPr="00333261">
        <w:rPr>
          <w:rFonts w:asciiTheme="minorHAnsi" w:hAnsiTheme="minorHAnsi" w:cstheme="minorHAnsi"/>
        </w:rPr>
        <w:t>develops  from</w:t>
      </w:r>
      <w:proofErr w:type="gramEnd"/>
      <w:r w:rsidRPr="00333261">
        <w:rPr>
          <w:rFonts w:asciiTheme="minorHAnsi" w:hAnsiTheme="minorHAnsi" w:cstheme="minorHAnsi"/>
        </w:rPr>
        <w:t xml:space="preserve"> various engagement with surrounding at different setting and period of time throughout their lives. </w:t>
      </w:r>
      <w:r w:rsidRPr="00333261">
        <w:rPr>
          <w:rFonts w:asciiTheme="minorHAnsi" w:hAnsiTheme="minorHAnsi" w:cstheme="minorHAnsi"/>
        </w:rPr>
        <w:t xml:space="preserve">It is important to support learners in developing healthy habits that enhance their general physical health and wellbeing. </w:t>
      </w:r>
      <w:proofErr w:type="gramStart"/>
      <w:r w:rsidRPr="00333261">
        <w:rPr>
          <w:rFonts w:asciiTheme="minorHAnsi" w:hAnsiTheme="minorHAnsi" w:cstheme="minorHAnsi"/>
        </w:rPr>
        <w:t>adolescents  health</w:t>
      </w:r>
      <w:proofErr w:type="gramEnd"/>
      <w:r w:rsidRPr="00333261">
        <w:rPr>
          <w:rFonts w:asciiTheme="minorHAnsi" w:hAnsiTheme="minorHAnsi" w:cstheme="minorHAnsi"/>
        </w:rPr>
        <w:t xml:space="preserve"> and well-being are greatly impacted by growing up, therefore educational environments should consider how they will support kids in comprehending and adjusting to these changes as well as the various ways in which those changes </w:t>
      </w:r>
      <w:r w:rsidR="004D638F" w:rsidRPr="00333261">
        <w:rPr>
          <w:rFonts w:asciiTheme="minorHAnsi" w:hAnsiTheme="minorHAnsi" w:cstheme="minorHAnsi"/>
        </w:rPr>
        <w:t>affect them</w:t>
      </w:r>
      <w:r w:rsidRPr="00333261">
        <w:rPr>
          <w:rFonts w:asciiTheme="minorHAnsi" w:hAnsiTheme="minorHAnsi" w:cstheme="minorHAnsi"/>
        </w:rPr>
        <w:t>.</w:t>
      </w:r>
      <w:r w:rsidRPr="00333261">
        <w:rPr>
          <w:rFonts w:asciiTheme="minorHAnsi" w:hAnsiTheme="minorHAnsi" w:cstheme="minorHAnsi"/>
        </w:rPr>
        <w:t xml:space="preserve"> (</w:t>
      </w:r>
      <w:r w:rsidRPr="00333261">
        <w:rPr>
          <w:rFonts w:asciiTheme="minorHAnsi" w:hAnsiTheme="minorHAnsi" w:cstheme="minorHAnsi"/>
        </w:rPr>
        <w:t>W</w:t>
      </w:r>
      <w:r w:rsidRPr="00333261">
        <w:rPr>
          <w:rFonts w:asciiTheme="minorHAnsi" w:hAnsiTheme="minorHAnsi" w:cstheme="minorHAnsi"/>
        </w:rPr>
        <w:t>elsh Government</w:t>
      </w:r>
      <w:r w:rsidRPr="00333261">
        <w:rPr>
          <w:rFonts w:asciiTheme="minorHAnsi" w:hAnsiTheme="minorHAnsi" w:cstheme="minorHAnsi"/>
        </w:rPr>
        <w:t>, 2020).</w:t>
      </w:r>
      <w:r w:rsidR="004D638F" w:rsidRPr="00333261">
        <w:rPr>
          <w:rFonts w:asciiTheme="minorHAnsi" w:hAnsiTheme="minorHAnsi" w:cstheme="minorHAnsi"/>
        </w:rPr>
        <w:t xml:space="preserve"> To aid academic progression children need to sustain a high level of well-being. McLeod, S. (2023) provides a summary of Maslow (1954) hierarchy of </w:t>
      </w:r>
      <w:r w:rsidR="00E00311" w:rsidRPr="00333261">
        <w:rPr>
          <w:rFonts w:asciiTheme="minorHAnsi" w:hAnsiTheme="minorHAnsi" w:cstheme="minorHAnsi"/>
        </w:rPr>
        <w:t>needs by</w:t>
      </w:r>
      <w:r w:rsidR="004D638F" w:rsidRPr="00333261">
        <w:rPr>
          <w:rFonts w:asciiTheme="minorHAnsi" w:hAnsiTheme="minorHAnsi" w:cstheme="minorHAnsi"/>
        </w:rPr>
        <w:t xml:space="preserve"> demonstrating a framework of importance of the child as a whole and there holistic well-being. This indicates that children have a hierarchy of factors that need to be addressed and met correctly </w:t>
      </w:r>
      <w:proofErr w:type="gramStart"/>
      <w:r w:rsidR="004D638F" w:rsidRPr="00333261">
        <w:rPr>
          <w:rFonts w:asciiTheme="minorHAnsi" w:hAnsiTheme="minorHAnsi" w:cstheme="minorHAnsi"/>
        </w:rPr>
        <w:t>in order for</w:t>
      </w:r>
      <w:proofErr w:type="gramEnd"/>
      <w:r w:rsidR="004D638F" w:rsidRPr="00333261">
        <w:rPr>
          <w:rFonts w:asciiTheme="minorHAnsi" w:hAnsiTheme="minorHAnsi" w:cstheme="minorHAnsi"/>
        </w:rPr>
        <w:t xml:space="preserve"> them to exceed and thrive. Cambridge Dictionary (1955) state that progression is ‘the process of changing or developing towards an improved situation or state’. Killam, W.K. and Degges-White, S. (2017) provides us with a book called ‘College Students Development: Applying theory to practise on the diverse campus’ which outlines the theory of Bronfenbrenner (1979) Ecological system. Bronfenbrenner (1979) </w:t>
      </w:r>
      <w:r w:rsidR="004D638F" w:rsidRPr="00333261">
        <w:rPr>
          <w:rFonts w:asciiTheme="minorHAnsi" w:hAnsiTheme="minorHAnsi" w:cstheme="minorHAnsi"/>
        </w:rPr>
        <w:t>concept posits that a range of interrelated environmental systems, from a person's immediate surroundings to large social institutions, have an impact on an individual's development.</w:t>
      </w:r>
      <w:r w:rsidR="004D638F" w:rsidRPr="00333261">
        <w:rPr>
          <w:rFonts w:asciiTheme="minorHAnsi" w:hAnsiTheme="minorHAnsi" w:cstheme="minorHAnsi"/>
        </w:rPr>
        <w:t xml:space="preserve"> Guy-Evans, O. (2023) states the five different systems Bronfenbrenner (1979) divided the holistic development of the child or the person in to. Which include ‘the microsystem, the mesosystem, the exosystem, the macrosystem and the chronosystem’. </w:t>
      </w:r>
      <w:r w:rsidR="00E00311" w:rsidRPr="00333261">
        <w:rPr>
          <w:rFonts w:asciiTheme="minorHAnsi" w:hAnsiTheme="minorHAnsi" w:cstheme="minorHAnsi"/>
        </w:rPr>
        <w:t xml:space="preserve">People engage with their local environment, such as friends, family, and school, directly within the microsystem. A child with SEBD may not be as socially, emotionally, or </w:t>
      </w:r>
      <w:r w:rsidR="00E00311" w:rsidRPr="00333261">
        <w:rPr>
          <w:rFonts w:asciiTheme="minorHAnsi" w:hAnsiTheme="minorHAnsi" w:cstheme="minorHAnsi"/>
        </w:rPr>
        <w:t>behaviourally</w:t>
      </w:r>
      <w:r w:rsidR="00E00311" w:rsidRPr="00333261">
        <w:rPr>
          <w:rFonts w:asciiTheme="minorHAnsi" w:hAnsiTheme="minorHAnsi" w:cstheme="minorHAnsi"/>
        </w:rPr>
        <w:t xml:space="preserve"> well-adjusted if they encounter bullying at school or endure conflict or a lack of support in their home</w:t>
      </w:r>
      <w:r w:rsidR="00E00311" w:rsidRPr="00333261">
        <w:rPr>
          <w:rFonts w:asciiTheme="minorHAnsi" w:hAnsiTheme="minorHAnsi" w:cstheme="minorHAnsi"/>
        </w:rPr>
        <w:t>. S</w:t>
      </w:r>
      <w:r w:rsidR="00E00311" w:rsidRPr="00333261">
        <w:rPr>
          <w:rFonts w:asciiTheme="minorHAnsi" w:hAnsiTheme="minorHAnsi" w:cstheme="minorHAnsi"/>
        </w:rPr>
        <w:t>ubsequently, if they are part of a caring and encouraging microsystem, this can help children create healthy coping mechanisms and enhance their general functioning. The experiences and difficulties that people with SEBD encounter are greatly influenced by the microsystem.</w:t>
      </w:r>
      <w:r w:rsidR="00E00311" w:rsidRPr="00333261">
        <w:rPr>
          <w:rFonts w:asciiTheme="minorHAnsi" w:eastAsiaTheme="minorHAnsi" w:hAnsiTheme="minorHAnsi" w:cstheme="minorHAnsi"/>
          <w:lang w:eastAsia="en-US"/>
        </w:rPr>
        <w:t xml:space="preserve"> By considering the ecological system framework, this enables a holistic understanding about the difficulties and complexities surrounding children with Social, emotional, behaviour difficulties and develop a more interactive and inclusive intervention or support strategy to aid and strive </w:t>
      </w:r>
      <w:proofErr w:type="gramStart"/>
      <w:r w:rsidR="00E00311" w:rsidRPr="00333261">
        <w:rPr>
          <w:rFonts w:asciiTheme="minorHAnsi" w:eastAsiaTheme="minorHAnsi" w:hAnsiTheme="minorHAnsi" w:cstheme="minorHAnsi"/>
          <w:lang w:eastAsia="en-US"/>
        </w:rPr>
        <w:t>there</w:t>
      </w:r>
      <w:proofErr w:type="gramEnd"/>
      <w:r w:rsidR="00E00311" w:rsidRPr="00333261">
        <w:rPr>
          <w:rFonts w:asciiTheme="minorHAnsi" w:eastAsiaTheme="minorHAnsi" w:hAnsiTheme="minorHAnsi" w:cstheme="minorHAnsi"/>
          <w:lang w:eastAsia="en-US"/>
        </w:rPr>
        <w:t xml:space="preserve"> achievement and progression within education. Gov.UK (N.D</w:t>
      </w:r>
      <w:proofErr w:type="gramStart"/>
      <w:r w:rsidR="00E00311" w:rsidRPr="00333261">
        <w:rPr>
          <w:rFonts w:asciiTheme="minorHAnsi" w:eastAsiaTheme="minorHAnsi" w:hAnsiTheme="minorHAnsi" w:cstheme="minorHAnsi"/>
          <w:lang w:eastAsia="en-US"/>
        </w:rPr>
        <w:t>)  refers</w:t>
      </w:r>
      <w:proofErr w:type="gramEnd"/>
      <w:r w:rsidR="00E00311" w:rsidRPr="00333261">
        <w:rPr>
          <w:rFonts w:asciiTheme="minorHAnsi" w:eastAsiaTheme="minorHAnsi" w:hAnsiTheme="minorHAnsi" w:cstheme="minorHAnsi"/>
          <w:lang w:eastAsia="en-US"/>
        </w:rPr>
        <w:t xml:space="preserve"> the importance of building relationships with children with individual needs whatever the context. ‘It is </w:t>
      </w:r>
      <w:proofErr w:type="spellStart"/>
      <w:r w:rsidR="00E00311" w:rsidRPr="00333261">
        <w:rPr>
          <w:rFonts w:asciiTheme="minorHAnsi" w:eastAsiaTheme="minorHAnsi" w:hAnsiTheme="minorHAnsi" w:cstheme="minorHAnsi"/>
          <w:lang w:eastAsia="en-US"/>
        </w:rPr>
        <w:t>crutial</w:t>
      </w:r>
      <w:proofErr w:type="spellEnd"/>
      <w:r w:rsidR="00E00311" w:rsidRPr="00333261">
        <w:rPr>
          <w:rFonts w:asciiTheme="minorHAnsi" w:eastAsiaTheme="minorHAnsi" w:hAnsiTheme="minorHAnsi" w:cstheme="minorHAnsi"/>
          <w:lang w:eastAsia="en-US"/>
        </w:rPr>
        <w:t xml:space="preserve"> that settings spend time with their children to really get to know them, how they learn, what they enjoy, what they might struggle with, where they may need more support in to secure their learning. This all helps build strong and solid foundations for their future growth development’. This determines that children with SEBD are more likely to need further support </w:t>
      </w:r>
      <w:proofErr w:type="spellStart"/>
      <w:r w:rsidR="00E00311" w:rsidRPr="00333261">
        <w:rPr>
          <w:rFonts w:asciiTheme="minorHAnsi" w:eastAsiaTheme="minorHAnsi" w:hAnsiTheme="minorHAnsi" w:cstheme="minorHAnsi"/>
          <w:lang w:eastAsia="en-US"/>
        </w:rPr>
        <w:t>vto</w:t>
      </w:r>
      <w:proofErr w:type="spellEnd"/>
      <w:r w:rsidR="00E00311" w:rsidRPr="00333261">
        <w:rPr>
          <w:rFonts w:asciiTheme="minorHAnsi" w:eastAsiaTheme="minorHAnsi" w:hAnsiTheme="minorHAnsi" w:cstheme="minorHAnsi"/>
          <w:lang w:eastAsia="en-US"/>
        </w:rPr>
        <w:t xml:space="preserve"> enable progression as well as a lower self-esteem or work ethic due to their ecological system. ERW (2020) demonstrates that </w:t>
      </w:r>
      <w:proofErr w:type="gramStart"/>
      <w:r w:rsidR="00E00311" w:rsidRPr="00333261">
        <w:rPr>
          <w:rFonts w:asciiTheme="minorHAnsi" w:eastAsiaTheme="minorHAnsi" w:hAnsiTheme="minorHAnsi" w:cstheme="minorHAnsi"/>
          <w:lang w:eastAsia="en-US"/>
        </w:rPr>
        <w:t>In</w:t>
      </w:r>
      <w:proofErr w:type="gramEnd"/>
      <w:r w:rsidR="00E00311" w:rsidRPr="00333261">
        <w:rPr>
          <w:rFonts w:asciiTheme="minorHAnsi" w:eastAsiaTheme="minorHAnsi" w:hAnsiTheme="minorHAnsi" w:cstheme="minorHAnsi"/>
          <w:lang w:eastAsia="en-US"/>
        </w:rPr>
        <w:t xml:space="preserve"> education, progress is defined as gaining more information, developing one's abilities, and comprehending ideas and concepts on a deeper level. It is a divergent, non-linear process that happens for every learner at various points throughout the continuum.</w:t>
      </w:r>
      <w:r w:rsidR="00E00311" w:rsidRPr="00333261">
        <w:rPr>
          <w:rFonts w:asciiTheme="minorHAnsi" w:eastAsiaTheme="minorHAnsi" w:hAnsiTheme="minorHAnsi" w:cstheme="minorHAnsi"/>
          <w:lang w:eastAsia="en-US"/>
        </w:rPr>
        <w:t xml:space="preserve"> Similarly, to Welsh Government, (2021) supplies a progression code that states ‘as learners progress, they develop an increasingly sophisticated understanding of concepts that underpin </w:t>
      </w:r>
      <w:r w:rsidR="00E00311" w:rsidRPr="00333261">
        <w:rPr>
          <w:rFonts w:asciiTheme="minorHAnsi" w:eastAsiaTheme="minorHAnsi" w:hAnsiTheme="minorHAnsi" w:cstheme="minorHAnsi"/>
          <w:lang w:eastAsia="en-US"/>
        </w:rPr>
        <w:lastRenderedPageBreak/>
        <w:t xml:space="preserve">different statements of what matter’ This indicated the process of progress for children with Social, emotional, behaviour difficulties may involve differentiation, supported by </w:t>
      </w:r>
      <w:r w:rsidR="00E00311" w:rsidRPr="00333261">
        <w:rPr>
          <w:rFonts w:asciiTheme="minorHAnsi" w:hAnsiTheme="minorHAnsi" w:cstheme="minorHAnsi"/>
        </w:rPr>
        <w:t xml:space="preserve">Wylie, E.C., Morrison, H.G. and Healy, J. (1995) </w:t>
      </w:r>
      <w:r w:rsidR="00E00311" w:rsidRPr="00333261">
        <w:rPr>
          <w:rFonts w:asciiTheme="minorHAnsi" w:hAnsiTheme="minorHAnsi" w:cstheme="minorHAnsi"/>
        </w:rPr>
        <w:t xml:space="preserve">who displays the difference between progression for children with Social, Emotional, Behaviour difficulties comparted to a ‘Main stream, National curriculum’.  Doolittle, P.E. (1995) promotes the use of Lev Vygotsky (1978) Zone of proximal development. Vygotsky (1978) defined the zone of proximal development as </w:t>
      </w:r>
      <w:r w:rsidR="00E00311" w:rsidRPr="00333261">
        <w:rPr>
          <w:rFonts w:asciiTheme="minorHAnsi" w:hAnsiTheme="minorHAnsi" w:cstheme="minorHAnsi"/>
        </w:rPr>
        <w:t>the difference between a child's actual developmental level as assessed by autonomous problem-solving and their prospective developmental level as assessed by working with more experienced peers or under adult supervision while addressing problems</w:t>
      </w:r>
      <w:r w:rsidR="00E00311" w:rsidRPr="00333261">
        <w:rPr>
          <w:rFonts w:asciiTheme="minorHAnsi" w:hAnsiTheme="minorHAnsi" w:cstheme="minorHAnsi"/>
        </w:rPr>
        <w:t xml:space="preserve">. This indicates that children faced with social, Emotional, Behaviour difficulties will face progression at a diverse angle, but are however more than capable of progression with which ever target they are aiming for in various of ways they find to aid </w:t>
      </w:r>
      <w:proofErr w:type="gramStart"/>
      <w:r w:rsidR="00E00311" w:rsidRPr="00333261">
        <w:rPr>
          <w:rFonts w:asciiTheme="minorHAnsi" w:hAnsiTheme="minorHAnsi" w:cstheme="minorHAnsi"/>
        </w:rPr>
        <w:t>there</w:t>
      </w:r>
      <w:proofErr w:type="gramEnd"/>
      <w:r w:rsidR="00E00311" w:rsidRPr="00333261">
        <w:rPr>
          <w:rFonts w:asciiTheme="minorHAnsi" w:hAnsiTheme="minorHAnsi" w:cstheme="minorHAnsi"/>
        </w:rPr>
        <w:t xml:space="preserve"> progression in order for them to thrive. </w:t>
      </w:r>
      <w:r w:rsidR="00C117DE" w:rsidRPr="00333261">
        <w:rPr>
          <w:rFonts w:asciiTheme="minorHAnsi" w:hAnsiTheme="minorHAnsi" w:cstheme="minorHAnsi"/>
        </w:rPr>
        <w:t xml:space="preserve"> </w:t>
      </w:r>
      <w:r w:rsidR="002C1AD8" w:rsidRPr="00333261">
        <w:rPr>
          <w:rFonts w:asciiTheme="minorHAnsi" w:hAnsiTheme="minorHAnsi" w:cstheme="minorHAnsi"/>
        </w:rPr>
        <w:t xml:space="preserve">Main, P. (2023) portrays the theory of Howard Gardener (1983) ‘multiple intelligence’. He voices that ‘the learning process should be tailored to an individual’s strengths in their multiple intelligence’ This supports Vygotsky theory of ‘Zone of proximal development’ where you need to take the holist view of each child and tailor their learning to the learning </w:t>
      </w:r>
      <w:proofErr w:type="gramStart"/>
      <w:r w:rsidR="002C1AD8" w:rsidRPr="00333261">
        <w:rPr>
          <w:rFonts w:asciiTheme="minorHAnsi" w:hAnsiTheme="minorHAnsi" w:cstheme="minorHAnsi"/>
        </w:rPr>
        <w:t>in order to</w:t>
      </w:r>
      <w:proofErr w:type="gramEnd"/>
      <w:r w:rsidR="002C1AD8" w:rsidRPr="00333261">
        <w:rPr>
          <w:rFonts w:asciiTheme="minorHAnsi" w:hAnsiTheme="minorHAnsi" w:cstheme="minorHAnsi"/>
        </w:rPr>
        <w:t xml:space="preserve"> maximise progressing within an educational setting. </w:t>
      </w:r>
    </w:p>
    <w:p w14:paraId="52E8A808" w14:textId="77777777" w:rsidR="00A34EE8" w:rsidRDefault="00A34EE8" w:rsidP="009A0E86">
      <w:pPr>
        <w:spacing w:before="100" w:beforeAutospacing="1" w:after="100" w:afterAutospacing="1"/>
        <w:rPr>
          <w:rFonts w:asciiTheme="minorHAnsi" w:eastAsiaTheme="minorHAnsi" w:hAnsiTheme="minorHAnsi" w:cstheme="minorHAnsi"/>
          <w:lang w:eastAsia="en-US"/>
        </w:rPr>
      </w:pPr>
    </w:p>
    <w:p w14:paraId="4413F39F" w14:textId="0667B072" w:rsidR="009A0E86" w:rsidRPr="00333261" w:rsidRDefault="0033047C" w:rsidP="009A0E86">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A case study is an in-depth of one person, group, or event. In a case of study, nearly every aspect of the subject’s life and history is analysed to seek patters and causes of behaviour, Cherry, K. (2022). Supported by Yin, R.K. (2005) </w:t>
      </w:r>
      <w:r w:rsidRPr="00333261">
        <w:rPr>
          <w:rFonts w:asciiTheme="minorHAnsi" w:hAnsiTheme="minorHAnsi" w:cstheme="minorHAnsi"/>
        </w:rPr>
        <w:t>defines a case study as "an empirical investigation that looks at a current phenomenon in the context of real-life situations, particularly when it's difficult to distinguish the boundaries between the phenomenon and the context."</w:t>
      </w:r>
      <w:r w:rsidRPr="00333261">
        <w:rPr>
          <w:rFonts w:asciiTheme="minorHAnsi" w:hAnsiTheme="minorHAnsi" w:cstheme="minorHAnsi"/>
        </w:rPr>
        <w:t xml:space="preserve"> McLeod, S. (2019) supplies three strengths of a case study which entail ‘provides detailed (rich qualitative) information, provides insight for further research and permitting investigation of otherwise impractical (or unethical) situations.’ </w:t>
      </w:r>
    </w:p>
    <w:p w14:paraId="37354AA3" w14:textId="6EB9CDC0" w:rsidR="00812C32" w:rsidRPr="00333261" w:rsidRDefault="0033047C" w:rsidP="009A0E86">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A case study consists of two parts. The subject who is the person, and the object which is the chosen topic of interest. These are the two main components to structure a case study. </w:t>
      </w:r>
      <w:r w:rsidR="00812C32" w:rsidRPr="00333261">
        <w:rPr>
          <w:rFonts w:asciiTheme="minorHAnsi" w:hAnsiTheme="minorHAnsi" w:cstheme="minorHAnsi"/>
        </w:rPr>
        <w:t xml:space="preserve">A case study's design primarily </w:t>
      </w:r>
      <w:r w:rsidR="00333261" w:rsidRPr="00333261">
        <w:rPr>
          <w:rFonts w:asciiTheme="minorHAnsi" w:hAnsiTheme="minorHAnsi" w:cstheme="minorHAnsi"/>
        </w:rPr>
        <w:t>uses</w:t>
      </w:r>
      <w:r w:rsidR="00812C32" w:rsidRPr="00333261">
        <w:rPr>
          <w:rFonts w:asciiTheme="minorHAnsi" w:hAnsiTheme="minorHAnsi" w:cstheme="minorHAnsi"/>
        </w:rPr>
        <w:t xml:space="preserve"> qualitative and quantitative research to examine a single person, a group of individuals, an organisation, or an event.</w:t>
      </w:r>
      <w:r w:rsidR="00812C32" w:rsidRPr="00333261">
        <w:rPr>
          <w:rFonts w:asciiTheme="minorHAnsi" w:hAnsiTheme="minorHAnsi" w:cstheme="minorHAnsi"/>
        </w:rPr>
        <w:t xml:space="preserve"> Stake, R.E. (1995) </w:t>
      </w:r>
      <w:r w:rsidR="00812C32" w:rsidRPr="00333261">
        <w:rPr>
          <w:rFonts w:asciiTheme="minorHAnsi" w:hAnsiTheme="minorHAnsi" w:cstheme="minorHAnsi"/>
        </w:rPr>
        <w:t xml:space="preserve">emphasises that an intrinsic case study is conducted </w:t>
      </w:r>
      <w:proofErr w:type="gramStart"/>
      <w:r w:rsidR="00812C32" w:rsidRPr="00333261">
        <w:rPr>
          <w:rFonts w:asciiTheme="minorHAnsi" w:hAnsiTheme="minorHAnsi" w:cstheme="minorHAnsi"/>
        </w:rPr>
        <w:t>in order to</w:t>
      </w:r>
      <w:proofErr w:type="gramEnd"/>
      <w:r w:rsidR="00812C32" w:rsidRPr="00333261">
        <w:rPr>
          <w:rFonts w:asciiTheme="minorHAnsi" w:hAnsiTheme="minorHAnsi" w:cstheme="minorHAnsi"/>
        </w:rPr>
        <w:t xml:space="preserve"> comprehend a specific instance by means of a particular research topic.</w:t>
      </w:r>
      <w:r w:rsidR="00812C32" w:rsidRPr="00333261">
        <w:rPr>
          <w:rFonts w:asciiTheme="minorHAnsi" w:hAnsiTheme="minorHAnsi" w:cstheme="minorHAnsi"/>
        </w:rPr>
        <w:t xml:space="preserve"> Stake, R (1995) displays the importance of various perspective and the exploration of unique methods of qualitative research. Supporting this Guyton, E and Julie Rainer Dangle (2004) in </w:t>
      </w:r>
      <w:r w:rsidR="00333261" w:rsidRPr="00333261">
        <w:rPr>
          <w:rFonts w:asciiTheme="minorHAnsi" w:hAnsiTheme="minorHAnsi" w:cstheme="minorHAnsi"/>
        </w:rPr>
        <w:t>their</w:t>
      </w:r>
      <w:r w:rsidR="00812C32" w:rsidRPr="00333261">
        <w:rPr>
          <w:rFonts w:asciiTheme="minorHAnsi" w:hAnsiTheme="minorHAnsi" w:cstheme="minorHAnsi"/>
        </w:rPr>
        <w:t xml:space="preserve"> book ‘research linking teacher perceptions and </w:t>
      </w:r>
      <w:proofErr w:type="gramStart"/>
      <w:r w:rsidR="00812C32" w:rsidRPr="00333261">
        <w:rPr>
          <w:rFonts w:asciiTheme="minorHAnsi" w:hAnsiTheme="minorHAnsi" w:cstheme="minorHAnsi"/>
        </w:rPr>
        <w:t>students</w:t>
      </w:r>
      <w:proofErr w:type="gramEnd"/>
      <w:r w:rsidR="00812C32" w:rsidRPr="00333261">
        <w:rPr>
          <w:rFonts w:asciiTheme="minorHAnsi" w:hAnsiTheme="minorHAnsi" w:cstheme="minorHAnsi"/>
        </w:rPr>
        <w:t xml:space="preserve"> performance’ shows the evidence of Thomas R </w:t>
      </w:r>
      <w:proofErr w:type="spellStart"/>
      <w:r w:rsidR="00812C32" w:rsidRPr="00333261">
        <w:rPr>
          <w:rFonts w:asciiTheme="minorHAnsi" w:hAnsiTheme="minorHAnsi" w:cstheme="minorHAnsi"/>
        </w:rPr>
        <w:t>Guskey</w:t>
      </w:r>
      <w:proofErr w:type="spellEnd"/>
      <w:r w:rsidR="00812C32" w:rsidRPr="00333261">
        <w:rPr>
          <w:rFonts w:asciiTheme="minorHAnsi" w:hAnsiTheme="minorHAnsi" w:cstheme="minorHAnsi"/>
        </w:rPr>
        <w:t xml:space="preserve"> (2002) and how he explained how case studies allow researchers to explore different outcomes of a variety of processes implied by theories dependant on the context. </w:t>
      </w:r>
      <w:r w:rsidR="00812C32" w:rsidRPr="00333261">
        <w:rPr>
          <w:rFonts w:asciiTheme="minorHAnsi" w:hAnsiTheme="minorHAnsi" w:cstheme="minorHAnsi"/>
        </w:rPr>
        <w:t xml:space="preserve">The purpose of using a case study approach in this research project enables a rich understanding of </w:t>
      </w:r>
      <w:r w:rsidR="00333261" w:rsidRPr="00333261">
        <w:rPr>
          <w:rFonts w:asciiTheme="minorHAnsi" w:hAnsiTheme="minorHAnsi" w:cstheme="minorHAnsi"/>
        </w:rPr>
        <w:t>pupils</w:t>
      </w:r>
      <w:r w:rsidR="00812C32" w:rsidRPr="00333261">
        <w:rPr>
          <w:rFonts w:asciiTheme="minorHAnsi" w:hAnsiTheme="minorHAnsi" w:cstheme="minorHAnsi"/>
        </w:rPr>
        <w:t xml:space="preserve"> with social, emotional, behaviour disorder or </w:t>
      </w:r>
      <w:r w:rsidR="00812C32" w:rsidRPr="00333261">
        <w:rPr>
          <w:rFonts w:asciiTheme="minorHAnsi" w:hAnsiTheme="minorHAnsi" w:cstheme="minorHAnsi"/>
        </w:rPr>
        <w:t xml:space="preserve">difficulties </w:t>
      </w:r>
      <w:r w:rsidR="00812C32" w:rsidRPr="00333261">
        <w:rPr>
          <w:rFonts w:asciiTheme="minorHAnsi" w:hAnsiTheme="minorHAnsi" w:cstheme="minorHAnsi"/>
        </w:rPr>
        <w:t>and how they progress within an educational setting</w:t>
      </w:r>
      <w:r w:rsidR="00812C32" w:rsidRPr="00333261">
        <w:rPr>
          <w:rFonts w:asciiTheme="minorHAnsi" w:hAnsiTheme="minorHAnsi" w:cstheme="minorHAnsi"/>
        </w:rPr>
        <w:t xml:space="preserve">. Crowe, S., Creswell, K., Robertson, A., </w:t>
      </w:r>
      <w:proofErr w:type="spellStart"/>
      <w:r w:rsidR="00812C32" w:rsidRPr="00333261">
        <w:rPr>
          <w:rFonts w:asciiTheme="minorHAnsi" w:hAnsiTheme="minorHAnsi" w:cstheme="minorHAnsi"/>
        </w:rPr>
        <w:t>Huby</w:t>
      </w:r>
      <w:proofErr w:type="spellEnd"/>
      <w:r w:rsidR="00812C32" w:rsidRPr="00333261">
        <w:rPr>
          <w:rFonts w:asciiTheme="minorHAnsi" w:hAnsiTheme="minorHAnsi" w:cstheme="minorHAnsi"/>
        </w:rPr>
        <w:t>, G. and Sheikh, A. (2011) shows t</w:t>
      </w:r>
      <w:r w:rsidR="00812C32" w:rsidRPr="00333261">
        <w:rPr>
          <w:rFonts w:asciiTheme="minorHAnsi" w:hAnsiTheme="minorHAnsi" w:cstheme="minorHAnsi"/>
        </w:rPr>
        <w:t>he application of the case study technique is especially helpful for gaining a comprehensive understanding of a topic, occurrence, or phenomena of interest within its organic, real-world setting.</w:t>
      </w:r>
    </w:p>
    <w:p w14:paraId="5E2E9B95" w14:textId="4C81F5F5" w:rsidR="00F5186C" w:rsidRPr="00333261" w:rsidRDefault="00F5186C" w:rsidP="009A0E86">
      <w:pPr>
        <w:spacing w:before="100" w:beforeAutospacing="1" w:after="100" w:afterAutospacing="1"/>
        <w:rPr>
          <w:rFonts w:asciiTheme="minorHAnsi" w:hAnsiTheme="minorHAnsi" w:cstheme="minorHAnsi"/>
        </w:rPr>
      </w:pPr>
      <w:r w:rsidRPr="00333261">
        <w:rPr>
          <w:rFonts w:asciiTheme="minorHAnsi" w:hAnsiTheme="minorHAnsi" w:cstheme="minorHAnsi"/>
        </w:rPr>
        <w:lastRenderedPageBreak/>
        <w:t xml:space="preserve">When conducting a case study there are many advantages. The case study approach in research is one of the most flexible resources to collect various means of data. Case studies allow the researcher to adapt the study based on their desired goals of outcomes and enables them to change and reflect through to see if change is needed. Case studies also provide the ability for the researcher to work closely with the stakeholders and get first-hand experience and views. Piaget, J. (1952) work on cognitive </w:t>
      </w:r>
      <w:r w:rsidR="00333261" w:rsidRPr="00333261">
        <w:rPr>
          <w:rFonts w:asciiTheme="minorHAnsi" w:hAnsiTheme="minorHAnsi" w:cstheme="minorHAnsi"/>
        </w:rPr>
        <w:t>development.</w:t>
      </w:r>
      <w:r w:rsidRPr="00333261">
        <w:rPr>
          <w:rFonts w:asciiTheme="minorHAnsi" w:hAnsiTheme="minorHAnsi" w:cstheme="minorHAnsi"/>
        </w:rPr>
        <w:t xml:space="preserve"> The article states the case studies provide a very high valued insight in how children learn and think within education. </w:t>
      </w:r>
      <w:r w:rsidR="005F4C52" w:rsidRPr="00333261">
        <w:rPr>
          <w:rFonts w:asciiTheme="minorHAnsi" w:hAnsiTheme="minorHAnsi" w:cstheme="minorHAnsi"/>
        </w:rPr>
        <w:t>Supporting the theory of Piaget, (1952), Vygotsky, L. (1975</w:t>
      </w:r>
      <w:proofErr w:type="gramStart"/>
      <w:r w:rsidR="005F4C52" w:rsidRPr="00333261">
        <w:rPr>
          <w:rFonts w:asciiTheme="minorHAnsi" w:hAnsiTheme="minorHAnsi" w:cstheme="minorHAnsi"/>
        </w:rPr>
        <w:t>) .</w:t>
      </w:r>
      <w:proofErr w:type="gramEnd"/>
      <w:r w:rsidR="005F4C52" w:rsidRPr="00333261">
        <w:rPr>
          <w:rFonts w:asciiTheme="minorHAnsi" w:hAnsiTheme="minorHAnsi" w:cstheme="minorHAnsi"/>
        </w:rPr>
        <w:t xml:space="preserve"> Castagno-</w:t>
      </w:r>
      <w:proofErr w:type="spellStart"/>
      <w:proofErr w:type="gramStart"/>
      <w:r w:rsidR="005F4C52" w:rsidRPr="00333261">
        <w:rPr>
          <w:rFonts w:asciiTheme="minorHAnsi" w:hAnsiTheme="minorHAnsi" w:cstheme="minorHAnsi"/>
        </w:rPr>
        <w:t>Dysart,D</w:t>
      </w:r>
      <w:proofErr w:type="spellEnd"/>
      <w:r w:rsidR="005F4C52" w:rsidRPr="00333261">
        <w:rPr>
          <w:rFonts w:asciiTheme="minorHAnsi" w:hAnsiTheme="minorHAnsi" w:cstheme="minorHAnsi"/>
        </w:rPr>
        <w:t>.</w:t>
      </w:r>
      <w:proofErr w:type="gramEnd"/>
      <w:r w:rsidR="005F4C52" w:rsidRPr="00333261">
        <w:rPr>
          <w:rFonts w:asciiTheme="minorHAnsi" w:hAnsiTheme="minorHAnsi" w:cstheme="minorHAnsi"/>
        </w:rPr>
        <w:t xml:space="preserve">, Matera, B and Traver, J.(2019) discus the theory of Vygotsky (. ) scaffolding. The theory of scaffolding is the ability to break down information or sections of a new skill into pieces that are digestible or attainable for </w:t>
      </w:r>
      <w:r w:rsidR="00333261" w:rsidRPr="00333261">
        <w:rPr>
          <w:rFonts w:asciiTheme="minorHAnsi" w:hAnsiTheme="minorHAnsi" w:cstheme="minorHAnsi"/>
        </w:rPr>
        <w:t>learners</w:t>
      </w:r>
      <w:r w:rsidR="005F4C52" w:rsidRPr="00333261">
        <w:rPr>
          <w:rFonts w:asciiTheme="minorHAnsi" w:hAnsiTheme="minorHAnsi" w:cstheme="minorHAnsi"/>
        </w:rPr>
        <w:t xml:space="preserve">. Further on, it discloses the use of case studies and how they are vital to understand the learners at a deeper level to tailor their learning experience and enable them to thrive and succeed. However, Shan, Y (2018) article on the theory and expression of theorist Thomas Kuhn. Kuhn, T shows the negative aspects of the use of case studies as he </w:t>
      </w:r>
      <w:r w:rsidR="00333261" w:rsidRPr="00333261">
        <w:rPr>
          <w:rFonts w:asciiTheme="minorHAnsi" w:hAnsiTheme="minorHAnsi" w:cstheme="minorHAnsi"/>
        </w:rPr>
        <w:t>believes</w:t>
      </w:r>
      <w:r w:rsidR="005F4C52" w:rsidRPr="00333261">
        <w:rPr>
          <w:rFonts w:asciiTheme="minorHAnsi" w:hAnsiTheme="minorHAnsi" w:cstheme="minorHAnsi"/>
        </w:rPr>
        <w:t xml:space="preserve"> that case studies ‘Lack generalizability and scientific rigor’ he follows this by discussing the case studies can be biased or subjective. This indicates that using case studies can have it flaws and could be met with limitations through unless done correctly to aid data findings and experiences. </w:t>
      </w:r>
    </w:p>
    <w:p w14:paraId="682BC904" w14:textId="328B3545" w:rsidR="00E00311" w:rsidRPr="00333261" w:rsidRDefault="00A50FA3" w:rsidP="009A0E86">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In the course of this particular research project, there will be a </w:t>
      </w:r>
      <w:r w:rsidR="00C41F10" w:rsidRPr="00333261">
        <w:rPr>
          <w:rFonts w:asciiTheme="minorHAnsi" w:hAnsiTheme="minorHAnsi" w:cstheme="minorHAnsi"/>
        </w:rPr>
        <w:t>close eye</w:t>
      </w:r>
      <w:r w:rsidRPr="00333261">
        <w:rPr>
          <w:rFonts w:asciiTheme="minorHAnsi" w:hAnsiTheme="minorHAnsi" w:cstheme="minorHAnsi"/>
        </w:rPr>
        <w:t xml:space="preserve"> on the </w:t>
      </w:r>
      <w:r w:rsidR="00C41F10" w:rsidRPr="00333261">
        <w:rPr>
          <w:rFonts w:asciiTheme="minorHAnsi" w:hAnsiTheme="minorHAnsi" w:cstheme="minorHAnsi"/>
        </w:rPr>
        <w:t>views</w:t>
      </w:r>
      <w:r w:rsidRPr="00333261">
        <w:rPr>
          <w:rFonts w:asciiTheme="minorHAnsi" w:hAnsiTheme="minorHAnsi" w:cstheme="minorHAnsi"/>
        </w:rPr>
        <w:t xml:space="preserve"> and perceptions of teachers and the relationship between Social, Emotional, Behaviour discord/Difficulty children and progression with education. This case study will involve using particular </w:t>
      </w:r>
      <w:r w:rsidR="00333261" w:rsidRPr="00333261">
        <w:rPr>
          <w:rFonts w:asciiTheme="minorHAnsi" w:hAnsiTheme="minorHAnsi" w:cstheme="minorHAnsi"/>
        </w:rPr>
        <w:t>strategies</w:t>
      </w:r>
      <w:r w:rsidRPr="00333261">
        <w:rPr>
          <w:rFonts w:asciiTheme="minorHAnsi" w:hAnsiTheme="minorHAnsi" w:cstheme="minorHAnsi"/>
        </w:rPr>
        <w:t xml:space="preserve"> to gain an insight into the perception of teachers and </w:t>
      </w:r>
      <w:r w:rsidR="00C41F10" w:rsidRPr="00333261">
        <w:rPr>
          <w:rFonts w:asciiTheme="minorHAnsi" w:hAnsiTheme="minorHAnsi" w:cstheme="minorHAnsi"/>
        </w:rPr>
        <w:t>agencies</w:t>
      </w:r>
      <w:r w:rsidRPr="00333261">
        <w:rPr>
          <w:rFonts w:asciiTheme="minorHAnsi" w:hAnsiTheme="minorHAnsi" w:cstheme="minorHAnsi"/>
        </w:rPr>
        <w:t xml:space="preserve"> within the chosen topic. </w:t>
      </w:r>
    </w:p>
    <w:p w14:paraId="150D9662" w14:textId="749E284D" w:rsidR="00A50FA3" w:rsidRPr="00333261" w:rsidRDefault="00A50FA3" w:rsidP="009A0E86">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Through this case study, the methods that will be applied in this research project are observation as well as interviews. Observations will be carried out within the chosen children as well as different specific classes through three of the five days. Observation is a qualative method and will be utilised through the case study to provide an insight into the education with children with Social, Emotional, behaviour difficulties and a personal view of </w:t>
      </w:r>
      <w:proofErr w:type="spellStart"/>
      <w:r w:rsidRPr="00333261">
        <w:rPr>
          <w:rFonts w:asciiTheme="minorHAnsi" w:hAnsiTheme="minorHAnsi" w:cstheme="minorHAnsi"/>
        </w:rPr>
        <w:t>there</w:t>
      </w:r>
      <w:proofErr w:type="spellEnd"/>
      <w:r w:rsidRPr="00333261">
        <w:rPr>
          <w:rFonts w:asciiTheme="minorHAnsi" w:hAnsiTheme="minorHAnsi" w:cstheme="minorHAnsi"/>
        </w:rPr>
        <w:t xml:space="preserve"> relationship with progression in education. As well as observations, Interviews will be carried out with a selected group of staff within School A. Interviews will allow the collection of </w:t>
      </w:r>
      <w:r w:rsidR="00FB173C" w:rsidRPr="00333261">
        <w:rPr>
          <w:rFonts w:asciiTheme="minorHAnsi" w:hAnsiTheme="minorHAnsi" w:cstheme="minorHAnsi"/>
        </w:rPr>
        <w:t>qualitative</w:t>
      </w:r>
      <w:r w:rsidRPr="00333261">
        <w:rPr>
          <w:rFonts w:asciiTheme="minorHAnsi" w:hAnsiTheme="minorHAnsi" w:cstheme="minorHAnsi"/>
        </w:rPr>
        <w:t xml:space="preserve"> data and will provide staff and the chosen group to expression </w:t>
      </w:r>
      <w:proofErr w:type="gramStart"/>
      <w:r w:rsidRPr="00333261">
        <w:rPr>
          <w:rFonts w:asciiTheme="minorHAnsi" w:hAnsiTheme="minorHAnsi" w:cstheme="minorHAnsi"/>
        </w:rPr>
        <w:t>there</w:t>
      </w:r>
      <w:proofErr w:type="gramEnd"/>
      <w:r w:rsidRPr="00333261">
        <w:rPr>
          <w:rFonts w:asciiTheme="minorHAnsi" w:hAnsiTheme="minorHAnsi" w:cstheme="minorHAnsi"/>
        </w:rPr>
        <w:t xml:space="preserve"> </w:t>
      </w:r>
      <w:r w:rsidR="00FB173C" w:rsidRPr="00333261">
        <w:rPr>
          <w:rFonts w:asciiTheme="minorHAnsi" w:hAnsiTheme="minorHAnsi" w:cstheme="minorHAnsi"/>
        </w:rPr>
        <w:t>perceptions</w:t>
      </w:r>
      <w:r w:rsidRPr="00333261">
        <w:rPr>
          <w:rFonts w:asciiTheme="minorHAnsi" w:hAnsiTheme="minorHAnsi" w:cstheme="minorHAnsi"/>
        </w:rPr>
        <w:t xml:space="preserve"> about a chose topic or case study, supported by the article by </w:t>
      </w:r>
      <w:proofErr w:type="spellStart"/>
      <w:r w:rsidRPr="00333261">
        <w:rPr>
          <w:rFonts w:asciiTheme="minorHAnsi" w:hAnsiTheme="minorHAnsi" w:cstheme="minorHAnsi"/>
        </w:rPr>
        <w:t>Bojlen</w:t>
      </w:r>
      <w:proofErr w:type="spellEnd"/>
      <w:r w:rsidRPr="00333261">
        <w:rPr>
          <w:rFonts w:asciiTheme="minorHAnsi" w:hAnsiTheme="minorHAnsi" w:cstheme="minorHAnsi"/>
        </w:rPr>
        <w:t xml:space="preserve">, N.S. and Lunde, I.M. (1995) </w:t>
      </w:r>
    </w:p>
    <w:p w14:paraId="3F46E1A8" w14:textId="5D287059" w:rsidR="00A50FA3" w:rsidRPr="00333261" w:rsidRDefault="00A50FA3" w:rsidP="009A0E86">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When selecting a specific research tool there will </w:t>
      </w:r>
      <w:r w:rsidR="00FB173C" w:rsidRPr="00333261">
        <w:rPr>
          <w:rFonts w:asciiTheme="minorHAnsi" w:hAnsiTheme="minorHAnsi" w:cstheme="minorHAnsi"/>
        </w:rPr>
        <w:t>always</w:t>
      </w:r>
      <w:r w:rsidRPr="00333261">
        <w:rPr>
          <w:rFonts w:asciiTheme="minorHAnsi" w:hAnsiTheme="minorHAnsi" w:cstheme="minorHAnsi"/>
        </w:rPr>
        <w:t xml:space="preserve"> be certain strengths and limitations that will have to be taken into consideration. </w:t>
      </w:r>
      <w:r w:rsidR="007E513F" w:rsidRPr="00333261">
        <w:rPr>
          <w:rFonts w:asciiTheme="minorHAnsi" w:hAnsiTheme="minorHAnsi" w:cstheme="minorHAnsi"/>
        </w:rPr>
        <w:t xml:space="preserve">While conduction observations all the pupils will be made aware and brought to </w:t>
      </w:r>
      <w:r w:rsidR="00FB173C" w:rsidRPr="00333261">
        <w:rPr>
          <w:rFonts w:asciiTheme="minorHAnsi" w:hAnsiTheme="minorHAnsi" w:cstheme="minorHAnsi"/>
        </w:rPr>
        <w:t>their</w:t>
      </w:r>
      <w:r w:rsidR="007E513F" w:rsidRPr="00333261">
        <w:rPr>
          <w:rFonts w:asciiTheme="minorHAnsi" w:hAnsiTheme="minorHAnsi" w:cstheme="minorHAnsi"/>
        </w:rPr>
        <w:t xml:space="preserve"> attention that they will be being observed which </w:t>
      </w:r>
      <w:r w:rsidR="00FB173C" w:rsidRPr="00333261">
        <w:rPr>
          <w:rFonts w:asciiTheme="minorHAnsi" w:hAnsiTheme="minorHAnsi" w:cstheme="minorHAnsi"/>
        </w:rPr>
        <w:t>follows</w:t>
      </w:r>
      <w:r w:rsidR="007E513F" w:rsidRPr="00333261">
        <w:rPr>
          <w:rFonts w:asciiTheme="minorHAnsi" w:hAnsiTheme="minorHAnsi" w:cstheme="minorHAnsi"/>
        </w:rPr>
        <w:t xml:space="preserve"> the overt observation in accordance </w:t>
      </w:r>
      <w:proofErr w:type="gramStart"/>
      <w:r w:rsidR="007E513F" w:rsidRPr="00333261">
        <w:rPr>
          <w:rFonts w:asciiTheme="minorHAnsi" w:hAnsiTheme="minorHAnsi" w:cstheme="minorHAnsi"/>
        </w:rPr>
        <w:t>to</w:t>
      </w:r>
      <w:proofErr w:type="gramEnd"/>
      <w:r w:rsidR="007E513F" w:rsidRPr="00333261">
        <w:rPr>
          <w:rFonts w:asciiTheme="minorHAnsi" w:hAnsiTheme="minorHAnsi" w:cstheme="minorHAnsi"/>
        </w:rPr>
        <w:t xml:space="preserve"> the 2018 BERA guidelines (BERA, 2018) </w:t>
      </w:r>
      <w:proofErr w:type="spellStart"/>
      <w:r w:rsidR="007E513F" w:rsidRPr="00333261">
        <w:rPr>
          <w:rFonts w:asciiTheme="minorHAnsi" w:hAnsiTheme="minorHAnsi" w:cstheme="minorHAnsi"/>
        </w:rPr>
        <w:t>Javatpoint</w:t>
      </w:r>
      <w:proofErr w:type="spellEnd"/>
      <w:r w:rsidR="007E513F" w:rsidRPr="00333261">
        <w:rPr>
          <w:rFonts w:asciiTheme="minorHAnsi" w:hAnsiTheme="minorHAnsi" w:cstheme="minorHAnsi"/>
        </w:rPr>
        <w:t xml:space="preserve"> (2011) provides an article which states the advantages and limitations of the use of observations. He states that observations provide ‘</w:t>
      </w:r>
      <w:r w:rsidR="00FB173C" w:rsidRPr="00333261">
        <w:rPr>
          <w:rFonts w:asciiTheme="minorHAnsi" w:hAnsiTheme="minorHAnsi" w:cstheme="minorHAnsi"/>
        </w:rPr>
        <w:t>Directness</w:t>
      </w:r>
      <w:r w:rsidR="007E513F" w:rsidRPr="00333261">
        <w:rPr>
          <w:rFonts w:asciiTheme="minorHAnsi" w:hAnsiTheme="minorHAnsi" w:cstheme="minorHAnsi"/>
        </w:rPr>
        <w:t xml:space="preserve">, real and true information, enhanced accuracy, helpful for framing hypothesis’ and is known as one of the easiest methods to collect data. This indicates that observation is one of the most popular and easiest research tools to use to carry out data collecting as it </w:t>
      </w:r>
      <w:r w:rsidR="00FB173C" w:rsidRPr="00333261">
        <w:rPr>
          <w:rFonts w:asciiTheme="minorHAnsi" w:hAnsiTheme="minorHAnsi" w:cstheme="minorHAnsi"/>
        </w:rPr>
        <w:t>supplies</w:t>
      </w:r>
      <w:r w:rsidR="007E513F" w:rsidRPr="00333261">
        <w:rPr>
          <w:rFonts w:asciiTheme="minorHAnsi" w:hAnsiTheme="minorHAnsi" w:cstheme="minorHAnsi"/>
        </w:rPr>
        <w:t xml:space="preserve"> a high profile of data which enables the researcher to carry out the chose case study or task which ease. Observations are also used through different means supported by the theory of Bandura, A </w:t>
      </w:r>
      <w:r w:rsidR="007E513F" w:rsidRPr="00333261">
        <w:rPr>
          <w:rFonts w:asciiTheme="minorHAnsi" w:hAnsiTheme="minorHAnsi" w:cstheme="minorHAnsi"/>
        </w:rPr>
        <w:lastRenderedPageBreak/>
        <w:t xml:space="preserve">(1994). His ‘Social leaning theory’ </w:t>
      </w:r>
      <w:r w:rsidR="00FB173C" w:rsidRPr="00333261">
        <w:rPr>
          <w:rFonts w:asciiTheme="minorHAnsi" w:hAnsiTheme="minorHAnsi" w:cstheme="minorHAnsi"/>
        </w:rPr>
        <w:t>emphasises</w:t>
      </w:r>
      <w:r w:rsidR="007E513F" w:rsidRPr="00333261">
        <w:rPr>
          <w:rFonts w:asciiTheme="minorHAnsi" w:hAnsiTheme="minorHAnsi" w:cstheme="minorHAnsi"/>
        </w:rPr>
        <w:t xml:space="preserve"> the importance of observation when children learn. Main, P (2022) article on the theory outlines Banduras theory and states that </w:t>
      </w:r>
      <w:r w:rsidR="00FB173C" w:rsidRPr="00333261">
        <w:rPr>
          <w:rFonts w:asciiTheme="minorHAnsi" w:hAnsiTheme="minorHAnsi" w:cstheme="minorHAnsi"/>
        </w:rPr>
        <w:t>‘Children</w:t>
      </w:r>
      <w:r w:rsidR="007E513F" w:rsidRPr="00333261">
        <w:rPr>
          <w:rFonts w:asciiTheme="minorHAnsi" w:hAnsiTheme="minorHAnsi" w:cstheme="minorHAnsi"/>
        </w:rPr>
        <w:t xml:space="preserve"> who imitate each other because they observe the actions of others and copy them’. This </w:t>
      </w:r>
      <w:r w:rsidR="00FB173C" w:rsidRPr="00333261">
        <w:rPr>
          <w:rFonts w:asciiTheme="minorHAnsi" w:hAnsiTheme="minorHAnsi" w:cstheme="minorHAnsi"/>
        </w:rPr>
        <w:t>demonstrates</w:t>
      </w:r>
      <w:r w:rsidR="007E513F" w:rsidRPr="00333261">
        <w:rPr>
          <w:rFonts w:asciiTheme="minorHAnsi" w:hAnsiTheme="minorHAnsi" w:cstheme="minorHAnsi"/>
        </w:rPr>
        <w:t xml:space="preserve"> the volume of use observation has as well as the ability and impact it has on researchers as well as children. </w:t>
      </w:r>
    </w:p>
    <w:p w14:paraId="26AB2E38" w14:textId="7C2AC17C" w:rsidR="00FB173C" w:rsidRPr="00333261" w:rsidRDefault="00FB173C" w:rsidP="009A0E86">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Furthermore, the second and last research tool that will be used through the case study is interviews. Alamri, W.A. (2019) supplies an insight into the </w:t>
      </w:r>
      <w:r w:rsidR="00C41F10" w:rsidRPr="00333261">
        <w:rPr>
          <w:rFonts w:asciiTheme="minorHAnsi" w:hAnsiTheme="minorHAnsi" w:cstheme="minorHAnsi"/>
        </w:rPr>
        <w:t>advantages</w:t>
      </w:r>
      <w:r w:rsidRPr="00333261">
        <w:rPr>
          <w:rFonts w:asciiTheme="minorHAnsi" w:hAnsiTheme="minorHAnsi" w:cstheme="minorHAnsi"/>
        </w:rPr>
        <w:t xml:space="preserve"> of interview in his article “effectiveness of Qualitative Research methods’. He states that “The </w:t>
      </w:r>
      <w:r w:rsidR="00C41F10" w:rsidRPr="00333261">
        <w:rPr>
          <w:rFonts w:asciiTheme="minorHAnsi" w:hAnsiTheme="minorHAnsi" w:cstheme="minorHAnsi"/>
        </w:rPr>
        <w:t>method</w:t>
      </w:r>
      <w:r w:rsidRPr="00333261">
        <w:rPr>
          <w:rFonts w:asciiTheme="minorHAnsi" w:hAnsiTheme="minorHAnsi" w:cstheme="minorHAnsi"/>
        </w:rPr>
        <w:t xml:space="preserve"> of interviews is a qualitative data collect involving two people discussing a specific human or life issue”. In addition, he </w:t>
      </w:r>
      <w:r w:rsidR="00333261" w:rsidRPr="00333261">
        <w:rPr>
          <w:rFonts w:asciiTheme="minorHAnsi" w:hAnsiTheme="minorHAnsi" w:cstheme="minorHAnsi"/>
        </w:rPr>
        <w:t>emphasises</w:t>
      </w:r>
      <w:r w:rsidRPr="00333261">
        <w:rPr>
          <w:rFonts w:asciiTheme="minorHAnsi" w:hAnsiTheme="minorHAnsi" w:cstheme="minorHAnsi"/>
        </w:rPr>
        <w:t xml:space="preserve"> the importance and understanding that using the research tool of interviews allows the researcher the ability to change the questioning </w:t>
      </w:r>
      <w:r w:rsidR="00C41F10" w:rsidRPr="00333261">
        <w:rPr>
          <w:rFonts w:asciiTheme="minorHAnsi" w:hAnsiTheme="minorHAnsi" w:cstheme="minorHAnsi"/>
        </w:rPr>
        <w:t>deepening</w:t>
      </w:r>
      <w:r w:rsidRPr="00333261">
        <w:rPr>
          <w:rFonts w:asciiTheme="minorHAnsi" w:hAnsiTheme="minorHAnsi" w:cstheme="minorHAnsi"/>
        </w:rPr>
        <w:t xml:space="preserve"> on the research </w:t>
      </w:r>
      <w:r w:rsidR="00C41F10" w:rsidRPr="00333261">
        <w:rPr>
          <w:rFonts w:asciiTheme="minorHAnsi" w:hAnsiTheme="minorHAnsi" w:cstheme="minorHAnsi"/>
        </w:rPr>
        <w:t>intoned</w:t>
      </w:r>
      <w:r w:rsidRPr="00333261">
        <w:rPr>
          <w:rFonts w:asciiTheme="minorHAnsi" w:hAnsiTheme="minorHAnsi" w:cstheme="minorHAnsi"/>
        </w:rPr>
        <w:t xml:space="preserve"> and </w:t>
      </w:r>
      <w:r w:rsidR="00333261" w:rsidRPr="00333261">
        <w:rPr>
          <w:rFonts w:asciiTheme="minorHAnsi" w:hAnsiTheme="minorHAnsi" w:cstheme="minorHAnsi"/>
        </w:rPr>
        <w:t>the</w:t>
      </w:r>
      <w:r w:rsidRPr="00333261">
        <w:rPr>
          <w:rFonts w:asciiTheme="minorHAnsi" w:hAnsiTheme="minorHAnsi" w:cstheme="minorHAnsi"/>
        </w:rPr>
        <w:t xml:space="preserve"> ability for modifications through to </w:t>
      </w:r>
      <w:r w:rsidR="00C41F10" w:rsidRPr="00333261">
        <w:rPr>
          <w:rFonts w:asciiTheme="minorHAnsi" w:hAnsiTheme="minorHAnsi" w:cstheme="minorHAnsi"/>
        </w:rPr>
        <w:t>pinpoint</w:t>
      </w:r>
      <w:r w:rsidRPr="00333261">
        <w:rPr>
          <w:rFonts w:asciiTheme="minorHAnsi" w:hAnsiTheme="minorHAnsi" w:cstheme="minorHAnsi"/>
        </w:rPr>
        <w:t xml:space="preserve"> the chosen area of research. Supporting Alamri, W.A(2019) is Jain, N. (2021). </w:t>
      </w:r>
      <w:r w:rsidR="00C41F10" w:rsidRPr="00333261">
        <w:rPr>
          <w:rFonts w:asciiTheme="minorHAnsi" w:hAnsiTheme="minorHAnsi" w:cstheme="minorHAnsi"/>
        </w:rPr>
        <w:t>She demonstrated</w:t>
      </w:r>
      <w:r w:rsidRPr="00333261">
        <w:rPr>
          <w:rFonts w:asciiTheme="minorHAnsi" w:hAnsiTheme="minorHAnsi" w:cstheme="minorHAnsi"/>
        </w:rPr>
        <w:t xml:space="preserve"> that interviews allow </w:t>
      </w:r>
      <w:r w:rsidRPr="00333261">
        <w:rPr>
          <w:rFonts w:asciiTheme="minorHAnsi" w:hAnsiTheme="minorHAnsi" w:cstheme="minorHAnsi"/>
        </w:rPr>
        <w:t>the opportunity for a personal explanation of the research's purpose. To get more information and clarity, it was also able to make clarifying remarks and ask further questions.</w:t>
      </w:r>
    </w:p>
    <w:p w14:paraId="3D4C381B" w14:textId="08B32B17" w:rsidR="00E00311" w:rsidRPr="00333261" w:rsidRDefault="00C41F10" w:rsidP="00E0031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cstheme="minorHAnsi"/>
        </w:rPr>
      </w:pPr>
      <w:r w:rsidRPr="00333261">
        <w:rPr>
          <w:rFonts w:asciiTheme="minorHAnsi" w:hAnsiTheme="minorHAnsi" w:cstheme="minorHAnsi"/>
        </w:rPr>
        <w:t xml:space="preserve">While completing the observations and interviews the researcher will be using many different tools to gather understanding from the staff as well as the children within the classroom. While observing the researcher will be looking for different aspects of attainment, progression as well as well-being. To measure the well-being and attainment of the children the researcher will use the Leuven scale. The Leuven scale is a five-point scale that allows practitioners, </w:t>
      </w:r>
      <w:proofErr w:type="gramStart"/>
      <w:r w:rsidRPr="00333261">
        <w:rPr>
          <w:rFonts w:asciiTheme="minorHAnsi" w:hAnsiTheme="minorHAnsi" w:cstheme="minorHAnsi"/>
        </w:rPr>
        <w:t>teachers</w:t>
      </w:r>
      <w:proofErr w:type="gramEnd"/>
      <w:r w:rsidRPr="00333261">
        <w:rPr>
          <w:rFonts w:asciiTheme="minorHAnsi" w:hAnsiTheme="minorHAnsi" w:cstheme="minorHAnsi"/>
        </w:rPr>
        <w:t xml:space="preserve"> and experts to measure children’s emotional well-being and involvement sweet spot. These two aspects are the two vital components for a child’s progression, and this is why while observing the researcher will be tapping into this scale. However, when using a research tool or measurement there will always be strengths and limitations. One of the only limitations of </w:t>
      </w:r>
      <w:r w:rsidRPr="00333261">
        <w:rPr>
          <w:rFonts w:asciiTheme="minorHAnsi" w:hAnsiTheme="minorHAnsi" w:cstheme="minorHAnsi"/>
        </w:rPr>
        <w:t xml:space="preserve">The Leuven scale </w:t>
      </w:r>
      <w:r w:rsidRPr="00333261">
        <w:rPr>
          <w:rFonts w:asciiTheme="minorHAnsi" w:hAnsiTheme="minorHAnsi" w:cstheme="minorHAnsi"/>
        </w:rPr>
        <w:t xml:space="preserve">is that it is believed by Journals, L. (2021) which believe that in using the Leuven scale dose not account for children with specific learning needs very well. They describe that the behaviours within the scale are often not presented or as visual in SEND or SEBD pupils. However, Macrae, C. and Jones, L. (2020) provide a report of the Leuven scale and outline one of the most important advantages being that the scale is observation based. This means that the child or children is at their centre of their own learning, and you can see them in their own educational ways and attitude. </w:t>
      </w:r>
    </w:p>
    <w:p w14:paraId="1E9C9051" w14:textId="77777777" w:rsidR="00E00311" w:rsidRPr="00333261" w:rsidRDefault="00E00311" w:rsidP="00E00311">
      <w:pPr>
        <w:spacing w:before="100" w:beforeAutospacing="1" w:after="100" w:afterAutospacing="1"/>
        <w:rPr>
          <w:rFonts w:asciiTheme="minorHAnsi" w:hAnsiTheme="minorHAnsi" w:cstheme="minorHAnsi"/>
          <w:color w:val="FF0000"/>
        </w:rPr>
      </w:pPr>
    </w:p>
    <w:p w14:paraId="6554E054" w14:textId="65980335" w:rsidR="009A0E86" w:rsidRPr="00333261" w:rsidRDefault="00C41F10" w:rsidP="009A0E86">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While conducting research it is vital that the data that is collected is stored and presented correctly. Schwartzberg, J. (2020) demonstrated that sharing data is crucial </w:t>
      </w:r>
      <w:proofErr w:type="gramStart"/>
      <w:r w:rsidRPr="00333261">
        <w:rPr>
          <w:rFonts w:asciiTheme="minorHAnsi" w:hAnsiTheme="minorHAnsi" w:cstheme="minorHAnsi"/>
        </w:rPr>
        <w:t>in order to</w:t>
      </w:r>
      <w:proofErr w:type="gramEnd"/>
      <w:r w:rsidRPr="00333261">
        <w:rPr>
          <w:rFonts w:asciiTheme="minorHAnsi" w:hAnsiTheme="minorHAnsi" w:cstheme="minorHAnsi"/>
        </w:rPr>
        <w:t xml:space="preserve"> succeed and strive. Within the research there are certain aspects of data that will need to be presented. The researchers chose to complete three tables desired on the chosen three target groups. The researcher chose to use Bar graphs to present the data as supported by Nida, I. (2022) which believes that bar graphs summarise large sets of data in a simple visual form. Also, bar graphs clarify the trend of data better than a table as well as helps estimating the key values </w:t>
      </w:r>
      <w:proofErr w:type="gramStart"/>
      <w:r w:rsidRPr="00333261">
        <w:rPr>
          <w:rFonts w:asciiTheme="minorHAnsi" w:hAnsiTheme="minorHAnsi" w:cstheme="minorHAnsi"/>
        </w:rPr>
        <w:t>at a glance</w:t>
      </w:r>
      <w:proofErr w:type="gramEnd"/>
      <w:r w:rsidRPr="00333261">
        <w:rPr>
          <w:rFonts w:asciiTheme="minorHAnsi" w:hAnsiTheme="minorHAnsi" w:cstheme="minorHAnsi"/>
        </w:rPr>
        <w:t xml:space="preserve">. However, there are limitations to a bar graph. Team, Z (2023) evaluate the use of bar graphs are show that bar graphs </w:t>
      </w:r>
      <w:r w:rsidRPr="00333261">
        <w:rPr>
          <w:rFonts w:asciiTheme="minorHAnsi" w:hAnsiTheme="minorHAnsi" w:cstheme="minorHAnsi"/>
        </w:rPr>
        <w:t xml:space="preserve">need more details before </w:t>
      </w:r>
      <w:r w:rsidRPr="00333261">
        <w:rPr>
          <w:rFonts w:asciiTheme="minorHAnsi" w:hAnsiTheme="minorHAnsi" w:cstheme="minorHAnsi"/>
        </w:rPr>
        <w:lastRenderedPageBreak/>
        <w:t>they can be completely comprehended. Bar graphs are also easily manipulated to display inaccurate or misleading findings; they are unable to depict patterns or the relationship between the data.</w:t>
      </w:r>
      <w:r w:rsidRPr="00333261">
        <w:rPr>
          <w:rFonts w:asciiTheme="minorHAnsi" w:hAnsiTheme="minorHAnsi" w:cstheme="minorHAnsi"/>
        </w:rPr>
        <w:t xml:space="preserve"> When presenting data is it just as important to analyse data. Kelley, K. (2020) displays the purpose of data analysis is </w:t>
      </w:r>
      <w:r w:rsidRPr="00333261">
        <w:rPr>
          <w:rFonts w:asciiTheme="minorHAnsi" w:hAnsiTheme="minorHAnsi" w:cstheme="minorHAnsi"/>
        </w:rPr>
        <w:t xml:space="preserve">Finding patterns, extracting useful information, and gaining meaningful insights from raw data are the goals of data </w:t>
      </w:r>
      <w:r w:rsidRPr="00333261">
        <w:rPr>
          <w:rFonts w:asciiTheme="minorHAnsi" w:hAnsiTheme="minorHAnsi" w:cstheme="minorHAnsi"/>
        </w:rPr>
        <w:t xml:space="preserve">analysis. This demonstrates that when collecting </w:t>
      </w:r>
      <w:r w:rsidR="00333261" w:rsidRPr="00333261">
        <w:rPr>
          <w:rFonts w:asciiTheme="minorHAnsi" w:hAnsiTheme="minorHAnsi" w:cstheme="minorHAnsi"/>
        </w:rPr>
        <w:t>data,</w:t>
      </w:r>
      <w:r w:rsidRPr="00333261">
        <w:rPr>
          <w:rFonts w:asciiTheme="minorHAnsi" w:hAnsiTheme="minorHAnsi" w:cstheme="minorHAnsi"/>
        </w:rPr>
        <w:t xml:space="preserve"> it is important that it is stored and presented in an easily visualized, well thought through way, leading on to the need to analyse all the data to ensure that there </w:t>
      </w:r>
      <w:proofErr w:type="spellStart"/>
      <w:r w:rsidRPr="00333261">
        <w:rPr>
          <w:rFonts w:asciiTheme="minorHAnsi" w:hAnsiTheme="minorHAnsi" w:cstheme="minorHAnsi"/>
        </w:rPr>
        <w:t>it</w:t>
      </w:r>
      <w:proofErr w:type="spellEnd"/>
      <w:r w:rsidRPr="00333261">
        <w:rPr>
          <w:rFonts w:asciiTheme="minorHAnsi" w:hAnsiTheme="minorHAnsi" w:cstheme="minorHAnsi"/>
        </w:rPr>
        <w:t xml:space="preserve"> no biased information and that all the information is useful and provides an insight to the chosen topic of interest. </w:t>
      </w:r>
    </w:p>
    <w:p w14:paraId="437C6301" w14:textId="36D35612" w:rsidR="00C41F10" w:rsidRPr="00333261" w:rsidRDefault="00C41F10" w:rsidP="009A0E86">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When attending </w:t>
      </w:r>
      <w:proofErr w:type="gramStart"/>
      <w:r w:rsidRPr="00333261">
        <w:rPr>
          <w:rFonts w:asciiTheme="minorHAnsi" w:hAnsiTheme="minorHAnsi" w:cstheme="minorHAnsi"/>
        </w:rPr>
        <w:t>School</w:t>
      </w:r>
      <w:proofErr w:type="gramEnd"/>
      <w:r w:rsidRPr="00333261">
        <w:rPr>
          <w:rFonts w:asciiTheme="minorHAnsi" w:hAnsiTheme="minorHAnsi" w:cstheme="minorHAnsi"/>
        </w:rPr>
        <w:t xml:space="preserve"> A, one of the most vital considerations to make is being ethical. Assent is agreement given by a child or young person who are not legally empowered to give consent, India, T.H. (2016). It is vital that the researcher gathers </w:t>
      </w:r>
      <w:r w:rsidR="00333261" w:rsidRPr="00333261">
        <w:rPr>
          <w:rFonts w:asciiTheme="minorHAnsi" w:hAnsiTheme="minorHAnsi" w:cstheme="minorHAnsi"/>
        </w:rPr>
        <w:t>assent</w:t>
      </w:r>
      <w:r w:rsidRPr="00333261">
        <w:rPr>
          <w:rFonts w:asciiTheme="minorHAnsi" w:hAnsiTheme="minorHAnsi" w:cstheme="minorHAnsi"/>
        </w:rPr>
        <w:t xml:space="preserve"> from all the pupils involved within the study. To ensure this, the researchers sent out consent letters to the children’s parents/</w:t>
      </w:r>
      <w:r w:rsidR="00333261" w:rsidRPr="00333261">
        <w:rPr>
          <w:rFonts w:asciiTheme="minorHAnsi" w:hAnsiTheme="minorHAnsi" w:cstheme="minorHAnsi"/>
        </w:rPr>
        <w:t>guardians</w:t>
      </w:r>
      <w:r w:rsidRPr="00333261">
        <w:rPr>
          <w:rFonts w:asciiTheme="minorHAnsi" w:hAnsiTheme="minorHAnsi" w:cstheme="minorHAnsi"/>
        </w:rPr>
        <w:t xml:space="preserve"> that would be within the chosen classrooms. (See appendix). As well as gaining consent from the parents/</w:t>
      </w:r>
      <w:r w:rsidR="00333261" w:rsidRPr="00333261">
        <w:rPr>
          <w:rFonts w:asciiTheme="minorHAnsi" w:hAnsiTheme="minorHAnsi" w:cstheme="minorHAnsi"/>
        </w:rPr>
        <w:t>guardians</w:t>
      </w:r>
      <w:r w:rsidRPr="00333261">
        <w:rPr>
          <w:rFonts w:asciiTheme="minorHAnsi" w:hAnsiTheme="minorHAnsi" w:cstheme="minorHAnsi"/>
        </w:rPr>
        <w:t xml:space="preserve">, asking for assent from the child is vital as </w:t>
      </w:r>
      <w:r w:rsidRPr="00333261">
        <w:rPr>
          <w:rFonts w:asciiTheme="minorHAnsi" w:hAnsiTheme="minorHAnsi" w:cstheme="minorHAnsi"/>
        </w:rPr>
        <w:t xml:space="preserve">A child can demonstrate their want to engage and their understanding of what is required of them even if they are not yet able to completely comprehend the implications of doing </w:t>
      </w:r>
      <w:r w:rsidRPr="00333261">
        <w:rPr>
          <w:rFonts w:asciiTheme="minorHAnsi" w:hAnsiTheme="minorHAnsi" w:cstheme="minorHAnsi"/>
        </w:rPr>
        <w:t xml:space="preserve">so, (NSPCC, 2023) </w:t>
      </w:r>
    </w:p>
    <w:p w14:paraId="5AA08A10" w14:textId="21A302DD" w:rsidR="00C41F10" w:rsidRPr="00333261" w:rsidRDefault="00C41F10" w:rsidP="009A0E86">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Through the whole case study, it is highly important the researcher ensures all participants are aware of Article 7 of the General Data Protection Regulation (GDPR) which is “The data subject shall have the right to withdraw his or her consent at any time. The withdrawal of consent shall not affect the lawfulness of processing based on consent before its withdrawal” This portrays that no matter if the child or parent/guardian has given assent or consent they remain the right to withdraw from any activity or situation at any matter. As well Article 7 of the GDPR, it is vital that the researcher follows closely with BERA (2018) guidelines through. Department for education (2023) supply the stator guidance for the schools and colleges about keeping children safe in education. They imply that </w:t>
      </w:r>
      <w:proofErr w:type="gramStart"/>
      <w:r w:rsidRPr="00333261">
        <w:rPr>
          <w:rFonts w:asciiTheme="minorHAnsi" w:hAnsiTheme="minorHAnsi" w:cstheme="minorHAnsi"/>
        </w:rPr>
        <w:t>in order t</w:t>
      </w:r>
      <w:r w:rsidRPr="00333261">
        <w:rPr>
          <w:rFonts w:asciiTheme="minorHAnsi" w:hAnsiTheme="minorHAnsi" w:cstheme="minorHAnsi"/>
        </w:rPr>
        <w:t>o</w:t>
      </w:r>
      <w:proofErr w:type="gramEnd"/>
      <w:r w:rsidRPr="00333261">
        <w:rPr>
          <w:rFonts w:asciiTheme="minorHAnsi" w:hAnsiTheme="minorHAnsi" w:cstheme="minorHAnsi"/>
        </w:rPr>
        <w:t xml:space="preserve"> safeguard the privacy and code of conduct with all staff and children, it was crucial to make sure that all staff members and students who volunteered to participate in the study were kept anonymous.</w:t>
      </w:r>
      <w:r w:rsidRPr="00333261">
        <w:rPr>
          <w:rFonts w:asciiTheme="minorHAnsi" w:hAnsiTheme="minorHAnsi" w:cstheme="minorHAnsi"/>
        </w:rPr>
        <w:t xml:space="preserve"> Lastly, to remain ethical the researcher will keep all data and notes in a password protected file on their laptop and any notes made on paper will be kept separate in a locked filing cupboard when necessary and all evidence, research and any form of information that is collected will be deleted and distorted once the research study comes to a summary. As well as protecting the information, an ethics form was carried out prior to the research. (</w:t>
      </w:r>
      <w:proofErr w:type="gramStart"/>
      <w:r w:rsidRPr="00333261">
        <w:rPr>
          <w:rFonts w:asciiTheme="minorHAnsi" w:hAnsiTheme="minorHAnsi" w:cstheme="minorHAnsi"/>
        </w:rPr>
        <w:t>see</w:t>
      </w:r>
      <w:proofErr w:type="gramEnd"/>
      <w:r w:rsidRPr="00333261">
        <w:rPr>
          <w:rFonts w:asciiTheme="minorHAnsi" w:hAnsiTheme="minorHAnsi" w:cstheme="minorHAnsi"/>
        </w:rPr>
        <w:t xml:space="preserve"> appendix) UCL (2023) provide us with an overview of an ethics form and suggest that </w:t>
      </w:r>
      <w:r w:rsidRPr="00333261">
        <w:rPr>
          <w:rFonts w:asciiTheme="minorHAnsi" w:hAnsiTheme="minorHAnsi" w:cstheme="minorHAnsi"/>
        </w:rPr>
        <w:t>The protection of participants is the main goal of ethical review. They contribute significantly to the research process both directly and indirectly, thus it is crucial that they and the data they provide receive the respect and attention they deserve.</w:t>
      </w:r>
    </w:p>
    <w:p w14:paraId="7D4599C0" w14:textId="020D254B" w:rsidR="00444852" w:rsidRDefault="00444852" w:rsidP="009A0E86">
      <w:pPr>
        <w:spacing w:before="100" w:beforeAutospacing="1" w:after="100" w:afterAutospacing="1"/>
        <w:rPr>
          <w:rFonts w:asciiTheme="minorHAnsi" w:hAnsiTheme="minorHAnsi" w:cstheme="minorHAnsi"/>
        </w:rPr>
      </w:pPr>
      <w:r>
        <w:rPr>
          <w:rFonts w:asciiTheme="minorHAnsi" w:hAnsiTheme="minorHAnsi" w:cstheme="minorHAnsi"/>
        </w:rPr>
        <w:t xml:space="preserve">When completing the research project, the intended data for the chosen topic was collected. </w:t>
      </w:r>
      <w:r w:rsidRPr="00444852">
        <w:rPr>
          <w:rFonts w:asciiTheme="minorHAnsi" w:hAnsiTheme="minorHAnsi" w:cstheme="minorHAnsi"/>
        </w:rPr>
        <w:t>The purpose of data analysis is to identify patterns, extract valuable information, and provide decision makers with relevant insights from raw data.</w:t>
      </w:r>
      <w:r>
        <w:rPr>
          <w:rFonts w:asciiTheme="minorHAnsi" w:hAnsiTheme="minorHAnsi" w:cstheme="minorHAnsi"/>
        </w:rPr>
        <w:t xml:space="preserve"> The primary object for the case study was for the researcher to collect data on the perceptions of teachers on Social, Emotional, Behaviour disorder or difficulty children and if they progress. This was done through two means of research, which included observation as well as interviews. It </w:t>
      </w:r>
      <w:r>
        <w:rPr>
          <w:rFonts w:asciiTheme="minorHAnsi" w:hAnsiTheme="minorHAnsi" w:cstheme="minorHAnsi"/>
        </w:rPr>
        <w:lastRenderedPageBreak/>
        <w:t xml:space="preserve">was vital that the research was taken place to determine that if children that face Social, Emotional, Behaviour disorder </w:t>
      </w:r>
      <w:proofErr w:type="gramStart"/>
      <w:r>
        <w:rPr>
          <w:rFonts w:asciiTheme="minorHAnsi" w:hAnsiTheme="minorHAnsi" w:cstheme="minorHAnsi"/>
        </w:rPr>
        <w:t>progression</w:t>
      </w:r>
      <w:proofErr w:type="gramEnd"/>
      <w:r>
        <w:rPr>
          <w:rFonts w:asciiTheme="minorHAnsi" w:hAnsiTheme="minorHAnsi" w:cstheme="minorHAnsi"/>
        </w:rPr>
        <w:t xml:space="preserve"> </w:t>
      </w:r>
    </w:p>
    <w:p w14:paraId="4D63454B" w14:textId="2134A9AD" w:rsidR="004B6D01" w:rsidRDefault="004B6D01" w:rsidP="009A0E86">
      <w:pPr>
        <w:spacing w:before="100" w:beforeAutospacing="1" w:after="100" w:afterAutospacing="1"/>
        <w:rPr>
          <w:rFonts w:asciiTheme="minorHAnsi" w:hAnsiTheme="minorHAnsi" w:cstheme="minorHAnsi"/>
        </w:rPr>
      </w:pPr>
      <w:r>
        <w:rPr>
          <w:rFonts w:asciiTheme="minorHAnsi" w:hAnsiTheme="minorHAnsi" w:cstheme="minorHAnsi"/>
        </w:rPr>
        <w:t xml:space="preserve">After finishing the research project, the researcher will need to analyse all the data that has been collected throughout the study. The primary objective of the case study and research was done by means </w:t>
      </w:r>
      <w:proofErr w:type="spellStart"/>
      <w:r>
        <w:rPr>
          <w:rFonts w:asciiTheme="minorHAnsi" w:hAnsiTheme="minorHAnsi" w:cstheme="minorHAnsi"/>
        </w:rPr>
        <w:t>oif</w:t>
      </w:r>
      <w:proofErr w:type="spellEnd"/>
      <w:r>
        <w:rPr>
          <w:rFonts w:asciiTheme="minorHAnsi" w:hAnsiTheme="minorHAnsi" w:cstheme="minorHAnsi"/>
        </w:rPr>
        <w:t xml:space="preserve"> observation interviews on the chosen topic of the </w:t>
      </w:r>
      <w:proofErr w:type="spellStart"/>
      <w:r>
        <w:rPr>
          <w:rFonts w:asciiTheme="minorHAnsi" w:hAnsiTheme="minorHAnsi" w:cstheme="minorHAnsi"/>
        </w:rPr>
        <w:t>persepction</w:t>
      </w:r>
      <w:proofErr w:type="spellEnd"/>
      <w:r>
        <w:rPr>
          <w:rFonts w:asciiTheme="minorHAnsi" w:hAnsiTheme="minorHAnsi" w:cstheme="minorHAnsi"/>
        </w:rPr>
        <w:t xml:space="preserve"> of teachers on the relationship between Social, Emotional, behaviour difficult pupils and </w:t>
      </w:r>
      <w:proofErr w:type="gramStart"/>
      <w:r>
        <w:rPr>
          <w:rFonts w:asciiTheme="minorHAnsi" w:hAnsiTheme="minorHAnsi" w:cstheme="minorHAnsi"/>
        </w:rPr>
        <w:t>there</w:t>
      </w:r>
      <w:proofErr w:type="gramEnd"/>
      <w:r>
        <w:rPr>
          <w:rFonts w:asciiTheme="minorHAnsi" w:hAnsiTheme="minorHAnsi" w:cstheme="minorHAnsi"/>
        </w:rPr>
        <w:t xml:space="preserve"> progression rates. It was ideal that the research </w:t>
      </w:r>
      <w:proofErr w:type="spellStart"/>
      <w:r>
        <w:rPr>
          <w:rFonts w:asciiTheme="minorHAnsi" w:hAnsiTheme="minorHAnsi" w:cstheme="minorHAnsi"/>
        </w:rPr>
        <w:t>gpt</w:t>
      </w:r>
      <w:proofErr w:type="spellEnd"/>
      <w:r>
        <w:rPr>
          <w:rFonts w:asciiTheme="minorHAnsi" w:hAnsiTheme="minorHAnsi" w:cstheme="minorHAnsi"/>
        </w:rPr>
        <w:t xml:space="preserve"> to see </w:t>
      </w:r>
      <w:proofErr w:type="spellStart"/>
      <w:r>
        <w:rPr>
          <w:rFonts w:asciiTheme="minorHAnsi" w:hAnsiTheme="minorHAnsi" w:cstheme="minorHAnsi"/>
        </w:rPr>
        <w:t>first hand</w:t>
      </w:r>
      <w:proofErr w:type="spellEnd"/>
      <w:r>
        <w:rPr>
          <w:rFonts w:asciiTheme="minorHAnsi" w:hAnsiTheme="minorHAnsi" w:cstheme="minorHAnsi"/>
        </w:rPr>
        <w:t xml:space="preserve"> experience of the chosen children completing work and completing there </w:t>
      </w:r>
      <w:proofErr w:type="spellStart"/>
      <w:r>
        <w:rPr>
          <w:rFonts w:asciiTheme="minorHAnsi" w:hAnsiTheme="minorHAnsi" w:cstheme="minorHAnsi"/>
        </w:rPr>
        <w:t>usla</w:t>
      </w:r>
      <w:proofErr w:type="spellEnd"/>
      <w:r>
        <w:rPr>
          <w:rFonts w:asciiTheme="minorHAnsi" w:hAnsiTheme="minorHAnsi" w:cstheme="minorHAnsi"/>
        </w:rPr>
        <w:t xml:space="preserve"> school days as well as gain insight from the staff and agencies on there perceptions. </w:t>
      </w:r>
    </w:p>
    <w:p w14:paraId="4246418D" w14:textId="78E650AF" w:rsidR="004B6D01" w:rsidRDefault="004B6D01" w:rsidP="009A0E86">
      <w:pPr>
        <w:spacing w:before="100" w:beforeAutospacing="1" w:after="100" w:afterAutospacing="1"/>
        <w:rPr>
          <w:rFonts w:asciiTheme="minorHAnsi" w:hAnsiTheme="minorHAnsi" w:cstheme="minorHAnsi"/>
        </w:rPr>
      </w:pPr>
      <w:r>
        <w:rPr>
          <w:rFonts w:asciiTheme="minorHAnsi" w:hAnsiTheme="minorHAnsi" w:cstheme="minorHAnsi"/>
        </w:rPr>
        <w:t xml:space="preserve">While the researcher was completing the observations aspect of the case study, the researcher will tap into the Leuven scale. Although the </w:t>
      </w:r>
      <w:proofErr w:type="spellStart"/>
      <w:r>
        <w:rPr>
          <w:rFonts w:asciiTheme="minorHAnsi" w:hAnsiTheme="minorHAnsi" w:cstheme="minorHAnsi"/>
        </w:rPr>
        <w:t>leuven</w:t>
      </w:r>
      <w:proofErr w:type="spellEnd"/>
      <w:r>
        <w:rPr>
          <w:rFonts w:asciiTheme="minorHAnsi" w:hAnsiTheme="minorHAnsi" w:cstheme="minorHAnsi"/>
        </w:rPr>
        <w:t xml:space="preserve"> scale is a research tool that is aimed to measure well-being, Morrison, L. and Vorhaus, J. (2012) believe that children’s </w:t>
      </w:r>
      <w:proofErr w:type="spellStart"/>
      <w:r>
        <w:rPr>
          <w:rFonts w:asciiTheme="minorHAnsi" w:hAnsiTheme="minorHAnsi" w:cstheme="minorHAnsi"/>
        </w:rPr>
        <w:t>well being</w:t>
      </w:r>
      <w:proofErr w:type="spellEnd"/>
      <w:r>
        <w:rPr>
          <w:rFonts w:asciiTheme="minorHAnsi" w:hAnsiTheme="minorHAnsi" w:cstheme="minorHAnsi"/>
        </w:rPr>
        <w:t xml:space="preserve"> is a primary factor for the academic development or progression of all children. The children were observed on three different occasions. Within the observation the children were ranked within the Leuven scale at the start, middle and end of each lesson to gather the progression of </w:t>
      </w:r>
      <w:proofErr w:type="spellStart"/>
      <w:r>
        <w:rPr>
          <w:rFonts w:asciiTheme="minorHAnsi" w:hAnsiTheme="minorHAnsi" w:cstheme="minorHAnsi"/>
        </w:rPr>
        <w:t>there</w:t>
      </w:r>
      <w:proofErr w:type="spellEnd"/>
      <w:r>
        <w:rPr>
          <w:rFonts w:asciiTheme="minorHAnsi" w:hAnsiTheme="minorHAnsi" w:cstheme="minorHAnsi"/>
        </w:rPr>
        <w:t xml:space="preserve"> emotional and social well-being. (See appendix). On average, all pupils in each class had a 1 to 2 </w:t>
      </w:r>
      <w:proofErr w:type="spellStart"/>
      <w:r>
        <w:rPr>
          <w:rFonts w:asciiTheme="minorHAnsi" w:hAnsiTheme="minorHAnsi" w:cstheme="minorHAnsi"/>
        </w:rPr>
        <w:t>coloum</w:t>
      </w:r>
      <w:proofErr w:type="spellEnd"/>
      <w:r>
        <w:rPr>
          <w:rFonts w:asciiTheme="minorHAnsi" w:hAnsiTheme="minorHAnsi" w:cstheme="minorHAnsi"/>
        </w:rPr>
        <w:t xml:space="preserve">. Within Coedwigg 1 Pupil </w:t>
      </w:r>
      <w:proofErr w:type="gramStart"/>
      <w:r>
        <w:rPr>
          <w:rFonts w:asciiTheme="minorHAnsi" w:hAnsiTheme="minorHAnsi" w:cstheme="minorHAnsi"/>
        </w:rPr>
        <w:t>A,B</w:t>
      </w:r>
      <w:proofErr w:type="gramEnd"/>
      <w:r>
        <w:rPr>
          <w:rFonts w:asciiTheme="minorHAnsi" w:hAnsiTheme="minorHAnsi" w:cstheme="minorHAnsi"/>
        </w:rPr>
        <w:t xml:space="preserve">,C and D all started off with a moderate well-being, and all pupils reached a high rating by the end compared to pupils C who rose from feeling moderate, to high and ended at an extremely high level. Public Health England, (2014) </w:t>
      </w:r>
      <w:proofErr w:type="spellStart"/>
      <w:r w:rsidR="00E833EF">
        <w:rPr>
          <w:rFonts w:asciiTheme="minorHAnsi" w:hAnsiTheme="minorHAnsi" w:cstheme="minorHAnsi"/>
        </w:rPr>
        <w:t>potrays</w:t>
      </w:r>
      <w:proofErr w:type="spellEnd"/>
      <w:r w:rsidR="00E833EF">
        <w:rPr>
          <w:rFonts w:asciiTheme="minorHAnsi" w:hAnsiTheme="minorHAnsi" w:cstheme="minorHAnsi"/>
        </w:rPr>
        <w:t xml:space="preserve"> that promoting the health and wellbeing of pupils and students within schools has great potential to improve their educational outcomes”. The results were very similar in the impression of the increase in </w:t>
      </w:r>
      <w:proofErr w:type="spellStart"/>
      <w:r w:rsidR="00E833EF">
        <w:rPr>
          <w:rFonts w:asciiTheme="minorHAnsi" w:hAnsiTheme="minorHAnsi" w:cstheme="minorHAnsi"/>
        </w:rPr>
        <w:t>childrens</w:t>
      </w:r>
      <w:proofErr w:type="spellEnd"/>
      <w:r w:rsidR="00E833EF">
        <w:rPr>
          <w:rFonts w:asciiTheme="minorHAnsi" w:hAnsiTheme="minorHAnsi" w:cstheme="minorHAnsi"/>
        </w:rPr>
        <w:t xml:space="preserve"> well-being throughout the session. Pupil A and C both started at a low level on the scales, where they progressed through the </w:t>
      </w:r>
      <w:proofErr w:type="gramStart"/>
      <w:r w:rsidR="00E833EF">
        <w:rPr>
          <w:rFonts w:asciiTheme="minorHAnsi" w:hAnsiTheme="minorHAnsi" w:cstheme="minorHAnsi"/>
        </w:rPr>
        <w:t>session</w:t>
      </w:r>
      <w:proofErr w:type="gramEnd"/>
      <w:r w:rsidR="00E833EF">
        <w:rPr>
          <w:rFonts w:asciiTheme="minorHAnsi" w:hAnsiTheme="minorHAnsi" w:cstheme="minorHAnsi"/>
        </w:rPr>
        <w:t xml:space="preserve"> and both ended up with facing a high level of well-being. Compared to the whole class observation where Class A were faced with an ongoing lesson towards there topic. The class were faced with a tough lesson however started with a moderate level of well-being. Throughout the lesson the children thoroughly enjoyed with everyone enjoyed and engaged finished off with a high level on the scale. This data provides the researcher with a clear (ADD POSOTIVE QUOTE AND REFERNCE ABOUT LUVEN SCALE)</w:t>
      </w:r>
    </w:p>
    <w:p w14:paraId="6FE4F320" w14:textId="77777777" w:rsidR="00E833EF" w:rsidRDefault="00E833EF" w:rsidP="009A0E86">
      <w:pPr>
        <w:spacing w:before="100" w:beforeAutospacing="1" w:after="100" w:afterAutospacing="1"/>
        <w:rPr>
          <w:rFonts w:asciiTheme="minorHAnsi" w:hAnsiTheme="minorHAnsi" w:cstheme="minorHAnsi"/>
        </w:rPr>
      </w:pPr>
    </w:p>
    <w:p w14:paraId="71D24628" w14:textId="29EBC8EC" w:rsidR="00C41F10" w:rsidRPr="00A34EE8" w:rsidRDefault="00E833EF" w:rsidP="00A34EE8">
      <w:pPr>
        <w:spacing w:before="100" w:beforeAutospacing="1" w:after="100" w:afterAutospacing="1"/>
        <w:rPr>
          <w:rFonts w:asciiTheme="minorHAnsi" w:hAnsiTheme="minorHAnsi" w:cstheme="minorHAnsi"/>
          <w:color w:val="000000" w:themeColor="text1"/>
        </w:rPr>
      </w:pPr>
      <w:r>
        <w:rPr>
          <w:rFonts w:asciiTheme="minorHAnsi" w:hAnsiTheme="minorHAnsi" w:cstheme="minorHAnsi"/>
        </w:rPr>
        <w:t>Subsequently, in comparison to the observations. The interviews also provide the re</w:t>
      </w:r>
      <w:r w:rsidR="00A34EE8">
        <w:rPr>
          <w:rFonts w:asciiTheme="minorHAnsi" w:hAnsiTheme="minorHAnsi" w:cstheme="minorHAnsi"/>
        </w:rPr>
        <w:t>searcher</w:t>
      </w:r>
      <w:r>
        <w:rPr>
          <w:rFonts w:asciiTheme="minorHAnsi" w:hAnsiTheme="minorHAnsi" w:cstheme="minorHAnsi"/>
        </w:rPr>
        <w:t xml:space="preserve"> with </w:t>
      </w:r>
      <w:r w:rsidR="00A34EE8">
        <w:rPr>
          <w:rFonts w:asciiTheme="minorHAnsi" w:hAnsiTheme="minorHAnsi" w:cstheme="minorHAnsi"/>
        </w:rPr>
        <w:t xml:space="preserve">rich information supported by Knott, E., A.H., Summers, K. and </w:t>
      </w:r>
      <w:proofErr w:type="spellStart"/>
      <w:r w:rsidR="00A34EE8">
        <w:rPr>
          <w:rFonts w:asciiTheme="minorHAnsi" w:hAnsiTheme="minorHAnsi" w:cstheme="minorHAnsi"/>
        </w:rPr>
        <w:t>Teeger</w:t>
      </w:r>
      <w:proofErr w:type="spellEnd"/>
      <w:r w:rsidR="00A34EE8">
        <w:rPr>
          <w:rFonts w:asciiTheme="minorHAnsi" w:hAnsiTheme="minorHAnsi" w:cstheme="minorHAnsi"/>
        </w:rPr>
        <w:t xml:space="preserve">, C. (2022) who portray with their article that interviews allow children or individuals to explain, in their own words, how they understand and interpret the world around them”. Throughout the research the researchers </w:t>
      </w:r>
      <w:proofErr w:type="spellStart"/>
      <w:r w:rsidR="00A34EE8">
        <w:rPr>
          <w:rFonts w:asciiTheme="minorHAnsi" w:hAnsiTheme="minorHAnsi" w:cstheme="minorHAnsi"/>
        </w:rPr>
        <w:t>inteweviews</w:t>
      </w:r>
      <w:proofErr w:type="spellEnd"/>
      <w:r w:rsidR="00A34EE8">
        <w:rPr>
          <w:rFonts w:asciiTheme="minorHAnsi" w:hAnsiTheme="minorHAnsi" w:cstheme="minorHAnsi"/>
        </w:rPr>
        <w:t xml:space="preserve"> between 6-12 members of school staff and two males from an outside agency. While the researcher conducted the interviews the answer was limited due to the ongoing factor of working in a Social, Emotional, behaviour difficulty classroom or builder the teachers are unable to sit down and answer a set of questions. The researcher had to ask questions </w:t>
      </w:r>
      <w:proofErr w:type="spellStart"/>
      <w:r w:rsidR="00A34EE8">
        <w:rPr>
          <w:rFonts w:asciiTheme="minorHAnsi" w:hAnsiTheme="minorHAnsi" w:cstheme="minorHAnsi"/>
        </w:rPr>
        <w:t>oin</w:t>
      </w:r>
      <w:proofErr w:type="spellEnd"/>
      <w:r w:rsidR="00A34EE8">
        <w:rPr>
          <w:rFonts w:asciiTheme="minorHAnsi" w:hAnsiTheme="minorHAnsi" w:cstheme="minorHAnsi"/>
        </w:rPr>
        <w:t xml:space="preserve"> the go or while children were completing a task making these interviews semi structured interviews. </w:t>
      </w:r>
      <w:r w:rsidR="00A34EE8" w:rsidRPr="00A34EE8">
        <w:rPr>
          <w:rFonts w:asciiTheme="minorHAnsi" w:hAnsiTheme="minorHAnsi" w:cstheme="minorHAnsi"/>
        </w:rPr>
        <w:t>One technique for gathering data that is based on asking questions inside a pre-established theme framework is the semi-structured interview. The questions are not predetermined in terms of sequence or wording, though</w:t>
      </w:r>
      <w:r w:rsidR="00A34EE8">
        <w:rPr>
          <w:rFonts w:asciiTheme="minorHAnsi" w:hAnsiTheme="minorHAnsi" w:cstheme="minorHAnsi"/>
        </w:rPr>
        <w:t xml:space="preserve">, George, T, (2022). When the staff were asked the case study question, </w:t>
      </w:r>
      <w:r w:rsidR="00A34EE8">
        <w:rPr>
          <w:rFonts w:asciiTheme="minorHAnsi" w:hAnsiTheme="minorHAnsi" w:cstheme="minorHAnsi"/>
        </w:rPr>
        <w:lastRenderedPageBreak/>
        <w:t xml:space="preserve">“what is your perception on the link between children with Social, Emotional, Behaviour difficulties or disorder and their rate of progression” 100% of teachers asked agreed with the phrase which the first teacher provided that was, “all the children with SEBD are progression, they just progress at their own </w:t>
      </w:r>
      <w:proofErr w:type="spellStart"/>
      <w:r w:rsidR="00A34EE8">
        <w:rPr>
          <w:rFonts w:asciiTheme="minorHAnsi" w:hAnsiTheme="minorHAnsi" w:cstheme="minorHAnsi"/>
        </w:rPr>
        <w:t>own</w:t>
      </w:r>
      <w:proofErr w:type="spellEnd"/>
      <w:r w:rsidR="00A34EE8">
        <w:rPr>
          <w:rFonts w:asciiTheme="minorHAnsi" w:hAnsiTheme="minorHAnsi" w:cstheme="minorHAnsi"/>
        </w:rPr>
        <w:t xml:space="preserve"> pace within their own time”. The staff in question in school A all believe that children with SEBD are progressing just at a slower rate, but a rate that is correct for them. They believe that each child is different, but all children has taken well to the alternative curriculum focused on well-being that school A has introduced. Another two males in question were from an outside agency. The researcher asked the two males the same question and the answers were continuous. They stated that they struggle to teach the pupils as they are not provided with a clear view of a child. As well as this the course they provide is cut in half due to the attention span of the SEBD children. The instructors fine it difficult to approach the children to help them improve as they fear the children ‘lashing out’ or ‘kicking off because of us’ so they believe they struggle with setting rules and expectations. </w:t>
      </w:r>
      <w:r w:rsidR="00A34EE8" w:rsidRPr="00A34EE8">
        <w:rPr>
          <w:rFonts w:asciiTheme="minorHAnsi" w:hAnsiTheme="minorHAnsi" w:cstheme="minorHAnsi"/>
        </w:rPr>
        <w:t>To make sure the kid is supported in every setting they experience, it is crucial to keep the entire team surrounding them updated on their development.</w:t>
      </w:r>
      <w:r w:rsidR="00A34EE8">
        <w:rPr>
          <w:rFonts w:asciiTheme="minorHAnsi" w:hAnsiTheme="minorHAnsi" w:cstheme="minorHAnsi"/>
        </w:rPr>
        <w:t xml:space="preserve"> </w:t>
      </w:r>
      <w:r w:rsidR="00A34EE8" w:rsidRPr="00A34EE8">
        <w:rPr>
          <w:rFonts w:asciiTheme="minorHAnsi" w:hAnsiTheme="minorHAnsi" w:cstheme="minorHAnsi"/>
        </w:rPr>
        <w:t xml:space="preserve">Lastly, the data analysis validates the pertinent literature the researcher has reviewed. To enable a thorough, trustworthy case study, it was important that the researcher collected the opinions of those who had a close relationship with the </w:t>
      </w:r>
      <w:r w:rsidR="00A34EE8" w:rsidRPr="00A34EE8">
        <w:rPr>
          <w:rFonts w:asciiTheme="minorHAnsi" w:hAnsiTheme="minorHAnsi" w:cstheme="minorHAnsi"/>
        </w:rPr>
        <w:t>children</w:t>
      </w:r>
      <w:r w:rsidR="00A34EE8" w:rsidRPr="00A34EE8">
        <w:rPr>
          <w:rFonts w:asciiTheme="minorHAnsi" w:hAnsiTheme="minorHAnsi" w:cstheme="minorHAnsi"/>
        </w:rPr>
        <w:t>.</w:t>
      </w:r>
      <w:r w:rsidR="00A34EE8" w:rsidRPr="00A34EE8">
        <w:rPr>
          <w:rFonts w:asciiTheme="minorHAnsi" w:hAnsiTheme="minorHAnsi" w:cstheme="minorHAnsi"/>
        </w:rPr>
        <w:t xml:space="preserve"> </w:t>
      </w:r>
      <w:r w:rsidR="00C41F10" w:rsidRPr="00A34EE8">
        <w:rPr>
          <w:rFonts w:asciiTheme="minorHAnsi" w:eastAsiaTheme="minorHAnsi" w:hAnsiTheme="minorHAnsi" w:cstheme="minorHAnsi"/>
          <w:color w:val="000000" w:themeColor="text1"/>
          <w:lang w:eastAsia="en-US"/>
        </w:rPr>
        <w:t xml:space="preserve">The main finding that was shown through all </w:t>
      </w:r>
      <w:r w:rsidR="00A34EE8" w:rsidRPr="00A34EE8">
        <w:rPr>
          <w:rFonts w:asciiTheme="minorHAnsi" w:eastAsiaTheme="minorHAnsi" w:hAnsiTheme="minorHAnsi" w:cstheme="minorHAnsi"/>
          <w:color w:val="000000" w:themeColor="text1"/>
          <w:lang w:eastAsia="en-US"/>
        </w:rPr>
        <w:t>research was that each child with SEBD is progressing and all teachers and staff believe they will keep progressing to their goals and thrive. However, there were certain aspect that need to be adjusted, such as the resources an</w:t>
      </w:r>
      <w:r w:rsidR="00A34EE8">
        <w:rPr>
          <w:rFonts w:asciiTheme="minorHAnsi" w:eastAsiaTheme="minorHAnsi" w:hAnsiTheme="minorHAnsi" w:cstheme="minorHAnsi"/>
          <w:color w:val="000000" w:themeColor="text1"/>
          <w:lang w:eastAsia="en-US"/>
        </w:rPr>
        <w:t>d</w:t>
      </w:r>
      <w:r w:rsidR="00A34EE8" w:rsidRPr="00A34EE8">
        <w:rPr>
          <w:rFonts w:asciiTheme="minorHAnsi" w:eastAsiaTheme="minorHAnsi" w:hAnsiTheme="minorHAnsi" w:cstheme="minorHAnsi"/>
          <w:color w:val="000000" w:themeColor="text1"/>
          <w:lang w:eastAsia="en-US"/>
        </w:rPr>
        <w:t xml:space="preserve"> staff that is involved with the children. </w:t>
      </w:r>
    </w:p>
    <w:p w14:paraId="334040AB" w14:textId="77777777" w:rsidR="00C41F10" w:rsidRPr="00333261" w:rsidRDefault="00C41F10" w:rsidP="00C41F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theme="minorHAnsi"/>
          <w:lang w:eastAsia="en-US"/>
        </w:rPr>
      </w:pPr>
    </w:p>
    <w:p w14:paraId="14EB49D6" w14:textId="38E43779" w:rsidR="00C41F10" w:rsidRPr="00333261" w:rsidRDefault="00C41F10" w:rsidP="009A0E86">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To conclude, inside the context of Social, Emotional, Behaviour disorder and the link between teachers’ perception and progression. The methods used to collect data were shown to be highly effect that produce high rich information that can be used </w:t>
      </w:r>
      <w:proofErr w:type="spellStart"/>
      <w:r w:rsidRPr="00333261">
        <w:rPr>
          <w:rFonts w:asciiTheme="minorHAnsi" w:hAnsiTheme="minorHAnsi" w:cstheme="minorHAnsi"/>
        </w:rPr>
        <w:t>ti</w:t>
      </w:r>
      <w:proofErr w:type="spellEnd"/>
      <w:r w:rsidRPr="00333261">
        <w:rPr>
          <w:rFonts w:asciiTheme="minorHAnsi" w:hAnsiTheme="minorHAnsi" w:cstheme="minorHAnsi"/>
        </w:rPr>
        <w:t xml:space="preserve"> bridge the gap in Social, Emotional, Behaviour disorder/Difficulties and the research on their rate of progression. </w:t>
      </w:r>
      <w:r w:rsidRPr="00333261">
        <w:rPr>
          <w:rFonts w:asciiTheme="minorHAnsi" w:hAnsiTheme="minorHAnsi" w:cstheme="minorHAnsi"/>
        </w:rPr>
        <w:t>A variety of techniques were used to give a thorough grasp of the perspectives held by both staff and students. To a certain extent, the case study's data may be applied generally.</w:t>
      </w:r>
      <w:r w:rsidRPr="00333261">
        <w:rPr>
          <w:rFonts w:asciiTheme="minorHAnsi" w:hAnsiTheme="minorHAnsi" w:cstheme="minorHAnsi"/>
        </w:rPr>
        <w:t xml:space="preserve"> Subsequently, every child within </w:t>
      </w:r>
      <w:proofErr w:type="spellStart"/>
      <w:r w:rsidRPr="00333261">
        <w:rPr>
          <w:rFonts w:asciiTheme="minorHAnsi" w:hAnsiTheme="minorHAnsi" w:cstheme="minorHAnsi"/>
        </w:rPr>
        <w:t>a</w:t>
      </w:r>
      <w:proofErr w:type="spellEnd"/>
      <w:r w:rsidRPr="00333261">
        <w:rPr>
          <w:rFonts w:asciiTheme="minorHAnsi" w:hAnsiTheme="minorHAnsi" w:cstheme="minorHAnsi"/>
        </w:rPr>
        <w:t xml:space="preserve"> any school is going to be unique but adhesions certain topics will fundamentally aid progression and make children strive to their future goals. The data collection process was carried out over a school week (Monday-Friday). However, the data collection process could have been extended allow the researcher to ask a wider audience for the case study and have a broader range of information to determine the outcome. The findings emphasis’s that all staff or agencies asked believed the same thing that children with Social, Emotional, Behaviour difficulties are progression. Hut they are progressing at their own desired rate. As well as that, all staff members believed that the children education is slightly on hold as all staff believe they are not faced with enough resources or staff to enable the full progression of children with Social, Emotional, Behaviour Difficulties/Disorder. </w:t>
      </w:r>
    </w:p>
    <w:p w14:paraId="7C6E4C0B" w14:textId="009D4D1F" w:rsidR="00C41F10" w:rsidRPr="00333261" w:rsidRDefault="00C41F10" w:rsidP="009A0E86">
      <w:pPr>
        <w:spacing w:before="100" w:beforeAutospacing="1" w:after="100" w:afterAutospacing="1"/>
        <w:rPr>
          <w:rFonts w:asciiTheme="minorHAnsi" w:hAnsiTheme="minorHAnsi" w:cstheme="minorHAnsi"/>
        </w:rPr>
      </w:pPr>
      <w:r w:rsidRPr="00333261">
        <w:rPr>
          <w:rFonts w:asciiTheme="minorHAnsi" w:hAnsiTheme="minorHAnsi" w:cstheme="minorHAnsi"/>
        </w:rPr>
        <w:t xml:space="preserve">Finally, it would be interesting to </w:t>
      </w:r>
      <w:proofErr w:type="spellStart"/>
      <w:r w:rsidRPr="00333261">
        <w:rPr>
          <w:rFonts w:asciiTheme="minorHAnsi" w:hAnsiTheme="minorHAnsi" w:cstheme="minorHAnsi"/>
        </w:rPr>
        <w:t>indever</w:t>
      </w:r>
      <w:proofErr w:type="spellEnd"/>
      <w:r w:rsidRPr="00333261">
        <w:rPr>
          <w:rFonts w:asciiTheme="minorHAnsi" w:hAnsiTheme="minorHAnsi" w:cstheme="minorHAnsi"/>
        </w:rPr>
        <w:t xml:space="preserve"> in the broader opinions of teachers within the topic of Social, Emotional, Behaviour difficulties and progression. As well as the link between the SEBD children with progression and what impact well-being has on progression with SEBD children. This could include conducting a further follow up study </w:t>
      </w:r>
      <w:proofErr w:type="gramStart"/>
      <w:r w:rsidRPr="00333261">
        <w:rPr>
          <w:rFonts w:asciiTheme="minorHAnsi" w:hAnsiTheme="minorHAnsi" w:cstheme="minorHAnsi"/>
        </w:rPr>
        <w:t>in order to</w:t>
      </w:r>
      <w:proofErr w:type="gramEnd"/>
      <w:r w:rsidRPr="00333261">
        <w:rPr>
          <w:rFonts w:asciiTheme="minorHAnsi" w:hAnsiTheme="minorHAnsi" w:cstheme="minorHAnsi"/>
        </w:rPr>
        <w:t xml:space="preserve"> see </w:t>
      </w:r>
      <w:r w:rsidRPr="00333261">
        <w:rPr>
          <w:rFonts w:asciiTheme="minorHAnsi" w:hAnsiTheme="minorHAnsi" w:cstheme="minorHAnsi"/>
        </w:rPr>
        <w:lastRenderedPageBreak/>
        <w:t xml:space="preserve">what impact well-being has between children with Social, Emotional, Behaviour disorder/difficulties and </w:t>
      </w:r>
      <w:r w:rsidR="00A34EE8" w:rsidRPr="00333261">
        <w:rPr>
          <w:rFonts w:asciiTheme="minorHAnsi" w:hAnsiTheme="minorHAnsi" w:cstheme="minorHAnsi"/>
        </w:rPr>
        <w:t>their</w:t>
      </w:r>
      <w:r w:rsidRPr="00333261">
        <w:rPr>
          <w:rFonts w:asciiTheme="minorHAnsi" w:hAnsiTheme="minorHAnsi" w:cstheme="minorHAnsi"/>
        </w:rPr>
        <w:t xml:space="preserve"> rate of progression. In completing this task there has been a high amount of rich data collected and. </w:t>
      </w:r>
      <w:proofErr w:type="spellStart"/>
      <w:r w:rsidRPr="00333261">
        <w:rPr>
          <w:rFonts w:asciiTheme="minorHAnsi" w:hAnsiTheme="minorHAnsi" w:cstheme="minorHAnsi"/>
        </w:rPr>
        <w:t>Y</w:t>
      </w:r>
      <w:proofErr w:type="spellEnd"/>
      <w:r w:rsidRPr="00333261">
        <w:rPr>
          <w:rFonts w:asciiTheme="minorHAnsi" w:hAnsiTheme="minorHAnsi" w:cstheme="minorHAnsi"/>
        </w:rPr>
        <w:t xml:space="preserve"> doing this the researcher would be faced with more reliable results. </w:t>
      </w:r>
      <w:r w:rsidRPr="00333261">
        <w:rPr>
          <w:rFonts w:asciiTheme="minorHAnsi" w:hAnsiTheme="minorHAnsi" w:cstheme="minorHAnsi"/>
        </w:rPr>
        <w:t>The significance of ongoing professional development and evidence-based practice is underscored by this study endeavour. The researcher actively participated in evidence-based practice by gathering data for this case study and assessing it to guide instructional tactics.</w:t>
      </w:r>
      <w:r w:rsidRPr="00333261">
        <w:rPr>
          <w:rFonts w:asciiTheme="minorHAnsi" w:hAnsiTheme="minorHAnsi" w:cstheme="minorHAnsi"/>
        </w:rPr>
        <w:t xml:space="preserve"> Based on this research it shows that Children With social, Emotional, Behaviour difficulties are progression at a rate of their own. However, teachers believe that more staff are needed to provide one to one </w:t>
      </w:r>
      <w:r w:rsidR="00A34EE8" w:rsidRPr="00333261">
        <w:rPr>
          <w:rFonts w:asciiTheme="minorHAnsi" w:hAnsiTheme="minorHAnsi" w:cstheme="minorHAnsi"/>
        </w:rPr>
        <w:t>worker</w:t>
      </w:r>
      <w:r w:rsidRPr="00333261">
        <w:rPr>
          <w:rFonts w:asciiTheme="minorHAnsi" w:hAnsiTheme="minorHAnsi" w:cstheme="minorHAnsi"/>
        </w:rPr>
        <w:t xml:space="preserve"> with these children and more resources are needed specific to the children’s needs </w:t>
      </w:r>
      <w:proofErr w:type="gramStart"/>
      <w:r w:rsidRPr="00333261">
        <w:rPr>
          <w:rFonts w:asciiTheme="minorHAnsi" w:hAnsiTheme="minorHAnsi" w:cstheme="minorHAnsi"/>
        </w:rPr>
        <w:t>in order to</w:t>
      </w:r>
      <w:proofErr w:type="gramEnd"/>
      <w:r w:rsidRPr="00333261">
        <w:rPr>
          <w:rFonts w:asciiTheme="minorHAnsi" w:hAnsiTheme="minorHAnsi" w:cstheme="minorHAnsi"/>
        </w:rPr>
        <w:t xml:space="preserve"> push them to thrive and succeed. Following Barack Obama (2023) states “invest in our teachers and our children will succeed” as well as Friedman, L (2023) which states Inclusion is a mindset. It is a way of thinking. It is not a programme we run or a classroom in our school or a favour we do for someone. Inclusion is who we are. It is who we must be to strive”. This determines that the view on children has got to be holistic and the relationship between children and teacher will mirror the level of attainment and progression within the class and ensuring the children know “You don’t need to be better than anyone else, you just need to be better than you used to be” (Dyer, W)</w:t>
      </w:r>
    </w:p>
    <w:p w14:paraId="1222D81D" w14:textId="77777777" w:rsidR="00C41F10" w:rsidRPr="001E59FD" w:rsidRDefault="00C41F10" w:rsidP="009A0E86">
      <w:pPr>
        <w:spacing w:before="100" w:beforeAutospacing="1" w:after="100" w:afterAutospacing="1"/>
      </w:pPr>
    </w:p>
    <w:p w14:paraId="437C135D" w14:textId="77777777" w:rsidR="009A0E86" w:rsidRPr="00590114" w:rsidRDefault="009A0E86" w:rsidP="009A0E86">
      <w:pPr>
        <w:spacing w:before="100" w:beforeAutospacing="1" w:after="100" w:afterAutospacing="1"/>
        <w:rPr>
          <w:rFonts w:asciiTheme="minorHAnsi" w:hAnsiTheme="minorHAnsi" w:cstheme="minorHAnsi"/>
          <w:b/>
          <w:bCs/>
        </w:rPr>
      </w:pPr>
    </w:p>
    <w:p w14:paraId="3946FA7E" w14:textId="77777777" w:rsidR="00A34EE8" w:rsidRDefault="00A34EE8" w:rsidP="009A0E86">
      <w:pPr>
        <w:spacing w:before="100" w:beforeAutospacing="1" w:after="100" w:afterAutospacing="1"/>
        <w:rPr>
          <w:rFonts w:asciiTheme="minorHAnsi" w:hAnsiTheme="minorHAnsi" w:cstheme="minorHAnsi"/>
          <w:b/>
          <w:bCs/>
          <w:u w:val="single"/>
        </w:rPr>
      </w:pPr>
    </w:p>
    <w:p w14:paraId="0DD9B2D1" w14:textId="77777777" w:rsidR="00A34EE8" w:rsidRDefault="00A34EE8" w:rsidP="009A0E86">
      <w:pPr>
        <w:spacing w:before="100" w:beforeAutospacing="1" w:after="100" w:afterAutospacing="1"/>
        <w:rPr>
          <w:rFonts w:asciiTheme="minorHAnsi" w:hAnsiTheme="minorHAnsi" w:cstheme="minorHAnsi"/>
          <w:b/>
          <w:bCs/>
          <w:u w:val="single"/>
        </w:rPr>
      </w:pPr>
    </w:p>
    <w:p w14:paraId="6C03337F" w14:textId="77777777" w:rsidR="00A34EE8" w:rsidRDefault="00A34EE8" w:rsidP="009A0E86">
      <w:pPr>
        <w:spacing w:before="100" w:beforeAutospacing="1" w:after="100" w:afterAutospacing="1"/>
        <w:rPr>
          <w:rFonts w:asciiTheme="minorHAnsi" w:hAnsiTheme="minorHAnsi" w:cstheme="minorHAnsi"/>
          <w:b/>
          <w:bCs/>
          <w:u w:val="single"/>
        </w:rPr>
      </w:pPr>
    </w:p>
    <w:p w14:paraId="6EA3D386" w14:textId="77777777" w:rsidR="00A34EE8" w:rsidRDefault="00A34EE8" w:rsidP="009A0E86">
      <w:pPr>
        <w:spacing w:before="100" w:beforeAutospacing="1" w:after="100" w:afterAutospacing="1"/>
        <w:rPr>
          <w:rFonts w:asciiTheme="minorHAnsi" w:hAnsiTheme="minorHAnsi" w:cstheme="minorHAnsi"/>
          <w:b/>
          <w:bCs/>
          <w:u w:val="single"/>
        </w:rPr>
      </w:pPr>
    </w:p>
    <w:p w14:paraId="1A81E23B" w14:textId="77777777" w:rsidR="00A34EE8" w:rsidRDefault="00A34EE8" w:rsidP="009A0E86">
      <w:pPr>
        <w:spacing w:before="100" w:beforeAutospacing="1" w:after="100" w:afterAutospacing="1"/>
        <w:rPr>
          <w:rFonts w:asciiTheme="minorHAnsi" w:hAnsiTheme="minorHAnsi" w:cstheme="minorHAnsi"/>
          <w:b/>
          <w:bCs/>
          <w:u w:val="single"/>
        </w:rPr>
      </w:pPr>
    </w:p>
    <w:p w14:paraId="7A38C370" w14:textId="77777777" w:rsidR="00A34EE8" w:rsidRDefault="00A34EE8" w:rsidP="009A0E86">
      <w:pPr>
        <w:spacing w:before="100" w:beforeAutospacing="1" w:after="100" w:afterAutospacing="1"/>
        <w:rPr>
          <w:rFonts w:asciiTheme="minorHAnsi" w:hAnsiTheme="minorHAnsi" w:cstheme="minorHAnsi"/>
          <w:b/>
          <w:bCs/>
          <w:u w:val="single"/>
        </w:rPr>
      </w:pPr>
    </w:p>
    <w:p w14:paraId="70827BF5" w14:textId="77777777" w:rsidR="00A34EE8" w:rsidRDefault="00A34EE8" w:rsidP="009A0E86">
      <w:pPr>
        <w:spacing w:before="100" w:beforeAutospacing="1" w:after="100" w:afterAutospacing="1"/>
        <w:rPr>
          <w:rFonts w:asciiTheme="minorHAnsi" w:hAnsiTheme="minorHAnsi" w:cstheme="minorHAnsi"/>
          <w:b/>
          <w:bCs/>
          <w:u w:val="single"/>
        </w:rPr>
      </w:pPr>
    </w:p>
    <w:p w14:paraId="4B598A8D" w14:textId="77777777" w:rsidR="00A34EE8" w:rsidRDefault="00A34EE8" w:rsidP="009A0E86">
      <w:pPr>
        <w:spacing w:before="100" w:beforeAutospacing="1" w:after="100" w:afterAutospacing="1"/>
        <w:rPr>
          <w:rFonts w:asciiTheme="minorHAnsi" w:hAnsiTheme="minorHAnsi" w:cstheme="minorHAnsi"/>
          <w:b/>
          <w:bCs/>
          <w:u w:val="single"/>
        </w:rPr>
      </w:pPr>
    </w:p>
    <w:p w14:paraId="3ECCBE79" w14:textId="77777777" w:rsidR="00A34EE8" w:rsidRDefault="00A34EE8" w:rsidP="009A0E86">
      <w:pPr>
        <w:spacing w:before="100" w:beforeAutospacing="1" w:after="100" w:afterAutospacing="1"/>
        <w:rPr>
          <w:rFonts w:asciiTheme="minorHAnsi" w:hAnsiTheme="minorHAnsi" w:cstheme="minorHAnsi"/>
          <w:b/>
          <w:bCs/>
          <w:u w:val="single"/>
        </w:rPr>
      </w:pPr>
    </w:p>
    <w:p w14:paraId="4631B23D" w14:textId="77777777" w:rsidR="00A34EE8" w:rsidRDefault="00A34EE8" w:rsidP="009A0E86">
      <w:pPr>
        <w:spacing w:before="100" w:beforeAutospacing="1" w:after="100" w:afterAutospacing="1"/>
        <w:rPr>
          <w:rFonts w:asciiTheme="minorHAnsi" w:hAnsiTheme="minorHAnsi" w:cstheme="minorHAnsi"/>
          <w:b/>
          <w:bCs/>
          <w:u w:val="single"/>
        </w:rPr>
      </w:pPr>
    </w:p>
    <w:p w14:paraId="53FE5936" w14:textId="77777777" w:rsidR="00A34EE8" w:rsidRDefault="00A34EE8" w:rsidP="009A0E86">
      <w:pPr>
        <w:spacing w:before="100" w:beforeAutospacing="1" w:after="100" w:afterAutospacing="1"/>
        <w:rPr>
          <w:rFonts w:asciiTheme="minorHAnsi" w:hAnsiTheme="minorHAnsi" w:cstheme="minorHAnsi"/>
          <w:b/>
          <w:bCs/>
          <w:u w:val="single"/>
        </w:rPr>
      </w:pPr>
    </w:p>
    <w:p w14:paraId="2F11065E" w14:textId="77777777" w:rsidR="00A34EE8" w:rsidRDefault="00A34EE8" w:rsidP="009A0E86">
      <w:pPr>
        <w:spacing w:before="100" w:beforeAutospacing="1" w:after="100" w:afterAutospacing="1"/>
        <w:rPr>
          <w:rFonts w:asciiTheme="minorHAnsi" w:hAnsiTheme="minorHAnsi" w:cstheme="minorHAnsi"/>
          <w:b/>
          <w:bCs/>
          <w:u w:val="single"/>
        </w:rPr>
      </w:pPr>
    </w:p>
    <w:p w14:paraId="704A66B9" w14:textId="77777777" w:rsidR="00A34EE8" w:rsidRDefault="00A34EE8" w:rsidP="009A0E86">
      <w:pPr>
        <w:spacing w:before="100" w:beforeAutospacing="1" w:after="100" w:afterAutospacing="1"/>
        <w:rPr>
          <w:rFonts w:asciiTheme="minorHAnsi" w:hAnsiTheme="minorHAnsi" w:cstheme="minorHAnsi"/>
          <w:b/>
          <w:bCs/>
          <w:u w:val="single"/>
        </w:rPr>
      </w:pPr>
    </w:p>
    <w:p w14:paraId="289BB7C0" w14:textId="3B2E0A35" w:rsidR="009A0E86" w:rsidRDefault="00590114" w:rsidP="009A0E86">
      <w:pPr>
        <w:spacing w:before="100" w:beforeAutospacing="1" w:after="100" w:afterAutospacing="1"/>
        <w:rPr>
          <w:rFonts w:asciiTheme="minorHAnsi" w:hAnsiTheme="minorHAnsi" w:cstheme="minorHAnsi"/>
          <w:b/>
          <w:bCs/>
          <w:u w:val="single"/>
        </w:rPr>
      </w:pPr>
      <w:r w:rsidRPr="00590114">
        <w:rPr>
          <w:rFonts w:asciiTheme="minorHAnsi" w:hAnsiTheme="minorHAnsi" w:cstheme="minorHAnsi"/>
          <w:b/>
          <w:bCs/>
          <w:u w:val="single"/>
        </w:rPr>
        <w:lastRenderedPageBreak/>
        <w:t xml:space="preserve">References </w:t>
      </w:r>
    </w:p>
    <w:p w14:paraId="5B93B55E" w14:textId="77777777" w:rsidR="00A34EE8" w:rsidRDefault="00A34EE8" w:rsidP="00A34EE8">
      <w:pPr>
        <w:pStyle w:val="NormalWeb"/>
        <w:spacing w:before="0" w:beforeAutospacing="0" w:after="240" w:afterAutospacing="0" w:line="360" w:lineRule="atLeast"/>
        <w:rPr>
          <w:color w:val="000000"/>
        </w:rPr>
      </w:pPr>
      <w:r>
        <w:rPr>
          <w:color w:val="000000"/>
        </w:rPr>
        <w:t>Alamri, W.A. (2019). Effectiveness of Qualitative Research Methods: Interviews and Diaries.</w:t>
      </w:r>
      <w:r>
        <w:rPr>
          <w:rStyle w:val="apple-converted-space"/>
          <w:color w:val="000000"/>
        </w:rPr>
        <w:t> </w:t>
      </w:r>
      <w:r>
        <w:rPr>
          <w:i/>
          <w:iCs/>
          <w:color w:val="000000"/>
        </w:rPr>
        <w:t>International Journal of English and Cultural Studies</w:t>
      </w:r>
      <w:r>
        <w:rPr>
          <w:color w:val="000000"/>
        </w:rPr>
        <w:t xml:space="preserve">, [online] 2(1), pp.65–70. </w:t>
      </w:r>
      <w:proofErr w:type="spellStart"/>
      <w:proofErr w:type="gramStart"/>
      <w:r>
        <w:rPr>
          <w:color w:val="000000"/>
        </w:rPr>
        <w:t>doi:https</w:t>
      </w:r>
      <w:proofErr w:type="spellEnd"/>
      <w:r>
        <w:rPr>
          <w:color w:val="000000"/>
        </w:rPr>
        <w:t>://doi.org/10.11114/ijecs.v2i1.4302</w:t>
      </w:r>
      <w:proofErr w:type="gramEnd"/>
      <w:r>
        <w:rPr>
          <w:color w:val="000000"/>
        </w:rPr>
        <w:t>.</w:t>
      </w:r>
    </w:p>
    <w:p w14:paraId="4CA1CB49" w14:textId="7B3D043A" w:rsidR="00A34EE8" w:rsidRDefault="00A34EE8" w:rsidP="00A34EE8">
      <w:pPr>
        <w:pStyle w:val="NormalWeb"/>
        <w:spacing w:before="0" w:beforeAutospacing="0" w:after="240" w:afterAutospacing="0" w:line="360" w:lineRule="atLeast"/>
        <w:rPr>
          <w:color w:val="000000"/>
        </w:rPr>
      </w:pPr>
      <w:r>
        <w:rPr>
          <w:color w:val="000000"/>
        </w:rPr>
        <w:t>BERA (2018).</w:t>
      </w:r>
      <w:r>
        <w:rPr>
          <w:rStyle w:val="apple-converted-space"/>
          <w:color w:val="000000"/>
        </w:rPr>
        <w:t> </w:t>
      </w:r>
      <w:r>
        <w:rPr>
          <w:i/>
          <w:iCs/>
          <w:color w:val="000000"/>
        </w:rPr>
        <w:t>Ethics and Guidance</w:t>
      </w:r>
      <w:r>
        <w:rPr>
          <w:color w:val="000000"/>
        </w:rPr>
        <w:t xml:space="preserve">. [online] Bera.ac.uk. Available at: </w:t>
      </w:r>
      <w:hyperlink r:id="rId4" w:history="1">
        <w:r w:rsidRPr="00FF5271">
          <w:rPr>
            <w:rStyle w:val="Hyperlink"/>
          </w:rPr>
          <w:t>https://www.bera.ac.uk/resources/all-publications/resources-for-researchers</w:t>
        </w:r>
      </w:hyperlink>
      <w:r>
        <w:rPr>
          <w:color w:val="000000"/>
        </w:rPr>
        <w:t>.</w:t>
      </w:r>
    </w:p>
    <w:p w14:paraId="76009E30" w14:textId="3BE234E3" w:rsidR="00A34EE8" w:rsidRDefault="00A34EE8" w:rsidP="00A34EE8">
      <w:pPr>
        <w:pStyle w:val="NormalWeb"/>
        <w:spacing w:before="0" w:beforeAutospacing="0" w:after="240" w:afterAutospacing="0" w:line="360" w:lineRule="atLeast"/>
        <w:rPr>
          <w:color w:val="000000"/>
        </w:rPr>
      </w:pPr>
      <w:proofErr w:type="spellStart"/>
      <w:r>
        <w:rPr>
          <w:color w:val="000000"/>
        </w:rPr>
        <w:t>Bojlén</w:t>
      </w:r>
      <w:proofErr w:type="spellEnd"/>
      <w:r>
        <w:rPr>
          <w:color w:val="000000"/>
        </w:rPr>
        <w:t>, N.S. and Lunde, I.M. (1995). Focus group interview as a qualitative research method.</w:t>
      </w:r>
      <w:r>
        <w:rPr>
          <w:rStyle w:val="apple-converted-space"/>
          <w:color w:val="000000"/>
        </w:rPr>
        <w:t> </w:t>
      </w:r>
      <w:proofErr w:type="spellStart"/>
      <w:r>
        <w:rPr>
          <w:i/>
          <w:iCs/>
          <w:color w:val="000000"/>
        </w:rPr>
        <w:t>Ugeskrift</w:t>
      </w:r>
      <w:proofErr w:type="spellEnd"/>
      <w:r>
        <w:rPr>
          <w:i/>
          <w:iCs/>
          <w:color w:val="000000"/>
        </w:rPr>
        <w:t xml:space="preserve"> for </w:t>
      </w:r>
      <w:proofErr w:type="spellStart"/>
      <w:r>
        <w:rPr>
          <w:i/>
          <w:iCs/>
          <w:color w:val="000000"/>
        </w:rPr>
        <w:t>Laeger</w:t>
      </w:r>
      <w:proofErr w:type="spellEnd"/>
      <w:r>
        <w:rPr>
          <w:color w:val="000000"/>
        </w:rPr>
        <w:t xml:space="preserve">, [online] 157(23), pp.3315–3318. Available at: </w:t>
      </w:r>
      <w:hyperlink r:id="rId5" w:history="1">
        <w:r w:rsidRPr="00FF5271">
          <w:rPr>
            <w:rStyle w:val="Hyperlink"/>
          </w:rPr>
          <w:t>https://pubmed.ncbi.nlm.nih.gov/7631438/</w:t>
        </w:r>
      </w:hyperlink>
      <w:r>
        <w:rPr>
          <w:color w:val="000000"/>
        </w:rPr>
        <w:t>.</w:t>
      </w:r>
    </w:p>
    <w:p w14:paraId="10C17C25" w14:textId="1D2AD806" w:rsidR="00A34EE8" w:rsidRDefault="00A34EE8" w:rsidP="00A34EE8">
      <w:pPr>
        <w:pStyle w:val="NormalWeb"/>
        <w:spacing w:before="0" w:beforeAutospacing="0" w:after="240" w:afterAutospacing="0" w:line="360" w:lineRule="atLeast"/>
        <w:rPr>
          <w:color w:val="000000"/>
        </w:rPr>
      </w:pPr>
      <w:r>
        <w:rPr>
          <w:color w:val="000000"/>
        </w:rPr>
        <w:t>Castagno-Dysart, D., Matera, B. and Traver, J. (2019).</w:t>
      </w:r>
      <w:r>
        <w:rPr>
          <w:rStyle w:val="apple-converted-space"/>
          <w:color w:val="000000"/>
        </w:rPr>
        <w:t> </w:t>
      </w:r>
      <w:r>
        <w:rPr>
          <w:i/>
          <w:iCs/>
          <w:color w:val="000000"/>
        </w:rPr>
        <w:t>The importance of instructional scaffolding</w:t>
      </w:r>
      <w:r>
        <w:rPr>
          <w:color w:val="000000"/>
        </w:rPr>
        <w:t xml:space="preserve">. [online] Teacher Magazine. Available at: </w:t>
      </w:r>
      <w:hyperlink r:id="rId6" w:history="1">
        <w:r w:rsidRPr="00FF5271">
          <w:rPr>
            <w:rStyle w:val="Hyperlink"/>
          </w:rPr>
          <w:t>https://www.teachermagazine.com/au_en/articles/the-importance-of-instructional-scaffolding#:~:text=Vygotsky%20coined%20a%20definition%20of</w:t>
        </w:r>
      </w:hyperlink>
      <w:r>
        <w:rPr>
          <w:color w:val="000000"/>
        </w:rPr>
        <w:t>.</w:t>
      </w:r>
    </w:p>
    <w:p w14:paraId="69C44FB6" w14:textId="250968E2" w:rsidR="00A34EE8" w:rsidRDefault="00A34EE8" w:rsidP="00A34EE8">
      <w:pPr>
        <w:pStyle w:val="NormalWeb"/>
        <w:spacing w:before="0" w:beforeAutospacing="0" w:after="240" w:afterAutospacing="0" w:line="360" w:lineRule="atLeast"/>
        <w:rPr>
          <w:color w:val="000000"/>
        </w:rPr>
      </w:pPr>
      <w:r>
        <w:rPr>
          <w:color w:val="000000"/>
        </w:rPr>
        <w:t>Cherry, K. (2022).</w:t>
      </w:r>
      <w:r>
        <w:rPr>
          <w:rStyle w:val="apple-converted-space"/>
          <w:color w:val="000000"/>
        </w:rPr>
        <w:t> </w:t>
      </w:r>
      <w:r>
        <w:rPr>
          <w:i/>
          <w:iCs/>
          <w:color w:val="000000"/>
        </w:rPr>
        <w:t>How to Write a Psychology Case Study</w:t>
      </w:r>
      <w:r>
        <w:rPr>
          <w:color w:val="000000"/>
        </w:rPr>
        <w:t xml:space="preserve">. [online] </w:t>
      </w:r>
      <w:proofErr w:type="spellStart"/>
      <w:r>
        <w:rPr>
          <w:color w:val="000000"/>
        </w:rPr>
        <w:t>Verywell</w:t>
      </w:r>
      <w:proofErr w:type="spellEnd"/>
      <w:r>
        <w:rPr>
          <w:color w:val="000000"/>
        </w:rPr>
        <w:t xml:space="preserve"> Mind. Available at: </w:t>
      </w:r>
      <w:hyperlink r:id="rId7" w:history="1">
        <w:r w:rsidRPr="00FF5271">
          <w:rPr>
            <w:rStyle w:val="Hyperlink"/>
          </w:rPr>
          <w:t>https://www.verywellmind.com/how-to-write-a-psychology-case-study-2795722</w:t>
        </w:r>
      </w:hyperlink>
      <w:r>
        <w:rPr>
          <w:color w:val="000000"/>
        </w:rPr>
        <w:t>.</w:t>
      </w:r>
    </w:p>
    <w:p w14:paraId="2B32E2C5" w14:textId="77777777" w:rsidR="00A34EE8" w:rsidRDefault="00A34EE8" w:rsidP="00A34EE8">
      <w:pPr>
        <w:pStyle w:val="NormalWeb"/>
        <w:spacing w:before="0" w:beforeAutospacing="0" w:after="240" w:afterAutospacing="0" w:line="360" w:lineRule="atLeast"/>
        <w:rPr>
          <w:color w:val="000000"/>
        </w:rPr>
      </w:pPr>
      <w:r>
        <w:rPr>
          <w:color w:val="000000"/>
        </w:rPr>
        <w:t xml:space="preserve">Crowe, S., </w:t>
      </w:r>
      <w:proofErr w:type="spellStart"/>
      <w:r>
        <w:rPr>
          <w:color w:val="000000"/>
        </w:rPr>
        <w:t>Cresswell</w:t>
      </w:r>
      <w:proofErr w:type="spellEnd"/>
      <w:r>
        <w:rPr>
          <w:color w:val="000000"/>
        </w:rPr>
        <w:t xml:space="preserve">, K., Robertson, A., </w:t>
      </w:r>
      <w:proofErr w:type="spellStart"/>
      <w:r>
        <w:rPr>
          <w:color w:val="000000"/>
        </w:rPr>
        <w:t>Huby</w:t>
      </w:r>
      <w:proofErr w:type="spellEnd"/>
      <w:r>
        <w:rPr>
          <w:color w:val="000000"/>
        </w:rPr>
        <w:t>, G., Avery, A. and Sheikh, A. (2011). The case study approach.</w:t>
      </w:r>
      <w:r>
        <w:rPr>
          <w:rStyle w:val="apple-converted-space"/>
          <w:color w:val="000000"/>
        </w:rPr>
        <w:t> </w:t>
      </w:r>
      <w:r>
        <w:rPr>
          <w:i/>
          <w:iCs/>
          <w:color w:val="000000"/>
        </w:rPr>
        <w:t>BMC Medical Research Methodology</w:t>
      </w:r>
      <w:r>
        <w:rPr>
          <w:color w:val="000000"/>
        </w:rPr>
        <w:t xml:space="preserve">, [online] 11(1). </w:t>
      </w:r>
      <w:proofErr w:type="spellStart"/>
      <w:proofErr w:type="gramStart"/>
      <w:r>
        <w:rPr>
          <w:color w:val="000000"/>
        </w:rPr>
        <w:t>doi:https</w:t>
      </w:r>
      <w:proofErr w:type="spellEnd"/>
      <w:r>
        <w:rPr>
          <w:color w:val="000000"/>
        </w:rPr>
        <w:t>://doi.org/10.1186/1471-2288-11-100</w:t>
      </w:r>
      <w:proofErr w:type="gramEnd"/>
      <w:r>
        <w:rPr>
          <w:color w:val="000000"/>
        </w:rPr>
        <w:t>.</w:t>
      </w:r>
    </w:p>
    <w:p w14:paraId="5A325763" w14:textId="79D7796D" w:rsidR="00A34EE8" w:rsidRDefault="00A34EE8" w:rsidP="00A34EE8">
      <w:pPr>
        <w:pStyle w:val="NormalWeb"/>
        <w:spacing w:before="0" w:beforeAutospacing="0" w:after="240" w:afterAutospacing="0" w:line="360" w:lineRule="atLeast"/>
        <w:rPr>
          <w:color w:val="000000"/>
        </w:rPr>
      </w:pPr>
      <w:r>
        <w:rPr>
          <w:color w:val="000000"/>
        </w:rPr>
        <w:t>Department For Education (2023).</w:t>
      </w:r>
      <w:r>
        <w:rPr>
          <w:rStyle w:val="apple-converted-space"/>
          <w:color w:val="000000"/>
        </w:rPr>
        <w:t> </w:t>
      </w:r>
      <w:r>
        <w:rPr>
          <w:i/>
          <w:iCs/>
          <w:color w:val="000000"/>
        </w:rPr>
        <w:t>Keeping children safe in education 2023 Statutory guidance for schools and colleges</w:t>
      </w:r>
      <w:r>
        <w:rPr>
          <w:color w:val="000000"/>
        </w:rPr>
        <w:t xml:space="preserve">. [online] Available at: </w:t>
      </w:r>
      <w:hyperlink r:id="rId8" w:history="1">
        <w:r w:rsidRPr="00FF5271">
          <w:rPr>
            <w:rStyle w:val="Hyperlink"/>
          </w:rPr>
          <w:t>https://assets.publishing.service.gov.uk/media/64f0a68ea78c5f000dc6f3b2/Keeping_children_safe_in_education_2023.pdf</w:t>
        </w:r>
      </w:hyperlink>
      <w:r>
        <w:rPr>
          <w:color w:val="000000"/>
        </w:rPr>
        <w:t>.</w:t>
      </w:r>
    </w:p>
    <w:p w14:paraId="584F572A" w14:textId="2F82CA33" w:rsidR="00A34EE8" w:rsidRDefault="00A34EE8" w:rsidP="00A34EE8">
      <w:pPr>
        <w:pStyle w:val="NormalWeb"/>
        <w:spacing w:before="0" w:beforeAutospacing="0" w:after="240" w:afterAutospacing="0" w:line="360" w:lineRule="atLeast"/>
        <w:rPr>
          <w:color w:val="000000"/>
        </w:rPr>
      </w:pPr>
      <w:r>
        <w:rPr>
          <w:color w:val="000000"/>
        </w:rPr>
        <w:t>dictionary.cambridge.org. (1955).</w:t>
      </w:r>
      <w:r>
        <w:rPr>
          <w:rStyle w:val="apple-converted-space"/>
          <w:color w:val="000000"/>
        </w:rPr>
        <w:t> </w:t>
      </w:r>
      <w:r>
        <w:rPr>
          <w:i/>
          <w:iCs/>
          <w:color w:val="000000"/>
        </w:rPr>
        <w:t>progression</w:t>
      </w:r>
      <w:r>
        <w:rPr>
          <w:color w:val="000000"/>
        </w:rPr>
        <w:t xml:space="preserve">. [online] Available at: </w:t>
      </w:r>
      <w:hyperlink r:id="rId9" w:history="1">
        <w:r w:rsidRPr="00FF5271">
          <w:rPr>
            <w:rStyle w:val="Hyperlink"/>
          </w:rPr>
          <w:t>https://dictionary.cambridge.org/dictionary/english/progression</w:t>
        </w:r>
      </w:hyperlink>
      <w:r>
        <w:rPr>
          <w:color w:val="000000"/>
        </w:rPr>
        <w:t>.</w:t>
      </w:r>
    </w:p>
    <w:p w14:paraId="76CFDD2A" w14:textId="113D59FE" w:rsidR="00A34EE8" w:rsidRDefault="00A34EE8" w:rsidP="00A34EE8">
      <w:pPr>
        <w:pStyle w:val="NormalWeb"/>
        <w:spacing w:before="0" w:beforeAutospacing="0" w:after="240" w:afterAutospacing="0" w:line="360" w:lineRule="atLeast"/>
        <w:rPr>
          <w:color w:val="000000"/>
        </w:rPr>
      </w:pPr>
      <w:r>
        <w:rPr>
          <w:color w:val="000000"/>
        </w:rPr>
        <w:t>Doolittle, P.E. (1995).</w:t>
      </w:r>
      <w:r>
        <w:rPr>
          <w:rStyle w:val="apple-converted-space"/>
          <w:color w:val="000000"/>
        </w:rPr>
        <w:t> </w:t>
      </w:r>
      <w:r>
        <w:rPr>
          <w:i/>
          <w:iCs/>
          <w:color w:val="000000"/>
        </w:rPr>
        <w:t>Understanding Cooperative Learning through Vygotsky’s Zone of Proximal Development.</w:t>
      </w:r>
      <w:r>
        <w:rPr>
          <w:rStyle w:val="apple-converted-space"/>
          <w:color w:val="000000"/>
        </w:rPr>
        <w:t> </w:t>
      </w:r>
      <w:r>
        <w:rPr>
          <w:color w:val="000000"/>
        </w:rPr>
        <w:t xml:space="preserve">[online] Ed.gov. Available at: </w:t>
      </w:r>
      <w:hyperlink r:id="rId10" w:history="1">
        <w:r w:rsidRPr="00FF5271">
          <w:rPr>
            <w:rStyle w:val="Hyperlink"/>
          </w:rPr>
          <w:t>https://eric.ed.gov/?id=ED384575</w:t>
        </w:r>
      </w:hyperlink>
      <w:r>
        <w:rPr>
          <w:color w:val="000000"/>
        </w:rPr>
        <w:t>.</w:t>
      </w:r>
    </w:p>
    <w:p w14:paraId="142719E3" w14:textId="634BD19D" w:rsidR="00A34EE8" w:rsidRDefault="00A34EE8" w:rsidP="00A34EE8">
      <w:pPr>
        <w:pStyle w:val="NormalWeb"/>
        <w:spacing w:before="0" w:beforeAutospacing="0" w:after="240" w:afterAutospacing="0" w:line="360" w:lineRule="atLeast"/>
        <w:rPr>
          <w:color w:val="000000"/>
        </w:rPr>
      </w:pPr>
      <w:r>
        <w:rPr>
          <w:color w:val="000000"/>
        </w:rPr>
        <w:t>ERW (2020).</w:t>
      </w:r>
      <w:r>
        <w:rPr>
          <w:rStyle w:val="apple-converted-space"/>
          <w:color w:val="000000"/>
        </w:rPr>
        <w:t> </w:t>
      </w:r>
      <w:r>
        <w:rPr>
          <w:i/>
          <w:iCs/>
          <w:color w:val="000000"/>
        </w:rPr>
        <w:t>Assessment and Progression Part 2</w:t>
      </w:r>
      <w:r>
        <w:rPr>
          <w:color w:val="000000"/>
        </w:rPr>
        <w:t>. [online] sites.google.com. Available at: https://sites.google.com/hwbcymru.net/journey-to-cfw/whole-school-approach/assessment-and-progression-part-2#:~:text=Progression%20in%20education%20means%20increasing [Accessed 5 Jan. 2024].</w:t>
      </w:r>
    </w:p>
    <w:p w14:paraId="7224533A" w14:textId="46264EE2" w:rsidR="00A34EE8" w:rsidRDefault="00A34EE8" w:rsidP="00A34EE8">
      <w:pPr>
        <w:pStyle w:val="NormalWeb"/>
        <w:spacing w:before="0" w:beforeAutospacing="0" w:after="240" w:afterAutospacing="0" w:line="360" w:lineRule="atLeast"/>
        <w:rPr>
          <w:color w:val="000000"/>
        </w:rPr>
      </w:pPr>
      <w:r>
        <w:rPr>
          <w:color w:val="000000"/>
        </w:rPr>
        <w:lastRenderedPageBreak/>
        <w:t>Estyn (2023).</w:t>
      </w:r>
      <w:r>
        <w:rPr>
          <w:rStyle w:val="apple-converted-space"/>
          <w:color w:val="000000"/>
        </w:rPr>
        <w:t> </w:t>
      </w:r>
      <w:r>
        <w:rPr>
          <w:i/>
          <w:iCs/>
          <w:color w:val="000000"/>
        </w:rPr>
        <w:t xml:space="preserve">A report on Crynallt Primary </w:t>
      </w:r>
      <w:proofErr w:type="spellStart"/>
      <w:r>
        <w:rPr>
          <w:i/>
          <w:iCs/>
          <w:color w:val="000000"/>
        </w:rPr>
        <w:t>Afan</w:t>
      </w:r>
      <w:proofErr w:type="spellEnd"/>
      <w:r>
        <w:rPr>
          <w:i/>
          <w:iCs/>
          <w:color w:val="000000"/>
        </w:rPr>
        <w:t xml:space="preserve"> Valley Road </w:t>
      </w:r>
      <w:proofErr w:type="spellStart"/>
      <w:r>
        <w:rPr>
          <w:i/>
          <w:iCs/>
          <w:color w:val="000000"/>
        </w:rPr>
        <w:t>Cimla</w:t>
      </w:r>
      <w:proofErr w:type="spellEnd"/>
      <w:r>
        <w:rPr>
          <w:i/>
          <w:iCs/>
          <w:color w:val="000000"/>
        </w:rPr>
        <w:t xml:space="preserve"> Neath SA11 3AZ Date of inspection: September 2023 by Estyn, His Majesty’s Inspectorate for Education and Training in Wales</w:t>
      </w:r>
      <w:r>
        <w:rPr>
          <w:color w:val="000000"/>
        </w:rPr>
        <w:t xml:space="preserve">. [online] Available at: </w:t>
      </w:r>
      <w:hyperlink r:id="rId11" w:history="1">
        <w:r w:rsidRPr="00FF5271">
          <w:rPr>
            <w:rStyle w:val="Hyperlink"/>
          </w:rPr>
          <w:t>https://www.estyn.gov.wales/system/files/2023-10/Inspection%20report%20Crynallt%20Primary%202023.pdf</w:t>
        </w:r>
      </w:hyperlink>
      <w:r>
        <w:rPr>
          <w:color w:val="000000"/>
        </w:rPr>
        <w:t>.</w:t>
      </w:r>
    </w:p>
    <w:p w14:paraId="7699D280" w14:textId="77777777" w:rsidR="00A34EE8" w:rsidRDefault="00A34EE8" w:rsidP="00A34EE8">
      <w:pPr>
        <w:pStyle w:val="NormalWeb"/>
        <w:spacing w:before="0" w:beforeAutospacing="0" w:after="240" w:afterAutospacing="0" w:line="360" w:lineRule="atLeast"/>
        <w:rPr>
          <w:color w:val="000000"/>
        </w:rPr>
      </w:pPr>
      <w:r>
        <w:rPr>
          <w:color w:val="000000"/>
        </w:rPr>
        <w:t>Ferreira, V., Barreira, A.P., Pinto, P. and Panagopoulos, T. (2022). Understanding attitudes towards the adoption of nature-based solutions and policy priorities shaped by stakeholders’ awareness of climate change.</w:t>
      </w:r>
      <w:r>
        <w:rPr>
          <w:rStyle w:val="apple-converted-space"/>
          <w:color w:val="000000"/>
        </w:rPr>
        <w:t> </w:t>
      </w:r>
      <w:r>
        <w:rPr>
          <w:i/>
          <w:iCs/>
          <w:color w:val="000000"/>
        </w:rPr>
        <w:t>Environmental Science &amp; Policy</w:t>
      </w:r>
      <w:r>
        <w:rPr>
          <w:color w:val="000000"/>
        </w:rPr>
        <w:t xml:space="preserve">, 131, pp.149–159. </w:t>
      </w:r>
      <w:proofErr w:type="spellStart"/>
      <w:proofErr w:type="gramStart"/>
      <w:r>
        <w:rPr>
          <w:color w:val="000000"/>
        </w:rPr>
        <w:t>doi:https</w:t>
      </w:r>
      <w:proofErr w:type="spellEnd"/>
      <w:r>
        <w:rPr>
          <w:color w:val="000000"/>
        </w:rPr>
        <w:t>://doi.org/10.1016/j.envsci.2022.02.007</w:t>
      </w:r>
      <w:proofErr w:type="gramEnd"/>
      <w:r>
        <w:rPr>
          <w:color w:val="000000"/>
        </w:rPr>
        <w:t>.</w:t>
      </w:r>
    </w:p>
    <w:p w14:paraId="062D7137" w14:textId="2D81EAE3" w:rsidR="00A34EE8" w:rsidRDefault="00A34EE8" w:rsidP="00A34EE8">
      <w:pPr>
        <w:pStyle w:val="NormalWeb"/>
        <w:spacing w:before="0" w:beforeAutospacing="0" w:after="240" w:afterAutospacing="0" w:line="360" w:lineRule="atLeast"/>
        <w:rPr>
          <w:color w:val="000000"/>
        </w:rPr>
      </w:pPr>
      <w:r>
        <w:rPr>
          <w:color w:val="000000"/>
        </w:rPr>
        <w:t>GDPR (2018).</w:t>
      </w:r>
      <w:r>
        <w:rPr>
          <w:rStyle w:val="apple-converted-space"/>
          <w:color w:val="000000"/>
        </w:rPr>
        <w:t> </w:t>
      </w:r>
      <w:r>
        <w:rPr>
          <w:i/>
          <w:iCs/>
          <w:color w:val="000000"/>
        </w:rPr>
        <w:t>Art. 7 GDPR – Conditions for consent</w:t>
      </w:r>
      <w:r>
        <w:rPr>
          <w:color w:val="000000"/>
        </w:rPr>
        <w:t xml:space="preserve">. [online] General Data Protection Regulation (GDPR). Available at: </w:t>
      </w:r>
      <w:hyperlink r:id="rId12" w:history="1">
        <w:r w:rsidRPr="00FF5271">
          <w:rPr>
            <w:rStyle w:val="Hyperlink"/>
          </w:rPr>
          <w:t>https://gdpr-info.eu/art-7-gdpr/#:~:text=The%20data%20subject%20shall%20have</w:t>
        </w:r>
      </w:hyperlink>
      <w:r>
        <w:rPr>
          <w:color w:val="000000"/>
        </w:rPr>
        <w:t>.</w:t>
      </w:r>
    </w:p>
    <w:p w14:paraId="185CF013" w14:textId="2B3C36CA" w:rsidR="00A34EE8" w:rsidRDefault="00A34EE8" w:rsidP="00A34EE8">
      <w:pPr>
        <w:pStyle w:val="NormalWeb"/>
        <w:spacing w:before="0" w:beforeAutospacing="0" w:after="240" w:afterAutospacing="0" w:line="360" w:lineRule="atLeast"/>
        <w:rPr>
          <w:color w:val="000000"/>
        </w:rPr>
      </w:pPr>
      <w:r>
        <w:rPr>
          <w:color w:val="000000"/>
        </w:rPr>
        <w:t>George, T. (2022).</w:t>
      </w:r>
      <w:r>
        <w:rPr>
          <w:rStyle w:val="apple-converted-space"/>
          <w:color w:val="000000"/>
        </w:rPr>
        <w:t> </w:t>
      </w:r>
      <w:r>
        <w:rPr>
          <w:i/>
          <w:iCs/>
          <w:color w:val="000000"/>
        </w:rPr>
        <w:t>Semi-Structured Interview | Definition, Guide &amp; Examples</w:t>
      </w:r>
      <w:r>
        <w:rPr>
          <w:color w:val="000000"/>
        </w:rPr>
        <w:t xml:space="preserve">. [online] </w:t>
      </w:r>
      <w:proofErr w:type="spellStart"/>
      <w:r>
        <w:rPr>
          <w:color w:val="000000"/>
        </w:rPr>
        <w:t>Scribbr</w:t>
      </w:r>
      <w:proofErr w:type="spellEnd"/>
      <w:r>
        <w:rPr>
          <w:color w:val="000000"/>
        </w:rPr>
        <w:t xml:space="preserve">. Available at: </w:t>
      </w:r>
      <w:hyperlink r:id="rId13" w:history="1">
        <w:r w:rsidRPr="00FF5271">
          <w:rPr>
            <w:rStyle w:val="Hyperlink"/>
          </w:rPr>
          <w:t>https://www.scribbr.com/methodology/semi-structured-interview/#:~:text=Semi%2Dstructured%20interviews%20are%20a%20blend%20of%20structured%20and%20unstructured</w:t>
        </w:r>
      </w:hyperlink>
      <w:r>
        <w:rPr>
          <w:color w:val="000000"/>
        </w:rPr>
        <w:t>.</w:t>
      </w:r>
    </w:p>
    <w:p w14:paraId="4072B902" w14:textId="5BAB0036" w:rsidR="00A34EE8" w:rsidRDefault="00A34EE8" w:rsidP="00A34EE8">
      <w:pPr>
        <w:pStyle w:val="NormalWeb"/>
        <w:spacing w:before="0" w:beforeAutospacing="0" w:after="240" w:afterAutospacing="0" w:line="360" w:lineRule="atLeast"/>
        <w:rPr>
          <w:color w:val="000000"/>
        </w:rPr>
      </w:pPr>
      <w:r>
        <w:rPr>
          <w:color w:val="000000"/>
        </w:rPr>
        <w:t>gov.uk (n.d.).</w:t>
      </w:r>
      <w:r>
        <w:rPr>
          <w:rStyle w:val="apple-converted-space"/>
          <w:color w:val="000000"/>
        </w:rPr>
        <w:t> </w:t>
      </w:r>
      <w:r>
        <w:rPr>
          <w:i/>
          <w:iCs/>
          <w:color w:val="000000"/>
        </w:rPr>
        <w:t>Meeting the needs of all children - Help for early years providers - GOV.UK</w:t>
      </w:r>
      <w:r>
        <w:rPr>
          <w:color w:val="000000"/>
        </w:rPr>
        <w:t xml:space="preserve">. [online] help-for-early-years-providers.education.gov.uk. Available at: </w:t>
      </w:r>
      <w:hyperlink r:id="rId14" w:history="1">
        <w:r w:rsidRPr="00FF5271">
          <w:rPr>
            <w:rStyle w:val="Hyperlink"/>
          </w:rPr>
          <w:t>https://help-for-early-years-providers.education.gov.uk/get-help-to-improve-your-practice/meeting-the-needs-of-all-children#:~:text=It%20is%20crucial%20that%20settings</w:t>
        </w:r>
      </w:hyperlink>
      <w:r>
        <w:rPr>
          <w:color w:val="000000"/>
        </w:rPr>
        <w:t>.</w:t>
      </w:r>
    </w:p>
    <w:p w14:paraId="0C304CBC" w14:textId="4F5EA282" w:rsidR="00A34EE8" w:rsidRDefault="00A34EE8" w:rsidP="00A34EE8">
      <w:pPr>
        <w:pStyle w:val="NormalWeb"/>
        <w:spacing w:before="0" w:beforeAutospacing="0" w:after="240" w:afterAutospacing="0" w:line="360" w:lineRule="atLeast"/>
        <w:rPr>
          <w:color w:val="000000"/>
        </w:rPr>
      </w:pPr>
      <w:r>
        <w:rPr>
          <w:color w:val="000000"/>
        </w:rPr>
        <w:t>GOV.WALES. (2020).</w:t>
      </w:r>
      <w:r>
        <w:rPr>
          <w:rStyle w:val="apple-converted-space"/>
          <w:color w:val="000000"/>
        </w:rPr>
        <w:t> </w:t>
      </w:r>
      <w:r>
        <w:rPr>
          <w:i/>
          <w:iCs/>
          <w:color w:val="000000"/>
        </w:rPr>
        <w:t>Home | GOV.WALES</w:t>
      </w:r>
      <w:r>
        <w:rPr>
          <w:color w:val="000000"/>
        </w:rPr>
        <w:t xml:space="preserve">. [online] Available at: </w:t>
      </w:r>
      <w:hyperlink r:id="rId15" w:history="1">
        <w:r w:rsidRPr="00FF5271">
          <w:rPr>
            <w:rStyle w:val="Hyperlink"/>
          </w:rPr>
          <w:t>https://www.gov.wales</w:t>
        </w:r>
      </w:hyperlink>
      <w:r>
        <w:rPr>
          <w:color w:val="000000"/>
        </w:rPr>
        <w:t>.</w:t>
      </w:r>
    </w:p>
    <w:p w14:paraId="33FC74F5" w14:textId="42FA634B" w:rsidR="00A34EE8" w:rsidRDefault="00A34EE8" w:rsidP="00A34EE8">
      <w:pPr>
        <w:pStyle w:val="NormalWeb"/>
        <w:spacing w:before="0" w:beforeAutospacing="0" w:after="240" w:afterAutospacing="0" w:line="360" w:lineRule="atLeast"/>
        <w:rPr>
          <w:color w:val="000000"/>
        </w:rPr>
      </w:pPr>
      <w:r>
        <w:rPr>
          <w:color w:val="000000"/>
        </w:rPr>
        <w:t>Guy-Evans, O. (2023).</w:t>
      </w:r>
      <w:r>
        <w:rPr>
          <w:rStyle w:val="apple-converted-space"/>
          <w:color w:val="000000"/>
        </w:rPr>
        <w:t> </w:t>
      </w:r>
      <w:r>
        <w:rPr>
          <w:i/>
          <w:iCs/>
          <w:color w:val="000000"/>
        </w:rPr>
        <w:t>Bronfenbrenner’s ecological systems theory</w:t>
      </w:r>
      <w:r>
        <w:rPr>
          <w:color w:val="000000"/>
        </w:rPr>
        <w:t xml:space="preserve">. [online] Simply Psychology. Available at: </w:t>
      </w:r>
      <w:hyperlink r:id="rId16" w:history="1">
        <w:r w:rsidRPr="00FF5271">
          <w:rPr>
            <w:rStyle w:val="Hyperlink"/>
          </w:rPr>
          <w:t>https://www.simplypsychology.org/Bronfenbrenner.html</w:t>
        </w:r>
      </w:hyperlink>
      <w:r>
        <w:rPr>
          <w:color w:val="000000"/>
        </w:rPr>
        <w:t>.</w:t>
      </w:r>
    </w:p>
    <w:p w14:paraId="771F985E" w14:textId="77777777" w:rsidR="00A34EE8" w:rsidRDefault="00A34EE8" w:rsidP="00A34EE8">
      <w:pPr>
        <w:pStyle w:val="NormalWeb"/>
        <w:spacing w:before="0" w:beforeAutospacing="0" w:after="240" w:afterAutospacing="0" w:line="360" w:lineRule="atLeast"/>
        <w:rPr>
          <w:color w:val="000000"/>
        </w:rPr>
      </w:pPr>
      <w:r>
        <w:rPr>
          <w:color w:val="000000"/>
        </w:rPr>
        <w:t xml:space="preserve">Guyton, </w:t>
      </w:r>
      <w:proofErr w:type="gramStart"/>
      <w:r>
        <w:rPr>
          <w:color w:val="000000"/>
        </w:rPr>
        <w:t>E.</w:t>
      </w:r>
      <w:proofErr w:type="gramEnd"/>
      <w:r>
        <w:rPr>
          <w:color w:val="000000"/>
        </w:rPr>
        <w:t xml:space="preserve"> and Julie Rainer </w:t>
      </w:r>
      <w:proofErr w:type="spellStart"/>
      <w:r>
        <w:rPr>
          <w:color w:val="000000"/>
        </w:rPr>
        <w:t>Dangel</w:t>
      </w:r>
      <w:proofErr w:type="spellEnd"/>
      <w:r>
        <w:rPr>
          <w:color w:val="000000"/>
        </w:rPr>
        <w:t xml:space="preserve"> (2004).</w:t>
      </w:r>
      <w:r>
        <w:rPr>
          <w:rStyle w:val="apple-converted-space"/>
          <w:color w:val="000000"/>
        </w:rPr>
        <w:t> </w:t>
      </w:r>
      <w:r>
        <w:rPr>
          <w:i/>
          <w:iCs/>
          <w:color w:val="000000"/>
        </w:rPr>
        <w:t>Research linking teacher preparation and student performance</w:t>
      </w:r>
      <w:r>
        <w:rPr>
          <w:color w:val="000000"/>
        </w:rPr>
        <w:t>. Dubuque, Iowa: Kendall/Hunt.</w:t>
      </w:r>
    </w:p>
    <w:p w14:paraId="1225454A" w14:textId="77777777" w:rsidR="00A34EE8" w:rsidRDefault="00A34EE8" w:rsidP="00A34EE8">
      <w:pPr>
        <w:pStyle w:val="NormalWeb"/>
        <w:spacing w:before="0" w:beforeAutospacing="0" w:after="240" w:afterAutospacing="0" w:line="360" w:lineRule="atLeast"/>
        <w:rPr>
          <w:color w:val="000000"/>
        </w:rPr>
      </w:pPr>
      <w:r>
        <w:rPr>
          <w:color w:val="000000"/>
        </w:rPr>
        <w:t>INDIA, T.H. (2016).</w:t>
      </w:r>
      <w:r>
        <w:rPr>
          <w:rStyle w:val="apple-converted-space"/>
          <w:color w:val="000000"/>
        </w:rPr>
        <w:t> </w:t>
      </w:r>
      <w:r>
        <w:rPr>
          <w:i/>
          <w:iCs/>
          <w:color w:val="000000"/>
        </w:rPr>
        <w:t>Accent, Assent, Consent</w:t>
      </w:r>
      <w:r>
        <w:rPr>
          <w:color w:val="000000"/>
        </w:rPr>
        <w:t>. [online] www.thehansindia.com. Available at: https://www.thehansindia.com/posts/index/Education-and-Careers/2016-03-30/Accent-Assent-Consent/217357 [Accessed 7 Jan. 2024].</w:t>
      </w:r>
    </w:p>
    <w:p w14:paraId="3ADFD42B" w14:textId="4BBC7CC6" w:rsidR="00A34EE8" w:rsidRDefault="00A34EE8" w:rsidP="00A34EE8">
      <w:pPr>
        <w:pStyle w:val="NormalWeb"/>
        <w:spacing w:before="0" w:beforeAutospacing="0" w:after="240" w:afterAutospacing="0" w:line="360" w:lineRule="atLeast"/>
        <w:rPr>
          <w:color w:val="000000"/>
        </w:rPr>
      </w:pPr>
      <w:r>
        <w:rPr>
          <w:color w:val="000000"/>
        </w:rPr>
        <w:t>Jain, N. (2021).</w:t>
      </w:r>
      <w:r>
        <w:rPr>
          <w:rStyle w:val="apple-converted-space"/>
          <w:color w:val="000000"/>
        </w:rPr>
        <w:t> </w:t>
      </w:r>
      <w:r>
        <w:rPr>
          <w:i/>
          <w:iCs/>
          <w:color w:val="000000"/>
        </w:rPr>
        <w:t>Document unavailable - ProQuest</w:t>
      </w:r>
      <w:r>
        <w:rPr>
          <w:color w:val="000000"/>
        </w:rPr>
        <w:t xml:space="preserve">. [online] www.proquest.com. Available at: </w:t>
      </w:r>
      <w:hyperlink r:id="rId17" w:history="1">
        <w:r w:rsidRPr="00FF5271">
          <w:rPr>
            <w:rStyle w:val="Hyperlink"/>
          </w:rPr>
          <w:t>https://www.proquest.com/docview/2505727565?pq-origsite=gscholar&amp;fromopenview=true&amp;sourcetype=Scholarly%20Journals</w:t>
        </w:r>
      </w:hyperlink>
      <w:r>
        <w:rPr>
          <w:color w:val="000000"/>
        </w:rPr>
        <w:t>.</w:t>
      </w:r>
    </w:p>
    <w:p w14:paraId="7A9B23E1" w14:textId="77777777" w:rsidR="00A34EE8" w:rsidRDefault="00A34EE8" w:rsidP="00A34EE8">
      <w:pPr>
        <w:pStyle w:val="NormalWeb"/>
        <w:spacing w:before="0" w:beforeAutospacing="0" w:after="240" w:afterAutospacing="0" w:line="360" w:lineRule="atLeast"/>
        <w:rPr>
          <w:color w:val="000000"/>
        </w:rPr>
      </w:pPr>
    </w:p>
    <w:p w14:paraId="37DB3683" w14:textId="2C8D8A78" w:rsidR="00A34EE8" w:rsidRDefault="00A34EE8" w:rsidP="00A34EE8">
      <w:pPr>
        <w:pStyle w:val="NormalWeb"/>
        <w:spacing w:before="0" w:beforeAutospacing="0" w:after="240" w:afterAutospacing="0" w:line="360" w:lineRule="atLeast"/>
        <w:rPr>
          <w:color w:val="000000"/>
        </w:rPr>
      </w:pPr>
      <w:proofErr w:type="spellStart"/>
      <w:r>
        <w:rPr>
          <w:color w:val="000000"/>
        </w:rPr>
        <w:lastRenderedPageBreak/>
        <w:t>Javatpoint</w:t>
      </w:r>
      <w:proofErr w:type="spellEnd"/>
      <w:r>
        <w:rPr>
          <w:color w:val="000000"/>
        </w:rPr>
        <w:t xml:space="preserve"> (2011).</w:t>
      </w:r>
      <w:r>
        <w:rPr>
          <w:rStyle w:val="apple-converted-space"/>
          <w:color w:val="000000"/>
        </w:rPr>
        <w:t> </w:t>
      </w:r>
      <w:r>
        <w:rPr>
          <w:i/>
          <w:iCs/>
          <w:color w:val="000000"/>
        </w:rPr>
        <w:t xml:space="preserve">Advantages and Disadvantages of Observation Method - </w:t>
      </w:r>
      <w:proofErr w:type="spellStart"/>
      <w:r>
        <w:rPr>
          <w:i/>
          <w:iCs/>
          <w:color w:val="000000"/>
        </w:rPr>
        <w:t>Javatpoint</w:t>
      </w:r>
      <w:proofErr w:type="spellEnd"/>
      <w:r>
        <w:rPr>
          <w:color w:val="000000"/>
        </w:rPr>
        <w:t xml:space="preserve">. [online] www.javatpoint.com. Available at: </w:t>
      </w:r>
      <w:hyperlink r:id="rId18" w:history="1">
        <w:r w:rsidRPr="00FF5271">
          <w:rPr>
            <w:rStyle w:val="Hyperlink"/>
          </w:rPr>
          <w:t>https://www.javatpoint.com/advantages-and-disadvantages-of-observation-method</w:t>
        </w:r>
      </w:hyperlink>
      <w:r>
        <w:rPr>
          <w:color w:val="000000"/>
        </w:rPr>
        <w:t>.</w:t>
      </w:r>
    </w:p>
    <w:p w14:paraId="6FC6FE9A" w14:textId="3BE07054" w:rsidR="00A34EE8" w:rsidRDefault="00A34EE8" w:rsidP="00A34EE8">
      <w:pPr>
        <w:pStyle w:val="NormalWeb"/>
        <w:spacing w:before="0" w:beforeAutospacing="0" w:after="240" w:afterAutospacing="0" w:line="360" w:lineRule="atLeast"/>
        <w:rPr>
          <w:color w:val="000000"/>
        </w:rPr>
      </w:pPr>
      <w:r>
        <w:rPr>
          <w:color w:val="000000"/>
        </w:rPr>
        <w:t>Journals, L. (2021).</w:t>
      </w:r>
      <w:r>
        <w:rPr>
          <w:rStyle w:val="apple-converted-space"/>
          <w:color w:val="000000"/>
        </w:rPr>
        <w:t> </w:t>
      </w:r>
      <w:r>
        <w:rPr>
          <w:i/>
          <w:iCs/>
          <w:color w:val="000000"/>
        </w:rPr>
        <w:t>What Is the Leuven Scale and How to Use it</w:t>
      </w:r>
      <w:r>
        <w:rPr>
          <w:color w:val="000000"/>
        </w:rPr>
        <w:t xml:space="preserve">. [online] Learning Journals. Available at: </w:t>
      </w:r>
      <w:hyperlink r:id="rId19" w:history="1">
        <w:r w:rsidRPr="00FF5271">
          <w:rPr>
            <w:rStyle w:val="Hyperlink"/>
          </w:rPr>
          <w:t>https://learningjournals.co.uk/what-is-the-leuven-scale-and-how-to-use-it/#:~:text=One%20of%20the%20major%20criticisms</w:t>
        </w:r>
      </w:hyperlink>
      <w:r>
        <w:rPr>
          <w:color w:val="000000"/>
        </w:rPr>
        <w:t>.</w:t>
      </w:r>
    </w:p>
    <w:p w14:paraId="402250EF" w14:textId="765802C3" w:rsidR="00A34EE8" w:rsidRDefault="00A34EE8" w:rsidP="00A34EE8">
      <w:pPr>
        <w:pStyle w:val="NormalWeb"/>
        <w:spacing w:before="0" w:beforeAutospacing="0" w:after="240" w:afterAutospacing="0" w:line="360" w:lineRule="atLeast"/>
        <w:rPr>
          <w:color w:val="000000"/>
        </w:rPr>
      </w:pPr>
      <w:r>
        <w:rPr>
          <w:color w:val="000000"/>
        </w:rPr>
        <w:t>Kelley, K. (2020).</w:t>
      </w:r>
      <w:r>
        <w:rPr>
          <w:rStyle w:val="apple-converted-space"/>
          <w:color w:val="000000"/>
        </w:rPr>
        <w:t> </w:t>
      </w:r>
      <w:r>
        <w:rPr>
          <w:i/>
          <w:iCs/>
          <w:color w:val="000000"/>
        </w:rPr>
        <w:t xml:space="preserve">What is Data </w:t>
      </w:r>
      <w:proofErr w:type="gramStart"/>
      <w:r>
        <w:rPr>
          <w:i/>
          <w:iCs/>
          <w:color w:val="000000"/>
        </w:rPr>
        <w:t>Analysis?:</w:t>
      </w:r>
      <w:proofErr w:type="gramEnd"/>
      <w:r>
        <w:rPr>
          <w:i/>
          <w:iCs/>
          <w:color w:val="000000"/>
        </w:rPr>
        <w:t xml:space="preserve"> Process, Types, Methods, and Techniques</w:t>
      </w:r>
      <w:r>
        <w:rPr>
          <w:color w:val="000000"/>
        </w:rPr>
        <w:t xml:space="preserve">. [online] Simplilearn.com. Available at: </w:t>
      </w:r>
      <w:hyperlink r:id="rId20" w:history="1">
        <w:r w:rsidRPr="00FF5271">
          <w:rPr>
            <w:rStyle w:val="Hyperlink"/>
          </w:rPr>
          <w:t>https://www.simplilearn.com/data-analysis-methods-process-types-article#:~:text=The%20purpose%20of%20data%20analysis</w:t>
        </w:r>
      </w:hyperlink>
      <w:r>
        <w:rPr>
          <w:color w:val="000000"/>
        </w:rPr>
        <w:t>.</w:t>
      </w:r>
    </w:p>
    <w:p w14:paraId="04DCD91A" w14:textId="27817EDB" w:rsidR="00A34EE8" w:rsidRDefault="00A34EE8" w:rsidP="00A34EE8">
      <w:pPr>
        <w:pStyle w:val="NormalWeb"/>
        <w:spacing w:before="0" w:beforeAutospacing="0" w:after="240" w:afterAutospacing="0" w:line="360" w:lineRule="atLeast"/>
        <w:rPr>
          <w:color w:val="000000"/>
        </w:rPr>
      </w:pPr>
      <w:r>
        <w:rPr>
          <w:color w:val="000000"/>
        </w:rPr>
        <w:t>Killam, W.K. and Degges-White, S. (2017).</w:t>
      </w:r>
      <w:r>
        <w:rPr>
          <w:rStyle w:val="apple-converted-space"/>
          <w:color w:val="000000"/>
        </w:rPr>
        <w:t> </w:t>
      </w:r>
      <w:r>
        <w:rPr>
          <w:i/>
          <w:iCs/>
          <w:color w:val="000000"/>
        </w:rPr>
        <w:t xml:space="preserve">College student </w:t>
      </w:r>
      <w:proofErr w:type="gramStart"/>
      <w:r>
        <w:rPr>
          <w:i/>
          <w:iCs/>
          <w:color w:val="000000"/>
        </w:rPr>
        <w:t>development :</w:t>
      </w:r>
      <w:proofErr w:type="gramEnd"/>
      <w:r>
        <w:rPr>
          <w:i/>
          <w:iCs/>
          <w:color w:val="000000"/>
        </w:rPr>
        <w:t xml:space="preserve"> applying theory to practice on the diverse campus</w:t>
      </w:r>
      <w:r>
        <w:rPr>
          <w:color w:val="000000"/>
        </w:rPr>
        <w:t xml:space="preserve">. New York, Ny: Springer Publishing Company, </w:t>
      </w:r>
      <w:proofErr w:type="spellStart"/>
      <w:r>
        <w:rPr>
          <w:color w:val="000000"/>
        </w:rPr>
        <w:t>Llc</w:t>
      </w:r>
      <w:proofErr w:type="spellEnd"/>
      <w:r>
        <w:rPr>
          <w:color w:val="000000"/>
        </w:rPr>
        <w:t>.</w:t>
      </w:r>
    </w:p>
    <w:p w14:paraId="11E08229" w14:textId="77777777" w:rsidR="00A34EE8" w:rsidRDefault="00A34EE8" w:rsidP="00A34EE8">
      <w:pPr>
        <w:pStyle w:val="NormalWeb"/>
        <w:spacing w:before="0" w:beforeAutospacing="0" w:after="240" w:afterAutospacing="0" w:line="360" w:lineRule="atLeast"/>
        <w:rPr>
          <w:color w:val="000000"/>
        </w:rPr>
      </w:pPr>
      <w:r>
        <w:rPr>
          <w:color w:val="000000"/>
        </w:rPr>
        <w:t xml:space="preserve">Knott, E., Rao, A.H., Summers, K. and </w:t>
      </w:r>
      <w:proofErr w:type="spellStart"/>
      <w:r>
        <w:rPr>
          <w:color w:val="000000"/>
        </w:rPr>
        <w:t>Teeger</w:t>
      </w:r>
      <w:proofErr w:type="spellEnd"/>
      <w:r>
        <w:rPr>
          <w:color w:val="000000"/>
        </w:rPr>
        <w:t>, C. (2022). Interviews in the social sciences.</w:t>
      </w:r>
      <w:r>
        <w:rPr>
          <w:rStyle w:val="apple-converted-space"/>
          <w:color w:val="000000"/>
        </w:rPr>
        <w:t> </w:t>
      </w:r>
      <w:r>
        <w:rPr>
          <w:i/>
          <w:iCs/>
          <w:color w:val="000000"/>
        </w:rPr>
        <w:t>Nature Reviews Methods Primers</w:t>
      </w:r>
      <w:r>
        <w:rPr>
          <w:color w:val="000000"/>
        </w:rPr>
        <w:t xml:space="preserve">, [online] 2(1), pp.1–15. </w:t>
      </w:r>
      <w:proofErr w:type="spellStart"/>
      <w:proofErr w:type="gramStart"/>
      <w:r>
        <w:rPr>
          <w:color w:val="000000"/>
        </w:rPr>
        <w:t>doi:https</w:t>
      </w:r>
      <w:proofErr w:type="spellEnd"/>
      <w:r>
        <w:rPr>
          <w:color w:val="000000"/>
        </w:rPr>
        <w:t>://doi.org/10.1038/s43586-022-00150-6</w:t>
      </w:r>
      <w:proofErr w:type="gramEnd"/>
      <w:r>
        <w:rPr>
          <w:color w:val="000000"/>
        </w:rPr>
        <w:t>.</w:t>
      </w:r>
    </w:p>
    <w:p w14:paraId="6CEE258D" w14:textId="77777777" w:rsidR="00A34EE8" w:rsidRDefault="00A34EE8" w:rsidP="00A34EE8">
      <w:pPr>
        <w:pStyle w:val="NormalWeb"/>
        <w:spacing w:before="0" w:beforeAutospacing="0" w:after="240" w:afterAutospacing="0" w:line="360" w:lineRule="atLeast"/>
        <w:rPr>
          <w:color w:val="000000"/>
        </w:rPr>
      </w:pPr>
      <w:proofErr w:type="spellStart"/>
      <w:r>
        <w:rPr>
          <w:color w:val="000000"/>
        </w:rPr>
        <w:t>MacRae</w:t>
      </w:r>
      <w:proofErr w:type="spellEnd"/>
      <w:r>
        <w:rPr>
          <w:color w:val="000000"/>
        </w:rPr>
        <w:t>, C. and Jones, L. (2020). A philosophical reflection on the ‘Leuven Scale’ and young children’s expressions of involvement.</w:t>
      </w:r>
      <w:r>
        <w:rPr>
          <w:rStyle w:val="apple-converted-space"/>
          <w:color w:val="000000"/>
        </w:rPr>
        <w:t> </w:t>
      </w:r>
      <w:r>
        <w:rPr>
          <w:i/>
          <w:iCs/>
          <w:color w:val="000000"/>
        </w:rPr>
        <w:t>International Journal of Qualitative Studies in Education</w:t>
      </w:r>
      <w:r>
        <w:rPr>
          <w:color w:val="000000"/>
        </w:rPr>
        <w:t xml:space="preserve">, 36(2), pp.1–13. </w:t>
      </w:r>
      <w:proofErr w:type="spellStart"/>
      <w:proofErr w:type="gramStart"/>
      <w:r>
        <w:rPr>
          <w:color w:val="000000"/>
        </w:rPr>
        <w:t>doi:https</w:t>
      </w:r>
      <w:proofErr w:type="spellEnd"/>
      <w:r>
        <w:rPr>
          <w:color w:val="000000"/>
        </w:rPr>
        <w:t>://doi.org/10.1080/09518398.2020.1828650</w:t>
      </w:r>
      <w:proofErr w:type="gramEnd"/>
      <w:r>
        <w:rPr>
          <w:color w:val="000000"/>
        </w:rPr>
        <w:t>.</w:t>
      </w:r>
    </w:p>
    <w:p w14:paraId="07237714" w14:textId="1EDE6003" w:rsidR="00A34EE8" w:rsidRDefault="00A34EE8" w:rsidP="00A34EE8">
      <w:pPr>
        <w:pStyle w:val="NormalWeb"/>
        <w:spacing w:before="0" w:beforeAutospacing="0" w:after="240" w:afterAutospacing="0" w:line="360" w:lineRule="atLeast"/>
        <w:rPr>
          <w:color w:val="000000"/>
        </w:rPr>
      </w:pPr>
      <w:r>
        <w:rPr>
          <w:color w:val="000000"/>
        </w:rPr>
        <w:t>Main, P. (2022).</w:t>
      </w:r>
      <w:r>
        <w:rPr>
          <w:rStyle w:val="apple-converted-space"/>
          <w:color w:val="000000"/>
        </w:rPr>
        <w:t> </w:t>
      </w:r>
      <w:r>
        <w:rPr>
          <w:i/>
          <w:iCs/>
          <w:color w:val="000000"/>
        </w:rPr>
        <w:t>Social Learning Theory - Bandura</w:t>
      </w:r>
      <w:r>
        <w:rPr>
          <w:color w:val="000000"/>
        </w:rPr>
        <w:t xml:space="preserve">. [online] www.structural-learning.com. Available at: </w:t>
      </w:r>
      <w:hyperlink r:id="rId21" w:history="1">
        <w:r w:rsidRPr="00FF5271">
          <w:rPr>
            <w:rStyle w:val="Hyperlink"/>
          </w:rPr>
          <w:t>https://www.structural-learning.com/post/social-learning-theory-bandura#:~:text=Albert%20Bandura%20(1901</w:t>
        </w:r>
      </w:hyperlink>
      <w:r>
        <w:rPr>
          <w:color w:val="000000"/>
        </w:rPr>
        <w:t>.</w:t>
      </w:r>
    </w:p>
    <w:p w14:paraId="769C009F" w14:textId="03A7F6A1" w:rsidR="00A34EE8" w:rsidRDefault="00A34EE8" w:rsidP="00A34EE8">
      <w:pPr>
        <w:pStyle w:val="NormalWeb"/>
        <w:spacing w:before="0" w:beforeAutospacing="0" w:after="240" w:afterAutospacing="0" w:line="360" w:lineRule="atLeast"/>
        <w:rPr>
          <w:color w:val="000000"/>
        </w:rPr>
      </w:pPr>
      <w:r>
        <w:rPr>
          <w:color w:val="000000"/>
        </w:rPr>
        <w:t>Main, P. (2023).</w:t>
      </w:r>
      <w:r>
        <w:rPr>
          <w:rStyle w:val="apple-converted-space"/>
          <w:color w:val="000000"/>
        </w:rPr>
        <w:t> </w:t>
      </w:r>
      <w:r>
        <w:rPr>
          <w:i/>
          <w:iCs/>
          <w:color w:val="000000"/>
        </w:rPr>
        <w:t>Multiple Intelligences - Howard Gardner</w:t>
      </w:r>
      <w:r>
        <w:rPr>
          <w:color w:val="000000"/>
        </w:rPr>
        <w:t xml:space="preserve">. [online] www.structural-learning.com. Available at: </w:t>
      </w:r>
      <w:hyperlink r:id="rId22" w:history="1">
        <w:r w:rsidRPr="00FF5271">
          <w:rPr>
            <w:rStyle w:val="Hyperlink"/>
          </w:rPr>
          <w:t>https://www.structural-learning.com/post/multiple-intelligences-howard-gardner#:~:text=The%20theory%20of%20Multiple%20Intelligences%20by%20Howard%20Gardner%20suggests%20that</w:t>
        </w:r>
      </w:hyperlink>
      <w:r>
        <w:rPr>
          <w:color w:val="000000"/>
        </w:rPr>
        <w:t>.</w:t>
      </w:r>
    </w:p>
    <w:p w14:paraId="59D0C31B" w14:textId="57FD2D43" w:rsidR="00A34EE8" w:rsidRDefault="00A34EE8" w:rsidP="00A34EE8">
      <w:pPr>
        <w:pStyle w:val="NormalWeb"/>
        <w:spacing w:before="0" w:beforeAutospacing="0" w:after="240" w:afterAutospacing="0" w:line="360" w:lineRule="atLeast"/>
        <w:rPr>
          <w:color w:val="000000"/>
        </w:rPr>
      </w:pPr>
      <w:r>
        <w:rPr>
          <w:color w:val="000000"/>
        </w:rPr>
        <w:t xml:space="preserve">mayor, </w:t>
      </w:r>
      <w:proofErr w:type="spellStart"/>
      <w:r>
        <w:rPr>
          <w:color w:val="000000"/>
        </w:rPr>
        <w:t>susan</w:t>
      </w:r>
      <w:proofErr w:type="spellEnd"/>
      <w:r>
        <w:rPr>
          <w:color w:val="000000"/>
        </w:rPr>
        <w:t xml:space="preserve"> (2005).</w:t>
      </w:r>
      <w:r>
        <w:rPr>
          <w:rStyle w:val="apple-converted-space"/>
          <w:color w:val="000000"/>
        </w:rPr>
        <w:t> </w:t>
      </w:r>
      <w:r>
        <w:rPr>
          <w:i/>
          <w:iCs/>
          <w:color w:val="000000"/>
        </w:rPr>
        <w:t xml:space="preserve">APA </w:t>
      </w:r>
      <w:proofErr w:type="spellStart"/>
      <w:r>
        <w:rPr>
          <w:i/>
          <w:iCs/>
          <w:color w:val="000000"/>
        </w:rPr>
        <w:t>PsycNet</w:t>
      </w:r>
      <w:proofErr w:type="spellEnd"/>
      <w:r>
        <w:rPr>
          <w:color w:val="000000"/>
        </w:rPr>
        <w:t xml:space="preserve">. [online] psycnet.apa.org. Available at: </w:t>
      </w:r>
      <w:hyperlink r:id="rId23" w:history="1">
        <w:r w:rsidRPr="00FF5271">
          <w:rPr>
            <w:rStyle w:val="Hyperlink"/>
          </w:rPr>
          <w:t>https://psycnet.apa.org/record/2005-15885-003</w:t>
        </w:r>
      </w:hyperlink>
      <w:r>
        <w:rPr>
          <w:color w:val="000000"/>
        </w:rPr>
        <w:t>.</w:t>
      </w:r>
    </w:p>
    <w:p w14:paraId="38D9B9A7" w14:textId="0978B338" w:rsidR="00A34EE8" w:rsidRDefault="00A34EE8" w:rsidP="00A34EE8">
      <w:pPr>
        <w:pStyle w:val="NormalWeb"/>
        <w:spacing w:before="0" w:beforeAutospacing="0" w:after="240" w:afterAutospacing="0" w:line="360" w:lineRule="atLeast"/>
        <w:rPr>
          <w:color w:val="000000"/>
        </w:rPr>
      </w:pPr>
      <w:r>
        <w:rPr>
          <w:color w:val="000000"/>
        </w:rPr>
        <w:t>McLeod, S. (2023).</w:t>
      </w:r>
      <w:r>
        <w:rPr>
          <w:rStyle w:val="apple-converted-space"/>
          <w:color w:val="000000"/>
        </w:rPr>
        <w:t> </w:t>
      </w:r>
      <w:r>
        <w:rPr>
          <w:i/>
          <w:iCs/>
          <w:color w:val="000000"/>
        </w:rPr>
        <w:t>Maslow’s Hierarchy of Needs</w:t>
      </w:r>
      <w:r>
        <w:rPr>
          <w:color w:val="000000"/>
        </w:rPr>
        <w:t xml:space="preserve">. [online] Simply Psychology. Available at: </w:t>
      </w:r>
      <w:hyperlink r:id="rId24" w:history="1">
        <w:r w:rsidRPr="00FF5271">
          <w:rPr>
            <w:rStyle w:val="Hyperlink"/>
          </w:rPr>
          <w:t>https://www.simplypsychology.org/maslow.html</w:t>
        </w:r>
      </w:hyperlink>
      <w:r>
        <w:rPr>
          <w:color w:val="000000"/>
        </w:rPr>
        <w:t>.</w:t>
      </w:r>
    </w:p>
    <w:p w14:paraId="0767A6D7" w14:textId="77777777" w:rsidR="00A34EE8" w:rsidRDefault="00A34EE8" w:rsidP="00A34EE8">
      <w:pPr>
        <w:pStyle w:val="NormalWeb"/>
        <w:spacing w:before="0" w:beforeAutospacing="0" w:after="240" w:afterAutospacing="0" w:line="360" w:lineRule="atLeast"/>
        <w:rPr>
          <w:color w:val="000000"/>
        </w:rPr>
      </w:pPr>
    </w:p>
    <w:p w14:paraId="13B40327" w14:textId="7CB10571" w:rsidR="00A34EE8" w:rsidRDefault="00A34EE8" w:rsidP="00A34EE8">
      <w:pPr>
        <w:pStyle w:val="NormalWeb"/>
        <w:spacing w:before="0" w:beforeAutospacing="0" w:after="240" w:afterAutospacing="0" w:line="360" w:lineRule="atLeast"/>
        <w:rPr>
          <w:color w:val="000000"/>
        </w:rPr>
      </w:pPr>
      <w:proofErr w:type="spellStart"/>
      <w:r>
        <w:rPr>
          <w:color w:val="000000"/>
        </w:rPr>
        <w:lastRenderedPageBreak/>
        <w:t>Mcleod</w:t>
      </w:r>
      <w:proofErr w:type="spellEnd"/>
      <w:r>
        <w:rPr>
          <w:color w:val="000000"/>
        </w:rPr>
        <w:t>, S. (2019).</w:t>
      </w:r>
      <w:r>
        <w:rPr>
          <w:rStyle w:val="apple-converted-space"/>
          <w:color w:val="000000"/>
        </w:rPr>
        <w:t> </w:t>
      </w:r>
      <w:r>
        <w:rPr>
          <w:i/>
          <w:iCs/>
          <w:color w:val="000000"/>
        </w:rPr>
        <w:t>Case study method</w:t>
      </w:r>
      <w:r>
        <w:rPr>
          <w:color w:val="000000"/>
        </w:rPr>
        <w:t xml:space="preserve">. [online] Simply Psychology. Available at: </w:t>
      </w:r>
      <w:hyperlink r:id="rId25" w:history="1">
        <w:r w:rsidRPr="00FF5271">
          <w:rPr>
            <w:rStyle w:val="Hyperlink"/>
          </w:rPr>
          <w:t>https://www.simplypsychology.org/case-study.html</w:t>
        </w:r>
      </w:hyperlink>
      <w:r>
        <w:rPr>
          <w:color w:val="000000"/>
        </w:rPr>
        <w:t>.</w:t>
      </w:r>
    </w:p>
    <w:p w14:paraId="7BE9AD94" w14:textId="6ABDB406" w:rsidR="00A34EE8" w:rsidRDefault="00A34EE8" w:rsidP="00A34EE8">
      <w:pPr>
        <w:pStyle w:val="NormalWeb"/>
        <w:spacing w:before="0" w:beforeAutospacing="0" w:after="240" w:afterAutospacing="0" w:line="360" w:lineRule="atLeast"/>
        <w:rPr>
          <w:color w:val="000000"/>
        </w:rPr>
      </w:pPr>
      <w:r>
        <w:rPr>
          <w:color w:val="000000"/>
        </w:rPr>
        <w:t>Morrison, L. and Vorhaus, J. (2012).</w:t>
      </w:r>
      <w:r>
        <w:rPr>
          <w:rStyle w:val="apple-converted-space"/>
          <w:color w:val="000000"/>
        </w:rPr>
        <w:t> </w:t>
      </w:r>
      <w:r>
        <w:rPr>
          <w:i/>
          <w:iCs/>
          <w:color w:val="000000"/>
        </w:rPr>
        <w:t>The Impact of Pupil Behaviour and Wellbeing on Educational Outcomes Childhood Wellbeing Research Centre</w:t>
      </w:r>
      <w:r>
        <w:rPr>
          <w:color w:val="000000"/>
        </w:rPr>
        <w:t xml:space="preserve">. [online] Available at: </w:t>
      </w:r>
      <w:hyperlink r:id="rId26" w:history="1">
        <w:r w:rsidRPr="00FF5271">
          <w:rPr>
            <w:rStyle w:val="Hyperlink"/>
          </w:rPr>
          <w:t>https://assets.publishing.service.gov.uk/media/5a747ef340f0b604dd7ae609/DFE-RR253.pdf</w:t>
        </w:r>
      </w:hyperlink>
      <w:r>
        <w:rPr>
          <w:color w:val="000000"/>
        </w:rPr>
        <w:t>.</w:t>
      </w:r>
    </w:p>
    <w:p w14:paraId="4EB512BB" w14:textId="7EBEBED2" w:rsidR="00A34EE8" w:rsidRDefault="00A34EE8" w:rsidP="00A34EE8">
      <w:pPr>
        <w:pStyle w:val="NormalWeb"/>
        <w:spacing w:before="0" w:beforeAutospacing="0" w:after="240" w:afterAutospacing="0" w:line="360" w:lineRule="atLeast"/>
        <w:rPr>
          <w:color w:val="000000"/>
        </w:rPr>
      </w:pPr>
      <w:r>
        <w:rPr>
          <w:color w:val="000000"/>
        </w:rPr>
        <w:t>Nida, I. (2022).</w:t>
      </w:r>
      <w:r>
        <w:rPr>
          <w:rStyle w:val="apple-converted-space"/>
          <w:color w:val="000000"/>
        </w:rPr>
        <w:t> </w:t>
      </w:r>
      <w:r>
        <w:rPr>
          <w:i/>
          <w:iCs/>
          <w:color w:val="000000"/>
        </w:rPr>
        <w:t>Bar Graph - Definition, Types, Uses, Example Questions</w:t>
      </w:r>
      <w:r>
        <w:rPr>
          <w:color w:val="000000"/>
        </w:rPr>
        <w:t xml:space="preserve">. [online] BYJUS. Available at: </w:t>
      </w:r>
      <w:hyperlink r:id="rId27" w:history="1">
        <w:r w:rsidRPr="00FF5271">
          <w:rPr>
            <w:rStyle w:val="Hyperlink"/>
          </w:rPr>
          <w:t>https://byjus.com/maths/bar-graph/</w:t>
        </w:r>
      </w:hyperlink>
      <w:r>
        <w:rPr>
          <w:color w:val="000000"/>
        </w:rPr>
        <w:t>.</w:t>
      </w:r>
    </w:p>
    <w:p w14:paraId="139C7577" w14:textId="77777777" w:rsidR="00A34EE8" w:rsidRDefault="00A34EE8" w:rsidP="00A34EE8">
      <w:pPr>
        <w:pStyle w:val="NormalWeb"/>
        <w:spacing w:before="0" w:beforeAutospacing="0" w:after="240" w:afterAutospacing="0" w:line="360" w:lineRule="atLeast"/>
        <w:rPr>
          <w:color w:val="000000"/>
        </w:rPr>
      </w:pPr>
      <w:r>
        <w:rPr>
          <w:color w:val="000000"/>
        </w:rPr>
        <w:t>NSPCC (2023).</w:t>
      </w:r>
      <w:r>
        <w:rPr>
          <w:rStyle w:val="apple-converted-space"/>
          <w:color w:val="000000"/>
        </w:rPr>
        <w:t> </w:t>
      </w:r>
      <w:r>
        <w:rPr>
          <w:i/>
          <w:iCs/>
          <w:color w:val="000000"/>
        </w:rPr>
        <w:t>Research with children: ethics, safety and promoting inclusion</w:t>
      </w:r>
      <w:r>
        <w:rPr>
          <w:color w:val="000000"/>
        </w:rPr>
        <w:t>. [online] NSPCC Learning. Available at: https://learning.nspcc.org.uk/research-resources/briefings/research-with-children-ethics-safety-promoting-inclusion/#:~:text=If%20a%20child%20isn%27t [Accessed 7 Jan. 2024].</w:t>
      </w:r>
    </w:p>
    <w:p w14:paraId="74530E6C" w14:textId="2455D5DB" w:rsidR="00A34EE8" w:rsidRDefault="00A34EE8" w:rsidP="00A34EE8">
      <w:pPr>
        <w:pStyle w:val="NormalWeb"/>
        <w:spacing w:before="0" w:beforeAutospacing="0" w:after="240" w:afterAutospacing="0" w:line="360" w:lineRule="atLeast"/>
        <w:rPr>
          <w:color w:val="000000"/>
        </w:rPr>
      </w:pPr>
      <w:r>
        <w:rPr>
          <w:color w:val="000000"/>
        </w:rPr>
        <w:t>Piaget, J. (1952).</w:t>
      </w:r>
      <w:r>
        <w:rPr>
          <w:rStyle w:val="apple-converted-space"/>
          <w:color w:val="000000"/>
        </w:rPr>
        <w:t> </w:t>
      </w:r>
      <w:r>
        <w:rPr>
          <w:i/>
          <w:iCs/>
          <w:color w:val="000000"/>
        </w:rPr>
        <w:t xml:space="preserve">APA </w:t>
      </w:r>
      <w:proofErr w:type="spellStart"/>
      <w:r>
        <w:rPr>
          <w:i/>
          <w:iCs/>
          <w:color w:val="000000"/>
        </w:rPr>
        <w:t>PsycNet</w:t>
      </w:r>
      <w:proofErr w:type="spellEnd"/>
      <w:r>
        <w:rPr>
          <w:color w:val="000000"/>
        </w:rPr>
        <w:t xml:space="preserve">. [online] psycnet.apa.org. Available at: </w:t>
      </w:r>
      <w:hyperlink r:id="rId28" w:history="1">
        <w:r w:rsidRPr="00FF5271">
          <w:rPr>
            <w:rStyle w:val="Hyperlink"/>
          </w:rPr>
          <w:t>https://psycnet.apa.org/record/2006-09469-011</w:t>
        </w:r>
      </w:hyperlink>
      <w:r>
        <w:rPr>
          <w:color w:val="000000"/>
        </w:rPr>
        <w:t>.</w:t>
      </w:r>
    </w:p>
    <w:p w14:paraId="315D4E48" w14:textId="56393577" w:rsidR="00A34EE8" w:rsidRDefault="00A34EE8" w:rsidP="00A34EE8">
      <w:pPr>
        <w:pStyle w:val="NormalWeb"/>
        <w:spacing w:before="0" w:beforeAutospacing="0" w:after="240" w:afterAutospacing="0" w:line="360" w:lineRule="atLeast"/>
        <w:rPr>
          <w:color w:val="000000"/>
        </w:rPr>
      </w:pPr>
      <w:r>
        <w:rPr>
          <w:color w:val="000000"/>
        </w:rPr>
        <w:t>Public Health England (2014).</w:t>
      </w:r>
      <w:r>
        <w:rPr>
          <w:rStyle w:val="apple-converted-space"/>
          <w:color w:val="000000"/>
        </w:rPr>
        <w:t> </w:t>
      </w:r>
      <w:r>
        <w:rPr>
          <w:i/>
          <w:iCs/>
          <w:color w:val="000000"/>
        </w:rPr>
        <w:t xml:space="preserve">The link between pupil health and wellbeing and attainment A briefing for head teachers, </w:t>
      </w:r>
      <w:proofErr w:type="gramStart"/>
      <w:r>
        <w:rPr>
          <w:i/>
          <w:iCs/>
          <w:color w:val="000000"/>
        </w:rPr>
        <w:t>governors</w:t>
      </w:r>
      <w:proofErr w:type="gramEnd"/>
      <w:r>
        <w:rPr>
          <w:i/>
          <w:iCs/>
          <w:color w:val="000000"/>
        </w:rPr>
        <w:t xml:space="preserve"> and staff in education settings</w:t>
      </w:r>
      <w:r>
        <w:rPr>
          <w:color w:val="000000"/>
        </w:rPr>
        <w:t xml:space="preserve">. [online] Available at: </w:t>
      </w:r>
      <w:hyperlink r:id="rId29" w:history="1">
        <w:r w:rsidRPr="00FF5271">
          <w:rPr>
            <w:rStyle w:val="Hyperlink"/>
          </w:rPr>
          <w:t>https://assets.publishing.service.gov.uk/media/5a7ede2ded915d74e33f2eba/HT_briefing_layoutvFINALvii.pdf</w:t>
        </w:r>
      </w:hyperlink>
      <w:r>
        <w:rPr>
          <w:color w:val="000000"/>
        </w:rPr>
        <w:t>.</w:t>
      </w:r>
    </w:p>
    <w:p w14:paraId="6390DC2C" w14:textId="77777777" w:rsidR="00A34EE8" w:rsidRDefault="00A34EE8" w:rsidP="00A34EE8">
      <w:pPr>
        <w:pStyle w:val="NormalWeb"/>
        <w:spacing w:before="0" w:beforeAutospacing="0" w:after="240" w:afterAutospacing="0" w:line="360" w:lineRule="atLeast"/>
        <w:rPr>
          <w:color w:val="000000"/>
        </w:rPr>
      </w:pPr>
      <w:r>
        <w:rPr>
          <w:color w:val="000000"/>
        </w:rPr>
        <w:t xml:space="preserve">Rath, </w:t>
      </w:r>
      <w:proofErr w:type="gramStart"/>
      <w:r>
        <w:rPr>
          <w:color w:val="000000"/>
        </w:rPr>
        <w:t>T.</w:t>
      </w:r>
      <w:proofErr w:type="gramEnd"/>
      <w:r>
        <w:rPr>
          <w:color w:val="000000"/>
        </w:rPr>
        <w:t xml:space="preserve"> and Harter, J.K. (2010).</w:t>
      </w:r>
      <w:r>
        <w:rPr>
          <w:rStyle w:val="apple-converted-space"/>
          <w:color w:val="000000"/>
        </w:rPr>
        <w:t> </w:t>
      </w:r>
      <w:proofErr w:type="gramStart"/>
      <w:r>
        <w:rPr>
          <w:i/>
          <w:iCs/>
          <w:color w:val="000000"/>
        </w:rPr>
        <w:t>Wellbeing :</w:t>
      </w:r>
      <w:proofErr w:type="gramEnd"/>
      <w:r>
        <w:rPr>
          <w:i/>
          <w:iCs/>
          <w:color w:val="000000"/>
        </w:rPr>
        <w:t xml:space="preserve"> the five essential elements</w:t>
      </w:r>
      <w:r>
        <w:rPr>
          <w:color w:val="000000"/>
        </w:rPr>
        <w:t>. New York: Gallup Press.</w:t>
      </w:r>
    </w:p>
    <w:p w14:paraId="475B70C8" w14:textId="5044CB15" w:rsidR="00A34EE8" w:rsidRDefault="00A34EE8" w:rsidP="00A34EE8">
      <w:pPr>
        <w:pStyle w:val="NormalWeb"/>
        <w:spacing w:before="0" w:beforeAutospacing="0" w:after="240" w:afterAutospacing="0" w:line="360" w:lineRule="atLeast"/>
        <w:rPr>
          <w:color w:val="000000"/>
        </w:rPr>
      </w:pPr>
      <w:r>
        <w:rPr>
          <w:color w:val="000000"/>
        </w:rPr>
        <w:t>Schwartzberg, J. (2020).</w:t>
      </w:r>
      <w:r>
        <w:rPr>
          <w:rStyle w:val="apple-converted-space"/>
          <w:color w:val="000000"/>
        </w:rPr>
        <w:t> </w:t>
      </w:r>
      <w:r>
        <w:rPr>
          <w:i/>
          <w:iCs/>
          <w:color w:val="000000"/>
        </w:rPr>
        <w:t>Present Your Data Like a Pro</w:t>
      </w:r>
      <w:r>
        <w:rPr>
          <w:color w:val="000000"/>
        </w:rPr>
        <w:t xml:space="preserve">. [online] Harvard Business Review. Available at: </w:t>
      </w:r>
      <w:hyperlink r:id="rId30" w:history="1">
        <w:r w:rsidRPr="00FF5271">
          <w:rPr>
            <w:rStyle w:val="Hyperlink"/>
          </w:rPr>
          <w:t>https://hbr.org/2020/02/present-your-data-like-a-pro</w:t>
        </w:r>
      </w:hyperlink>
      <w:r>
        <w:rPr>
          <w:color w:val="000000"/>
        </w:rPr>
        <w:t>.</w:t>
      </w:r>
    </w:p>
    <w:p w14:paraId="1A02789B" w14:textId="77777777" w:rsidR="00A34EE8" w:rsidRDefault="00A34EE8" w:rsidP="00A34EE8">
      <w:pPr>
        <w:pStyle w:val="NormalWeb"/>
        <w:spacing w:before="0" w:beforeAutospacing="0" w:after="240" w:afterAutospacing="0" w:line="360" w:lineRule="atLeast"/>
        <w:rPr>
          <w:color w:val="000000"/>
        </w:rPr>
      </w:pPr>
      <w:r>
        <w:rPr>
          <w:color w:val="000000"/>
        </w:rPr>
        <w:t>Shan, Y. (2018). Kuhn’s ‘wrong turning’ and legacy today.</w:t>
      </w:r>
      <w:r>
        <w:rPr>
          <w:rStyle w:val="apple-converted-space"/>
          <w:color w:val="000000"/>
        </w:rPr>
        <w:t> </w:t>
      </w:r>
      <w:proofErr w:type="spellStart"/>
      <w:r>
        <w:rPr>
          <w:i/>
          <w:iCs/>
          <w:color w:val="000000"/>
        </w:rPr>
        <w:t>Synthese</w:t>
      </w:r>
      <w:proofErr w:type="spellEnd"/>
      <w:r>
        <w:rPr>
          <w:color w:val="000000"/>
        </w:rPr>
        <w:t xml:space="preserve">, 197(1), pp.381–406. </w:t>
      </w:r>
      <w:proofErr w:type="spellStart"/>
      <w:proofErr w:type="gramStart"/>
      <w:r>
        <w:rPr>
          <w:color w:val="000000"/>
        </w:rPr>
        <w:t>doi:https</w:t>
      </w:r>
      <w:proofErr w:type="spellEnd"/>
      <w:r>
        <w:rPr>
          <w:color w:val="000000"/>
        </w:rPr>
        <w:t>://doi.org/10.1007/s11229-018-1740-9</w:t>
      </w:r>
      <w:proofErr w:type="gramEnd"/>
      <w:r>
        <w:rPr>
          <w:color w:val="000000"/>
        </w:rPr>
        <w:t>.</w:t>
      </w:r>
    </w:p>
    <w:p w14:paraId="6BD9A4E1" w14:textId="77777777" w:rsidR="00A34EE8" w:rsidRDefault="00A34EE8" w:rsidP="00A34EE8">
      <w:pPr>
        <w:pStyle w:val="NormalWeb"/>
        <w:spacing w:before="0" w:beforeAutospacing="0" w:after="240" w:afterAutospacing="0" w:line="360" w:lineRule="atLeast"/>
        <w:rPr>
          <w:color w:val="000000"/>
        </w:rPr>
      </w:pPr>
      <w:r>
        <w:rPr>
          <w:color w:val="000000"/>
        </w:rPr>
        <w:t>Stake, R.E. (1995).</w:t>
      </w:r>
      <w:r>
        <w:rPr>
          <w:rStyle w:val="apple-converted-space"/>
          <w:color w:val="000000"/>
        </w:rPr>
        <w:t> </w:t>
      </w:r>
      <w:r>
        <w:rPr>
          <w:i/>
          <w:iCs/>
          <w:color w:val="000000"/>
        </w:rPr>
        <w:t>The art of case study research</w:t>
      </w:r>
      <w:r>
        <w:rPr>
          <w:color w:val="000000"/>
        </w:rPr>
        <w:t>. London: Sage Publications.</w:t>
      </w:r>
    </w:p>
    <w:p w14:paraId="17972C06" w14:textId="39D1D6E9" w:rsidR="00A34EE8" w:rsidRDefault="00A34EE8" w:rsidP="00A34EE8">
      <w:pPr>
        <w:pStyle w:val="NormalWeb"/>
        <w:spacing w:before="0" w:beforeAutospacing="0" w:after="240" w:afterAutospacing="0" w:line="360" w:lineRule="atLeast"/>
        <w:rPr>
          <w:color w:val="000000"/>
        </w:rPr>
      </w:pPr>
      <w:r>
        <w:rPr>
          <w:color w:val="000000"/>
        </w:rPr>
        <w:t>Statham, J. and Chase, E. (2010).</w:t>
      </w:r>
      <w:r>
        <w:rPr>
          <w:rStyle w:val="apple-converted-space"/>
          <w:color w:val="000000"/>
        </w:rPr>
        <w:t> </w:t>
      </w:r>
      <w:r>
        <w:rPr>
          <w:i/>
          <w:iCs/>
          <w:color w:val="000000"/>
        </w:rPr>
        <w:t>Childhood Wellbeing: A brief overview</w:t>
      </w:r>
      <w:r>
        <w:rPr>
          <w:color w:val="000000"/>
        </w:rPr>
        <w:t xml:space="preserve">. [online] Available at: </w:t>
      </w:r>
      <w:hyperlink r:id="rId31" w:history="1">
        <w:r w:rsidRPr="00FF5271">
          <w:rPr>
            <w:rStyle w:val="Hyperlink"/>
          </w:rPr>
          <w:t>https://assets.publishing.service.gov.uk/media/5a7acd89ed915d71db8b2946/Child-Wellbeing-Brief.pdf</w:t>
        </w:r>
      </w:hyperlink>
      <w:r>
        <w:rPr>
          <w:color w:val="000000"/>
        </w:rPr>
        <w:t>.</w:t>
      </w:r>
    </w:p>
    <w:p w14:paraId="1D80A565" w14:textId="4B5ADFB4" w:rsidR="00A34EE8" w:rsidRDefault="00A34EE8" w:rsidP="00A34EE8">
      <w:pPr>
        <w:pStyle w:val="NormalWeb"/>
        <w:spacing w:before="0" w:beforeAutospacing="0" w:after="240" w:afterAutospacing="0" w:line="360" w:lineRule="atLeast"/>
        <w:rPr>
          <w:color w:val="000000"/>
        </w:rPr>
      </w:pPr>
      <w:r>
        <w:rPr>
          <w:color w:val="000000"/>
        </w:rPr>
        <w:t>Team, Z. (2023).</w:t>
      </w:r>
      <w:r>
        <w:rPr>
          <w:rStyle w:val="apple-converted-space"/>
          <w:color w:val="000000"/>
        </w:rPr>
        <w:t> </w:t>
      </w:r>
      <w:r>
        <w:rPr>
          <w:i/>
          <w:iCs/>
          <w:color w:val="000000"/>
        </w:rPr>
        <w:t>What are the advantages and disadvantages of a bar graph?</w:t>
      </w:r>
      <w:r>
        <w:rPr>
          <w:rStyle w:val="apple-converted-space"/>
          <w:color w:val="000000"/>
        </w:rPr>
        <w:t> </w:t>
      </w:r>
      <w:r>
        <w:rPr>
          <w:color w:val="000000"/>
        </w:rPr>
        <w:t xml:space="preserve">[online] www.zippia.com. Available at: </w:t>
      </w:r>
      <w:hyperlink r:id="rId32" w:history="1">
        <w:r w:rsidRPr="00FF5271">
          <w:rPr>
            <w:rStyle w:val="Hyperlink"/>
          </w:rPr>
          <w:t>https://www.zippia.com/answers/what-are-the-advantages-and-disadvantages-of-a-bar-graph/</w:t>
        </w:r>
      </w:hyperlink>
      <w:r>
        <w:rPr>
          <w:color w:val="000000"/>
        </w:rPr>
        <w:t>.</w:t>
      </w:r>
    </w:p>
    <w:p w14:paraId="6B55C48B" w14:textId="48BD0A2B" w:rsidR="00A34EE8" w:rsidRDefault="00A34EE8" w:rsidP="00A34EE8">
      <w:pPr>
        <w:pStyle w:val="NormalWeb"/>
        <w:spacing w:before="0" w:beforeAutospacing="0" w:after="240" w:afterAutospacing="0" w:line="360" w:lineRule="atLeast"/>
        <w:rPr>
          <w:color w:val="000000"/>
        </w:rPr>
      </w:pPr>
      <w:r>
        <w:rPr>
          <w:color w:val="000000"/>
        </w:rPr>
        <w:lastRenderedPageBreak/>
        <w:t>UCL (2023).</w:t>
      </w:r>
      <w:r>
        <w:rPr>
          <w:rStyle w:val="apple-converted-space"/>
          <w:color w:val="000000"/>
        </w:rPr>
        <w:t> </w:t>
      </w:r>
      <w:r>
        <w:rPr>
          <w:i/>
          <w:iCs/>
          <w:color w:val="000000"/>
        </w:rPr>
        <w:t>Do I need ethical approval?</w:t>
      </w:r>
      <w:r>
        <w:rPr>
          <w:rStyle w:val="apple-converted-space"/>
          <w:color w:val="000000"/>
        </w:rPr>
        <w:t> </w:t>
      </w:r>
      <w:r>
        <w:rPr>
          <w:color w:val="000000"/>
        </w:rPr>
        <w:t xml:space="preserve">[online] UCL Research Ethics. Available at: </w:t>
      </w:r>
      <w:hyperlink r:id="rId33" w:history="1">
        <w:r w:rsidRPr="00FF5271">
          <w:rPr>
            <w:rStyle w:val="Hyperlink"/>
          </w:rPr>
          <w:t>https://www.ucl.ac.uk/research-ethics/do-i-need-ethical-approval#:~:text=The%20aim%20of%20ethical%20review</w:t>
        </w:r>
      </w:hyperlink>
      <w:r>
        <w:rPr>
          <w:color w:val="000000"/>
        </w:rPr>
        <w:t>.</w:t>
      </w:r>
    </w:p>
    <w:p w14:paraId="5461F2D2" w14:textId="31806045" w:rsidR="00A34EE8" w:rsidRDefault="00A34EE8" w:rsidP="00A34EE8">
      <w:pPr>
        <w:pStyle w:val="NormalWeb"/>
        <w:spacing w:before="0" w:beforeAutospacing="0" w:after="240" w:afterAutospacing="0" w:line="360" w:lineRule="atLeast"/>
        <w:rPr>
          <w:color w:val="000000"/>
        </w:rPr>
      </w:pPr>
      <w:r>
        <w:rPr>
          <w:color w:val="000000"/>
        </w:rPr>
        <w:t>Welsh Government (2021).</w:t>
      </w:r>
      <w:r>
        <w:rPr>
          <w:rStyle w:val="apple-converted-space"/>
          <w:color w:val="000000"/>
        </w:rPr>
        <w:t> </w:t>
      </w:r>
      <w:r>
        <w:rPr>
          <w:i/>
          <w:iCs/>
          <w:color w:val="000000"/>
        </w:rPr>
        <w:t>The Curriculum for Wales - Progression Code</w:t>
      </w:r>
      <w:r>
        <w:rPr>
          <w:color w:val="000000"/>
        </w:rPr>
        <w:t xml:space="preserve">. [online] Available at: </w:t>
      </w:r>
      <w:hyperlink r:id="rId34" w:history="1">
        <w:r w:rsidRPr="00FF5271">
          <w:rPr>
            <w:rStyle w:val="Hyperlink"/>
          </w:rPr>
          <w:t>https://www.gov.wales/sites/default/files/publications/2021-11/curriculum-for-wales-progression-code.pdf</w:t>
        </w:r>
      </w:hyperlink>
      <w:r>
        <w:rPr>
          <w:color w:val="000000"/>
        </w:rPr>
        <w:t>.</w:t>
      </w:r>
    </w:p>
    <w:p w14:paraId="66CC221A" w14:textId="40451C48" w:rsidR="00A34EE8" w:rsidRDefault="00A34EE8" w:rsidP="00A34EE8">
      <w:pPr>
        <w:pStyle w:val="NormalWeb"/>
        <w:spacing w:before="0" w:beforeAutospacing="0" w:after="240" w:afterAutospacing="0" w:line="360" w:lineRule="atLeast"/>
        <w:rPr>
          <w:color w:val="000000"/>
        </w:rPr>
      </w:pPr>
      <w:r>
        <w:rPr>
          <w:color w:val="000000"/>
        </w:rPr>
        <w:t>Wylie, E.C., Morrison, H.G. and Healy, J. (1995). The Progression of Pupils with Special Educational Needs: a comparison of standards.</w:t>
      </w:r>
      <w:r>
        <w:rPr>
          <w:rStyle w:val="apple-converted-space"/>
          <w:color w:val="000000"/>
        </w:rPr>
        <w:t> </w:t>
      </w:r>
      <w:r>
        <w:rPr>
          <w:i/>
          <w:iCs/>
          <w:color w:val="000000"/>
        </w:rPr>
        <w:t>Oxford Review of Education</w:t>
      </w:r>
      <w:r>
        <w:rPr>
          <w:color w:val="000000"/>
        </w:rPr>
        <w:t xml:space="preserve">, 21(3), pp.283–297. </w:t>
      </w:r>
      <w:proofErr w:type="spellStart"/>
      <w:proofErr w:type="gramStart"/>
      <w:r>
        <w:rPr>
          <w:color w:val="000000"/>
        </w:rPr>
        <w:t>doi:https</w:t>
      </w:r>
      <w:proofErr w:type="spellEnd"/>
      <w:r>
        <w:rPr>
          <w:color w:val="000000"/>
        </w:rPr>
        <w:t>://doi.org/10.1080/0305498950210303</w:t>
      </w:r>
      <w:proofErr w:type="gramEnd"/>
      <w:r>
        <w:rPr>
          <w:color w:val="000000"/>
        </w:rPr>
        <w:t>.</w:t>
      </w:r>
    </w:p>
    <w:p w14:paraId="2B78A037" w14:textId="77777777" w:rsidR="00A34EE8" w:rsidRDefault="00A34EE8" w:rsidP="00A34EE8">
      <w:pPr>
        <w:pStyle w:val="NormalWeb"/>
        <w:spacing w:before="0" w:beforeAutospacing="0" w:after="240" w:afterAutospacing="0" w:line="360" w:lineRule="atLeast"/>
        <w:rPr>
          <w:color w:val="000000"/>
        </w:rPr>
      </w:pPr>
      <w:r>
        <w:rPr>
          <w:color w:val="000000"/>
        </w:rPr>
        <w:t>Yin, R.K. (2005).</w:t>
      </w:r>
      <w:r>
        <w:rPr>
          <w:rStyle w:val="apple-converted-space"/>
          <w:color w:val="000000"/>
        </w:rPr>
        <w:t> </w:t>
      </w:r>
      <w:r>
        <w:rPr>
          <w:i/>
          <w:iCs/>
          <w:color w:val="000000"/>
        </w:rPr>
        <w:t xml:space="preserve">Introducing the world of </w:t>
      </w:r>
      <w:proofErr w:type="gramStart"/>
      <w:r>
        <w:rPr>
          <w:i/>
          <w:iCs/>
          <w:color w:val="000000"/>
        </w:rPr>
        <w:t>education :</w:t>
      </w:r>
      <w:proofErr w:type="gramEnd"/>
      <w:r>
        <w:rPr>
          <w:i/>
          <w:iCs/>
          <w:color w:val="000000"/>
        </w:rPr>
        <w:t xml:space="preserve"> a case study reader</w:t>
      </w:r>
      <w:r>
        <w:rPr>
          <w:color w:val="000000"/>
        </w:rPr>
        <w:t>. Thousand Oaks: Sage Publications.</w:t>
      </w:r>
    </w:p>
    <w:p w14:paraId="5537D7D1" w14:textId="77777777" w:rsidR="00A34EE8" w:rsidRDefault="00A34EE8" w:rsidP="00A34EE8">
      <w:pPr>
        <w:pStyle w:val="NormalWeb"/>
        <w:spacing w:before="0" w:beforeAutospacing="0" w:after="240" w:afterAutospacing="0" w:line="360" w:lineRule="atLeast"/>
        <w:rPr>
          <w:color w:val="000000"/>
        </w:rPr>
      </w:pPr>
    </w:p>
    <w:p w14:paraId="7CD4BBE8" w14:textId="77777777" w:rsidR="009A0E86" w:rsidRDefault="009A0E86"/>
    <w:sectPr w:rsidR="009A0E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E86"/>
    <w:rsid w:val="00060998"/>
    <w:rsid w:val="002C1AD8"/>
    <w:rsid w:val="0033047C"/>
    <w:rsid w:val="00333261"/>
    <w:rsid w:val="00444852"/>
    <w:rsid w:val="004B6D01"/>
    <w:rsid w:val="004D638F"/>
    <w:rsid w:val="00564E11"/>
    <w:rsid w:val="00590114"/>
    <w:rsid w:val="005F4C52"/>
    <w:rsid w:val="007600E3"/>
    <w:rsid w:val="007E513F"/>
    <w:rsid w:val="00812C32"/>
    <w:rsid w:val="009A0E86"/>
    <w:rsid w:val="00A34EE8"/>
    <w:rsid w:val="00A50FA3"/>
    <w:rsid w:val="00C117DE"/>
    <w:rsid w:val="00C41F10"/>
    <w:rsid w:val="00E00311"/>
    <w:rsid w:val="00E833EF"/>
    <w:rsid w:val="00F5186C"/>
    <w:rsid w:val="00FB1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301518"/>
  <w15:chartTrackingRefBased/>
  <w15:docId w15:val="{DD97347F-BB33-AB4B-996A-D42985376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E86"/>
    <w:rPr>
      <w:rFonts w:ascii="Times New Roman" w:eastAsia="Times New Roman" w:hAnsi="Times New Roman" w:cs="Times New Roman"/>
      <w:lang w:eastAsia="en-GB"/>
    </w:rPr>
  </w:style>
  <w:style w:type="paragraph" w:styleId="Heading1">
    <w:name w:val="heading 1"/>
    <w:basedOn w:val="Normal"/>
    <w:link w:val="Heading1Char"/>
    <w:uiPriority w:val="9"/>
    <w:qFormat/>
    <w:rsid w:val="0059011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A0E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A0E86"/>
    <w:pPr>
      <w:spacing w:before="100" w:beforeAutospacing="1" w:after="100" w:afterAutospacing="1"/>
    </w:pPr>
  </w:style>
  <w:style w:type="character" w:customStyle="1" w:styleId="Heading1Char">
    <w:name w:val="Heading 1 Char"/>
    <w:basedOn w:val="DefaultParagraphFont"/>
    <w:link w:val="Heading1"/>
    <w:uiPriority w:val="9"/>
    <w:rsid w:val="00590114"/>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590114"/>
  </w:style>
  <w:style w:type="character" w:styleId="Hyperlink">
    <w:name w:val="Hyperlink"/>
    <w:basedOn w:val="DefaultParagraphFont"/>
    <w:uiPriority w:val="99"/>
    <w:unhideWhenUsed/>
    <w:rsid w:val="00590114"/>
    <w:rPr>
      <w:color w:val="0563C1" w:themeColor="hyperlink"/>
      <w:u w:val="single"/>
    </w:rPr>
  </w:style>
  <w:style w:type="character" w:styleId="UnresolvedMention">
    <w:name w:val="Unresolved Mention"/>
    <w:basedOn w:val="DefaultParagraphFont"/>
    <w:uiPriority w:val="99"/>
    <w:semiHidden/>
    <w:unhideWhenUsed/>
    <w:rsid w:val="005901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340619">
      <w:bodyDiv w:val="1"/>
      <w:marLeft w:val="0"/>
      <w:marRight w:val="0"/>
      <w:marTop w:val="0"/>
      <w:marBottom w:val="0"/>
      <w:divBdr>
        <w:top w:val="none" w:sz="0" w:space="0" w:color="auto"/>
        <w:left w:val="none" w:sz="0" w:space="0" w:color="auto"/>
        <w:bottom w:val="none" w:sz="0" w:space="0" w:color="auto"/>
        <w:right w:val="none" w:sz="0" w:space="0" w:color="auto"/>
      </w:divBdr>
      <w:divsChild>
        <w:div w:id="1908303796">
          <w:marLeft w:val="0"/>
          <w:marRight w:val="0"/>
          <w:marTop w:val="0"/>
          <w:marBottom w:val="0"/>
          <w:divBdr>
            <w:top w:val="none" w:sz="0" w:space="0" w:color="auto"/>
            <w:left w:val="none" w:sz="0" w:space="0" w:color="auto"/>
            <w:bottom w:val="none" w:sz="0" w:space="0" w:color="auto"/>
            <w:right w:val="none" w:sz="0" w:space="0" w:color="auto"/>
          </w:divBdr>
        </w:div>
      </w:divsChild>
    </w:div>
    <w:div w:id="418410362">
      <w:bodyDiv w:val="1"/>
      <w:marLeft w:val="0"/>
      <w:marRight w:val="0"/>
      <w:marTop w:val="0"/>
      <w:marBottom w:val="0"/>
      <w:divBdr>
        <w:top w:val="none" w:sz="0" w:space="0" w:color="auto"/>
        <w:left w:val="none" w:sz="0" w:space="0" w:color="auto"/>
        <w:bottom w:val="none" w:sz="0" w:space="0" w:color="auto"/>
        <w:right w:val="none" w:sz="0" w:space="0" w:color="auto"/>
      </w:divBdr>
    </w:div>
    <w:div w:id="444470944">
      <w:bodyDiv w:val="1"/>
      <w:marLeft w:val="0"/>
      <w:marRight w:val="0"/>
      <w:marTop w:val="0"/>
      <w:marBottom w:val="0"/>
      <w:divBdr>
        <w:top w:val="none" w:sz="0" w:space="0" w:color="auto"/>
        <w:left w:val="none" w:sz="0" w:space="0" w:color="auto"/>
        <w:bottom w:val="none" w:sz="0" w:space="0" w:color="auto"/>
        <w:right w:val="none" w:sz="0" w:space="0" w:color="auto"/>
      </w:divBdr>
    </w:div>
    <w:div w:id="628126776">
      <w:bodyDiv w:val="1"/>
      <w:marLeft w:val="0"/>
      <w:marRight w:val="0"/>
      <w:marTop w:val="0"/>
      <w:marBottom w:val="0"/>
      <w:divBdr>
        <w:top w:val="none" w:sz="0" w:space="0" w:color="auto"/>
        <w:left w:val="none" w:sz="0" w:space="0" w:color="auto"/>
        <w:bottom w:val="none" w:sz="0" w:space="0" w:color="auto"/>
        <w:right w:val="none" w:sz="0" w:space="0" w:color="auto"/>
      </w:divBdr>
      <w:divsChild>
        <w:div w:id="1922718741">
          <w:marLeft w:val="0"/>
          <w:marRight w:val="0"/>
          <w:marTop w:val="0"/>
          <w:marBottom w:val="0"/>
          <w:divBdr>
            <w:top w:val="none" w:sz="0" w:space="0" w:color="auto"/>
            <w:left w:val="none" w:sz="0" w:space="0" w:color="auto"/>
            <w:bottom w:val="none" w:sz="0" w:space="0" w:color="auto"/>
            <w:right w:val="none" w:sz="0" w:space="0" w:color="auto"/>
          </w:divBdr>
        </w:div>
      </w:divsChild>
    </w:div>
    <w:div w:id="895163469">
      <w:bodyDiv w:val="1"/>
      <w:marLeft w:val="0"/>
      <w:marRight w:val="0"/>
      <w:marTop w:val="0"/>
      <w:marBottom w:val="0"/>
      <w:divBdr>
        <w:top w:val="none" w:sz="0" w:space="0" w:color="auto"/>
        <w:left w:val="none" w:sz="0" w:space="0" w:color="auto"/>
        <w:bottom w:val="none" w:sz="0" w:space="0" w:color="auto"/>
        <w:right w:val="none" w:sz="0" w:space="0" w:color="auto"/>
      </w:divBdr>
      <w:divsChild>
        <w:div w:id="1431582024">
          <w:marLeft w:val="0"/>
          <w:marRight w:val="0"/>
          <w:marTop w:val="0"/>
          <w:marBottom w:val="0"/>
          <w:divBdr>
            <w:top w:val="none" w:sz="0" w:space="0" w:color="auto"/>
            <w:left w:val="none" w:sz="0" w:space="0" w:color="auto"/>
            <w:bottom w:val="none" w:sz="0" w:space="0" w:color="auto"/>
            <w:right w:val="none" w:sz="0" w:space="0" w:color="auto"/>
          </w:divBdr>
        </w:div>
      </w:divsChild>
    </w:div>
    <w:div w:id="1078290599">
      <w:bodyDiv w:val="1"/>
      <w:marLeft w:val="0"/>
      <w:marRight w:val="0"/>
      <w:marTop w:val="0"/>
      <w:marBottom w:val="0"/>
      <w:divBdr>
        <w:top w:val="none" w:sz="0" w:space="0" w:color="auto"/>
        <w:left w:val="none" w:sz="0" w:space="0" w:color="auto"/>
        <w:bottom w:val="none" w:sz="0" w:space="0" w:color="auto"/>
        <w:right w:val="none" w:sz="0" w:space="0" w:color="auto"/>
      </w:divBdr>
      <w:divsChild>
        <w:div w:id="1987127834">
          <w:marLeft w:val="0"/>
          <w:marRight w:val="0"/>
          <w:marTop w:val="0"/>
          <w:marBottom w:val="0"/>
          <w:divBdr>
            <w:top w:val="none" w:sz="0" w:space="0" w:color="auto"/>
            <w:left w:val="none" w:sz="0" w:space="0" w:color="auto"/>
            <w:bottom w:val="none" w:sz="0" w:space="0" w:color="auto"/>
            <w:right w:val="none" w:sz="0" w:space="0" w:color="auto"/>
          </w:divBdr>
        </w:div>
      </w:divsChild>
    </w:div>
    <w:div w:id="1160583078">
      <w:bodyDiv w:val="1"/>
      <w:marLeft w:val="0"/>
      <w:marRight w:val="0"/>
      <w:marTop w:val="0"/>
      <w:marBottom w:val="0"/>
      <w:divBdr>
        <w:top w:val="none" w:sz="0" w:space="0" w:color="auto"/>
        <w:left w:val="none" w:sz="0" w:space="0" w:color="auto"/>
        <w:bottom w:val="none" w:sz="0" w:space="0" w:color="auto"/>
        <w:right w:val="none" w:sz="0" w:space="0" w:color="auto"/>
      </w:divBdr>
      <w:divsChild>
        <w:div w:id="856770360">
          <w:marLeft w:val="0"/>
          <w:marRight w:val="0"/>
          <w:marTop w:val="0"/>
          <w:marBottom w:val="0"/>
          <w:divBdr>
            <w:top w:val="none" w:sz="0" w:space="0" w:color="auto"/>
            <w:left w:val="none" w:sz="0" w:space="0" w:color="auto"/>
            <w:bottom w:val="none" w:sz="0" w:space="0" w:color="auto"/>
            <w:right w:val="none" w:sz="0" w:space="0" w:color="auto"/>
          </w:divBdr>
          <w:divsChild>
            <w:div w:id="375587858">
              <w:marLeft w:val="0"/>
              <w:marRight w:val="0"/>
              <w:marTop w:val="0"/>
              <w:marBottom w:val="0"/>
              <w:divBdr>
                <w:top w:val="none" w:sz="0" w:space="0" w:color="auto"/>
                <w:left w:val="none" w:sz="0" w:space="0" w:color="auto"/>
                <w:bottom w:val="none" w:sz="0" w:space="0" w:color="auto"/>
                <w:right w:val="none" w:sz="0" w:space="0" w:color="auto"/>
              </w:divBdr>
              <w:divsChild>
                <w:div w:id="1785807160">
                  <w:marLeft w:val="0"/>
                  <w:marRight w:val="0"/>
                  <w:marTop w:val="0"/>
                  <w:marBottom w:val="0"/>
                  <w:divBdr>
                    <w:top w:val="none" w:sz="0" w:space="0" w:color="auto"/>
                    <w:left w:val="none" w:sz="0" w:space="0" w:color="auto"/>
                    <w:bottom w:val="none" w:sz="0" w:space="0" w:color="auto"/>
                    <w:right w:val="none" w:sz="0" w:space="0" w:color="auto"/>
                  </w:divBdr>
                  <w:divsChild>
                    <w:div w:id="98829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510873">
      <w:bodyDiv w:val="1"/>
      <w:marLeft w:val="0"/>
      <w:marRight w:val="0"/>
      <w:marTop w:val="0"/>
      <w:marBottom w:val="0"/>
      <w:divBdr>
        <w:top w:val="none" w:sz="0" w:space="0" w:color="auto"/>
        <w:left w:val="none" w:sz="0" w:space="0" w:color="auto"/>
        <w:bottom w:val="none" w:sz="0" w:space="0" w:color="auto"/>
        <w:right w:val="none" w:sz="0" w:space="0" w:color="auto"/>
      </w:divBdr>
      <w:divsChild>
        <w:div w:id="15827872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ribbr.com/methodology/semi-structured-interview/#:~:text=Semi%2Dstructured%20interviews%20are%20a%20blend%20of%20structured%20and%20unstructured" TargetMode="External"/><Relationship Id="rId18" Type="http://schemas.openxmlformats.org/officeDocument/2006/relationships/hyperlink" Target="https://www.javatpoint.com/advantages-and-disadvantages-of-observation-method" TargetMode="External"/><Relationship Id="rId26" Type="http://schemas.openxmlformats.org/officeDocument/2006/relationships/hyperlink" Target="https://assets.publishing.service.gov.uk/media/5a747ef340f0b604dd7ae609/DFE-RR253.pdf" TargetMode="External"/><Relationship Id="rId3" Type="http://schemas.openxmlformats.org/officeDocument/2006/relationships/webSettings" Target="webSettings.xml"/><Relationship Id="rId21" Type="http://schemas.openxmlformats.org/officeDocument/2006/relationships/hyperlink" Target="https://www.structural-learning.com/post/social-learning-theory-bandura#:~:text=Albert%20Bandura%20(1901" TargetMode="External"/><Relationship Id="rId34" Type="http://schemas.openxmlformats.org/officeDocument/2006/relationships/hyperlink" Target="https://www.gov.wales/sites/default/files/publications/2021-11/curriculum-for-wales-progression-code.pdf" TargetMode="External"/><Relationship Id="rId7" Type="http://schemas.openxmlformats.org/officeDocument/2006/relationships/hyperlink" Target="https://www.verywellmind.com/how-to-write-a-psychology-case-study-2795722" TargetMode="External"/><Relationship Id="rId12" Type="http://schemas.openxmlformats.org/officeDocument/2006/relationships/hyperlink" Target="https://gdpr-info.eu/art-7-gdpr/#:~:text=The%20data%20subject%20shall%20have" TargetMode="External"/><Relationship Id="rId17" Type="http://schemas.openxmlformats.org/officeDocument/2006/relationships/hyperlink" Target="https://www.proquest.com/docview/2505727565?pq-origsite=gscholar&amp;fromopenview=true&amp;sourcetype=Scholarly%20Journals" TargetMode="External"/><Relationship Id="rId25" Type="http://schemas.openxmlformats.org/officeDocument/2006/relationships/hyperlink" Target="https://www.simplypsychology.org/case-study.html" TargetMode="External"/><Relationship Id="rId33" Type="http://schemas.openxmlformats.org/officeDocument/2006/relationships/hyperlink" Target="https://www.ucl.ac.uk/research-ethics/do-i-need-ethical-approval#:~:text=The%20aim%20of%20ethical%20review" TargetMode="External"/><Relationship Id="rId2" Type="http://schemas.openxmlformats.org/officeDocument/2006/relationships/settings" Target="settings.xml"/><Relationship Id="rId16" Type="http://schemas.openxmlformats.org/officeDocument/2006/relationships/hyperlink" Target="https://www.simplypsychology.org/Bronfenbrenner.html" TargetMode="External"/><Relationship Id="rId20" Type="http://schemas.openxmlformats.org/officeDocument/2006/relationships/hyperlink" Target="https://www.simplilearn.com/data-analysis-methods-process-types-article#:~:text=The%20purpose%20of%20data%20analysis" TargetMode="External"/><Relationship Id="rId29" Type="http://schemas.openxmlformats.org/officeDocument/2006/relationships/hyperlink" Target="https://assets.publishing.service.gov.uk/media/5a7ede2ded915d74e33f2eba/HT_briefing_layoutvFINALvii.pdf" TargetMode="External"/><Relationship Id="rId1" Type="http://schemas.openxmlformats.org/officeDocument/2006/relationships/styles" Target="styles.xml"/><Relationship Id="rId6" Type="http://schemas.openxmlformats.org/officeDocument/2006/relationships/hyperlink" Target="https://www.teachermagazine.com/au_en/articles/the-importance-of-instructional-scaffolding#:~:text=Vygotsky%20coined%20a%20definition%20of" TargetMode="External"/><Relationship Id="rId11" Type="http://schemas.openxmlformats.org/officeDocument/2006/relationships/hyperlink" Target="https://www.estyn.gov.wales/system/files/2023-10/Inspection%20report%20Crynallt%20Primary%202023.pdf" TargetMode="External"/><Relationship Id="rId24" Type="http://schemas.openxmlformats.org/officeDocument/2006/relationships/hyperlink" Target="https://www.simplypsychology.org/maslow.html" TargetMode="External"/><Relationship Id="rId32" Type="http://schemas.openxmlformats.org/officeDocument/2006/relationships/hyperlink" Target="https://www.zippia.com/answers/what-are-the-advantages-and-disadvantages-of-a-bar-graph/" TargetMode="External"/><Relationship Id="rId5" Type="http://schemas.openxmlformats.org/officeDocument/2006/relationships/hyperlink" Target="https://pubmed.ncbi.nlm.nih.gov/7631438/" TargetMode="External"/><Relationship Id="rId15" Type="http://schemas.openxmlformats.org/officeDocument/2006/relationships/hyperlink" Target="https://www.gov.wales" TargetMode="External"/><Relationship Id="rId23" Type="http://schemas.openxmlformats.org/officeDocument/2006/relationships/hyperlink" Target="https://psycnet.apa.org/record/2005-15885-003" TargetMode="External"/><Relationship Id="rId28" Type="http://schemas.openxmlformats.org/officeDocument/2006/relationships/hyperlink" Target="https://psycnet.apa.org/record/2006-09469-011" TargetMode="External"/><Relationship Id="rId36" Type="http://schemas.openxmlformats.org/officeDocument/2006/relationships/theme" Target="theme/theme1.xml"/><Relationship Id="rId10" Type="http://schemas.openxmlformats.org/officeDocument/2006/relationships/hyperlink" Target="https://eric.ed.gov/?id=ED384575" TargetMode="External"/><Relationship Id="rId19" Type="http://schemas.openxmlformats.org/officeDocument/2006/relationships/hyperlink" Target="https://learningjournals.co.uk/what-is-the-leuven-scale-and-how-to-use-it/#:~:text=One%20of%20the%20major%20criticisms" TargetMode="External"/><Relationship Id="rId31" Type="http://schemas.openxmlformats.org/officeDocument/2006/relationships/hyperlink" Target="https://assets.publishing.service.gov.uk/media/5a7acd89ed915d71db8b2946/Child-Wellbeing-Brief.pdf" TargetMode="External"/><Relationship Id="rId4" Type="http://schemas.openxmlformats.org/officeDocument/2006/relationships/hyperlink" Target="https://www.bera.ac.uk/resources/all-publications/resources-for-researchers" TargetMode="External"/><Relationship Id="rId9" Type="http://schemas.openxmlformats.org/officeDocument/2006/relationships/hyperlink" Target="https://dictionary.cambridge.org/dictionary/english/progression" TargetMode="External"/><Relationship Id="rId14" Type="http://schemas.openxmlformats.org/officeDocument/2006/relationships/hyperlink" Target="https://help-for-early-years-providers.education.gov.uk/get-help-to-improve-your-practice/meeting-the-needs-of-all-children#:~:text=It%20is%20crucial%20that%20settings" TargetMode="External"/><Relationship Id="rId22" Type="http://schemas.openxmlformats.org/officeDocument/2006/relationships/hyperlink" Target="https://www.structural-learning.com/post/multiple-intelligences-howard-gardner#:~:text=The%20theory%20of%20Multiple%20Intelligences%20by%20Howard%20Gardner%20suggests%20that" TargetMode="External"/><Relationship Id="rId27" Type="http://schemas.openxmlformats.org/officeDocument/2006/relationships/hyperlink" Target="https://byjus.com/maths/bar-graph/" TargetMode="External"/><Relationship Id="rId30" Type="http://schemas.openxmlformats.org/officeDocument/2006/relationships/hyperlink" Target="https://hbr.org/2020/02/present-your-data-like-a-pro" TargetMode="External"/><Relationship Id="rId35" Type="http://schemas.openxmlformats.org/officeDocument/2006/relationships/fontTable" Target="fontTable.xml"/><Relationship Id="rId8" Type="http://schemas.openxmlformats.org/officeDocument/2006/relationships/hyperlink" Target="https://assets.publishing.service.gov.uk/media/64f0a68ea78c5f000dc6f3b2/Keeping_children_safe_in_education_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642</TotalTime>
  <Pages>14</Pages>
  <Words>6493</Words>
  <Characters>37016</Characters>
  <Application>Microsoft Office Word</Application>
  <DocSecurity>0</DocSecurity>
  <Lines>308</Lines>
  <Paragraphs>86</Paragraphs>
  <ScaleCrop>false</ScaleCrop>
  <Company/>
  <LinksUpToDate>false</LinksUpToDate>
  <CharactersWithSpaces>43423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Preece</dc:creator>
  <cp:keywords/>
  <dc:description/>
  <cp:lastModifiedBy>Alex Preece</cp:lastModifiedBy>
  <cp:revision>24</cp:revision>
  <dcterms:created xsi:type="dcterms:W3CDTF">2023-11-07T09:09:00Z</dcterms:created>
  <dcterms:modified xsi:type="dcterms:W3CDTF">2024-01-09T18:01:00Z</dcterms:modified>
</cp:coreProperties>
</file>