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7D1DBF" w14:textId="77777777" w:rsidR="00AB3630" w:rsidRDefault="00AB3630" w:rsidP="00AB3630">
      <w:pPr>
        <w:pStyle w:val="NormalWeb"/>
      </w:pPr>
    </w:p>
    <w:p w14:paraId="7D4DEAE4" w14:textId="6C74034B" w:rsidR="00AB3630" w:rsidRPr="00AB3630" w:rsidRDefault="00AB3630" w:rsidP="00AB3630">
      <w:pPr>
        <w:pStyle w:val="NormalWeb"/>
        <w:jc w:val="center"/>
        <w:rPr>
          <w:sz w:val="40"/>
          <w:szCs w:val="40"/>
        </w:rPr>
      </w:pPr>
      <w:proofErr w:type="gramStart"/>
      <w:r w:rsidRPr="00AB3630">
        <w:rPr>
          <w:sz w:val="40"/>
          <w:szCs w:val="40"/>
        </w:rPr>
        <w:t>Lenuta  Raducanu</w:t>
      </w:r>
      <w:proofErr w:type="gramEnd"/>
    </w:p>
    <w:p w14:paraId="163C120B" w14:textId="2575D881" w:rsidR="00AB3630" w:rsidRPr="00AB3630" w:rsidRDefault="00AB3630" w:rsidP="00AB3630">
      <w:pPr>
        <w:pStyle w:val="NormalWeb"/>
        <w:jc w:val="center"/>
        <w:rPr>
          <w:sz w:val="40"/>
          <w:szCs w:val="40"/>
        </w:rPr>
      </w:pPr>
      <w:r w:rsidRPr="00AB3630">
        <w:rPr>
          <w:sz w:val="40"/>
          <w:szCs w:val="40"/>
        </w:rPr>
        <w:t xml:space="preserve">Introduction to New Testament module </w:t>
      </w:r>
    </w:p>
    <w:p w14:paraId="7A72D2C9" w14:textId="77777777" w:rsidR="00AB3630" w:rsidRDefault="00AB3630" w:rsidP="00AB3630">
      <w:pPr>
        <w:pStyle w:val="NormalWeb"/>
      </w:pPr>
    </w:p>
    <w:p w14:paraId="786217D3" w14:textId="77777777" w:rsidR="00AB3630" w:rsidRDefault="00AB3630" w:rsidP="00AB3630">
      <w:pPr>
        <w:pStyle w:val="NormalWeb"/>
      </w:pPr>
    </w:p>
    <w:p w14:paraId="348824DA" w14:textId="77777777" w:rsidR="00AB3630" w:rsidRDefault="00AB3630" w:rsidP="00AB3630">
      <w:pPr>
        <w:pStyle w:val="NormalWeb"/>
      </w:pPr>
    </w:p>
    <w:p w14:paraId="72347B38" w14:textId="6F363BC4" w:rsidR="00AB3630" w:rsidRPr="00AB3630" w:rsidRDefault="00AB3630" w:rsidP="00AB3630">
      <w:pPr>
        <w:pStyle w:val="NormalWeb"/>
        <w:jc w:val="center"/>
        <w:rPr>
          <w:sz w:val="28"/>
          <w:szCs w:val="28"/>
        </w:rPr>
      </w:pPr>
      <w:r w:rsidRPr="00AB3630">
        <w:rPr>
          <w:sz w:val="28"/>
          <w:szCs w:val="28"/>
        </w:rPr>
        <w:t>Essay on how the</w:t>
      </w:r>
      <w:r w:rsidRPr="00AB3630">
        <w:rPr>
          <w:sz w:val="28"/>
          <w:szCs w:val="28"/>
        </w:rPr>
        <w:t> </w:t>
      </w:r>
      <w:r w:rsidRPr="00AB3630">
        <w:rPr>
          <w:sz w:val="28"/>
          <w:szCs w:val="28"/>
        </w:rPr>
        <w:t>Book of Revelation Functions as a message of reconciliation for those living under Roman rule</w:t>
      </w:r>
    </w:p>
    <w:p w14:paraId="4BBFBAB0" w14:textId="77777777" w:rsidR="00AB3630" w:rsidRDefault="00AB3630" w:rsidP="00AB3630">
      <w:pPr>
        <w:pStyle w:val="NormalWeb"/>
      </w:pPr>
    </w:p>
    <w:p w14:paraId="1642A866" w14:textId="77777777" w:rsidR="00AB3630" w:rsidRDefault="00AB3630" w:rsidP="00AB3630">
      <w:pPr>
        <w:pStyle w:val="NormalWeb"/>
      </w:pPr>
    </w:p>
    <w:p w14:paraId="26F185F9" w14:textId="3D5DB0E2" w:rsidR="00AB3630" w:rsidRPr="00AB3630" w:rsidRDefault="00AB3630" w:rsidP="00AB3630">
      <w:pPr>
        <w:pStyle w:val="NormalWeb"/>
        <w:rPr>
          <w:sz w:val="28"/>
          <w:szCs w:val="28"/>
        </w:rPr>
      </w:pPr>
      <w:r w:rsidRPr="00AB3630">
        <w:rPr>
          <w:sz w:val="28"/>
          <w:szCs w:val="28"/>
        </w:rPr>
        <w:t xml:space="preserve">Introduction </w:t>
      </w:r>
    </w:p>
    <w:p w14:paraId="6267FDBD" w14:textId="7BE66F69" w:rsidR="00AB3630" w:rsidRDefault="00AB3630" w:rsidP="00AB3630">
      <w:pPr>
        <w:pStyle w:val="NormalWeb"/>
      </w:pPr>
      <w:r>
        <w:t>The Book of</w:t>
      </w:r>
      <w:r>
        <w:t> </w:t>
      </w:r>
      <w:r>
        <w:t>Revelation, or The Apocalypse of John, is one of the most mysterious and symbolic books in the Christian Bible. Composed during a period of severe persecution and suffering under Roman domination, Revelation provides a vivid</w:t>
      </w:r>
      <w:r>
        <w:t> </w:t>
      </w:r>
      <w:r>
        <w:t>and dramatic portrayal of the final victory of good over evil, a message of comfort and hope for the earliest Christian communities. The vivid apocalyptic images and allegorical motifs of the text convey deep theological truths about God</w:t>
      </w:r>
      <w:r>
        <w:t> </w:t>
      </w:r>
      <w:r>
        <w:t xml:space="preserve">while addressing </w:t>
      </w:r>
      <w:r w:rsidR="004A2681">
        <w:t>historical</w:t>
      </w:r>
      <w:r>
        <w:t xml:space="preserve"> struggles of the audience. Revelation is more than a work of literature; it is also a vehicle for inspiration, assuring its audience that their pain is purposeful, a part of</w:t>
      </w:r>
      <w:r>
        <w:t> </w:t>
      </w:r>
      <w:r>
        <w:t>a grander design.</w:t>
      </w:r>
    </w:p>
    <w:p w14:paraId="4A7E392A" w14:textId="2A62CCAF" w:rsidR="00AB3630" w:rsidRDefault="00AB3630" w:rsidP="00AB3630">
      <w:pPr>
        <w:pStyle w:val="NormalWeb"/>
      </w:pPr>
      <w:r>
        <w:t>Revelation: The Story Behind The</w:t>
      </w:r>
      <w:r>
        <w:t> </w:t>
      </w:r>
      <w:r w:rsidR="004A2681">
        <w:t xml:space="preserve">Story </w:t>
      </w:r>
      <w:proofErr w:type="gramStart"/>
      <w:r w:rsidR="004A2681">
        <w:t>The</w:t>
      </w:r>
      <w:proofErr w:type="gramEnd"/>
      <w:r>
        <w:t xml:space="preserve"> Historical Setting of Revelation In the late first century CE, Christians in the Roman Empire</w:t>
      </w:r>
      <w:r>
        <w:t> </w:t>
      </w:r>
      <w:r>
        <w:t>experienced serious testing, such as social ostracism, economic deprivation, and even martyrdom. In particular, the Imperial</w:t>
      </w:r>
      <w:r>
        <w:t> </w:t>
      </w:r>
      <w:r>
        <w:t xml:space="preserve">Cult, which required all citizens to worship the </w:t>
      </w:r>
      <w:r w:rsidR="004A2681">
        <w:t>emperor</w:t>
      </w:r>
      <w:r>
        <w:t xml:space="preserve"> as a demonstration of loyalty to the state, directly conflicted with Christians’ monotheism, resulting in both tension and persecution. In</w:t>
      </w:r>
      <w:r>
        <w:t> </w:t>
      </w:r>
      <w:r>
        <w:t>such hostile conditions, Revelation offered a lens through which to make sense of and endure such tribulations. Presenting the Roman Empire as a transient and ultimately</w:t>
      </w:r>
      <w:r>
        <w:t> </w:t>
      </w:r>
      <w:r>
        <w:t>doomed force of evil, this text comforts Christians through the sovereignty of God and the inevitability of His justice.</w:t>
      </w:r>
    </w:p>
    <w:p w14:paraId="6763E39C" w14:textId="77777777" w:rsidR="00AB3630" w:rsidRDefault="00AB3630" w:rsidP="00AB3630">
      <w:pPr>
        <w:pStyle w:val="NormalWeb"/>
      </w:pPr>
      <w:r>
        <w:t>This article describes how</w:t>
      </w:r>
      <w:r>
        <w:t> </w:t>
      </w:r>
      <w:r>
        <w:t>Revelation served several purposes for the early Christian audience. It rallied believers through its apocalyptic cast, its vivid symbolism, and promises of divine justice, and the eschatological title of redemption would give</w:t>
      </w:r>
      <w:r>
        <w:t> </w:t>
      </w:r>
      <w:r>
        <w:t>courage and perseverance to endure persecution. It affirmed their faith by providing a glimpse of a future in which God’s purposes would triumph;</w:t>
      </w:r>
      <w:r>
        <w:t> </w:t>
      </w:r>
      <w:r>
        <w:t>suffering would end, and a new creation would dawn. In the end, the Book of Revelation is a timeless</w:t>
      </w:r>
      <w:r>
        <w:t> </w:t>
      </w:r>
      <w:r>
        <w:t>testimony to the power of hope and the promise of God’s everlasting plans.</w:t>
      </w:r>
    </w:p>
    <w:p w14:paraId="06CAC259" w14:textId="77777777" w:rsidR="00AB3630" w:rsidRPr="00AB3630" w:rsidRDefault="00AB3630" w:rsidP="00AB3630">
      <w:pPr>
        <w:pStyle w:val="NormalWeb"/>
        <w:rPr>
          <w:sz w:val="28"/>
          <w:szCs w:val="28"/>
        </w:rPr>
      </w:pPr>
      <w:r w:rsidRPr="00AB3630">
        <w:rPr>
          <w:sz w:val="28"/>
          <w:szCs w:val="28"/>
        </w:rPr>
        <w:lastRenderedPageBreak/>
        <w:t>The Book of Revelation: Historical</w:t>
      </w:r>
      <w:r w:rsidRPr="00AB3630">
        <w:rPr>
          <w:sz w:val="28"/>
          <w:szCs w:val="28"/>
        </w:rPr>
        <w:t> </w:t>
      </w:r>
      <w:r w:rsidRPr="00AB3630">
        <w:rPr>
          <w:sz w:val="28"/>
          <w:szCs w:val="28"/>
        </w:rPr>
        <w:t>Context</w:t>
      </w:r>
    </w:p>
    <w:p w14:paraId="2B8E7C2B" w14:textId="77777777" w:rsidR="00AB3630" w:rsidRDefault="00AB3630" w:rsidP="00AB3630">
      <w:pPr>
        <w:pStyle w:val="NormalWeb"/>
      </w:pPr>
      <w:r>
        <w:t>The Book of Revelation was created in the late 1st century CE (footnote</w:t>
      </w:r>
      <w:r>
        <w:t> </w:t>
      </w:r>
      <w:r>
        <w:t>2); in other words, it was written about 95-96 CE during the reign of Emperor Domitian —a time when Christians were suffering under Roman law and challenges. Domitian, after all, is often considered</w:t>
      </w:r>
      <w:r>
        <w:t> </w:t>
      </w:r>
      <w:r>
        <w:t>a ruler who insisted on being called “Dominus et Deus” (“Lord and God”), promoting the worship of emperors to cement his control over the empire and unify it under his rule. For the Christians, however, who believed in</w:t>
      </w:r>
      <w:r>
        <w:t> </w:t>
      </w:r>
      <w:r>
        <w:t>the exclusive worship of the one true God, this was a direct conflict with their faith. Refusing to participate in the imperial cult could lead to charges of treason, social ostracism, economic</w:t>
      </w:r>
      <w:r>
        <w:t> </w:t>
      </w:r>
      <w:r>
        <w:t>deprivation, imprisonment, or even execution.</w:t>
      </w:r>
    </w:p>
    <w:p w14:paraId="143E3B11" w14:textId="306E9145" w:rsidR="00AB3630" w:rsidRDefault="00AB3630" w:rsidP="00AB3630">
      <w:pPr>
        <w:pStyle w:val="NormalWeb"/>
      </w:pPr>
      <w:r>
        <w:t xml:space="preserve">Although not uniformly systematic, persecution against Christians at that time was enough to </w:t>
      </w:r>
      <w:r w:rsidR="004A2681">
        <w:t>instil</w:t>
      </w:r>
      <w:r>
        <w:t> </w:t>
      </w:r>
      <w:r>
        <w:t>an atmosphere of fear and doubt. The book of Revelation was a</w:t>
      </w:r>
      <w:r>
        <w:t> </w:t>
      </w:r>
      <w:r>
        <w:t>response to this context, giving the audience a paradigm to reframe their suffering, not as evidence that God had abandoned them but rather as a necessary stage in the outworking of God’s divine plan. The visionary and symbolic character of the text allowed it to convey powerful truths in a way</w:t>
      </w:r>
      <w:r>
        <w:t> </w:t>
      </w:r>
      <w:r>
        <w:t>that could (albeit indirectly) give rise to hope without necessarily (even inadvertently) looking to incriminate its readers in a politically fraught context.</w:t>
      </w:r>
    </w:p>
    <w:p w14:paraId="326CAC8E" w14:textId="77777777" w:rsidR="00AB3630" w:rsidRPr="00AB3630" w:rsidRDefault="00AB3630" w:rsidP="00AB3630">
      <w:pPr>
        <w:pStyle w:val="NormalWeb"/>
        <w:rPr>
          <w:sz w:val="28"/>
          <w:szCs w:val="28"/>
        </w:rPr>
      </w:pPr>
      <w:r w:rsidRPr="00AB3630">
        <w:rPr>
          <w:sz w:val="28"/>
          <w:szCs w:val="28"/>
        </w:rPr>
        <w:t>Literary Style and Symbolism</w:t>
      </w:r>
    </w:p>
    <w:p w14:paraId="0E2491F7" w14:textId="77777777" w:rsidR="00AB3630" w:rsidRDefault="00AB3630" w:rsidP="00AB3630">
      <w:pPr>
        <w:pStyle w:val="NormalWeb"/>
      </w:pPr>
      <w:r>
        <w:t>The book of Revelation uses apocalyptic literature, a literary genre that includes vivid imagery,</w:t>
      </w:r>
      <w:r>
        <w:t> </w:t>
      </w:r>
      <w:r>
        <w:t>symbolic numbers, and dualistic motifs of cosmic warfare. This approach is</w:t>
      </w:r>
      <w:r>
        <w:t> </w:t>
      </w:r>
      <w:r>
        <w:t>not peculiar to Revelation but tries out the style common in earlier Jewish apocalyptic literature like the Book of Daniel and parts of Ezekiel and Isaiah. By employing this genre, Revelation provides a dramatic portrayal of the conflict between good and evil, in which the Roman Empire and its leaders are depicted as agents of Satan while God and His followers are set before us as the ones who will be victorious.</w:t>
      </w:r>
    </w:p>
    <w:p w14:paraId="2C00640F" w14:textId="36F588DB" w:rsidR="00AB3630" w:rsidRDefault="00AB3630" w:rsidP="00AB3630">
      <w:pPr>
        <w:pStyle w:val="NormalWeb"/>
      </w:pPr>
      <w:r>
        <w:t>Because it is symbolic, the text was both a veiled critique of</w:t>
      </w:r>
      <w:r>
        <w:t> </w:t>
      </w:r>
      <w:r>
        <w:t>Roman authority and a source of hope for oppressed Christians. Like the beast of Revelation 13, which many interpret as symbolic of the Roman Empire, with its seven heads as the city of seven hills or seven</w:t>
      </w:r>
      <w:r>
        <w:t> </w:t>
      </w:r>
      <w:r>
        <w:t xml:space="preserve">emperors. The number 666, which is linked to the beast, has commonly </w:t>
      </w:r>
      <w:r w:rsidR="004A2681">
        <w:t>related to</w:t>
      </w:r>
      <w:r>
        <w:t xml:space="preserve"> Nero Caesar through gematria, a numerical system assigning values</w:t>
      </w:r>
      <w:r>
        <w:t> </w:t>
      </w:r>
      <w:r>
        <w:t>to the letters. These symbols would resonate deeply</w:t>
      </w:r>
      <w:r>
        <w:t> </w:t>
      </w:r>
      <w:r>
        <w:t>with early Christians who knew the realities of Roman oppression, affirming their struggles as part of a greater cosmic war, rather than meaningless suffering.</w:t>
      </w:r>
    </w:p>
    <w:p w14:paraId="260B5730" w14:textId="77777777" w:rsidR="00AB3630" w:rsidRPr="00AB3630" w:rsidRDefault="00AB3630" w:rsidP="00AB3630">
      <w:pPr>
        <w:pStyle w:val="NormalWeb"/>
        <w:rPr>
          <w:sz w:val="28"/>
          <w:szCs w:val="28"/>
        </w:rPr>
      </w:pPr>
      <w:r w:rsidRPr="00AB3630">
        <w:rPr>
          <w:sz w:val="28"/>
          <w:szCs w:val="28"/>
        </w:rPr>
        <w:t>The Promises of Divine Justice</w:t>
      </w:r>
    </w:p>
    <w:p w14:paraId="1C1C87B5" w14:textId="77777777" w:rsidR="00AB3630" w:rsidRDefault="00AB3630" w:rsidP="00AB3630">
      <w:pPr>
        <w:pStyle w:val="NormalWeb"/>
      </w:pPr>
      <w:r>
        <w:t>At the heart of Revelation’s message of consolation lies the promise that God will ultimately triumph. Visions of judgment and retribution against the wicked, as seen in</w:t>
      </w:r>
      <w:r>
        <w:t> </w:t>
      </w:r>
      <w:r>
        <w:t xml:space="preserve">chapters like Revelation 6 (the breaking of the seven </w:t>
      </w:r>
      <w:proofErr w:type="spellStart"/>
      <w:r>
        <w:t>seals</w:t>
      </w:r>
      <w:proofErr w:type="spellEnd"/>
      <w:r>
        <w:t>) and Revelation 16 (the pouring of the seven bowls of God’s wrath), act to assure believers that their oppressors will not go unpunished. For Christians under Roman rule, where the empire might appear sovereign and inviolable, this</w:t>
      </w:r>
      <w:r>
        <w:t> </w:t>
      </w:r>
      <w:r>
        <w:t>pledge of divine intervention was deeply reassuring.</w:t>
      </w:r>
    </w:p>
    <w:p w14:paraId="0D8EF83C" w14:textId="25144F70" w:rsidR="00AB3630" w:rsidRDefault="00AB3630" w:rsidP="00AB3630">
      <w:pPr>
        <w:pStyle w:val="NormalWeb"/>
      </w:pPr>
      <w:r>
        <w:t>The imagery of the last judgment, where the dead are raised and judged according to what they do (see Revelation 20:11–15), reinforces the idea that earthly power is</w:t>
      </w:r>
      <w:r>
        <w:t> </w:t>
      </w:r>
      <w:r>
        <w:t>ultimately subordinate to God’s authority. It is a vision of a new heaven and a new earth that emphasizes this even more (Revelation 21), where suffering, death, and oppression will cease. However, this eschatological hope also offered</w:t>
      </w:r>
      <w:r>
        <w:t> </w:t>
      </w:r>
      <w:r>
        <w:t xml:space="preserve">Christians a potent counter-narrative to the despair and fear fomented by Roman persecution (persecution that was likely widespread, but only intensifying in the late first century), offering servile Christians an incentive to remain faithful even </w:t>
      </w:r>
      <w:r w:rsidR="004A2681">
        <w:t>during</w:t>
      </w:r>
      <w:r>
        <w:t xml:space="preserve"> present persecutions.</w:t>
      </w:r>
    </w:p>
    <w:p w14:paraId="2534C113" w14:textId="77777777" w:rsidR="00AB3630" w:rsidRPr="00AB3630" w:rsidRDefault="00AB3630" w:rsidP="00AB3630">
      <w:pPr>
        <w:pStyle w:val="NormalWeb"/>
        <w:rPr>
          <w:sz w:val="28"/>
          <w:szCs w:val="28"/>
        </w:rPr>
      </w:pPr>
      <w:r w:rsidRPr="00AB3630">
        <w:rPr>
          <w:sz w:val="28"/>
          <w:szCs w:val="28"/>
        </w:rPr>
        <w:t>Hope</w:t>
      </w:r>
      <w:r w:rsidRPr="00AB3630">
        <w:rPr>
          <w:sz w:val="28"/>
          <w:szCs w:val="28"/>
        </w:rPr>
        <w:t> </w:t>
      </w:r>
      <w:r w:rsidRPr="00AB3630">
        <w:rPr>
          <w:sz w:val="28"/>
          <w:szCs w:val="28"/>
        </w:rPr>
        <w:t>and Perseverance as Theological Themes</w:t>
      </w:r>
    </w:p>
    <w:p w14:paraId="73DFAAA6" w14:textId="639E1719" w:rsidR="00AB3630" w:rsidRDefault="00AB3630" w:rsidP="00AB3630">
      <w:pPr>
        <w:pStyle w:val="NormalWeb"/>
      </w:pPr>
      <w:r>
        <w:t xml:space="preserve">Therefore, hope in Revelation is often rooted and intertwined with its focus on endurance. </w:t>
      </w:r>
      <w:r w:rsidR="004A2681">
        <w:t>During</w:t>
      </w:r>
      <w:r>
        <w:t xml:space="preserve"> the text,</w:t>
      </w:r>
      <w:r>
        <w:t> </w:t>
      </w:r>
      <w:r>
        <w:t>believers are encouraged to resist tribulation and hold fast to their faith. This theme is displayed in the letters to the seven churches in Rev 2-3, where each message encloses praise</w:t>
      </w:r>
      <w:r>
        <w:t> </w:t>
      </w:r>
      <w:r>
        <w:t>and warning. For instance, Smyrna’s church receives praise for its faithfulness in suffering and the promise of the “crown of life” (Revelation 2:10), while Philadelphia’s church is assured that its perseverance brings an open</w:t>
      </w:r>
      <w:r>
        <w:t> </w:t>
      </w:r>
      <w:r>
        <w:t>door into God’s kingdom (Revelation 3:8).</w:t>
      </w:r>
    </w:p>
    <w:p w14:paraId="66A29DB6" w14:textId="6BEC8055" w:rsidR="00AB3630" w:rsidRDefault="00AB3630" w:rsidP="00AB3630">
      <w:pPr>
        <w:pStyle w:val="NormalWeb"/>
      </w:pPr>
      <w:r>
        <w:t>The repeated calls to “conquer” stress the active role of believers in resisting evil and holding fast to their allegiance to</w:t>
      </w:r>
      <w:r>
        <w:t> </w:t>
      </w:r>
      <w:r>
        <w:t>Christ. For Christians who threatened to conform to</w:t>
      </w:r>
      <w:r>
        <w:t> </w:t>
      </w:r>
      <w:r>
        <w:t>Roman religious practices or abandon their faith, this message would have been particularly resonant. The book of Revelation emboldened its readers to see their perseverance as purposeful and important, part of a larger spiritual war, where such efforts will</w:t>
      </w:r>
      <w:r>
        <w:t> </w:t>
      </w:r>
      <w:r>
        <w:t>help usher in the final victory of God’s kingdom.</w:t>
      </w:r>
    </w:p>
    <w:p w14:paraId="07892F41" w14:textId="77777777" w:rsidR="00AB3630" w:rsidRPr="00AB3630" w:rsidRDefault="00AB3630" w:rsidP="00AB3630">
      <w:pPr>
        <w:pStyle w:val="NormalWeb"/>
        <w:rPr>
          <w:sz w:val="28"/>
          <w:szCs w:val="28"/>
        </w:rPr>
      </w:pPr>
      <w:r w:rsidRPr="00AB3630">
        <w:rPr>
          <w:sz w:val="28"/>
          <w:szCs w:val="28"/>
        </w:rPr>
        <w:t>The Lamb</w:t>
      </w:r>
      <w:r w:rsidRPr="00AB3630">
        <w:rPr>
          <w:sz w:val="28"/>
          <w:szCs w:val="28"/>
        </w:rPr>
        <w:t> </w:t>
      </w:r>
      <w:r w:rsidRPr="00AB3630">
        <w:rPr>
          <w:sz w:val="28"/>
          <w:szCs w:val="28"/>
        </w:rPr>
        <w:t>and the Martyrs: Symbolism</w:t>
      </w:r>
    </w:p>
    <w:p w14:paraId="34E685D0" w14:textId="77777777" w:rsidR="00AB3630" w:rsidRDefault="00AB3630" w:rsidP="00AB3630">
      <w:pPr>
        <w:pStyle w:val="NormalWeb"/>
      </w:pPr>
      <w:r>
        <w:t>Perhaps one of the most prominent symbols in Genesis is</w:t>
      </w:r>
      <w:r>
        <w:t> </w:t>
      </w:r>
      <w:r>
        <w:t>the Lamb, which denotes Christ. The Lamb is sacrificial and victorious, described as</w:t>
      </w:r>
      <w:r>
        <w:t> </w:t>
      </w:r>
      <w:r>
        <w:t>“slain” yet standing (Revelation 5: 6). This paradoxical image sums up the heart of the message of Revelation: victory in apparent loss and suffering is a prelude</w:t>
      </w:r>
      <w:r>
        <w:t> </w:t>
      </w:r>
      <w:r>
        <w:t>to glory, not the last word.</w:t>
      </w:r>
    </w:p>
    <w:p w14:paraId="0AA8550E" w14:textId="269F327D" w:rsidR="00AB3630" w:rsidRDefault="00AB3630" w:rsidP="00AB3630">
      <w:pPr>
        <w:pStyle w:val="NormalWeb"/>
      </w:pPr>
      <w:r>
        <w:t>The Lamb’s triumph is intimately tied to the role of the witnesses who are portrayed as faithful witnesses (who</w:t>
      </w:r>
      <w:r>
        <w:t> </w:t>
      </w:r>
      <w:r>
        <w:t>conquer through their witness and their willingness to suffer for their faith (Revelation 12:11). The vision of the martyrs under the altar in Revelation 6:9-11, which cry out for justice, upholds the</w:t>
      </w:r>
      <w:r>
        <w:t> </w:t>
      </w:r>
      <w:r>
        <w:t>experience of persecuted Christians while telling them their sacrifices are not forgotten. Instead, they are depicted as sharing Christ’s redemptive work and</w:t>
      </w:r>
      <w:r>
        <w:t> </w:t>
      </w:r>
      <w:r>
        <w:t>their blood as witnesses against their oppressors.</w:t>
      </w:r>
    </w:p>
    <w:p w14:paraId="76D3C16A" w14:textId="77777777" w:rsidR="00AB3630" w:rsidRDefault="00AB3630" w:rsidP="00AB3630">
      <w:pPr>
        <w:pStyle w:val="NormalWeb"/>
        <w:rPr>
          <w:sz w:val="28"/>
          <w:szCs w:val="28"/>
        </w:rPr>
      </w:pPr>
      <w:r w:rsidRPr="00AB3630">
        <w:rPr>
          <w:sz w:val="28"/>
          <w:szCs w:val="28"/>
        </w:rPr>
        <w:t>The New Jerusalem: A</w:t>
      </w:r>
      <w:r w:rsidRPr="00AB3630">
        <w:rPr>
          <w:sz w:val="28"/>
          <w:szCs w:val="28"/>
        </w:rPr>
        <w:t> </w:t>
      </w:r>
      <w:r w:rsidRPr="00AB3630">
        <w:rPr>
          <w:sz w:val="28"/>
          <w:szCs w:val="28"/>
        </w:rPr>
        <w:t>Dream of Final Comfort</w:t>
      </w:r>
    </w:p>
    <w:p w14:paraId="2E0BA7C2" w14:textId="77777777" w:rsidR="004A2681" w:rsidRDefault="004A2681" w:rsidP="004A2681">
      <w:pPr>
        <w:pStyle w:val="NormalWeb"/>
      </w:pPr>
      <w:r>
        <w:t>At the climax of Revelation, we are taught</w:t>
      </w:r>
      <w:r>
        <w:t> </w:t>
      </w:r>
      <w:r>
        <w:t>the nature of the New Jerusalem, a city where God Himself lives with His people (Revelation 21:1–4). This vision</w:t>
      </w:r>
      <w:r>
        <w:t> </w:t>
      </w:r>
      <w:r>
        <w:t>is a promise from God that differs from the oppressive realities of living in an occupied country under Roman rule. The New Jerusalem is characterized by indescribable beauty, safety and peace, “death shall be no more, neither shall there</w:t>
      </w:r>
      <w:r>
        <w:t> </w:t>
      </w:r>
      <w:r>
        <w:t>be mourning nor crying nor pain anymore” (Revelation 21:4).</w:t>
      </w:r>
    </w:p>
    <w:p w14:paraId="102F96A5" w14:textId="77777777" w:rsidR="004A2681" w:rsidRDefault="004A2681" w:rsidP="004A2681">
      <w:pPr>
        <w:pStyle w:val="NormalWeb"/>
      </w:pPr>
      <w:r>
        <w:t>The</w:t>
      </w:r>
      <w:r>
        <w:t> </w:t>
      </w:r>
      <w:r>
        <w:t>New Jerusalem is not a city, but a social, political, and spiritual reality—the site of the divine reconciliation of all the tribes and nations of the earth. Its gates of pearl and streets of</w:t>
      </w:r>
      <w:r>
        <w:t> </w:t>
      </w:r>
      <w:r>
        <w:t>gold reveal the abundance and purity of God’s eternal kingdom (Revelation 21:21). The city’s walls bear the names of the 12 tribes of Israel and the 12 apostles, symbolizing the unity of God’s covenant</w:t>
      </w:r>
      <w:r>
        <w:t> </w:t>
      </w:r>
      <w:r>
        <w:t>people throughout all ages (Revelation 21:12-14). Moreover, the absence of a temple in the city highlights the continual and</w:t>
      </w:r>
      <w:r>
        <w:t> </w:t>
      </w:r>
      <w:r>
        <w:t>direct presence of God, as it notes that “its temple is the Lord God Almighty and the Lamb” (Revelation 21:22).</w:t>
      </w:r>
    </w:p>
    <w:p w14:paraId="0CB2F144" w14:textId="4F13896F" w:rsidR="004A2681" w:rsidRDefault="004A2681" w:rsidP="004A2681">
      <w:pPr>
        <w:pStyle w:val="NormalWeb"/>
      </w:pPr>
      <w:r>
        <w:t>The vision is that of the river of life flowing through the</w:t>
      </w:r>
      <w:r>
        <w:t> </w:t>
      </w:r>
      <w:r>
        <w:t>city of peace, with the tree of life bearing fruit and leaves for the healing of the nations (R. 22:1-2). These images are a nod to the Garden, the re-creation of creation into</w:t>
      </w:r>
      <w:r>
        <w:t> </w:t>
      </w:r>
      <w:r>
        <w:t xml:space="preserve">its original perfection. For Christians in antiquity, this promise of restoration would have been immense encouragement, reminding them that their current suffering was not the end of the story, but </w:t>
      </w:r>
      <w:r w:rsidR="002134BE">
        <w:t xml:space="preserve">instead </w:t>
      </w:r>
      <w:r>
        <w:t>a prelude to an eternal fact of rejoicing and fellowship</w:t>
      </w:r>
      <w:r>
        <w:t> </w:t>
      </w:r>
      <w:r>
        <w:t>with God.</w:t>
      </w:r>
    </w:p>
    <w:p w14:paraId="47DE6F75" w14:textId="77777777" w:rsidR="004A2681" w:rsidRDefault="004A2681" w:rsidP="004A2681">
      <w:pPr>
        <w:pStyle w:val="NormalWeb"/>
      </w:pPr>
      <w:r>
        <w:t>For Christians undergoing the challenges of persecution, this</w:t>
      </w:r>
      <w:r>
        <w:t> </w:t>
      </w:r>
      <w:r>
        <w:t>image of a renewed and perfect creation was undoubtedly very encouraging and comforting. They were told that their current</w:t>
      </w:r>
      <w:r>
        <w:t> </w:t>
      </w:r>
      <w:r>
        <w:t>suffering was temporary and that a glorious future would await those who remained true. Emphasizing God’s presence in the New Jerusalem also emphasized the close</w:t>
      </w:r>
      <w:r>
        <w:t> </w:t>
      </w:r>
      <w:r>
        <w:t>relation of God to His people; even in the direst moments for God’s people, they were not abandoned. In a way, the New Jerusalem was an anticipation of the final victory and vindication that God had promised—the final climax</w:t>
      </w:r>
      <w:r>
        <w:t> </w:t>
      </w:r>
      <w:r>
        <w:t>of Revelation’s message of comfort.</w:t>
      </w:r>
    </w:p>
    <w:p w14:paraId="2F0C35F5" w14:textId="77777777" w:rsidR="004A2681" w:rsidRPr="00AB3630" w:rsidRDefault="004A2681" w:rsidP="00AB3630">
      <w:pPr>
        <w:pStyle w:val="NormalWeb"/>
        <w:rPr>
          <w:sz w:val="28"/>
          <w:szCs w:val="28"/>
        </w:rPr>
      </w:pPr>
    </w:p>
    <w:p w14:paraId="3F9A0504" w14:textId="77777777" w:rsidR="00AB3630" w:rsidRPr="00AB3630" w:rsidRDefault="00AB3630" w:rsidP="00AB3630">
      <w:pPr>
        <w:pStyle w:val="NormalWeb"/>
        <w:rPr>
          <w:sz w:val="28"/>
          <w:szCs w:val="28"/>
        </w:rPr>
      </w:pPr>
      <w:r w:rsidRPr="00AB3630">
        <w:rPr>
          <w:sz w:val="28"/>
          <w:szCs w:val="28"/>
        </w:rPr>
        <w:t>Application</w:t>
      </w:r>
      <w:r w:rsidRPr="00AB3630">
        <w:rPr>
          <w:sz w:val="28"/>
          <w:szCs w:val="28"/>
        </w:rPr>
        <w:t> </w:t>
      </w:r>
      <w:r w:rsidRPr="00AB3630">
        <w:rPr>
          <w:sz w:val="28"/>
          <w:szCs w:val="28"/>
        </w:rPr>
        <w:t>of these Rebirth Logics to Early Christians</w:t>
      </w:r>
    </w:p>
    <w:p w14:paraId="12BF4BF0" w14:textId="77777777" w:rsidR="00AB3630" w:rsidRDefault="00AB3630" w:rsidP="00AB3630">
      <w:pPr>
        <w:pStyle w:val="NormalWeb"/>
      </w:pPr>
      <w:r>
        <w:t>The message of consolation</w:t>
      </w:r>
      <w:r>
        <w:t> </w:t>
      </w:r>
      <w:r>
        <w:t>in Revelation was not only theoretical but also practically ramification for its first audience. The text furnished a framework for Christians to interpret their suffering as part of God’s divine plan; the text dissuaded Christians from the peril of compromising their</w:t>
      </w:r>
      <w:r>
        <w:t> </w:t>
      </w:r>
      <w:r>
        <w:t>faith for social acceptance or safety. It encouraged a sense of unity and oneness among believers, reminding them that they belonged to a</w:t>
      </w:r>
      <w:r>
        <w:t> </w:t>
      </w:r>
      <w:r>
        <w:t>larger body united by their bond to Christ.</w:t>
      </w:r>
    </w:p>
    <w:p w14:paraId="4FD0F5BA" w14:textId="77777777" w:rsidR="00AB3630" w:rsidRDefault="00AB3630" w:rsidP="00AB3630">
      <w:pPr>
        <w:pStyle w:val="NormalWeb"/>
      </w:pPr>
      <w:r>
        <w:t>The emphasis on worship, which is found in the many hymns and doxologies in Revelation (Revelation 4:8-11; 7:9-12, etc.) and</w:t>
      </w:r>
      <w:r>
        <w:t> </w:t>
      </w:r>
      <w:r>
        <w:t>elsewhere, also grounds believers in the life of God. Augmenting spirituality</w:t>
      </w:r>
      <w:r>
        <w:t> </w:t>
      </w:r>
      <w:r>
        <w:t>sustenance was a daily activity designed to fortify vigilance against the imperial cult. Christians were reminded of the power of God by affirming God’s sovereignty and proclaiming</w:t>
      </w:r>
      <w:r>
        <w:t> </w:t>
      </w:r>
      <w:r>
        <w:t>their final victory.</w:t>
      </w:r>
    </w:p>
    <w:p w14:paraId="30CD24F3" w14:textId="77777777" w:rsidR="004A2681" w:rsidRPr="004A2681" w:rsidRDefault="004A2681" w:rsidP="004A2681">
      <w:pPr>
        <w:pStyle w:val="NormalWeb"/>
        <w:rPr>
          <w:sz w:val="28"/>
          <w:szCs w:val="28"/>
        </w:rPr>
      </w:pPr>
      <w:r w:rsidRPr="004A2681">
        <w:rPr>
          <w:sz w:val="28"/>
          <w:szCs w:val="28"/>
        </w:rPr>
        <w:t>Conclusion</w:t>
      </w:r>
    </w:p>
    <w:p w14:paraId="490F4A54" w14:textId="77777777" w:rsidR="004A2681" w:rsidRDefault="004A2681" w:rsidP="004A2681">
      <w:pPr>
        <w:pStyle w:val="NormalWeb"/>
      </w:pPr>
      <w:r>
        <w:t>The Book of Revelation</w:t>
      </w:r>
      <w:r>
        <w:t> </w:t>
      </w:r>
      <w:r>
        <w:t>was a powerful call to Christians under Roman control. Its apocalyptic imagery, assurances of divine justice, and visions of eventual redemption inspire hope and motivation in the hearts</w:t>
      </w:r>
      <w:r>
        <w:t> </w:t>
      </w:r>
      <w:r>
        <w:t>of the persecuted and marginalized. By positioning their struggles as part of a cosmic battle between good and evil, Revelation gave believers permission to endure tribulation</w:t>
      </w:r>
      <w:r>
        <w:t> </w:t>
      </w:r>
      <w:r>
        <w:t>with the promise that God’s victory was guaranteed. Simultaneously, the biblical narrative’s rich symbolism and theological motifs encouraged</w:t>
      </w:r>
      <w:r>
        <w:t> </w:t>
      </w:r>
      <w:r>
        <w:t>a sense of identity and purpose among early Christian communities, empowering them to face the trials of their era with faith and resilience.</w:t>
      </w:r>
    </w:p>
    <w:p w14:paraId="6AA3605D" w14:textId="77777777" w:rsidR="004A2681" w:rsidRDefault="004A2681" w:rsidP="004A2681">
      <w:pPr>
        <w:pStyle w:val="NormalWeb"/>
      </w:pPr>
      <w:r>
        <w:t>The themes of hope, perseverance, and divine justice in Revelation</w:t>
      </w:r>
      <w:r>
        <w:t> </w:t>
      </w:r>
      <w:r>
        <w:t>span generations. Its apocalyptic visions continue to comfort and inspire Christians confronted with</w:t>
      </w:r>
      <w:r>
        <w:t> </w:t>
      </w:r>
      <w:r>
        <w:t>adversity, reminding them that there is an overarching promise that God’s purposes will ultimately triumph. This vision of struggle is replaced with</w:t>
      </w:r>
      <w:r>
        <w:t> </w:t>
      </w:r>
      <w:r>
        <w:t>peace, and the fullest realization of God’s presence is a timeless testament to the transformative power of faith and hope. In both its original context and its continual reading, the Book of Revelation presents a powerful message of encouragement, reassuring believers that no matter</w:t>
      </w:r>
      <w:r>
        <w:t> </w:t>
      </w:r>
      <w:r>
        <w:t>how dire things may seem, God’s victory is certain.</w:t>
      </w:r>
    </w:p>
    <w:p w14:paraId="2D426157" w14:textId="77777777" w:rsidR="004A2681" w:rsidRPr="004A2681" w:rsidRDefault="004A2681" w:rsidP="004A2681">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4A2681">
        <w:rPr>
          <w:rFonts w:ascii="Times New Roman" w:eastAsia="Times New Roman" w:hAnsi="Times New Roman" w:cs="Times New Roman"/>
          <w:b/>
          <w:bCs/>
          <w:kern w:val="0"/>
          <w:sz w:val="27"/>
          <w:szCs w:val="27"/>
          <w:lang w:eastAsia="en-GB"/>
          <w14:ligatures w14:val="none"/>
        </w:rPr>
        <w:t>References</w:t>
      </w:r>
    </w:p>
    <w:p w14:paraId="669D1008" w14:textId="77777777" w:rsidR="004A2681" w:rsidRPr="004A2681" w:rsidRDefault="004A2681" w:rsidP="004A268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4A2681">
        <w:rPr>
          <w:rFonts w:ascii="Times New Roman" w:eastAsia="Times New Roman" w:hAnsi="Times New Roman" w:cs="Times New Roman"/>
          <w:kern w:val="0"/>
          <w:lang w:eastAsia="en-GB"/>
          <w14:ligatures w14:val="none"/>
        </w:rPr>
        <w:t>Bauckham</w:t>
      </w:r>
      <w:proofErr w:type="spellEnd"/>
      <w:r w:rsidRPr="004A2681">
        <w:rPr>
          <w:rFonts w:ascii="Times New Roman" w:eastAsia="Times New Roman" w:hAnsi="Times New Roman" w:cs="Times New Roman"/>
          <w:kern w:val="0"/>
          <w:lang w:eastAsia="en-GB"/>
          <w14:ligatures w14:val="none"/>
        </w:rPr>
        <w:t xml:space="preserve">, Richard. </w:t>
      </w:r>
      <w:r w:rsidRPr="004A2681">
        <w:rPr>
          <w:rFonts w:ascii="Times New Roman" w:eastAsia="Times New Roman" w:hAnsi="Times New Roman" w:cs="Times New Roman"/>
          <w:i/>
          <w:iCs/>
          <w:kern w:val="0"/>
          <w:lang w:eastAsia="en-GB"/>
          <w14:ligatures w14:val="none"/>
        </w:rPr>
        <w:t>The Theology of the Book of Revelation</w:t>
      </w:r>
      <w:r w:rsidRPr="004A2681">
        <w:rPr>
          <w:rFonts w:ascii="Times New Roman" w:eastAsia="Times New Roman" w:hAnsi="Times New Roman" w:cs="Times New Roman"/>
          <w:kern w:val="0"/>
          <w:lang w:eastAsia="en-GB"/>
          <w14:ligatures w14:val="none"/>
        </w:rPr>
        <w:t>. Cambridge University Press, 1993.</w:t>
      </w:r>
    </w:p>
    <w:p w14:paraId="327D0369" w14:textId="77777777" w:rsidR="004A2681" w:rsidRPr="004A2681" w:rsidRDefault="004A2681" w:rsidP="004A268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2681">
        <w:rPr>
          <w:rFonts w:ascii="Times New Roman" w:eastAsia="Times New Roman" w:hAnsi="Times New Roman" w:cs="Times New Roman"/>
          <w:kern w:val="0"/>
          <w:lang w:eastAsia="en-GB"/>
          <w14:ligatures w14:val="none"/>
        </w:rPr>
        <w:t xml:space="preserve">Collins, Adela Yarbro. </w:t>
      </w:r>
      <w:r w:rsidRPr="004A2681">
        <w:rPr>
          <w:rFonts w:ascii="Times New Roman" w:eastAsia="Times New Roman" w:hAnsi="Times New Roman" w:cs="Times New Roman"/>
          <w:i/>
          <w:iCs/>
          <w:kern w:val="0"/>
          <w:lang w:eastAsia="en-GB"/>
          <w14:ligatures w14:val="none"/>
        </w:rPr>
        <w:t>Crisis and Catharsis: The Power of the Apocalypse</w:t>
      </w:r>
      <w:r w:rsidRPr="004A2681">
        <w:rPr>
          <w:rFonts w:ascii="Times New Roman" w:eastAsia="Times New Roman" w:hAnsi="Times New Roman" w:cs="Times New Roman"/>
          <w:kern w:val="0"/>
          <w:lang w:eastAsia="en-GB"/>
          <w14:ligatures w14:val="none"/>
        </w:rPr>
        <w:t>. Westminster John Knox Press, 1984.</w:t>
      </w:r>
    </w:p>
    <w:p w14:paraId="00F89A55" w14:textId="77777777" w:rsidR="004A2681" w:rsidRPr="004A2681" w:rsidRDefault="004A2681" w:rsidP="004A268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2681">
        <w:rPr>
          <w:rFonts w:ascii="Times New Roman" w:eastAsia="Times New Roman" w:hAnsi="Times New Roman" w:cs="Times New Roman"/>
          <w:kern w:val="0"/>
          <w:lang w:eastAsia="en-GB"/>
          <w14:ligatures w14:val="none"/>
        </w:rPr>
        <w:t xml:space="preserve">Court, John M. </w:t>
      </w:r>
      <w:r w:rsidRPr="004A2681">
        <w:rPr>
          <w:rFonts w:ascii="Times New Roman" w:eastAsia="Times New Roman" w:hAnsi="Times New Roman" w:cs="Times New Roman"/>
          <w:i/>
          <w:iCs/>
          <w:kern w:val="0"/>
          <w:lang w:eastAsia="en-GB"/>
          <w14:ligatures w14:val="none"/>
        </w:rPr>
        <w:t>Revelation</w:t>
      </w:r>
      <w:r w:rsidRPr="004A2681">
        <w:rPr>
          <w:rFonts w:ascii="Times New Roman" w:eastAsia="Times New Roman" w:hAnsi="Times New Roman" w:cs="Times New Roman"/>
          <w:kern w:val="0"/>
          <w:lang w:eastAsia="en-GB"/>
          <w14:ligatures w14:val="none"/>
        </w:rPr>
        <w:t>. Sheffield Academic Press, 1994.</w:t>
      </w:r>
    </w:p>
    <w:p w14:paraId="5C45516B" w14:textId="77777777" w:rsidR="004A2681" w:rsidRPr="004A2681" w:rsidRDefault="004A2681" w:rsidP="004A268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2681">
        <w:rPr>
          <w:rFonts w:ascii="Times New Roman" w:eastAsia="Times New Roman" w:hAnsi="Times New Roman" w:cs="Times New Roman"/>
          <w:kern w:val="0"/>
          <w:lang w:eastAsia="en-GB"/>
          <w14:ligatures w14:val="none"/>
        </w:rPr>
        <w:t xml:space="preserve">Koester, Craig R. </w:t>
      </w:r>
      <w:r w:rsidRPr="004A2681">
        <w:rPr>
          <w:rFonts w:ascii="Times New Roman" w:eastAsia="Times New Roman" w:hAnsi="Times New Roman" w:cs="Times New Roman"/>
          <w:i/>
          <w:iCs/>
          <w:kern w:val="0"/>
          <w:lang w:eastAsia="en-GB"/>
          <w14:ligatures w14:val="none"/>
        </w:rPr>
        <w:t>Revelation and the End of All Things</w:t>
      </w:r>
      <w:r w:rsidRPr="004A2681">
        <w:rPr>
          <w:rFonts w:ascii="Times New Roman" w:eastAsia="Times New Roman" w:hAnsi="Times New Roman" w:cs="Times New Roman"/>
          <w:kern w:val="0"/>
          <w:lang w:eastAsia="en-GB"/>
          <w14:ligatures w14:val="none"/>
        </w:rPr>
        <w:t>. Eerdmans, 2001.</w:t>
      </w:r>
    </w:p>
    <w:p w14:paraId="6A516BF5" w14:textId="77777777" w:rsidR="004A2681" w:rsidRPr="004A2681" w:rsidRDefault="004A2681" w:rsidP="004A268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2681">
        <w:rPr>
          <w:rFonts w:ascii="Times New Roman" w:eastAsia="Times New Roman" w:hAnsi="Times New Roman" w:cs="Times New Roman"/>
          <w:kern w:val="0"/>
          <w:lang w:eastAsia="en-GB"/>
          <w14:ligatures w14:val="none"/>
        </w:rPr>
        <w:t xml:space="preserve">Ladd, George Eldon. </w:t>
      </w:r>
      <w:r w:rsidRPr="004A2681">
        <w:rPr>
          <w:rFonts w:ascii="Times New Roman" w:eastAsia="Times New Roman" w:hAnsi="Times New Roman" w:cs="Times New Roman"/>
          <w:i/>
          <w:iCs/>
          <w:kern w:val="0"/>
          <w:lang w:eastAsia="en-GB"/>
          <w14:ligatures w14:val="none"/>
        </w:rPr>
        <w:t>A Commentary on the Revelation of John</w:t>
      </w:r>
      <w:r w:rsidRPr="004A2681">
        <w:rPr>
          <w:rFonts w:ascii="Times New Roman" w:eastAsia="Times New Roman" w:hAnsi="Times New Roman" w:cs="Times New Roman"/>
          <w:kern w:val="0"/>
          <w:lang w:eastAsia="en-GB"/>
          <w14:ligatures w14:val="none"/>
        </w:rPr>
        <w:t>. Eerdmans, 1972.</w:t>
      </w:r>
    </w:p>
    <w:p w14:paraId="50A7857F" w14:textId="77777777" w:rsidR="004A2681" w:rsidRPr="004A2681" w:rsidRDefault="004A2681" w:rsidP="004A268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2681">
        <w:rPr>
          <w:rFonts w:ascii="Times New Roman" w:eastAsia="Times New Roman" w:hAnsi="Times New Roman" w:cs="Times New Roman"/>
          <w:kern w:val="0"/>
          <w:lang w:eastAsia="en-GB"/>
          <w14:ligatures w14:val="none"/>
        </w:rPr>
        <w:t xml:space="preserve">McKim, Donald K., ed. </w:t>
      </w:r>
      <w:r w:rsidRPr="004A2681">
        <w:rPr>
          <w:rFonts w:ascii="Times New Roman" w:eastAsia="Times New Roman" w:hAnsi="Times New Roman" w:cs="Times New Roman"/>
          <w:i/>
          <w:iCs/>
          <w:kern w:val="0"/>
          <w:lang w:eastAsia="en-GB"/>
          <w14:ligatures w14:val="none"/>
        </w:rPr>
        <w:t>The Cambridge Companion to the Bible</w:t>
      </w:r>
      <w:r w:rsidRPr="004A2681">
        <w:rPr>
          <w:rFonts w:ascii="Times New Roman" w:eastAsia="Times New Roman" w:hAnsi="Times New Roman" w:cs="Times New Roman"/>
          <w:kern w:val="0"/>
          <w:lang w:eastAsia="en-GB"/>
          <w14:ligatures w14:val="none"/>
        </w:rPr>
        <w:t>. Cambridge University Press, 2008.</w:t>
      </w:r>
    </w:p>
    <w:p w14:paraId="45B93DC4" w14:textId="77777777" w:rsidR="004A2681" w:rsidRPr="004A2681" w:rsidRDefault="004A2681" w:rsidP="004A2681">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4A2681">
        <w:rPr>
          <w:rFonts w:ascii="Times New Roman" w:eastAsia="Times New Roman" w:hAnsi="Times New Roman" w:cs="Times New Roman"/>
          <w:kern w:val="0"/>
          <w:lang w:eastAsia="en-GB"/>
          <w14:ligatures w14:val="none"/>
        </w:rPr>
        <w:t xml:space="preserve">Witherington, Ben. </w:t>
      </w:r>
      <w:r w:rsidRPr="004A2681">
        <w:rPr>
          <w:rFonts w:ascii="Times New Roman" w:eastAsia="Times New Roman" w:hAnsi="Times New Roman" w:cs="Times New Roman"/>
          <w:i/>
          <w:iCs/>
          <w:kern w:val="0"/>
          <w:lang w:eastAsia="en-GB"/>
          <w14:ligatures w14:val="none"/>
        </w:rPr>
        <w:t>Revelation</w:t>
      </w:r>
      <w:r w:rsidRPr="004A2681">
        <w:rPr>
          <w:rFonts w:ascii="Times New Roman" w:eastAsia="Times New Roman" w:hAnsi="Times New Roman" w:cs="Times New Roman"/>
          <w:kern w:val="0"/>
          <w:lang w:eastAsia="en-GB"/>
          <w14:ligatures w14:val="none"/>
        </w:rPr>
        <w:t>. Cambridge University Press, 2003.</w:t>
      </w:r>
    </w:p>
    <w:p w14:paraId="7AD1348F" w14:textId="77777777" w:rsidR="00F34CB8" w:rsidRDefault="00F34CB8"/>
    <w:sectPr w:rsidR="00F34CB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A9147" w14:textId="77777777" w:rsidR="000A14E6" w:rsidRDefault="000A14E6" w:rsidP="000A14E6">
      <w:pPr>
        <w:spacing w:after="0" w:line="240" w:lineRule="auto"/>
      </w:pPr>
      <w:r>
        <w:separator/>
      </w:r>
    </w:p>
  </w:endnote>
  <w:endnote w:type="continuationSeparator" w:id="0">
    <w:p w14:paraId="7567BC4D" w14:textId="77777777" w:rsidR="000A14E6" w:rsidRDefault="000A14E6" w:rsidP="000A14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22A77" w14:textId="77777777" w:rsidR="000A14E6" w:rsidRDefault="000A14E6" w:rsidP="000A14E6">
      <w:pPr>
        <w:spacing w:after="0" w:line="240" w:lineRule="auto"/>
      </w:pPr>
      <w:r>
        <w:separator/>
      </w:r>
    </w:p>
  </w:footnote>
  <w:footnote w:type="continuationSeparator" w:id="0">
    <w:p w14:paraId="4CB19F04" w14:textId="77777777" w:rsidR="000A14E6" w:rsidRDefault="000A14E6" w:rsidP="000A14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2D05FA"/>
    <w:multiLevelType w:val="multilevel"/>
    <w:tmpl w:val="061EF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9429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630"/>
    <w:rsid w:val="000A14E6"/>
    <w:rsid w:val="00187BCD"/>
    <w:rsid w:val="002134BE"/>
    <w:rsid w:val="004A2681"/>
    <w:rsid w:val="00AB3630"/>
    <w:rsid w:val="00F34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207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6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36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36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36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36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36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36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36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36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36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36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36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36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36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36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36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36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3630"/>
    <w:rPr>
      <w:rFonts w:eastAsiaTheme="majorEastAsia" w:cstheme="majorBidi"/>
      <w:color w:val="272727" w:themeColor="text1" w:themeTint="D8"/>
    </w:rPr>
  </w:style>
  <w:style w:type="paragraph" w:styleId="Title">
    <w:name w:val="Title"/>
    <w:basedOn w:val="Normal"/>
    <w:next w:val="Normal"/>
    <w:link w:val="TitleChar"/>
    <w:uiPriority w:val="10"/>
    <w:qFormat/>
    <w:rsid w:val="00AB36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36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36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36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3630"/>
    <w:pPr>
      <w:spacing w:before="160"/>
      <w:jc w:val="center"/>
    </w:pPr>
    <w:rPr>
      <w:i/>
      <w:iCs/>
      <w:color w:val="404040" w:themeColor="text1" w:themeTint="BF"/>
    </w:rPr>
  </w:style>
  <w:style w:type="character" w:customStyle="1" w:styleId="QuoteChar">
    <w:name w:val="Quote Char"/>
    <w:basedOn w:val="DefaultParagraphFont"/>
    <w:link w:val="Quote"/>
    <w:uiPriority w:val="29"/>
    <w:rsid w:val="00AB3630"/>
    <w:rPr>
      <w:i/>
      <w:iCs/>
      <w:color w:val="404040" w:themeColor="text1" w:themeTint="BF"/>
    </w:rPr>
  </w:style>
  <w:style w:type="paragraph" w:styleId="ListParagraph">
    <w:name w:val="List Paragraph"/>
    <w:basedOn w:val="Normal"/>
    <w:uiPriority w:val="34"/>
    <w:qFormat/>
    <w:rsid w:val="00AB3630"/>
    <w:pPr>
      <w:ind w:left="720"/>
      <w:contextualSpacing/>
    </w:pPr>
  </w:style>
  <w:style w:type="character" w:styleId="IntenseEmphasis">
    <w:name w:val="Intense Emphasis"/>
    <w:basedOn w:val="DefaultParagraphFont"/>
    <w:uiPriority w:val="21"/>
    <w:qFormat/>
    <w:rsid w:val="00AB3630"/>
    <w:rPr>
      <w:i/>
      <w:iCs/>
      <w:color w:val="0F4761" w:themeColor="accent1" w:themeShade="BF"/>
    </w:rPr>
  </w:style>
  <w:style w:type="paragraph" w:styleId="IntenseQuote">
    <w:name w:val="Intense Quote"/>
    <w:basedOn w:val="Normal"/>
    <w:next w:val="Normal"/>
    <w:link w:val="IntenseQuoteChar"/>
    <w:uiPriority w:val="30"/>
    <w:qFormat/>
    <w:rsid w:val="00AB36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3630"/>
    <w:rPr>
      <w:i/>
      <w:iCs/>
      <w:color w:val="0F4761" w:themeColor="accent1" w:themeShade="BF"/>
    </w:rPr>
  </w:style>
  <w:style w:type="character" w:styleId="IntenseReference">
    <w:name w:val="Intense Reference"/>
    <w:basedOn w:val="DefaultParagraphFont"/>
    <w:uiPriority w:val="32"/>
    <w:qFormat/>
    <w:rsid w:val="00AB3630"/>
    <w:rPr>
      <w:b/>
      <w:bCs/>
      <w:smallCaps/>
      <w:color w:val="0F4761" w:themeColor="accent1" w:themeShade="BF"/>
      <w:spacing w:val="5"/>
    </w:rPr>
  </w:style>
  <w:style w:type="paragraph" w:styleId="NormalWeb">
    <w:name w:val="Normal (Web)"/>
    <w:basedOn w:val="Normal"/>
    <w:uiPriority w:val="99"/>
    <w:semiHidden/>
    <w:unhideWhenUsed/>
    <w:rsid w:val="00AB36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0A14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4E6"/>
  </w:style>
  <w:style w:type="paragraph" w:styleId="Footer">
    <w:name w:val="footer"/>
    <w:basedOn w:val="Normal"/>
    <w:link w:val="FooterChar"/>
    <w:uiPriority w:val="99"/>
    <w:unhideWhenUsed/>
    <w:rsid w:val="000A14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4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798332">
      <w:bodyDiv w:val="1"/>
      <w:marLeft w:val="0"/>
      <w:marRight w:val="0"/>
      <w:marTop w:val="0"/>
      <w:marBottom w:val="0"/>
      <w:divBdr>
        <w:top w:val="none" w:sz="0" w:space="0" w:color="auto"/>
        <w:left w:val="none" w:sz="0" w:space="0" w:color="auto"/>
        <w:bottom w:val="none" w:sz="0" w:space="0" w:color="auto"/>
        <w:right w:val="none" w:sz="0" w:space="0" w:color="auto"/>
      </w:divBdr>
    </w:div>
    <w:div w:id="514266694">
      <w:bodyDiv w:val="1"/>
      <w:marLeft w:val="0"/>
      <w:marRight w:val="0"/>
      <w:marTop w:val="0"/>
      <w:marBottom w:val="0"/>
      <w:divBdr>
        <w:top w:val="none" w:sz="0" w:space="0" w:color="auto"/>
        <w:left w:val="none" w:sz="0" w:space="0" w:color="auto"/>
        <w:bottom w:val="none" w:sz="0" w:space="0" w:color="auto"/>
        <w:right w:val="none" w:sz="0" w:space="0" w:color="auto"/>
      </w:divBdr>
    </w:div>
    <w:div w:id="614018062">
      <w:bodyDiv w:val="1"/>
      <w:marLeft w:val="0"/>
      <w:marRight w:val="0"/>
      <w:marTop w:val="0"/>
      <w:marBottom w:val="0"/>
      <w:divBdr>
        <w:top w:val="none" w:sz="0" w:space="0" w:color="auto"/>
        <w:left w:val="none" w:sz="0" w:space="0" w:color="auto"/>
        <w:bottom w:val="none" w:sz="0" w:space="0" w:color="auto"/>
        <w:right w:val="none" w:sz="0" w:space="0" w:color="auto"/>
      </w:divBdr>
    </w:div>
    <w:div w:id="956638635">
      <w:bodyDiv w:val="1"/>
      <w:marLeft w:val="0"/>
      <w:marRight w:val="0"/>
      <w:marTop w:val="0"/>
      <w:marBottom w:val="0"/>
      <w:divBdr>
        <w:top w:val="none" w:sz="0" w:space="0" w:color="auto"/>
        <w:left w:val="none" w:sz="0" w:space="0" w:color="auto"/>
        <w:bottom w:val="none" w:sz="0" w:space="0" w:color="auto"/>
        <w:right w:val="none" w:sz="0" w:space="0" w:color="auto"/>
      </w:divBdr>
    </w:div>
    <w:div w:id="1040979200">
      <w:bodyDiv w:val="1"/>
      <w:marLeft w:val="0"/>
      <w:marRight w:val="0"/>
      <w:marTop w:val="0"/>
      <w:marBottom w:val="0"/>
      <w:divBdr>
        <w:top w:val="none" w:sz="0" w:space="0" w:color="auto"/>
        <w:left w:val="none" w:sz="0" w:space="0" w:color="auto"/>
        <w:bottom w:val="none" w:sz="0" w:space="0" w:color="auto"/>
        <w:right w:val="none" w:sz="0" w:space="0" w:color="auto"/>
      </w:divBdr>
    </w:div>
    <w:div w:id="1445342846">
      <w:bodyDiv w:val="1"/>
      <w:marLeft w:val="0"/>
      <w:marRight w:val="0"/>
      <w:marTop w:val="0"/>
      <w:marBottom w:val="0"/>
      <w:divBdr>
        <w:top w:val="none" w:sz="0" w:space="0" w:color="auto"/>
        <w:left w:val="none" w:sz="0" w:space="0" w:color="auto"/>
        <w:bottom w:val="none" w:sz="0" w:space="0" w:color="auto"/>
        <w:right w:val="none" w:sz="0" w:space="0" w:color="auto"/>
      </w:divBdr>
    </w:div>
    <w:div w:id="1935358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1964</Words>
  <Characters>11196</Characters>
  <Application>Microsoft Office Word</Application>
  <DocSecurity>0</DocSecurity>
  <Lines>93</Lines>
  <Paragraphs>26</Paragraphs>
  <ScaleCrop>false</ScaleCrop>
  <Company/>
  <LinksUpToDate>false</LinksUpToDate>
  <CharactersWithSpaces>13134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2025-01-13T14:59:00Z</dcterms:created>
  <dcterms:modified xsi:type="dcterms:W3CDTF">2025-01-13T14:59:00Z</dcterms:modified>
</cp:coreProperties>
</file>