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877776845"/>
        <w:docPartObj>
          <w:docPartGallery w:val="Cover Pages"/>
          <w:docPartUnique/>
        </w:docPartObj>
      </w:sdtPr>
      <w:sdtEndPr>
        <w:rPr>
          <w:rFonts w:ascii="Times New Roman" w:eastAsiaTheme="minorHAnsi" w:hAnsi="Times New Roman" w:cs="Times New Roman"/>
          <w:b/>
          <w:bCs/>
          <w:color w:val="auto"/>
          <w:kern w:val="2"/>
          <w:sz w:val="28"/>
          <w:szCs w:val="28"/>
          <w:lang w:val="en-IN"/>
          <w14:ligatures w14:val="standardContextual"/>
        </w:rPr>
      </w:sdtEndPr>
      <w:sdtContent>
        <w:p w14:paraId="0656EE9F" w14:textId="438F7585" w:rsidR="00D026F0" w:rsidRDefault="00D026F0">
          <w:pPr>
            <w:pStyle w:val="NoSpacing"/>
            <w:spacing w:before="1540" w:after="240"/>
            <w:jc w:val="center"/>
            <w:rPr>
              <w:color w:val="4472C4" w:themeColor="accent1"/>
            </w:rPr>
          </w:pPr>
          <w:r>
            <w:rPr>
              <w:noProof/>
              <w:color w:val="4472C4" w:themeColor="accent1"/>
            </w:rPr>
            <w:drawing>
              <wp:inline distT="0" distB="0" distL="0" distR="0" wp14:anchorId="1D751505" wp14:editId="15EE3B5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C375F30C979A4B70BCE0F3C25ECBC832"/>
            </w:placeholder>
            <w:dataBinding w:prefixMappings="xmlns:ns0='http://purl.org/dc/elements/1.1/' xmlns:ns1='http://schemas.openxmlformats.org/package/2006/metadata/core-properties' " w:xpath="/ns1:coreProperties[1]/ns0:title[1]" w:storeItemID="{6C3C8BC8-F283-45AE-878A-BAB7291924A1}"/>
            <w:text/>
          </w:sdtPr>
          <w:sdtContent>
            <w:p w14:paraId="500D08C7" w14:textId="6955B40B" w:rsidR="00D026F0" w:rsidRDefault="000F023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0F0238">
                <w:rPr>
                  <w:rFonts w:asciiTheme="majorHAnsi" w:eastAsiaTheme="majorEastAsia" w:hAnsiTheme="majorHAnsi" w:cstheme="majorBidi"/>
                  <w:caps/>
                  <w:color w:val="4472C4" w:themeColor="accent1"/>
                  <w:sz w:val="56"/>
                  <w:szCs w:val="56"/>
                </w:rPr>
                <w:t>Financial Ratio Analysis Report: DCC plc (2023-2024)</w:t>
              </w:r>
            </w:p>
          </w:sdtContent>
        </w:sdt>
        <w:p w14:paraId="4E178ACD" w14:textId="33534E90" w:rsidR="000F0238" w:rsidRDefault="000F0238" w:rsidP="000F0238">
          <w:pPr>
            <w:pStyle w:val="NoSpacing"/>
            <w:jc w:val="center"/>
            <w:rPr>
              <w:color w:val="4472C4" w:themeColor="accent1"/>
              <w:sz w:val="28"/>
              <w:szCs w:val="28"/>
            </w:rPr>
          </w:pPr>
          <w:sdt>
            <w:sdtPr>
              <w:rPr>
                <w:caps/>
                <w:color w:val="4472C4" w:themeColor="accent1"/>
              </w:rPr>
              <w:alias w:val="Subtitle"/>
              <w:tag w:val=""/>
              <w:id w:val="-1980214988"/>
              <w:placeholder>
                <w:docPart w:val="DA125B6936D14A1E9E6D515F9F845E67"/>
              </w:placeholder>
              <w:dataBinding w:prefixMappings="xmlns:ns0='http://purl.org/dc/elements/1.1/' xmlns:ns1='http://schemas.openxmlformats.org/package/2006/metadata/core-properties' " w:xpath="/ns1:coreProperties[1]/ns0:subject[1]" w:storeItemID="{6C3C8BC8-F283-45AE-878A-BAB7291924A1}"/>
              <w:text/>
            </w:sdtPr>
            <w:sdtContent>
              <w:r w:rsidRPr="000F0238">
                <w:rPr>
                  <w:caps/>
                  <w:color w:val="4472C4" w:themeColor="accent1"/>
                </w:rPr>
                <w:t>SARATHU KUNNUMPURATHU SURESH (ID- 2406023) (JANUARY 20, 2025)</w:t>
              </w:r>
            </w:sdtContent>
          </w:sdt>
        </w:p>
        <w:p w14:paraId="3EDC1DEE" w14:textId="5845EFFB" w:rsidR="00D026F0" w:rsidRDefault="00D026F0">
          <w:pPr>
            <w:pStyle w:val="NoSpacing"/>
            <w:spacing w:before="480"/>
            <w:jc w:val="center"/>
            <w:rPr>
              <w:color w:val="4472C4" w:themeColor="accent1"/>
            </w:rPr>
          </w:pPr>
        </w:p>
        <w:p w14:paraId="36630726" w14:textId="6D706DB5" w:rsidR="00D026F0" w:rsidRDefault="000F0238">
          <w:pPr>
            <w:rPr>
              <w:rFonts w:ascii="Times New Roman" w:hAnsi="Times New Roman" w:cs="Times New Roman"/>
              <w:b/>
              <w:bCs/>
              <w:sz w:val="28"/>
              <w:szCs w:val="28"/>
            </w:rPr>
          </w:pPr>
          <w:r>
            <w:rPr>
              <w:noProof/>
              <w:color w:val="4472C4" w:themeColor="accent1"/>
            </w:rPr>
            <w:drawing>
              <wp:anchor distT="0" distB="0" distL="114300" distR="114300" simplePos="0" relativeHeight="251669504" behindDoc="0" locked="0" layoutInCell="1" allowOverlap="1" wp14:anchorId="042D17D4" wp14:editId="435C1D50">
                <wp:simplePos x="0" y="0"/>
                <wp:positionH relativeFrom="column">
                  <wp:posOffset>2456597</wp:posOffset>
                </wp:positionH>
                <wp:positionV relativeFrom="page">
                  <wp:posOffset>5104263</wp:posOffset>
                </wp:positionV>
                <wp:extent cx="758825" cy="478790"/>
                <wp:effectExtent l="0" t="0" r="3175" b="0"/>
                <wp:wrapNone/>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D026F0">
            <w:rPr>
              <w:rFonts w:ascii="Times New Roman" w:hAnsi="Times New Roman" w:cs="Times New Roman"/>
              <w:b/>
              <w:bCs/>
              <w:sz w:val="28"/>
              <w:szCs w:val="28"/>
            </w:rPr>
            <w:br w:type="page"/>
          </w:r>
        </w:p>
      </w:sdtContent>
    </w:sdt>
    <w:p w14:paraId="7F7DFEC1" w14:textId="2968D93F" w:rsidR="007520DC" w:rsidRPr="007A1CB0" w:rsidRDefault="007520DC" w:rsidP="007520DC">
      <w:pPr>
        <w:jc w:val="center"/>
        <w:rPr>
          <w:rFonts w:ascii="Times New Roman" w:hAnsi="Times New Roman" w:cs="Times New Roman"/>
          <w:b/>
          <w:bCs/>
          <w:sz w:val="28"/>
          <w:szCs w:val="28"/>
        </w:rPr>
      </w:pPr>
      <w:r w:rsidRPr="00D026F0">
        <w:rPr>
          <w:rFonts w:ascii="Times New Roman" w:hAnsi="Times New Roman" w:cs="Times New Roman"/>
          <w:b/>
          <w:bCs/>
          <w:sz w:val="28"/>
          <w:szCs w:val="28"/>
        </w:rPr>
        <w:lastRenderedPageBreak/>
        <w:t>Executive Summary</w:t>
      </w:r>
    </w:p>
    <w:p w14:paraId="426B0D92" w14:textId="7832E8FC" w:rsidR="007520DC" w:rsidRPr="000F1720" w:rsidRDefault="007520DC" w:rsidP="007520DC">
      <w:pPr>
        <w:rPr>
          <w:rFonts w:ascii="Times New Roman" w:hAnsi="Times New Roman" w:cs="Times New Roman"/>
          <w:sz w:val="24"/>
          <w:szCs w:val="24"/>
        </w:rPr>
      </w:pPr>
      <w:r w:rsidRPr="007A1CB0">
        <w:rPr>
          <w:rFonts w:ascii="Times New Roman" w:hAnsi="Times New Roman" w:cs="Times New Roman"/>
          <w:sz w:val="24"/>
          <w:szCs w:val="24"/>
        </w:rPr>
        <w:t xml:space="preserve">This report </w:t>
      </w:r>
      <w:r w:rsidR="00D00BD5" w:rsidRPr="007A1CB0">
        <w:rPr>
          <w:rFonts w:ascii="Times New Roman" w:hAnsi="Times New Roman" w:cs="Times New Roman"/>
          <w:sz w:val="24"/>
          <w:szCs w:val="24"/>
        </w:rPr>
        <w:t>analyses</w:t>
      </w:r>
      <w:r w:rsidRPr="007A1CB0">
        <w:rPr>
          <w:rFonts w:ascii="Times New Roman" w:hAnsi="Times New Roman" w:cs="Times New Roman"/>
          <w:sz w:val="24"/>
          <w:szCs w:val="24"/>
        </w:rPr>
        <w:t xml:space="preserve"> the financial performance of </w:t>
      </w:r>
      <w:r w:rsidRPr="007A1CB0">
        <w:rPr>
          <w:rFonts w:ascii="Times New Roman" w:hAnsi="Times New Roman" w:cs="Times New Roman"/>
          <w:b/>
          <w:bCs/>
          <w:sz w:val="24"/>
          <w:szCs w:val="24"/>
        </w:rPr>
        <w:t>DCC PLC</w:t>
      </w:r>
      <w:r w:rsidRPr="007A1CB0">
        <w:rPr>
          <w:rFonts w:ascii="Times New Roman" w:hAnsi="Times New Roman" w:cs="Times New Roman"/>
          <w:sz w:val="24"/>
          <w:szCs w:val="24"/>
        </w:rPr>
        <w:t xml:space="preserve"> over the past three years (2022–2024). It includes a detailed calculation of profitability, liquidity, gearing, efficiency, and investor ratios. The report critically evaluates these results, identifies potential reasons for observed changes, and discusses the limitations of ratio analysis. Based on these findings, specific recommendations are provided to enhance the financial management of </w:t>
      </w:r>
      <w:r w:rsidRPr="007A1CB0">
        <w:rPr>
          <w:rFonts w:ascii="Times New Roman" w:hAnsi="Times New Roman" w:cs="Times New Roman"/>
          <w:b/>
          <w:bCs/>
          <w:sz w:val="24"/>
          <w:szCs w:val="24"/>
        </w:rPr>
        <w:t>DCC PLC</w:t>
      </w:r>
      <w:r w:rsidRPr="007A1CB0">
        <w:rPr>
          <w:rFonts w:ascii="Times New Roman" w:hAnsi="Times New Roman" w:cs="Times New Roman"/>
          <w:sz w:val="24"/>
          <w:szCs w:val="24"/>
        </w:rPr>
        <w:t>.</w:t>
      </w:r>
    </w:p>
    <w:p w14:paraId="3DA98785" w14:textId="2F717FD6" w:rsidR="007520DC" w:rsidRPr="00E4387E" w:rsidRDefault="00E4387E" w:rsidP="00E4387E">
      <w:pPr>
        <w:jc w:val="center"/>
        <w:rPr>
          <w:rFonts w:ascii="Times New Roman" w:hAnsi="Times New Roman" w:cs="Times New Roman"/>
          <w:b/>
          <w:bCs/>
          <w:sz w:val="28"/>
          <w:szCs w:val="28"/>
        </w:rPr>
      </w:pPr>
      <w:r w:rsidRPr="00E4387E">
        <w:rPr>
          <w:rFonts w:ascii="Times New Roman" w:hAnsi="Times New Roman" w:cs="Times New Roman"/>
          <w:b/>
          <w:bCs/>
          <w:sz w:val="28"/>
          <w:szCs w:val="28"/>
        </w:rPr>
        <w:t>Introduction</w:t>
      </w:r>
    </w:p>
    <w:p w14:paraId="6B320019" w14:textId="77777777" w:rsidR="00E4387E" w:rsidRPr="00E4387E" w:rsidRDefault="00E4387E" w:rsidP="00E4387E">
      <w:pPr>
        <w:rPr>
          <w:rFonts w:ascii="Times New Roman" w:hAnsi="Times New Roman" w:cs="Times New Roman"/>
          <w:sz w:val="24"/>
          <w:szCs w:val="24"/>
        </w:rPr>
      </w:pPr>
      <w:r w:rsidRPr="00E4387E">
        <w:rPr>
          <w:rFonts w:ascii="Times New Roman" w:hAnsi="Times New Roman" w:cs="Times New Roman"/>
          <w:sz w:val="24"/>
          <w:szCs w:val="24"/>
        </w:rPr>
        <w:t>This report presents a comprehensive financial ratio analysis of DCC plc for the fiscal years 2023 and 2024, focusing on the company’s profitability, liquidity, gearing, efficiency, and investor metrics. DCC plc is a leading international sales, marketing, and support services group with a diverse portfolio spanning the energy, technology, and healthcare sectors. As a prominent member of the FTSE 100 Index, DCC plc holds a significant position in the financial markets, making its performance vital for investors, stakeholders, and the broader economy.</w:t>
      </w:r>
    </w:p>
    <w:p w14:paraId="783A9FD0" w14:textId="271A4714" w:rsidR="00E4387E" w:rsidRPr="00E4387E" w:rsidRDefault="00E4387E" w:rsidP="00E4387E">
      <w:pPr>
        <w:rPr>
          <w:rFonts w:ascii="Times New Roman" w:hAnsi="Times New Roman" w:cs="Times New Roman"/>
          <w:sz w:val="24"/>
          <w:szCs w:val="24"/>
        </w:rPr>
      </w:pPr>
      <w:r w:rsidRPr="00E4387E">
        <w:rPr>
          <w:rFonts w:ascii="Times New Roman" w:hAnsi="Times New Roman" w:cs="Times New Roman"/>
          <w:sz w:val="24"/>
          <w:szCs w:val="24"/>
        </w:rPr>
        <w:t xml:space="preserve">The purpose of this report is to </w:t>
      </w:r>
      <w:r w:rsidR="00D00BD5">
        <w:rPr>
          <w:rFonts w:ascii="Times New Roman" w:hAnsi="Times New Roman" w:cs="Times New Roman"/>
          <w:sz w:val="24"/>
          <w:szCs w:val="24"/>
        </w:rPr>
        <w:t>analyses</w:t>
      </w:r>
      <w:r w:rsidR="002A6E6B">
        <w:rPr>
          <w:rFonts w:ascii="Times New Roman" w:hAnsi="Times New Roman" w:cs="Times New Roman"/>
          <w:sz w:val="24"/>
          <w:szCs w:val="24"/>
        </w:rPr>
        <w:t xml:space="preserve"> </w:t>
      </w:r>
      <w:r w:rsidRPr="00E4387E">
        <w:rPr>
          <w:rFonts w:ascii="Times New Roman" w:hAnsi="Times New Roman" w:cs="Times New Roman"/>
          <w:sz w:val="24"/>
          <w:szCs w:val="24"/>
        </w:rPr>
        <w:t>key financial ratios calculated from the company’s annual reports, which provide insights into its operational efficiency, profitability, and financial stability. The profitability ratios, such as the Gross Profit Margin, Net Profit Margin, and Return on Capital Employed (ROCE), assess how effectively the company generates profit from its revenue and assets. Liquidity ratios, including the Current Ratio and Quick Ratio, measure DCC plc's ability to meet its short-term obligations. Efficiency ratios, such as Stock Turnover, Debtor Collection, and Creditor Payment, provide insights into how well the company manages its working capital and operational processes. Gearing ratios, like the Gearing Ratio and Debt to Equity, evaluate the company’s dependence on debt financing for growth. Lastly, investor ratios such as Earnings Per Share (EPS) and Dividend Yield reflect the return on investment for shareholders.</w:t>
      </w:r>
    </w:p>
    <w:p w14:paraId="7C11DB94" w14:textId="77777777" w:rsidR="00E4387E" w:rsidRPr="00E4387E" w:rsidRDefault="00E4387E" w:rsidP="00E4387E">
      <w:pPr>
        <w:rPr>
          <w:rFonts w:ascii="Times New Roman" w:hAnsi="Times New Roman" w:cs="Times New Roman"/>
          <w:sz w:val="24"/>
          <w:szCs w:val="24"/>
        </w:rPr>
      </w:pPr>
      <w:r w:rsidRPr="00E4387E">
        <w:rPr>
          <w:rFonts w:ascii="Times New Roman" w:hAnsi="Times New Roman" w:cs="Times New Roman"/>
          <w:sz w:val="24"/>
          <w:szCs w:val="24"/>
        </w:rPr>
        <w:t>In addition to presenting these ratios, the report offers a critical evaluation of DCC plc’s financial performance, highlighting key changes between 2023 and 2024 and considering the limitations of ratio analysis. While ratios provide valuable insights into the company’s performance, they are based on historical data and may not fully capture future market trends, economic shifts, or strategic changes within the company. Moreover, industry benchmarks are essential for placing DCC plc's ratios into context.</w:t>
      </w:r>
    </w:p>
    <w:p w14:paraId="5421C80E" w14:textId="77777777" w:rsidR="00E4387E" w:rsidRPr="00E4387E" w:rsidRDefault="00E4387E" w:rsidP="00E4387E">
      <w:pPr>
        <w:rPr>
          <w:rFonts w:ascii="Times New Roman" w:hAnsi="Times New Roman" w:cs="Times New Roman"/>
          <w:sz w:val="24"/>
          <w:szCs w:val="24"/>
        </w:rPr>
      </w:pPr>
      <w:r w:rsidRPr="00E4387E">
        <w:rPr>
          <w:rFonts w:ascii="Times New Roman" w:hAnsi="Times New Roman" w:cs="Times New Roman"/>
          <w:sz w:val="24"/>
          <w:szCs w:val="24"/>
        </w:rPr>
        <w:t>The report concludes with strategic recommendations to improve DCC plc’s financial management. These include suggestions for enhancing asset utilization, improving debtor management, optimizing the gearing ratio, and continuing to focus on operational efficiency. By addressing these areas, DCC plc can strengthen its financial position, drive sustainable growth, and deliver enhanced value to its shareholders.</w:t>
      </w:r>
    </w:p>
    <w:p w14:paraId="197CCE86" w14:textId="77777777" w:rsidR="00E4387E" w:rsidRPr="000F1720" w:rsidRDefault="00E4387E" w:rsidP="007520DC">
      <w:pPr>
        <w:rPr>
          <w:rFonts w:ascii="Times New Roman" w:hAnsi="Times New Roman" w:cs="Times New Roman"/>
          <w:sz w:val="28"/>
          <w:szCs w:val="28"/>
        </w:rPr>
      </w:pPr>
    </w:p>
    <w:p w14:paraId="3E041024" w14:textId="77777777" w:rsidR="00205184" w:rsidRDefault="00205184" w:rsidP="00205184">
      <w:pPr>
        <w:jc w:val="center"/>
        <w:rPr>
          <w:rFonts w:ascii="Times New Roman" w:hAnsi="Times New Roman" w:cs="Times New Roman"/>
          <w:b/>
          <w:bCs/>
          <w:sz w:val="28"/>
          <w:szCs w:val="28"/>
        </w:rPr>
      </w:pPr>
    </w:p>
    <w:p w14:paraId="464D2752" w14:textId="77777777" w:rsidR="00205184" w:rsidRDefault="00205184" w:rsidP="00205184">
      <w:pPr>
        <w:jc w:val="center"/>
        <w:rPr>
          <w:rFonts w:ascii="Times New Roman" w:hAnsi="Times New Roman" w:cs="Times New Roman"/>
          <w:b/>
          <w:bCs/>
          <w:sz w:val="28"/>
          <w:szCs w:val="28"/>
        </w:rPr>
      </w:pPr>
    </w:p>
    <w:p w14:paraId="6F0E1136" w14:textId="77777777" w:rsidR="00205184" w:rsidRDefault="00205184" w:rsidP="00205184">
      <w:pPr>
        <w:jc w:val="center"/>
        <w:rPr>
          <w:rFonts w:ascii="Times New Roman" w:hAnsi="Times New Roman" w:cs="Times New Roman"/>
          <w:b/>
          <w:bCs/>
          <w:sz w:val="28"/>
          <w:szCs w:val="28"/>
        </w:rPr>
      </w:pPr>
    </w:p>
    <w:p w14:paraId="12D27CEF" w14:textId="56DF0809" w:rsidR="00205184" w:rsidRPr="00205184" w:rsidRDefault="007520DC" w:rsidP="00205184">
      <w:pPr>
        <w:jc w:val="center"/>
        <w:rPr>
          <w:rFonts w:ascii="Times New Roman" w:eastAsia="Times New Roman" w:hAnsi="Times New Roman" w:cs="Times New Roman"/>
          <w:b/>
          <w:bCs/>
          <w:kern w:val="0"/>
          <w:sz w:val="24"/>
          <w:szCs w:val="24"/>
          <w:lang w:eastAsia="en-IN"/>
          <w14:ligatures w14:val="none"/>
        </w:rPr>
      </w:pPr>
      <w:r w:rsidRPr="00205184">
        <w:rPr>
          <w:rFonts w:ascii="Times New Roman" w:hAnsi="Times New Roman" w:cs="Times New Roman"/>
          <w:b/>
          <w:bCs/>
          <w:sz w:val="28"/>
          <w:szCs w:val="28"/>
        </w:rPr>
        <w:lastRenderedPageBreak/>
        <w:t>Financial Ratio Analysis Report</w:t>
      </w:r>
      <w:r w:rsidR="00205184" w:rsidRPr="00205184">
        <w:rPr>
          <w:rFonts w:ascii="Times New Roman" w:eastAsia="Times New Roman" w:hAnsi="Times New Roman" w:cs="Times New Roman"/>
          <w:b/>
          <w:bCs/>
          <w:kern w:val="0"/>
          <w:sz w:val="28"/>
          <w:szCs w:val="28"/>
          <w:lang w:eastAsia="en-IN"/>
          <w14:ligatures w14:val="none"/>
        </w:rPr>
        <w:t xml:space="preserve"> </w:t>
      </w:r>
      <w:r w:rsidR="00205184" w:rsidRPr="00205184">
        <w:rPr>
          <w:rFonts w:ascii="Times New Roman" w:eastAsia="Times New Roman" w:hAnsi="Times New Roman" w:cs="Times New Roman"/>
          <w:b/>
          <w:bCs/>
          <w:kern w:val="0"/>
          <w:sz w:val="28"/>
          <w:szCs w:val="28"/>
          <w:lang w:eastAsia="en-IN"/>
          <w14:ligatures w14:val="none"/>
        </w:rPr>
        <w:t xml:space="preserve">DCC plc </w:t>
      </w:r>
      <w:r w:rsidR="00205184" w:rsidRPr="00205184">
        <w:rPr>
          <w:rFonts w:ascii="Times New Roman" w:eastAsia="Times New Roman" w:hAnsi="Times New Roman" w:cs="Times New Roman"/>
          <w:b/>
          <w:bCs/>
          <w:kern w:val="0"/>
          <w:sz w:val="24"/>
          <w:szCs w:val="24"/>
          <w:lang w:eastAsia="en-IN"/>
          <w14:ligatures w14:val="none"/>
        </w:rPr>
        <w:t>(2023-2024)</w:t>
      </w:r>
      <w:r w:rsidR="00205184">
        <w:rPr>
          <w:rFonts w:ascii="Times New Roman" w:eastAsia="Times New Roman" w:hAnsi="Times New Roman" w:cs="Times New Roman"/>
          <w:b/>
          <w:bCs/>
          <w:kern w:val="0"/>
          <w:sz w:val="24"/>
          <w:szCs w:val="24"/>
          <w:lang w:eastAsia="en-IN"/>
          <w14:ligatures w14:val="none"/>
        </w:rPr>
        <w:br/>
      </w:r>
    </w:p>
    <w:p w14:paraId="3FEE5974" w14:textId="45441E41" w:rsidR="00E4387E" w:rsidRPr="00E4387E" w:rsidRDefault="00E4387E" w:rsidP="001B4889">
      <w:pPr>
        <w:rPr>
          <w:rFonts w:ascii="Times New Roman" w:eastAsia="Times New Roman" w:hAnsi="Times New Roman" w:cs="Times New Roman"/>
          <w:kern w:val="0"/>
          <w:sz w:val="24"/>
          <w:szCs w:val="24"/>
          <w:lang w:eastAsia="en-IN"/>
          <w14:ligatures w14:val="none"/>
        </w:rPr>
      </w:pPr>
      <w:r w:rsidRPr="00E4387E">
        <w:rPr>
          <w:rFonts w:ascii="Times New Roman" w:eastAsia="Times New Roman" w:hAnsi="Times New Roman" w:cs="Times New Roman"/>
          <w:kern w:val="0"/>
          <w:sz w:val="24"/>
          <w:szCs w:val="24"/>
          <w:lang w:eastAsia="en-IN"/>
          <w14:ligatures w14:val="none"/>
        </w:rPr>
        <w:t>This report provides a detailed breakdown of the financial ratio calculations for DCC plc for the fiscal years 2023 and 2024. Financial ratio analysis is a critical tool for assessing the performance and financial health of a company, as it provides a snapshot of key operational and financial metrics over a specified period. Ratios are commonly used by investors, analysts, and company directors to make informed decisions about the company’s financial position, efficiency, profitability, and overall strategic direction. The financial ratios covered in this report include profitability, liquidity, gearing, efficiency, and investor metrics, each of which offers insights into specific aspects of the company’s financial performance.</w:t>
      </w:r>
    </w:p>
    <w:p w14:paraId="1F68E30F" w14:textId="15F506F7" w:rsidR="007520DC" w:rsidRPr="007A1CB0" w:rsidRDefault="00E4387E" w:rsidP="001B4889">
      <w:pPr>
        <w:rPr>
          <w:rFonts w:ascii="Times New Roman" w:hAnsi="Times New Roman" w:cs="Times New Roman"/>
          <w:sz w:val="28"/>
          <w:szCs w:val="28"/>
        </w:rPr>
      </w:pPr>
      <w:r w:rsidRPr="00E4387E">
        <w:rPr>
          <w:rFonts w:ascii="Times New Roman" w:eastAsia="Times New Roman" w:hAnsi="Times New Roman" w:cs="Times New Roman"/>
          <w:kern w:val="0"/>
          <w:sz w:val="24"/>
          <w:szCs w:val="24"/>
          <w:lang w:eastAsia="en-IN"/>
          <w14:ligatures w14:val="none"/>
        </w:rPr>
        <w:t>The process of ratio analysis involves calculating specific ratios from financial statements, which in this case are derived from DCC plc’s annual reports for 2023 and 2024. The ratios are calculated step-by-step, referencing the relevant pages from the respective financial statements for transparency. These ratios, when viewed in isolation or relative to industry benchmarks, provide valuable information on how effectively the company is utilizing its resources, managing its finances, and creating value for shareholders.</w:t>
      </w:r>
    </w:p>
    <w:p w14:paraId="4EF1C383" w14:textId="77777777" w:rsidR="00205184" w:rsidRPr="00205184" w:rsidRDefault="00205184" w:rsidP="00205184">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Profitability Ratios</w:t>
      </w:r>
    </w:p>
    <w:p w14:paraId="35A82BF3" w14:textId="77777777" w:rsidR="00205184" w:rsidRDefault="00205184" w:rsidP="00205184">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kern w:val="0"/>
          <w:sz w:val="24"/>
          <w:szCs w:val="24"/>
          <w:lang w:eastAsia="en-IN"/>
          <w14:ligatures w14:val="none"/>
        </w:rPr>
        <w:t>Profitability ratios are essential for assessing how well DCC plc generates profits from its operations and assets. These ratios are a key indicator of the company’s financial health and efficiency. A high profitability ratio generally signals that the company is effectively managing its resources and generating returns for its shareholders, while a low profitability ratio may indicate inefficiencies or areas of concern. For investors, profitability is one of the most important metrics, as it reflects the company’s ability to sustain long-term growth and maintain a competitive position in the market (Higgins, 2012).</w:t>
      </w:r>
    </w:p>
    <w:p w14:paraId="703639BB" w14:textId="16A1756F" w:rsidR="00205184" w:rsidRDefault="00205184" w:rsidP="00205184">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kern w:val="0"/>
          <w:sz w:val="24"/>
          <w:szCs w:val="24"/>
          <w:lang w:eastAsia="en-IN"/>
          <w14:ligatures w14:val="none"/>
        </w:rPr>
        <w:t xml:space="preserve">The profitability ratios </w:t>
      </w:r>
      <w:r w:rsidR="00D00BD5" w:rsidRPr="00205184">
        <w:rPr>
          <w:rFonts w:ascii="Times New Roman" w:eastAsia="Times New Roman" w:hAnsi="Times New Roman" w:cs="Times New Roman"/>
          <w:kern w:val="0"/>
          <w:sz w:val="24"/>
          <w:szCs w:val="24"/>
          <w:lang w:eastAsia="en-IN"/>
          <w14:ligatures w14:val="none"/>
        </w:rPr>
        <w:t>analysed</w:t>
      </w:r>
      <w:r w:rsidRPr="00205184">
        <w:rPr>
          <w:rFonts w:ascii="Times New Roman" w:eastAsia="Times New Roman" w:hAnsi="Times New Roman" w:cs="Times New Roman"/>
          <w:kern w:val="0"/>
          <w:sz w:val="24"/>
          <w:szCs w:val="24"/>
          <w:lang w:eastAsia="en-IN"/>
          <w14:ligatures w14:val="none"/>
        </w:rPr>
        <w:t xml:space="preserve"> in this report include:</w:t>
      </w:r>
      <w:r>
        <w:rPr>
          <w:rFonts w:ascii="Times New Roman" w:eastAsia="Times New Roman" w:hAnsi="Times New Roman" w:cs="Times New Roman"/>
          <w:kern w:val="0"/>
          <w:sz w:val="24"/>
          <w:szCs w:val="24"/>
          <w:lang w:eastAsia="en-IN"/>
          <w14:ligatures w14:val="none"/>
        </w:rPr>
        <w:br/>
      </w:r>
      <w:r>
        <w:rPr>
          <w:rFonts w:ascii="Times New Roman" w:eastAsia="Times New Roman" w:hAnsi="Times New Roman" w:cs="Times New Roman"/>
          <w:kern w:val="0"/>
          <w:sz w:val="24"/>
          <w:szCs w:val="24"/>
          <w:lang w:eastAsia="en-IN"/>
          <w14:ligatures w14:val="none"/>
        </w:rPr>
        <w:br/>
      </w:r>
    </w:p>
    <w:p w14:paraId="39542EB5" w14:textId="258DF68C" w:rsidR="00205184" w:rsidRPr="00205184" w:rsidRDefault="002865A3" w:rsidP="00205184">
      <w:pPr>
        <w:pStyle w:val="ListParagraph"/>
        <w:numPr>
          <w:ilvl w:val="1"/>
          <w:numId w:val="29"/>
        </w:num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Gross Profit Margin (%)</w:t>
      </w:r>
      <w:r w:rsidR="00205184" w:rsidRPr="00205184">
        <w:rPr>
          <w:rFonts w:ascii="Times New Roman" w:eastAsia="Times New Roman" w:hAnsi="Times New Roman" w:cs="Times New Roman"/>
          <w:b/>
          <w:bCs/>
          <w:kern w:val="0"/>
          <w:sz w:val="24"/>
          <w:szCs w:val="24"/>
          <w:lang w:eastAsia="en-IN"/>
          <w14:ligatures w14:val="none"/>
        </w:rPr>
        <w:br/>
      </w:r>
      <w:r w:rsidR="00205184" w:rsidRPr="00205184">
        <w:rPr>
          <w:rFonts w:ascii="Times New Roman" w:eastAsia="Times New Roman" w:hAnsi="Times New Roman" w:cs="Times New Roman"/>
          <w:kern w:val="0"/>
          <w:sz w:val="24"/>
          <w:szCs w:val="24"/>
          <w:lang w:eastAsia="en-IN"/>
          <w14:ligatures w14:val="none"/>
        </w:rPr>
        <w:t xml:space="preserve">This ratio measures the percentage of revenue that exceeds the cost of goods sold (COGS), indicating how efficiently a company produces its goods or services relative to its sales price. The gross profit margin reflects the basic profitability of core business operations, before accounting for overhead and non-operating expenses (White, Sondhi, &amp; Fried, 2003). For DCC plc, we have calculated the gross profit margin for both 2023 and 2024, revealing trends in the company's pricing strategies and cost management. A higher gross profit margin suggests efficient production and sales processes (Kotane &amp; </w:t>
      </w:r>
      <w:proofErr w:type="spellStart"/>
      <w:r w:rsidR="00205184" w:rsidRPr="00205184">
        <w:rPr>
          <w:rFonts w:ascii="Times New Roman" w:eastAsia="Times New Roman" w:hAnsi="Times New Roman" w:cs="Times New Roman"/>
          <w:kern w:val="0"/>
          <w:sz w:val="24"/>
          <w:szCs w:val="24"/>
          <w:lang w:eastAsia="en-IN"/>
          <w14:ligatures w14:val="none"/>
        </w:rPr>
        <w:t>Mietule</w:t>
      </w:r>
      <w:proofErr w:type="spellEnd"/>
      <w:r w:rsidR="00205184" w:rsidRPr="00205184">
        <w:rPr>
          <w:rFonts w:ascii="Times New Roman" w:eastAsia="Times New Roman" w:hAnsi="Times New Roman" w:cs="Times New Roman"/>
          <w:kern w:val="0"/>
          <w:sz w:val="24"/>
          <w:szCs w:val="24"/>
          <w:lang w:eastAsia="en-IN"/>
          <w14:ligatures w14:val="none"/>
        </w:rPr>
        <w:t>, 2022), and this will be reflected in the analysis.</w:t>
      </w:r>
    </w:p>
    <w:p w14:paraId="6AE836B0" w14:textId="788249BF" w:rsidR="002865A3" w:rsidRPr="002865A3" w:rsidRDefault="002865A3" w:rsidP="002865A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2865A3">
        <w:rPr>
          <w:rFonts w:ascii="Times New Roman" w:eastAsia="Times New Roman" w:hAnsi="Times New Roman" w:cs="Times New Roman"/>
          <w:b/>
          <w:bCs/>
          <w:kern w:val="0"/>
          <w:sz w:val="24"/>
          <w:szCs w:val="24"/>
          <w:lang w:eastAsia="en-IN"/>
          <w14:ligatures w14:val="none"/>
        </w:rPr>
        <w:t>Formula</w:t>
      </w:r>
      <w:r w:rsidRPr="002865A3">
        <w:rPr>
          <w:rFonts w:ascii="Times New Roman" w:eastAsia="Times New Roman" w:hAnsi="Times New Roman" w:cs="Times New Roman"/>
          <w:kern w:val="0"/>
          <w:sz w:val="24"/>
          <w:szCs w:val="24"/>
          <w:lang w:eastAsia="en-IN"/>
          <w14:ligatures w14:val="none"/>
        </w:rPr>
        <w:t>:</w:t>
      </w:r>
    </w:p>
    <w:p w14:paraId="44542BE6" w14:textId="6F7FD9C2" w:rsidR="002865A3" w:rsidRPr="000F1720" w:rsidRDefault="002865A3" w:rsidP="002865A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2865A3">
        <w:rPr>
          <w:rFonts w:ascii="Times New Roman" w:eastAsia="Times New Roman" w:hAnsi="Times New Roman" w:cs="Times New Roman"/>
          <w:color w:val="000000"/>
          <w:kern w:val="0"/>
          <w:lang w:eastAsia="en-IN"/>
          <w14:ligatures w14:val="none"/>
        </w:rPr>
        <w:t>Gross</w:t>
      </w:r>
      <w:r w:rsidRPr="000F1720">
        <w:rPr>
          <w:rFonts w:ascii="Times New Roman" w:eastAsia="Times New Roman" w:hAnsi="Times New Roman" w:cs="Times New Roman"/>
          <w:color w:val="000000"/>
          <w:kern w:val="0"/>
          <w:lang w:eastAsia="en-IN"/>
          <w14:ligatures w14:val="none"/>
        </w:rPr>
        <w:t xml:space="preserve"> </w:t>
      </w:r>
      <w:r w:rsidRPr="002865A3">
        <w:rPr>
          <w:rFonts w:ascii="Times New Roman" w:eastAsia="Times New Roman" w:hAnsi="Times New Roman" w:cs="Times New Roman"/>
          <w:color w:val="000000"/>
          <w:kern w:val="0"/>
          <w:lang w:eastAsia="en-IN"/>
          <w14:ligatures w14:val="none"/>
        </w:rPr>
        <w:t xml:space="preserve">Profit / Turnover </w:t>
      </w:r>
      <w:r w:rsidRPr="000F1720">
        <w:rPr>
          <w:rFonts w:ascii="Times New Roman" w:eastAsia="Times New Roman" w:hAnsi="Times New Roman" w:cs="Times New Roman"/>
          <w:color w:val="000000"/>
          <w:kern w:val="0"/>
          <w:lang w:eastAsia="en-IN"/>
          <w14:ligatures w14:val="none"/>
        </w:rPr>
        <w:t>)</w:t>
      </w:r>
      <w:r w:rsidRPr="002865A3">
        <w:rPr>
          <w:rFonts w:ascii="Times New Roman" w:eastAsia="Times New Roman" w:hAnsi="Times New Roman" w:cs="Times New Roman"/>
          <w:color w:val="000000"/>
          <w:kern w:val="0"/>
          <w:lang w:eastAsia="en-IN"/>
          <w14:ligatures w14:val="none"/>
        </w:rPr>
        <w:t>100</w:t>
      </w:r>
      <w:r w:rsidRPr="000F1720">
        <w:rPr>
          <w:rFonts w:ascii="Times New Roman" w:eastAsia="Times New Roman" w:hAnsi="Times New Roman" w:cs="Times New Roman"/>
          <w:color w:val="000000"/>
          <w:kern w:val="0"/>
          <w:lang w:eastAsia="en-IN"/>
          <w14:ligatures w14:val="none"/>
        </w:rPr>
        <w:t xml:space="preserve"> </w:t>
      </w:r>
    </w:p>
    <w:p w14:paraId="0D2AB5F7" w14:textId="77777777" w:rsidR="002865A3" w:rsidRPr="000F1720" w:rsidRDefault="002865A3" w:rsidP="002865A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793E0EED" w14:textId="16D1E429" w:rsidR="002865A3" w:rsidRPr="002865A3" w:rsidRDefault="002865A3" w:rsidP="002865A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2865A3">
        <w:rPr>
          <w:rFonts w:ascii="Times New Roman" w:eastAsia="Times New Roman" w:hAnsi="Times New Roman" w:cs="Times New Roman"/>
          <w:b/>
          <w:bCs/>
          <w:kern w:val="0"/>
          <w:sz w:val="24"/>
          <w:szCs w:val="24"/>
          <w:lang w:eastAsia="en-IN"/>
          <w14:ligatures w14:val="none"/>
        </w:rPr>
        <w:t>2023</w:t>
      </w:r>
      <w:r w:rsidRPr="002865A3">
        <w:rPr>
          <w:rFonts w:ascii="Times New Roman" w:eastAsia="Times New Roman" w:hAnsi="Times New Roman" w:cs="Times New Roman"/>
          <w:kern w:val="0"/>
          <w:sz w:val="24"/>
          <w:szCs w:val="24"/>
          <w:lang w:eastAsia="en-IN"/>
          <w14:ligatures w14:val="none"/>
        </w:rPr>
        <w:t>:</w:t>
      </w:r>
      <w:r w:rsidRPr="002865A3">
        <w:rPr>
          <w:rFonts w:ascii="Times New Roman" w:eastAsia="Times New Roman" w:hAnsi="Times New Roman" w:cs="Times New Roman"/>
          <w:kern w:val="0"/>
          <w:sz w:val="24"/>
          <w:szCs w:val="24"/>
          <w:lang w:eastAsia="en-IN"/>
          <w14:ligatures w14:val="none"/>
        </w:rPr>
        <w:br/>
        <w:t>Gross Profit Margin = 11%</w:t>
      </w:r>
    </w:p>
    <w:p w14:paraId="5CCFA251" w14:textId="77777777" w:rsidR="002865A3" w:rsidRPr="000F1720" w:rsidRDefault="002865A3" w:rsidP="002865A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2865A3">
        <w:rPr>
          <w:rFonts w:ascii="Times New Roman" w:eastAsia="Times New Roman" w:hAnsi="Times New Roman" w:cs="Times New Roman"/>
          <w:b/>
          <w:bCs/>
          <w:kern w:val="0"/>
          <w:sz w:val="24"/>
          <w:szCs w:val="24"/>
          <w:lang w:eastAsia="en-IN"/>
          <w14:ligatures w14:val="none"/>
        </w:rPr>
        <w:t>2024</w:t>
      </w:r>
      <w:r w:rsidRPr="002865A3">
        <w:rPr>
          <w:rFonts w:ascii="Times New Roman" w:eastAsia="Times New Roman" w:hAnsi="Times New Roman" w:cs="Times New Roman"/>
          <w:kern w:val="0"/>
          <w:sz w:val="24"/>
          <w:szCs w:val="24"/>
          <w:lang w:eastAsia="en-IN"/>
          <w14:ligatures w14:val="none"/>
        </w:rPr>
        <w:t>:</w:t>
      </w:r>
      <w:r w:rsidRPr="002865A3">
        <w:rPr>
          <w:rFonts w:ascii="Times New Roman" w:eastAsia="Times New Roman" w:hAnsi="Times New Roman" w:cs="Times New Roman"/>
          <w:kern w:val="0"/>
          <w:sz w:val="24"/>
          <w:szCs w:val="24"/>
          <w:lang w:eastAsia="en-IN"/>
          <w14:ligatures w14:val="none"/>
        </w:rPr>
        <w:br/>
        <w:t>Gross Profit Margin = 13%</w:t>
      </w:r>
    </w:p>
    <w:p w14:paraId="0A1A8BA7" w14:textId="77777777" w:rsidR="00F82533" w:rsidRPr="000F1720"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50293779" w14:textId="77777777" w:rsidR="00F82533" w:rsidRPr="000F1720"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74D6CB17" w14:textId="77777777" w:rsidR="00F82533" w:rsidRPr="000F1720"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24F3DF10" w14:textId="77777777" w:rsidR="00F82533" w:rsidRPr="000F1720"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1FD9B85D" w14:textId="77777777" w:rsidR="00F82533" w:rsidRPr="000F1720"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7206E53F" w14:textId="77777777" w:rsidR="00F82533" w:rsidRPr="000F1720"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7D1EE7BA" w14:textId="24AFE781" w:rsidR="00F82533" w:rsidRPr="00205184" w:rsidRDefault="00F82533" w:rsidP="00205184">
      <w:pPr>
        <w:pStyle w:val="ListParagraph"/>
        <w:numPr>
          <w:ilvl w:val="1"/>
          <w:numId w:val="29"/>
        </w:num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Net Profit Margin (%)</w:t>
      </w:r>
      <w:r w:rsidR="00205184">
        <w:rPr>
          <w:rFonts w:ascii="Times New Roman" w:eastAsia="Times New Roman" w:hAnsi="Times New Roman" w:cs="Times New Roman"/>
          <w:b/>
          <w:bCs/>
          <w:kern w:val="0"/>
          <w:sz w:val="24"/>
          <w:szCs w:val="24"/>
          <w:lang w:eastAsia="en-IN"/>
          <w14:ligatures w14:val="none"/>
        </w:rPr>
        <w:br/>
      </w:r>
      <w:r w:rsidR="00205184" w:rsidRPr="00205184">
        <w:rPr>
          <w:rFonts w:ascii="Times New Roman" w:eastAsia="Times New Roman" w:hAnsi="Times New Roman" w:cs="Times New Roman"/>
          <w:kern w:val="0"/>
          <w:sz w:val="24"/>
          <w:szCs w:val="24"/>
          <w:lang w:eastAsia="en-IN"/>
          <w14:ligatures w14:val="none"/>
        </w:rPr>
        <w:t xml:space="preserve">This ratio measures the percentage of revenue remaining after all expenses, taxes, and interest are deducted. It is a comprehensive measure of profitability, highlighting the company’s ability to convert sales into actual profit. A higher net profit margin is typically a sign of a well-managed company, where costs are controlled effectively while still maintaining revenue growth (Brigham &amp; Ehrhardt, 2013). The net profit margin of DCC plc over the past two years will be </w:t>
      </w:r>
      <w:r w:rsidR="00D00BD5">
        <w:rPr>
          <w:rFonts w:ascii="Times New Roman" w:eastAsia="Times New Roman" w:hAnsi="Times New Roman" w:cs="Times New Roman"/>
          <w:kern w:val="0"/>
          <w:sz w:val="24"/>
          <w:szCs w:val="24"/>
          <w:lang w:eastAsia="en-IN"/>
          <w14:ligatures w14:val="none"/>
        </w:rPr>
        <w:t>analysed</w:t>
      </w:r>
      <w:r w:rsidR="00205184" w:rsidRPr="00205184">
        <w:rPr>
          <w:rFonts w:ascii="Times New Roman" w:eastAsia="Times New Roman" w:hAnsi="Times New Roman" w:cs="Times New Roman"/>
          <w:kern w:val="0"/>
          <w:sz w:val="24"/>
          <w:szCs w:val="24"/>
          <w:lang w:eastAsia="en-IN"/>
          <w14:ligatures w14:val="none"/>
        </w:rPr>
        <w:t xml:space="preserve"> to assess the company’s overall profitability after all operational and financial costs. Comparative industry benchmarks will be explored to understand the relative performance of DCC plc (Ho &amp; Wu, 2006</w:t>
      </w:r>
      <w:proofErr w:type="gramStart"/>
      <w:r w:rsidR="00205184" w:rsidRPr="00205184">
        <w:rPr>
          <w:rFonts w:ascii="Times New Roman" w:eastAsia="Times New Roman" w:hAnsi="Times New Roman" w:cs="Times New Roman"/>
          <w:kern w:val="0"/>
          <w:sz w:val="24"/>
          <w:szCs w:val="24"/>
          <w:lang w:eastAsia="en-IN"/>
          <w14:ligatures w14:val="none"/>
        </w:rPr>
        <w:t>).</w:t>
      </w:r>
      <w:r w:rsidRPr="00205184">
        <w:rPr>
          <w:rFonts w:ascii="Times New Roman" w:eastAsia="Times New Roman" w:hAnsi="Times New Roman" w:cs="Times New Roman"/>
          <w:b/>
          <w:bCs/>
          <w:kern w:val="0"/>
          <w:sz w:val="24"/>
          <w:szCs w:val="24"/>
          <w:lang w:eastAsia="en-IN"/>
          <w14:ligatures w14:val="none"/>
        </w:rPr>
        <w:t>Formula</w:t>
      </w:r>
      <w:proofErr w:type="gramEnd"/>
      <w:r w:rsidRPr="00205184">
        <w:rPr>
          <w:rFonts w:ascii="Times New Roman" w:eastAsia="Times New Roman" w:hAnsi="Times New Roman" w:cs="Times New Roman"/>
          <w:kern w:val="0"/>
          <w:sz w:val="24"/>
          <w:szCs w:val="24"/>
          <w:lang w:eastAsia="en-IN"/>
          <w14:ligatures w14:val="none"/>
        </w:rPr>
        <w:t>:</w:t>
      </w:r>
    </w:p>
    <w:p w14:paraId="6EEE3E3F" w14:textId="68717546" w:rsidR="00F82533" w:rsidRPr="00F82533"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proofErr w:type="spellStart"/>
      <w:r w:rsidRPr="00F82533">
        <w:rPr>
          <w:rFonts w:ascii="Times New Roman" w:eastAsia="Times New Roman" w:hAnsi="Times New Roman" w:cs="Times New Roman"/>
          <w:color w:val="000000"/>
          <w:kern w:val="0"/>
          <w:lang w:eastAsia="en-IN"/>
          <w14:ligatures w14:val="none"/>
        </w:rPr>
        <w:t>NetProfit</w:t>
      </w:r>
      <w:proofErr w:type="spellEnd"/>
      <w:r w:rsidRPr="00F82533">
        <w:rPr>
          <w:rFonts w:ascii="Times New Roman" w:eastAsia="Times New Roman" w:hAnsi="Times New Roman" w:cs="Times New Roman"/>
          <w:color w:val="000000"/>
          <w:kern w:val="0"/>
          <w:lang w:eastAsia="en-IN"/>
          <w14:ligatures w14:val="none"/>
        </w:rPr>
        <w:t xml:space="preserve"> / Turnover </w:t>
      </w:r>
      <w:r w:rsidRPr="000F1720">
        <w:rPr>
          <w:rFonts w:ascii="Times New Roman" w:eastAsia="Times New Roman" w:hAnsi="Times New Roman" w:cs="Times New Roman"/>
          <w:color w:val="000000"/>
          <w:kern w:val="0"/>
          <w:lang w:eastAsia="en-IN"/>
          <w14:ligatures w14:val="none"/>
        </w:rPr>
        <w:t>)</w:t>
      </w:r>
      <w:r w:rsidRPr="00F82533">
        <w:rPr>
          <w:rFonts w:ascii="Times New Roman" w:eastAsia="Times New Roman" w:hAnsi="Times New Roman" w:cs="Times New Roman"/>
          <w:color w:val="000000"/>
          <w:kern w:val="0"/>
          <w:lang w:eastAsia="en-IN"/>
          <w14:ligatures w14:val="none"/>
        </w:rPr>
        <w:t>100</w:t>
      </w:r>
    </w:p>
    <w:p w14:paraId="6A726F51" w14:textId="77777777" w:rsidR="00F82533" w:rsidRPr="000F1720" w:rsidRDefault="00F82533" w:rsidP="00205184">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Net Profit Margin = 2%</w:t>
      </w:r>
    </w:p>
    <w:p w14:paraId="60FA3CDF" w14:textId="39DCE60E" w:rsidR="00F82533" w:rsidRPr="000F1720" w:rsidRDefault="00F82533" w:rsidP="00205184">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Net Profit Margin = 2%</w:t>
      </w:r>
    </w:p>
    <w:p w14:paraId="499374E2" w14:textId="7E92EA20" w:rsidR="00F82533" w:rsidRPr="00205184" w:rsidRDefault="00F82533" w:rsidP="00205184">
      <w:pPr>
        <w:pStyle w:val="ListParagraph"/>
        <w:numPr>
          <w:ilvl w:val="1"/>
          <w:numId w:val="30"/>
        </w:num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Return on Capital Employed (ROCE) (%)</w:t>
      </w:r>
      <w:r w:rsidR="00205184">
        <w:rPr>
          <w:rFonts w:ascii="Times New Roman" w:eastAsia="Times New Roman" w:hAnsi="Times New Roman" w:cs="Times New Roman"/>
          <w:b/>
          <w:bCs/>
          <w:kern w:val="0"/>
          <w:sz w:val="24"/>
          <w:szCs w:val="24"/>
          <w:lang w:eastAsia="en-IN"/>
          <w14:ligatures w14:val="none"/>
        </w:rPr>
        <w:br/>
      </w:r>
      <w:r w:rsidR="00205184" w:rsidRPr="00205184">
        <w:rPr>
          <w:rFonts w:ascii="Times New Roman" w:eastAsia="Times New Roman" w:hAnsi="Times New Roman" w:cs="Times New Roman"/>
          <w:kern w:val="0"/>
          <w:sz w:val="24"/>
          <w:szCs w:val="24"/>
          <w:lang w:eastAsia="en-IN"/>
          <w14:ligatures w14:val="none"/>
        </w:rPr>
        <w:t xml:space="preserve">This profitability ratio assesses how efficiently a company is using its capital to generate profits. It is particularly useful in evaluating the efficiency of investments made in capital assets and whether the return justifies the capital deployed (Higgins, 2012). A higher ROCE signifies that the company is effectively utilizing its capital to generate returns. By </w:t>
      </w:r>
      <w:proofErr w:type="spellStart"/>
      <w:r w:rsidR="00205184" w:rsidRPr="00205184">
        <w:rPr>
          <w:rFonts w:ascii="Times New Roman" w:eastAsia="Times New Roman" w:hAnsi="Times New Roman" w:cs="Times New Roman"/>
          <w:kern w:val="0"/>
          <w:sz w:val="24"/>
          <w:szCs w:val="24"/>
          <w:lang w:eastAsia="en-IN"/>
          <w14:ligatures w14:val="none"/>
        </w:rPr>
        <w:t>analyzing</w:t>
      </w:r>
      <w:proofErr w:type="spellEnd"/>
      <w:r w:rsidR="00205184" w:rsidRPr="00205184">
        <w:rPr>
          <w:rFonts w:ascii="Times New Roman" w:eastAsia="Times New Roman" w:hAnsi="Times New Roman" w:cs="Times New Roman"/>
          <w:kern w:val="0"/>
          <w:sz w:val="24"/>
          <w:szCs w:val="24"/>
          <w:lang w:eastAsia="en-IN"/>
          <w14:ligatures w14:val="none"/>
        </w:rPr>
        <w:t xml:space="preserve"> DCC plc’s ROCE for 2023 and 2024, we gain insight into the company’s ability to generate returns from its asset base. Comparative analysis with industry standards (such as those found in the manufacturing industry in Latvia) will help provide a deeper understanding of DCC plc’s capital efficiency (Kotane &amp; </w:t>
      </w:r>
      <w:proofErr w:type="spellStart"/>
      <w:r w:rsidR="00205184" w:rsidRPr="00205184">
        <w:rPr>
          <w:rFonts w:ascii="Times New Roman" w:eastAsia="Times New Roman" w:hAnsi="Times New Roman" w:cs="Times New Roman"/>
          <w:kern w:val="0"/>
          <w:sz w:val="24"/>
          <w:szCs w:val="24"/>
          <w:lang w:eastAsia="en-IN"/>
          <w14:ligatures w14:val="none"/>
        </w:rPr>
        <w:t>Mietule</w:t>
      </w:r>
      <w:proofErr w:type="spellEnd"/>
      <w:r w:rsidR="00205184" w:rsidRPr="00205184">
        <w:rPr>
          <w:rFonts w:ascii="Times New Roman" w:eastAsia="Times New Roman" w:hAnsi="Times New Roman" w:cs="Times New Roman"/>
          <w:kern w:val="0"/>
          <w:sz w:val="24"/>
          <w:szCs w:val="24"/>
          <w:lang w:eastAsia="en-IN"/>
          <w14:ligatures w14:val="none"/>
        </w:rPr>
        <w:t>, 2022</w:t>
      </w:r>
      <w:proofErr w:type="gramStart"/>
      <w:r w:rsidR="00205184" w:rsidRPr="00205184">
        <w:rPr>
          <w:rFonts w:ascii="Times New Roman" w:eastAsia="Times New Roman" w:hAnsi="Times New Roman" w:cs="Times New Roman"/>
          <w:kern w:val="0"/>
          <w:sz w:val="24"/>
          <w:szCs w:val="24"/>
          <w:lang w:eastAsia="en-IN"/>
          <w14:ligatures w14:val="none"/>
        </w:rPr>
        <w:t>).</w:t>
      </w:r>
      <w:r w:rsidRPr="00205184">
        <w:rPr>
          <w:rFonts w:ascii="Times New Roman" w:eastAsia="Times New Roman" w:hAnsi="Times New Roman" w:cs="Times New Roman"/>
          <w:b/>
          <w:bCs/>
          <w:kern w:val="0"/>
          <w:sz w:val="24"/>
          <w:szCs w:val="24"/>
          <w:lang w:eastAsia="en-IN"/>
          <w14:ligatures w14:val="none"/>
        </w:rPr>
        <w:t>Formula</w:t>
      </w:r>
      <w:proofErr w:type="gramEnd"/>
      <w:r w:rsidRPr="00205184">
        <w:rPr>
          <w:rFonts w:ascii="Times New Roman" w:eastAsia="Times New Roman" w:hAnsi="Times New Roman" w:cs="Times New Roman"/>
          <w:kern w:val="0"/>
          <w:sz w:val="24"/>
          <w:szCs w:val="24"/>
          <w:lang w:eastAsia="en-IN"/>
          <w14:ligatures w14:val="none"/>
        </w:rPr>
        <w:t>:</w:t>
      </w:r>
    </w:p>
    <w:p w14:paraId="38F7E469" w14:textId="3AA2AB50" w:rsidR="00F82533" w:rsidRPr="00F82533" w:rsidRDefault="00F82533" w:rsidP="00F82533">
      <w:pPr>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kern w:val="0"/>
          <w:sz w:val="24"/>
          <w:szCs w:val="24"/>
          <w:lang w:eastAsia="en-IN"/>
          <w14:ligatures w14:val="none"/>
        </w:rPr>
        <w:t xml:space="preserve">                           </w:t>
      </w:r>
      <w:r w:rsidRPr="00F82533">
        <w:rPr>
          <w:rFonts w:ascii="Times New Roman" w:eastAsia="Times New Roman" w:hAnsi="Times New Roman" w:cs="Times New Roman"/>
          <w:kern w:val="0"/>
          <w:sz w:val="24"/>
          <w:szCs w:val="24"/>
          <w:lang w:eastAsia="en-IN"/>
          <w14:ligatures w14:val="none"/>
        </w:rPr>
        <w:t>ROCE=</w:t>
      </w:r>
      <w:r w:rsidRPr="000F1720">
        <w:rPr>
          <w:rFonts w:ascii="Times New Roman" w:hAnsi="Times New Roman" w:cs="Times New Roman"/>
          <w:color w:val="000000"/>
        </w:rPr>
        <w:t xml:space="preserve"> </w:t>
      </w:r>
      <w:r w:rsidRPr="000F1720">
        <w:rPr>
          <w:rFonts w:ascii="Times New Roman" w:eastAsia="Times New Roman" w:hAnsi="Times New Roman" w:cs="Times New Roman"/>
          <w:color w:val="000000"/>
          <w:kern w:val="0"/>
          <w:lang w:eastAsia="en-IN"/>
          <w14:ligatures w14:val="none"/>
        </w:rPr>
        <w:t>(Profit before Interest and Tax/Total Asset)100</w:t>
      </w:r>
    </w:p>
    <w:p w14:paraId="19024F9D" w14:textId="77777777" w:rsidR="00F82533" w:rsidRPr="00F82533" w:rsidRDefault="00F82533" w:rsidP="00F8253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lastRenderedPageBreak/>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ROCE = 29.19%</w:t>
      </w:r>
    </w:p>
    <w:p w14:paraId="08B4E7BF" w14:textId="77777777" w:rsidR="00F82533" w:rsidRPr="000F1720" w:rsidRDefault="00F82533" w:rsidP="00F8253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ROCE = 28.51%</w:t>
      </w:r>
    </w:p>
    <w:p w14:paraId="69B5A7D0"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1.4 Operating Profit as a Percentage of Turnover (%)</w:t>
      </w:r>
    </w:p>
    <w:p w14:paraId="78F3D138"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kern w:val="0"/>
          <w:sz w:val="24"/>
          <w:szCs w:val="24"/>
          <w:lang w:eastAsia="en-IN"/>
          <w14:ligatures w14:val="none"/>
        </w:rPr>
        <w:t>This ratio measures the proportion of operating profit generated from the turnover.</w:t>
      </w:r>
    </w:p>
    <w:p w14:paraId="3CAE3872" w14:textId="77777777" w:rsidR="00F82533" w:rsidRPr="000F1720" w:rsidRDefault="00F82533" w:rsidP="00F8253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2A65A37D" w14:textId="30B6F7C5"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Operating</w:t>
      </w: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 xml:space="preserve">Profit / Turnover </w:t>
      </w:r>
      <w:r w:rsidRPr="000F1720">
        <w:rPr>
          <w:rFonts w:ascii="Times New Roman" w:eastAsia="Times New Roman" w:hAnsi="Times New Roman" w:cs="Times New Roman"/>
          <w:color w:val="000000"/>
          <w:kern w:val="0"/>
          <w:lang w:eastAsia="en-IN"/>
          <w14:ligatures w14:val="none"/>
        </w:rPr>
        <w:t>)</w:t>
      </w:r>
      <w:r w:rsidRPr="00F82533">
        <w:rPr>
          <w:rFonts w:ascii="Times New Roman" w:eastAsia="Times New Roman" w:hAnsi="Times New Roman" w:cs="Times New Roman"/>
          <w:color w:val="000000"/>
          <w:kern w:val="0"/>
          <w:lang w:eastAsia="en-IN"/>
          <w14:ligatures w14:val="none"/>
        </w:rPr>
        <w:t>100</w:t>
      </w:r>
    </w:p>
    <w:p w14:paraId="5C0ECDF5" w14:textId="77777777" w:rsidR="00F82533" w:rsidRPr="00F82533" w:rsidRDefault="00F82533" w:rsidP="00F82533">
      <w:pPr>
        <w:spacing w:after="0" w:line="240" w:lineRule="auto"/>
        <w:rPr>
          <w:rFonts w:ascii="Times New Roman" w:eastAsia="Times New Roman" w:hAnsi="Times New Roman" w:cs="Times New Roman"/>
          <w:color w:val="000000"/>
          <w:kern w:val="0"/>
          <w:lang w:eastAsia="en-IN"/>
          <w14:ligatures w14:val="none"/>
        </w:rPr>
      </w:pPr>
    </w:p>
    <w:p w14:paraId="72365E6C" w14:textId="77777777" w:rsidR="00F82533" w:rsidRPr="00F82533" w:rsidRDefault="00F82533" w:rsidP="00F8253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Operating Profit as a % of Turnover = 2%</w:t>
      </w:r>
    </w:p>
    <w:p w14:paraId="2AD13F69" w14:textId="77777777" w:rsidR="00F82533" w:rsidRPr="00F82533" w:rsidRDefault="00F82533" w:rsidP="00F8253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Operating Profit as a % of Turnover = 3%</w:t>
      </w:r>
    </w:p>
    <w:p w14:paraId="2CA0AAF7" w14:textId="77777777" w:rsidR="00F82533" w:rsidRPr="000F1720"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p>
    <w:p w14:paraId="612E3047" w14:textId="77777777" w:rsidR="00F82533" w:rsidRPr="000F1720"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p>
    <w:p w14:paraId="28AC91F8" w14:textId="77777777" w:rsidR="00F82533" w:rsidRPr="000F1720"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p>
    <w:p w14:paraId="6D10E13D" w14:textId="77777777" w:rsidR="00F82533" w:rsidRPr="000F1720"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p>
    <w:p w14:paraId="387A7863" w14:textId="7F68A863"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1.5 Asset Turnover (%)</w:t>
      </w:r>
    </w:p>
    <w:p w14:paraId="4D692E41" w14:textId="53E049B2" w:rsidR="00F82533" w:rsidRPr="00F82533" w:rsidRDefault="0056593D"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56593D">
        <w:rPr>
          <w:rFonts w:ascii="Times New Roman" w:eastAsia="Times New Roman" w:hAnsi="Times New Roman" w:cs="Times New Roman"/>
          <w:kern w:val="0"/>
          <w:sz w:val="24"/>
          <w:szCs w:val="24"/>
          <w:lang w:eastAsia="en-IN"/>
          <w14:ligatures w14:val="none"/>
        </w:rPr>
        <w:t>Return on Equity measures the return generated for shareholders based on their equity investment in the company. It is a key indicator of financial performance and efficiency, as it reflects the company’s ability to generate profits from shareholders' equity (Higgins, 2012)</w:t>
      </w:r>
      <w:r w:rsidR="00F82533" w:rsidRPr="00F82533">
        <w:rPr>
          <w:rFonts w:ascii="Times New Roman" w:eastAsia="Times New Roman" w:hAnsi="Times New Roman" w:cs="Times New Roman"/>
          <w:kern w:val="0"/>
          <w:sz w:val="24"/>
          <w:szCs w:val="24"/>
          <w:lang w:eastAsia="en-IN"/>
          <w14:ligatures w14:val="none"/>
        </w:rPr>
        <w:t>.</w:t>
      </w:r>
    </w:p>
    <w:p w14:paraId="0C67F6E7" w14:textId="4789B91C" w:rsidR="00F82533" w:rsidRPr="000F1720" w:rsidRDefault="00F82533" w:rsidP="00F8253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57874438" w14:textId="1A21C615" w:rsidR="00F82533" w:rsidRPr="00F82533"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Profit before Interest Tax/Total Assets - Current Liabilities</w:t>
      </w:r>
    </w:p>
    <w:p w14:paraId="0B77BD7C" w14:textId="77777777" w:rsidR="00F82533" w:rsidRPr="00F82533" w:rsidRDefault="00F82533" w:rsidP="00F8253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Asset Turnover = 30.23%</w:t>
      </w:r>
    </w:p>
    <w:p w14:paraId="0BACEF0E" w14:textId="77777777" w:rsidR="00F82533" w:rsidRPr="00F82533" w:rsidRDefault="00F82533" w:rsidP="00F8253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Asset Turnover = 29.50%</w:t>
      </w:r>
    </w:p>
    <w:p w14:paraId="045B97A0"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1.6 Return on Owners' Equity (%)</w:t>
      </w:r>
    </w:p>
    <w:p w14:paraId="48D476B1" w14:textId="6D36513E" w:rsidR="00F82533" w:rsidRPr="00F82533" w:rsidRDefault="00D00BD5"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D00BD5">
        <w:rPr>
          <w:rFonts w:ascii="Times New Roman" w:eastAsia="Times New Roman" w:hAnsi="Times New Roman" w:cs="Times New Roman"/>
          <w:kern w:val="0"/>
          <w:sz w:val="24"/>
          <w:szCs w:val="24"/>
          <w:lang w:eastAsia="en-IN"/>
          <w14:ligatures w14:val="none"/>
        </w:rPr>
        <w:t xml:space="preserve">Return on Owners' Equity (ROE) is a financial metric that measures the profitability of a company in generating returns from the equity capital invested by its owners. It assesses how effectively the management utilizes shareholders' funds to generate earnings, providing insight into the company’s ability to create value for its </w:t>
      </w:r>
      <w:proofErr w:type="gramStart"/>
      <w:r w:rsidRPr="00D00BD5">
        <w:rPr>
          <w:rFonts w:ascii="Times New Roman" w:eastAsia="Times New Roman" w:hAnsi="Times New Roman" w:cs="Times New Roman"/>
          <w:kern w:val="0"/>
          <w:sz w:val="24"/>
          <w:szCs w:val="24"/>
          <w:lang w:eastAsia="en-IN"/>
          <w14:ligatures w14:val="none"/>
        </w:rPr>
        <w:t>investors.</w:t>
      </w:r>
      <w:r w:rsidR="00F82533" w:rsidRPr="00F82533">
        <w:rPr>
          <w:rFonts w:ascii="Times New Roman" w:eastAsia="Times New Roman" w:hAnsi="Times New Roman" w:cs="Times New Roman"/>
          <w:kern w:val="0"/>
          <w:sz w:val="24"/>
          <w:szCs w:val="24"/>
          <w:lang w:eastAsia="en-IN"/>
          <w14:ligatures w14:val="none"/>
        </w:rPr>
        <w:t>.</w:t>
      </w:r>
      <w:proofErr w:type="gramEnd"/>
    </w:p>
    <w:p w14:paraId="19DA4C87" w14:textId="77777777" w:rsidR="00F82533" w:rsidRPr="000F1720" w:rsidRDefault="00F82533" w:rsidP="00F8253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lastRenderedPageBreak/>
        <w:t>Formula</w:t>
      </w:r>
      <w:r w:rsidRPr="00F82533">
        <w:rPr>
          <w:rFonts w:ascii="Times New Roman" w:eastAsia="Times New Roman" w:hAnsi="Times New Roman" w:cs="Times New Roman"/>
          <w:kern w:val="0"/>
          <w:sz w:val="24"/>
          <w:szCs w:val="24"/>
          <w:lang w:eastAsia="en-IN"/>
          <w14:ligatures w14:val="none"/>
        </w:rPr>
        <w:t>:</w:t>
      </w:r>
    </w:p>
    <w:p w14:paraId="2E74B13B" w14:textId="63E09F63"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(Profit after interest and Tax/Ordinary Shares + Reserves)100</w:t>
      </w:r>
    </w:p>
    <w:p w14:paraId="77AC16BC" w14:textId="77777777" w:rsidR="00D00BD5" w:rsidRDefault="00D00BD5" w:rsidP="00F82533">
      <w:pPr>
        <w:spacing w:after="0" w:line="240" w:lineRule="auto"/>
        <w:rPr>
          <w:rFonts w:ascii="Times New Roman" w:eastAsia="Times New Roman" w:hAnsi="Times New Roman" w:cs="Times New Roman"/>
          <w:color w:val="000000"/>
          <w:kern w:val="0"/>
          <w:lang w:eastAsia="en-IN"/>
          <w14:ligatures w14:val="none"/>
        </w:rPr>
      </w:pPr>
    </w:p>
    <w:p w14:paraId="720DF957" w14:textId="1FF12362" w:rsidR="00F82533" w:rsidRPr="00F82533" w:rsidRDefault="00D00BD5" w:rsidP="00F82533">
      <w:pPr>
        <w:spacing w:after="0" w:line="240" w:lineRule="auto"/>
        <w:rPr>
          <w:rFonts w:ascii="Times New Roman" w:eastAsia="Times New Roman" w:hAnsi="Times New Roman" w:cs="Times New Roman"/>
          <w:color w:val="000000"/>
          <w:kern w:val="0"/>
          <w:lang w:eastAsia="en-IN"/>
          <w14:ligatures w14:val="none"/>
        </w:rPr>
      </w:pPr>
      <w:r>
        <w:rPr>
          <w:rFonts w:ascii="Times New Roman" w:eastAsia="Times New Roman" w:hAnsi="Times New Roman" w:cs="Times New Roman"/>
          <w:color w:val="000000"/>
          <w:kern w:val="0"/>
          <w:lang w:eastAsia="en-IN"/>
          <w14:ligatures w14:val="none"/>
        </w:rPr>
        <w:t>R</w:t>
      </w:r>
      <w:r w:rsidRPr="00D00BD5">
        <w:rPr>
          <w:rFonts w:ascii="Times New Roman" w:eastAsia="Times New Roman" w:hAnsi="Times New Roman" w:cs="Times New Roman"/>
          <w:color w:val="000000"/>
          <w:kern w:val="0"/>
          <w:lang w:eastAsia="en-IN"/>
          <w14:ligatures w14:val="none"/>
        </w:rPr>
        <w:t>OE is one of the most important investor ratios, as it directly reflects the returns generated on the shareholders' investment. A higher ROE indicates better financial performance and efficient use of equity to drive profitability. Conversely, a declining ROE can signal inefficiencies, higher costs, or underperforming investments.</w:t>
      </w:r>
    </w:p>
    <w:p w14:paraId="07BB5627" w14:textId="77777777" w:rsidR="00F82533" w:rsidRPr="00F82533" w:rsidRDefault="00F82533" w:rsidP="00F8253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Return on Owners' Equity = 24.29%</w:t>
      </w:r>
    </w:p>
    <w:p w14:paraId="38E4B93C" w14:textId="77777777" w:rsidR="00F82533" w:rsidRDefault="00F82533" w:rsidP="00F8253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Return on Owners' Equity = 23.71%</w:t>
      </w:r>
    </w:p>
    <w:p w14:paraId="6FC7BE31" w14:textId="719765C0" w:rsidR="00D00BD5" w:rsidRPr="00D00BD5" w:rsidRDefault="00D00BD5" w:rsidP="00D00BD5">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0BD5">
        <w:rPr>
          <w:rFonts w:ascii="Times New Roman" w:eastAsia="Times New Roman" w:hAnsi="Times New Roman" w:cs="Times New Roman"/>
          <w:kern w:val="0"/>
          <w:sz w:val="24"/>
          <w:szCs w:val="24"/>
          <w:lang w:eastAsia="en-IN"/>
          <w14:ligatures w14:val="none"/>
        </w:rPr>
        <w:t>These results, when compared to industry benchmarks, highlight DCC plc's competitive positioning and its effectiveness in maximizing shareholder returns.</w:t>
      </w:r>
      <w:r w:rsidRPr="00D00BD5">
        <w:rPr>
          <w:rFonts w:ascii="Times New Roman" w:eastAsia="Times New Roman" w:hAnsi="Times New Roman" w:cs="Times New Roman"/>
          <w:kern w:val="0"/>
          <w:sz w:val="24"/>
          <w:szCs w:val="24"/>
          <w:lang w:eastAsia="en-IN"/>
          <w14:ligatures w14:val="none"/>
        </w:rPr>
        <w:br/>
        <w:t>Several factors can influence the ROE, and they must be considered when evaluating the results:</w:t>
      </w:r>
    </w:p>
    <w:p w14:paraId="2DE19331" w14:textId="04F8ABF5" w:rsidR="00D00BD5" w:rsidRPr="00D00BD5" w:rsidRDefault="00D00BD5" w:rsidP="00D00BD5">
      <w:pPr>
        <w:pStyle w:val="ListParagraph"/>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0BD5">
        <w:rPr>
          <w:rFonts w:ascii="Times New Roman" w:eastAsia="Times New Roman" w:hAnsi="Times New Roman" w:cs="Times New Roman"/>
          <w:b/>
          <w:bCs/>
          <w:kern w:val="0"/>
          <w:sz w:val="24"/>
          <w:szCs w:val="24"/>
          <w:lang w:eastAsia="en-IN"/>
          <w14:ligatures w14:val="none"/>
        </w:rPr>
        <w:t>Profit Margin:</w:t>
      </w:r>
      <w:r w:rsidRPr="00D00BD5">
        <w:rPr>
          <w:rFonts w:ascii="Times New Roman" w:eastAsia="Times New Roman" w:hAnsi="Times New Roman" w:cs="Times New Roman"/>
          <w:kern w:val="0"/>
          <w:sz w:val="24"/>
          <w:szCs w:val="24"/>
          <w:lang w:eastAsia="en-IN"/>
          <w14:ligatures w14:val="none"/>
        </w:rPr>
        <w:t xml:space="preserve"> An increase or decrease in net profit directly impacts ROE. Efficient operations and cost management are crucial to maintaining profitability.</w:t>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t>Leverage:</w:t>
      </w:r>
      <w:r w:rsidRPr="00D00BD5">
        <w:rPr>
          <w:rFonts w:ascii="Times New Roman" w:eastAsia="Times New Roman" w:hAnsi="Times New Roman" w:cs="Times New Roman"/>
          <w:kern w:val="0"/>
          <w:sz w:val="24"/>
          <w:szCs w:val="24"/>
          <w:lang w:eastAsia="en-IN"/>
          <w14:ligatures w14:val="none"/>
        </w:rPr>
        <w:t xml:space="preserve"> The company's use of debt to finance growth can amplify returns but may also increase financial risk.</w:t>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t>Asset Turnover:</w:t>
      </w:r>
      <w:r w:rsidRPr="00D00BD5">
        <w:rPr>
          <w:rFonts w:ascii="Times New Roman" w:eastAsia="Times New Roman" w:hAnsi="Times New Roman" w:cs="Times New Roman"/>
          <w:kern w:val="0"/>
          <w:sz w:val="24"/>
          <w:szCs w:val="24"/>
          <w:lang w:eastAsia="en-IN"/>
          <w14:ligatures w14:val="none"/>
        </w:rPr>
        <w:t xml:space="preserve"> The efficiency with which the company uses its assets to generate sales has a significant impact on equity returns.</w:t>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t>Limitations of ROE:</w:t>
      </w:r>
      <w:r w:rsidRPr="00D00BD5">
        <w:rPr>
          <w:rFonts w:ascii="Times New Roman" w:eastAsia="Times New Roman" w:hAnsi="Times New Roman" w:cs="Times New Roman"/>
          <w:kern w:val="0"/>
          <w:sz w:val="24"/>
          <w:szCs w:val="24"/>
          <w:lang w:eastAsia="en-IN"/>
          <w14:ligatures w14:val="none"/>
        </w:rPr>
        <w:br/>
        <w:t>While ROE is a critical metric for evaluating financial performance, its interpretation has limitations:</w:t>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t>Impact of Leverage:</w:t>
      </w:r>
      <w:r w:rsidRPr="00D00BD5">
        <w:rPr>
          <w:rFonts w:ascii="Times New Roman" w:eastAsia="Times New Roman" w:hAnsi="Times New Roman" w:cs="Times New Roman"/>
          <w:kern w:val="0"/>
          <w:sz w:val="24"/>
          <w:szCs w:val="24"/>
          <w:lang w:eastAsia="en-IN"/>
          <w14:ligatures w14:val="none"/>
        </w:rPr>
        <w:t xml:space="preserve"> High ROE may result from excessive debt, not operational efficiency.</w:t>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t>Industry Comparisons:</w:t>
      </w:r>
      <w:r w:rsidRPr="00D00BD5">
        <w:rPr>
          <w:rFonts w:ascii="Times New Roman" w:eastAsia="Times New Roman" w:hAnsi="Times New Roman" w:cs="Times New Roman"/>
          <w:kern w:val="0"/>
          <w:sz w:val="24"/>
          <w:szCs w:val="24"/>
          <w:lang w:eastAsia="en-IN"/>
          <w14:ligatures w14:val="none"/>
        </w:rPr>
        <w:t xml:space="preserve"> Differences in accounting practices or capital structures across industries can distort comparisons.</w:t>
      </w:r>
      <w:r w:rsidRPr="00D00BD5">
        <w:rPr>
          <w:rFonts w:ascii="Times New Roman" w:eastAsia="Times New Roman" w:hAnsi="Times New Roman" w:cs="Times New Roman"/>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br/>
      </w:r>
      <w:r w:rsidRPr="00D00BD5">
        <w:rPr>
          <w:rFonts w:ascii="Times New Roman" w:eastAsia="Times New Roman" w:hAnsi="Times New Roman" w:cs="Times New Roman"/>
          <w:b/>
          <w:bCs/>
          <w:kern w:val="0"/>
          <w:sz w:val="24"/>
          <w:szCs w:val="24"/>
          <w:lang w:eastAsia="en-IN"/>
          <w14:ligatures w14:val="none"/>
        </w:rPr>
        <w:t>Short-term Focus:</w:t>
      </w:r>
      <w:r w:rsidRPr="00D00BD5">
        <w:rPr>
          <w:rFonts w:ascii="Times New Roman" w:eastAsia="Times New Roman" w:hAnsi="Times New Roman" w:cs="Times New Roman"/>
          <w:kern w:val="0"/>
          <w:sz w:val="24"/>
          <w:szCs w:val="24"/>
          <w:lang w:eastAsia="en-IN"/>
          <w14:ligatures w14:val="none"/>
        </w:rPr>
        <w:t xml:space="preserve"> ROE does not always capture the long-term strategic decisions or investments that may benefit shareholders in the future.</w:t>
      </w:r>
    </w:p>
    <w:p w14:paraId="3FEE1FC3" w14:textId="77777777" w:rsidR="00D00BD5" w:rsidRPr="000F1720" w:rsidRDefault="00D00BD5" w:rsidP="00D00BD5">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25058F59" w14:textId="77777777" w:rsidR="00F82533" w:rsidRPr="000F1720"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p>
    <w:p w14:paraId="506BDA04" w14:textId="6B8694C1"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 Liquidity Ratios</w:t>
      </w:r>
    </w:p>
    <w:p w14:paraId="6226FE87" w14:textId="77777777" w:rsidR="00205184" w:rsidRDefault="00205184"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kern w:val="0"/>
          <w:sz w:val="24"/>
          <w:szCs w:val="24"/>
          <w:lang w:eastAsia="en-IN"/>
          <w14:ligatures w14:val="none"/>
        </w:rPr>
        <w:t xml:space="preserve">Liquidity ratios measure a company's ability to meet its short-term obligations with its short-term assets. These ratios are vital for understanding the company’s financial stability and its capacity to manage day-to-day operations effectively. The key </w:t>
      </w:r>
      <w:r w:rsidRPr="00205184">
        <w:rPr>
          <w:rFonts w:ascii="Times New Roman" w:eastAsia="Times New Roman" w:hAnsi="Times New Roman" w:cs="Times New Roman"/>
          <w:kern w:val="0"/>
          <w:sz w:val="24"/>
          <w:szCs w:val="24"/>
          <w:lang w:eastAsia="en-IN"/>
          <w14:ligatures w14:val="none"/>
        </w:rPr>
        <w:lastRenderedPageBreak/>
        <w:t>liquidity ratios calculated for DCC plc are:</w:t>
      </w:r>
      <w:r>
        <w:rPr>
          <w:rFonts w:ascii="Times New Roman" w:eastAsia="Times New Roman" w:hAnsi="Times New Roman" w:cs="Times New Roman"/>
          <w:kern w:val="0"/>
          <w:sz w:val="24"/>
          <w:szCs w:val="24"/>
          <w:lang w:eastAsia="en-IN"/>
          <w14:ligatures w14:val="none"/>
        </w:rPr>
        <w:br/>
      </w:r>
    </w:p>
    <w:p w14:paraId="56F81393" w14:textId="1D7AD000" w:rsidR="00F82533" w:rsidRPr="00205184" w:rsidRDefault="00F82533" w:rsidP="00205184">
      <w:pPr>
        <w:pStyle w:val="ListParagraph"/>
        <w:numPr>
          <w:ilvl w:val="1"/>
          <w:numId w:val="31"/>
        </w:num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Current Ratio</w:t>
      </w:r>
    </w:p>
    <w:p w14:paraId="471C940C" w14:textId="3DD0288B" w:rsidR="00205184" w:rsidRPr="00205184" w:rsidRDefault="00205184" w:rsidP="00205184">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kern w:val="0"/>
          <w:sz w:val="24"/>
          <w:szCs w:val="24"/>
          <w:lang w:eastAsia="en-IN"/>
          <w14:ligatures w14:val="none"/>
        </w:rPr>
        <w:t xml:space="preserve">This ratio measures the company’s ability to pay its short-term liabilities with its short-term assets. A current ratio above 1 indicates that the company has more assets than liabilities in the short term, which is a sign of good liquidity (Brigham &amp; Ehrhardt, 2013). DCC plc's current ratio will be </w:t>
      </w:r>
      <w:r w:rsidR="00D00BD5">
        <w:rPr>
          <w:rFonts w:ascii="Times New Roman" w:eastAsia="Times New Roman" w:hAnsi="Times New Roman" w:cs="Times New Roman"/>
          <w:kern w:val="0"/>
          <w:sz w:val="24"/>
          <w:szCs w:val="24"/>
          <w:lang w:eastAsia="en-IN"/>
          <w14:ligatures w14:val="none"/>
        </w:rPr>
        <w:t>analysed</w:t>
      </w:r>
      <w:r w:rsidRPr="00205184">
        <w:rPr>
          <w:rFonts w:ascii="Times New Roman" w:eastAsia="Times New Roman" w:hAnsi="Times New Roman" w:cs="Times New Roman"/>
          <w:kern w:val="0"/>
          <w:sz w:val="24"/>
          <w:szCs w:val="24"/>
          <w:lang w:eastAsia="en-IN"/>
          <w14:ligatures w14:val="none"/>
        </w:rPr>
        <w:t xml:space="preserve"> for 2023 and 2024 to assess the company's short-term financial health.</w:t>
      </w:r>
    </w:p>
    <w:p w14:paraId="41C76F3F" w14:textId="218003C0" w:rsidR="00F82533" w:rsidRPr="00205184" w:rsidRDefault="00F82533" w:rsidP="00205184">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Formula</w:t>
      </w:r>
      <w:r w:rsidRPr="00205184">
        <w:rPr>
          <w:rFonts w:ascii="Times New Roman" w:eastAsia="Times New Roman" w:hAnsi="Times New Roman" w:cs="Times New Roman"/>
          <w:kern w:val="0"/>
          <w:sz w:val="24"/>
          <w:szCs w:val="24"/>
          <w:lang w:eastAsia="en-IN"/>
          <w14:ligatures w14:val="none"/>
        </w:rPr>
        <w:t>:</w:t>
      </w:r>
    </w:p>
    <w:p w14:paraId="32E3A974" w14:textId="588C4448"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(Current Assets/Current Liabilities)</w:t>
      </w:r>
    </w:p>
    <w:p w14:paraId="726555A8" w14:textId="61591E13" w:rsidR="00F82533" w:rsidRPr="00F82533" w:rsidRDefault="00F82533" w:rsidP="00F8253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Current Ratio = 5.96</w:t>
      </w:r>
    </w:p>
    <w:p w14:paraId="34940518" w14:textId="77777777" w:rsidR="00F82533" w:rsidRPr="00F82533" w:rsidRDefault="00F82533" w:rsidP="00F8253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Current Ratio = 6.89</w:t>
      </w:r>
    </w:p>
    <w:p w14:paraId="7722B313" w14:textId="1E246DC5" w:rsidR="00F82533" w:rsidRPr="000F1720"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p>
    <w:p w14:paraId="3BDBB0F6" w14:textId="239FF784" w:rsidR="00205184" w:rsidRPr="00205184" w:rsidRDefault="00F82533" w:rsidP="00205184">
      <w:pPr>
        <w:pStyle w:val="ListParagraph"/>
        <w:numPr>
          <w:ilvl w:val="1"/>
          <w:numId w:val="31"/>
        </w:num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Quick Ratio</w:t>
      </w:r>
      <w:r w:rsidR="00205184" w:rsidRPr="00205184">
        <w:rPr>
          <w:rFonts w:ascii="Times New Roman" w:eastAsia="Times New Roman" w:hAnsi="Times New Roman" w:cs="Times New Roman"/>
          <w:b/>
          <w:bCs/>
          <w:kern w:val="0"/>
          <w:sz w:val="24"/>
          <w:szCs w:val="24"/>
          <w:lang w:eastAsia="en-IN"/>
          <w14:ligatures w14:val="none"/>
        </w:rPr>
        <w:br/>
      </w:r>
      <w:r w:rsidR="00205184">
        <w:rPr>
          <w:rFonts w:ascii="Times New Roman" w:eastAsia="Times New Roman" w:hAnsi="Times New Roman" w:cs="Times New Roman"/>
          <w:kern w:val="0"/>
          <w:sz w:val="24"/>
          <w:szCs w:val="24"/>
          <w:lang w:eastAsia="en-IN"/>
          <w14:ligatures w14:val="none"/>
        </w:rPr>
        <w:t>T</w:t>
      </w:r>
      <w:r w:rsidR="00205184" w:rsidRPr="00205184">
        <w:rPr>
          <w:rFonts w:ascii="Times New Roman" w:eastAsia="Times New Roman" w:hAnsi="Times New Roman" w:cs="Times New Roman"/>
          <w:kern w:val="0"/>
          <w:sz w:val="24"/>
          <w:szCs w:val="24"/>
          <w:lang w:eastAsia="en-IN"/>
          <w14:ligatures w14:val="none"/>
        </w:rPr>
        <w:t>he quick ratio, also known as the acid-test ratio, is a more stringent measure of liquidity, excluding inventory from current assets. This ratio is important because it evaluates a company's ability to cover its short-term obligations with its most liquid assets (Higgins, 2012). DCC plc’s quick ratio will also be assessed to determine its immediate liquidity position.</w:t>
      </w:r>
    </w:p>
    <w:p w14:paraId="6F8C93EC" w14:textId="7E37C05D" w:rsidR="00F82533" w:rsidRPr="00F82533" w:rsidRDefault="00F82533" w:rsidP="00205184">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7D8B5347" w14:textId="38D0038A"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(Current Assets−Inventory)/Current Liabilities)</w:t>
      </w:r>
    </w:p>
    <w:p w14:paraId="338E277C" w14:textId="093CD385" w:rsidR="00F82533" w:rsidRPr="00F82533" w:rsidRDefault="00F82533" w:rsidP="00205184">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Quick Ratio = 4.80</w:t>
      </w:r>
    </w:p>
    <w:p w14:paraId="6F8D9BFB" w14:textId="77777777" w:rsidR="00F82533" w:rsidRPr="00F82533" w:rsidRDefault="00F82533" w:rsidP="00205184">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Quick Ratio = 5.87</w:t>
      </w:r>
    </w:p>
    <w:p w14:paraId="75E43B98"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p>
    <w:p w14:paraId="6B912A91"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3. Efficiency Ratios</w:t>
      </w:r>
    </w:p>
    <w:p w14:paraId="3B7A15F0" w14:textId="77777777" w:rsidR="00205184" w:rsidRDefault="00205184"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kern w:val="0"/>
          <w:sz w:val="24"/>
          <w:szCs w:val="24"/>
          <w:lang w:eastAsia="en-IN"/>
          <w14:ligatures w14:val="none"/>
        </w:rPr>
        <w:t>Efficiency ratios evaluate how well a company uses its assets and liabilities to generate sales and profits. The following ratios will be discussed in this report:</w:t>
      </w:r>
    </w:p>
    <w:p w14:paraId="135EACC4" w14:textId="1701CF4A"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3.1 Stock Turnover (days)</w:t>
      </w:r>
    </w:p>
    <w:p w14:paraId="3216A216"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kern w:val="0"/>
          <w:sz w:val="24"/>
          <w:szCs w:val="24"/>
          <w:lang w:eastAsia="en-IN"/>
          <w14:ligatures w14:val="none"/>
        </w:rPr>
        <w:t>This ratio measures how many days it takes for DCC PLC to sell its inventory.</w:t>
      </w:r>
    </w:p>
    <w:p w14:paraId="2954F964" w14:textId="77777777" w:rsidR="00F82533" w:rsidRPr="00F82533" w:rsidRDefault="00F82533" w:rsidP="00F82533">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62677AFB" w14:textId="7FC95EF5"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Inventory / Cost</w:t>
      </w:r>
      <w:r w:rsidR="005369D7">
        <w:rPr>
          <w:rFonts w:ascii="Times New Roman" w:eastAsia="Times New Roman" w:hAnsi="Times New Roman" w:cs="Times New Roman"/>
          <w:color w:val="000000"/>
          <w:kern w:val="0"/>
          <w:lang w:eastAsia="en-IN"/>
          <w14:ligatures w14:val="none"/>
        </w:rPr>
        <w:t xml:space="preserve"> </w:t>
      </w:r>
      <w:proofErr w:type="gramStart"/>
      <w:r w:rsidRPr="00F82533">
        <w:rPr>
          <w:rFonts w:ascii="Times New Roman" w:eastAsia="Times New Roman" w:hAnsi="Times New Roman" w:cs="Times New Roman"/>
          <w:color w:val="000000"/>
          <w:kern w:val="0"/>
          <w:lang w:eastAsia="en-IN"/>
          <w14:ligatures w14:val="none"/>
        </w:rPr>
        <w:t>Of</w:t>
      </w:r>
      <w:proofErr w:type="gramEnd"/>
      <w:r w:rsidR="005369D7">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 xml:space="preserve">Sales </w:t>
      </w:r>
      <w:r w:rsidRPr="000F1720">
        <w:rPr>
          <w:rFonts w:ascii="Times New Roman" w:eastAsia="Times New Roman" w:hAnsi="Times New Roman" w:cs="Times New Roman"/>
          <w:color w:val="000000"/>
          <w:kern w:val="0"/>
          <w:lang w:eastAsia="en-IN"/>
          <w14:ligatures w14:val="none"/>
        </w:rPr>
        <w:t>)</w:t>
      </w:r>
      <w:r w:rsidRPr="00F82533">
        <w:rPr>
          <w:rFonts w:ascii="Times New Roman" w:eastAsia="Times New Roman" w:hAnsi="Times New Roman" w:cs="Times New Roman"/>
          <w:color w:val="000000"/>
          <w:kern w:val="0"/>
          <w:lang w:eastAsia="en-IN"/>
          <w14:ligatures w14:val="none"/>
        </w:rPr>
        <w:t>365</w:t>
      </w:r>
    </w:p>
    <w:p w14:paraId="1D87E092" w14:textId="77777777"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p>
    <w:p w14:paraId="07B51985" w14:textId="74EDD093" w:rsidR="00F82533" w:rsidRPr="00F82533" w:rsidRDefault="00F82533" w:rsidP="00F82533">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Stock Turnover = 1.09 days</w:t>
      </w:r>
    </w:p>
    <w:p w14:paraId="49A0B152" w14:textId="77777777" w:rsidR="00F82533" w:rsidRPr="00F82533" w:rsidRDefault="00F82533" w:rsidP="00F82533">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Stock Turnover = 1.08 days</w:t>
      </w:r>
    </w:p>
    <w:p w14:paraId="34BF84DC"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3.2 Debtor Collection (days)</w:t>
      </w:r>
    </w:p>
    <w:p w14:paraId="3258BF3E"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kern w:val="0"/>
          <w:sz w:val="24"/>
          <w:szCs w:val="24"/>
          <w:lang w:eastAsia="en-IN"/>
          <w14:ligatures w14:val="none"/>
        </w:rPr>
        <w:t>This ratio measures how long it takes to collect payments from customers.</w:t>
      </w:r>
    </w:p>
    <w:p w14:paraId="11AD86C4" w14:textId="77777777" w:rsidR="00F82533" w:rsidRPr="00F82533" w:rsidRDefault="00F82533" w:rsidP="00F82533">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4917CD7E" w14:textId="6B4CCC0C"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kern w:val="0"/>
          <w:sz w:val="24"/>
          <w:szCs w:val="24"/>
          <w:lang w:eastAsia="en-IN"/>
          <w14:ligatures w14:val="none"/>
        </w:rPr>
        <w:t>Debtor Collection (days)=ReceivablesTurnover×365Debtor \ Collection \ (days) = \</w:t>
      </w:r>
      <w:proofErr w:type="gramStart"/>
      <w:r w:rsidRPr="00F82533">
        <w:rPr>
          <w:rFonts w:ascii="Times New Roman" w:eastAsia="Times New Roman" w:hAnsi="Times New Roman" w:cs="Times New Roman"/>
          <w:kern w:val="0"/>
          <w:sz w:val="24"/>
          <w:szCs w:val="24"/>
          <w:lang w:eastAsia="en-IN"/>
          <w14:ligatures w14:val="none"/>
        </w:rPr>
        <w:t>frac{</w:t>
      </w:r>
      <w:proofErr w:type="gramEnd"/>
      <w:r w:rsidRPr="00F82533">
        <w:rPr>
          <w:rFonts w:ascii="Times New Roman" w:eastAsia="Times New Roman" w:hAnsi="Times New Roman" w:cs="Times New Roman"/>
          <w:kern w:val="0"/>
          <w:sz w:val="24"/>
          <w:szCs w:val="24"/>
          <w:lang w:eastAsia="en-IN"/>
          <w14:ligatures w14:val="none"/>
        </w:rPr>
        <w:t>Receivables}{Turnover} \times 365Debtor Collection (days)=Turnover</w:t>
      </w:r>
      <w:r w:rsidR="005369D7">
        <w:rPr>
          <w:rFonts w:ascii="Times New Roman" w:eastAsia="Times New Roman" w:hAnsi="Times New Roman" w:cs="Times New Roman"/>
          <w:kern w:val="0"/>
          <w:sz w:val="24"/>
          <w:szCs w:val="24"/>
          <w:lang w:eastAsia="en-IN"/>
          <w14:ligatures w14:val="none"/>
        </w:rPr>
        <w:t xml:space="preserve"> </w:t>
      </w:r>
      <w:r w:rsidRPr="00F82533">
        <w:rPr>
          <w:rFonts w:ascii="Times New Roman" w:eastAsia="Times New Roman" w:hAnsi="Times New Roman" w:cs="Times New Roman"/>
          <w:kern w:val="0"/>
          <w:sz w:val="24"/>
          <w:szCs w:val="24"/>
          <w:lang w:eastAsia="en-IN"/>
          <w14:ligatures w14:val="none"/>
        </w:rPr>
        <w:t>Receivables​×365</w:t>
      </w:r>
    </w:p>
    <w:p w14:paraId="31332EC5" w14:textId="77777777" w:rsidR="00F82533" w:rsidRPr="00F82533" w:rsidRDefault="00F82533" w:rsidP="00F82533">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Debtor Collection = 0.84 days</w:t>
      </w:r>
    </w:p>
    <w:p w14:paraId="12FFC16F" w14:textId="3F942EC7" w:rsidR="000F1720" w:rsidRDefault="00F82533" w:rsidP="000F1720">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Debtor Collection = 0.92 days</w:t>
      </w:r>
    </w:p>
    <w:p w14:paraId="42354563" w14:textId="3C5A8789" w:rsidR="000F1720" w:rsidRPr="00F82533" w:rsidRDefault="000F1720" w:rsidP="000F1720">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p>
    <w:p w14:paraId="7D8F81AB"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3.3 Creditor Payment (days)</w:t>
      </w:r>
    </w:p>
    <w:p w14:paraId="056E7ADB" w14:textId="77777777"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kern w:val="0"/>
          <w:sz w:val="24"/>
          <w:szCs w:val="24"/>
          <w:lang w:eastAsia="en-IN"/>
          <w14:ligatures w14:val="none"/>
        </w:rPr>
        <w:t>This ratio measures how long it takes to pay suppliers.</w:t>
      </w:r>
    </w:p>
    <w:p w14:paraId="7A6BCF3D" w14:textId="77777777" w:rsidR="00F82533" w:rsidRPr="00F82533" w:rsidRDefault="00F82533" w:rsidP="00F82533">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14FA5365" w14:textId="2ED471B0"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kern w:val="0"/>
          <w:sz w:val="24"/>
          <w:szCs w:val="24"/>
          <w:lang w:eastAsia="en-IN"/>
          <w14:ligatures w14:val="none"/>
        </w:rPr>
        <w:t>Creditor Payment (days)=</w:t>
      </w:r>
      <w:proofErr w:type="spellStart"/>
      <w:r w:rsidRPr="00F82533">
        <w:rPr>
          <w:rFonts w:ascii="Times New Roman" w:eastAsia="Times New Roman" w:hAnsi="Times New Roman" w:cs="Times New Roman"/>
          <w:kern w:val="0"/>
          <w:sz w:val="24"/>
          <w:szCs w:val="24"/>
          <w:lang w:eastAsia="en-IN"/>
          <w14:ligatures w14:val="none"/>
        </w:rPr>
        <w:t>PayablesCost</w:t>
      </w:r>
      <w:proofErr w:type="spellEnd"/>
      <w:r w:rsidRPr="00F82533">
        <w:rPr>
          <w:rFonts w:ascii="Times New Roman" w:eastAsia="Times New Roman" w:hAnsi="Times New Roman" w:cs="Times New Roman"/>
          <w:kern w:val="0"/>
          <w:sz w:val="24"/>
          <w:szCs w:val="24"/>
          <w:lang w:eastAsia="en-IN"/>
          <w14:ligatures w14:val="none"/>
        </w:rPr>
        <w:t> of Sales×365Creditor \ Payment \ (days) = {Payables</w:t>
      </w:r>
      <w:proofErr w:type="gramStart"/>
      <w:r w:rsidRPr="00F82533">
        <w:rPr>
          <w:rFonts w:ascii="Times New Roman" w:eastAsia="Times New Roman" w:hAnsi="Times New Roman" w:cs="Times New Roman"/>
          <w:kern w:val="0"/>
          <w:sz w:val="24"/>
          <w:szCs w:val="24"/>
          <w:lang w:eastAsia="en-IN"/>
          <w14:ligatures w14:val="none"/>
        </w:rPr>
        <w:t>}{</w:t>
      </w:r>
      <w:proofErr w:type="gramEnd"/>
      <w:r w:rsidRPr="00F82533">
        <w:rPr>
          <w:rFonts w:ascii="Times New Roman" w:eastAsia="Times New Roman" w:hAnsi="Times New Roman" w:cs="Times New Roman"/>
          <w:kern w:val="0"/>
          <w:sz w:val="24"/>
          <w:szCs w:val="24"/>
          <w:lang w:eastAsia="en-IN"/>
          <w14:ligatures w14:val="none"/>
        </w:rPr>
        <w:t>Cost \ of \ Sales} 365Creditor Payment (days)=Cost of </w:t>
      </w:r>
      <w:proofErr w:type="spellStart"/>
      <w:r w:rsidRPr="00F82533">
        <w:rPr>
          <w:rFonts w:ascii="Times New Roman" w:eastAsia="Times New Roman" w:hAnsi="Times New Roman" w:cs="Times New Roman"/>
          <w:kern w:val="0"/>
          <w:sz w:val="24"/>
          <w:szCs w:val="24"/>
          <w:lang w:eastAsia="en-IN"/>
          <w14:ligatures w14:val="none"/>
        </w:rPr>
        <w:t>SalesPayables</w:t>
      </w:r>
      <w:proofErr w:type="spellEnd"/>
      <w:r w:rsidRPr="00F82533">
        <w:rPr>
          <w:rFonts w:ascii="Times New Roman" w:eastAsia="Times New Roman" w:hAnsi="Times New Roman" w:cs="Times New Roman"/>
          <w:kern w:val="0"/>
          <w:sz w:val="24"/>
          <w:szCs w:val="24"/>
          <w:lang w:eastAsia="en-IN"/>
          <w14:ligatures w14:val="none"/>
        </w:rPr>
        <w:t>​×365</w:t>
      </w:r>
    </w:p>
    <w:p w14:paraId="625E0376" w14:textId="77777777" w:rsidR="00F82533" w:rsidRPr="00F82533" w:rsidRDefault="00F82533" w:rsidP="00F82533">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Creditor Payment = 26.32 days</w:t>
      </w:r>
    </w:p>
    <w:p w14:paraId="4BB7A16E" w14:textId="77777777" w:rsidR="00F82533" w:rsidRPr="00F82533" w:rsidRDefault="00F82533" w:rsidP="00F82533">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Creditor Payment = 30.38 days</w:t>
      </w:r>
    </w:p>
    <w:p w14:paraId="594F77D5" w14:textId="6AF84A92" w:rsidR="00F82533" w:rsidRPr="00F82533" w:rsidRDefault="00F82533" w:rsidP="00F82533">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p>
    <w:p w14:paraId="122B553B" w14:textId="77777777" w:rsidR="00F82533" w:rsidRPr="00F82533"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4. Gearing Ratios</w:t>
      </w:r>
    </w:p>
    <w:p w14:paraId="2155204B" w14:textId="77777777" w:rsidR="00205184" w:rsidRDefault="00205184" w:rsidP="00F82533">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kern w:val="0"/>
          <w:sz w:val="24"/>
          <w:szCs w:val="24"/>
          <w:lang w:eastAsia="en-IN"/>
          <w14:ligatures w14:val="none"/>
        </w:rPr>
        <w:t>Gearing ratios assess the proportion of a company’s capital that is funded through debt, highlighting the financial risk associated with the company's capital structure. The two key gearing ratios calculated for DCC plc are:</w:t>
      </w:r>
      <w:r>
        <w:rPr>
          <w:rFonts w:ascii="Times New Roman" w:eastAsia="Times New Roman" w:hAnsi="Times New Roman" w:cs="Times New Roman"/>
          <w:kern w:val="0"/>
          <w:sz w:val="24"/>
          <w:szCs w:val="24"/>
          <w:lang w:eastAsia="en-IN"/>
          <w14:ligatures w14:val="none"/>
        </w:rPr>
        <w:br/>
      </w:r>
    </w:p>
    <w:p w14:paraId="53568385" w14:textId="1FF1FBC9" w:rsidR="00F82533" w:rsidRPr="00F82533"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4.1 Gearing Ratio (%)</w:t>
      </w:r>
    </w:p>
    <w:p w14:paraId="390067B3" w14:textId="77777777" w:rsidR="00F82533" w:rsidRPr="00F82533" w:rsidRDefault="00F82533" w:rsidP="00F82533">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kern w:val="0"/>
          <w:sz w:val="24"/>
          <w:szCs w:val="24"/>
          <w:lang w:eastAsia="en-IN"/>
          <w14:ligatures w14:val="none"/>
        </w:rPr>
        <w:lastRenderedPageBreak/>
        <w:t>This ratio shows the proportion of the company’s debt relative to its equity.</w:t>
      </w:r>
    </w:p>
    <w:p w14:paraId="5F970475" w14:textId="77777777" w:rsidR="00F82533" w:rsidRPr="00F82533" w:rsidRDefault="00F82533" w:rsidP="00F82533">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7E386801" w14:textId="6B039E38"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w:t>
      </w:r>
      <w:proofErr w:type="spellStart"/>
      <w:r w:rsidRPr="00F82533">
        <w:rPr>
          <w:rFonts w:ascii="Times New Roman" w:eastAsia="Times New Roman" w:hAnsi="Times New Roman" w:cs="Times New Roman"/>
          <w:color w:val="000000"/>
          <w:kern w:val="0"/>
          <w:lang w:eastAsia="en-IN"/>
          <w14:ligatures w14:val="none"/>
        </w:rPr>
        <w:t>LongTermBorrowings</w:t>
      </w:r>
      <w:proofErr w:type="spellEnd"/>
      <w:r w:rsidRPr="00F82533">
        <w:rPr>
          <w:rFonts w:ascii="Times New Roman" w:eastAsia="Times New Roman" w:hAnsi="Times New Roman" w:cs="Times New Roman"/>
          <w:color w:val="000000"/>
          <w:kern w:val="0"/>
          <w:lang w:eastAsia="en-IN"/>
          <w14:ligatures w14:val="none"/>
        </w:rPr>
        <w:t xml:space="preserve"> / (</w:t>
      </w:r>
      <w:proofErr w:type="spellStart"/>
      <w:r w:rsidRPr="00F82533">
        <w:rPr>
          <w:rFonts w:ascii="Times New Roman" w:eastAsia="Times New Roman" w:hAnsi="Times New Roman" w:cs="Times New Roman"/>
          <w:color w:val="000000"/>
          <w:kern w:val="0"/>
          <w:lang w:eastAsia="en-IN"/>
          <w14:ligatures w14:val="none"/>
        </w:rPr>
        <w:t>LongTermBorrowings</w:t>
      </w:r>
      <w:proofErr w:type="spellEnd"/>
      <w:r w:rsidRPr="00F82533">
        <w:rPr>
          <w:rFonts w:ascii="Times New Roman" w:eastAsia="Times New Roman" w:hAnsi="Times New Roman" w:cs="Times New Roman"/>
          <w:color w:val="000000"/>
          <w:kern w:val="0"/>
          <w:lang w:eastAsia="en-IN"/>
          <w14:ligatures w14:val="none"/>
        </w:rPr>
        <w:t xml:space="preserve"> + </w:t>
      </w:r>
      <w:proofErr w:type="spellStart"/>
      <w:r w:rsidRPr="00F82533">
        <w:rPr>
          <w:rFonts w:ascii="Times New Roman" w:eastAsia="Times New Roman" w:hAnsi="Times New Roman" w:cs="Times New Roman"/>
          <w:color w:val="000000"/>
          <w:kern w:val="0"/>
          <w:lang w:eastAsia="en-IN"/>
          <w14:ligatures w14:val="none"/>
        </w:rPr>
        <w:t>ShareholdersEquity</w:t>
      </w:r>
      <w:proofErr w:type="spellEnd"/>
      <w:r w:rsidRPr="00F82533">
        <w:rPr>
          <w:rFonts w:ascii="Times New Roman" w:eastAsia="Times New Roman" w:hAnsi="Times New Roman" w:cs="Times New Roman"/>
          <w:color w:val="000000"/>
          <w:kern w:val="0"/>
          <w:lang w:eastAsia="en-IN"/>
          <w14:ligatures w14:val="none"/>
        </w:rPr>
        <w:t>)100</w:t>
      </w:r>
      <w:r w:rsidRPr="000F1720">
        <w:rPr>
          <w:rFonts w:ascii="Times New Roman" w:eastAsia="Times New Roman" w:hAnsi="Times New Roman" w:cs="Times New Roman"/>
          <w:color w:val="000000"/>
          <w:kern w:val="0"/>
          <w:lang w:eastAsia="en-IN"/>
          <w14:ligatures w14:val="none"/>
        </w:rPr>
        <w:t xml:space="preserve"> </w:t>
      </w:r>
    </w:p>
    <w:p w14:paraId="037A0E80" w14:textId="1B2F3CB3" w:rsidR="00F82533" w:rsidRPr="00F82533" w:rsidRDefault="00F82533" w:rsidP="00F82533">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Gearing Ratio = 57.53%</w:t>
      </w:r>
    </w:p>
    <w:p w14:paraId="7C8AFE6B" w14:textId="77777777" w:rsidR="00F82533" w:rsidRPr="00F82533" w:rsidRDefault="00F82533" w:rsidP="00F82533">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Gearing Ratio = 52.30%</w:t>
      </w:r>
    </w:p>
    <w:p w14:paraId="0D505500" w14:textId="01E54CA7" w:rsidR="00F82533" w:rsidRPr="00205184" w:rsidRDefault="00F82533" w:rsidP="00205184">
      <w:pPr>
        <w:pStyle w:val="ListParagraph"/>
        <w:numPr>
          <w:ilvl w:val="1"/>
          <w:numId w:val="32"/>
        </w:num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205184">
        <w:rPr>
          <w:rFonts w:ascii="Times New Roman" w:eastAsia="Times New Roman" w:hAnsi="Times New Roman" w:cs="Times New Roman"/>
          <w:b/>
          <w:bCs/>
          <w:kern w:val="0"/>
          <w:sz w:val="24"/>
          <w:szCs w:val="24"/>
          <w:lang w:eastAsia="en-IN"/>
          <w14:ligatures w14:val="none"/>
        </w:rPr>
        <w:t>Debt to Equity (%)</w:t>
      </w:r>
      <w:r w:rsidR="00205184" w:rsidRPr="00205184">
        <w:rPr>
          <w:rFonts w:ascii="Times New Roman" w:eastAsia="Times New Roman" w:hAnsi="Times New Roman" w:cs="Times New Roman"/>
          <w:b/>
          <w:bCs/>
          <w:kern w:val="0"/>
          <w:sz w:val="24"/>
          <w:szCs w:val="24"/>
          <w:lang w:eastAsia="en-IN"/>
          <w14:ligatures w14:val="none"/>
        </w:rPr>
        <w:br/>
      </w:r>
      <w:r w:rsidR="00205184" w:rsidRPr="00205184">
        <w:rPr>
          <w:rFonts w:ascii="Times New Roman" w:eastAsia="Times New Roman" w:hAnsi="Times New Roman" w:cs="Times New Roman"/>
          <w:kern w:val="0"/>
          <w:sz w:val="24"/>
          <w:szCs w:val="24"/>
          <w:lang w:eastAsia="en-IN"/>
          <w14:ligatures w14:val="none"/>
        </w:rPr>
        <w:t xml:space="preserve">This ratio compares a company’s total liabilities to its shareholders' equity, indicating the degree to which the company is financed by debt. A higher ratio suggests higher financial risk, but it can also reflect the company's ability to leverage debt for growth (Brigham &amp; Ehrhardt, 2013). The debt-to-equity ratio of DCC plc will be </w:t>
      </w:r>
      <w:r w:rsidR="00D00BD5">
        <w:rPr>
          <w:rFonts w:ascii="Times New Roman" w:eastAsia="Times New Roman" w:hAnsi="Times New Roman" w:cs="Times New Roman"/>
          <w:kern w:val="0"/>
          <w:sz w:val="24"/>
          <w:szCs w:val="24"/>
          <w:lang w:eastAsia="en-IN"/>
          <w14:ligatures w14:val="none"/>
        </w:rPr>
        <w:t>analysed</w:t>
      </w:r>
      <w:r w:rsidR="00205184" w:rsidRPr="00205184">
        <w:rPr>
          <w:rFonts w:ascii="Times New Roman" w:eastAsia="Times New Roman" w:hAnsi="Times New Roman" w:cs="Times New Roman"/>
          <w:kern w:val="0"/>
          <w:sz w:val="24"/>
          <w:szCs w:val="24"/>
          <w:lang w:eastAsia="en-IN"/>
          <w14:ligatures w14:val="none"/>
        </w:rPr>
        <w:t xml:space="preserve"> for 2023 and 2024.</w:t>
      </w:r>
      <w:r w:rsidRPr="00205184">
        <w:rPr>
          <w:rFonts w:ascii="Times New Roman" w:eastAsia="Times New Roman" w:hAnsi="Times New Roman" w:cs="Times New Roman"/>
          <w:b/>
          <w:bCs/>
          <w:kern w:val="0"/>
          <w:sz w:val="24"/>
          <w:szCs w:val="24"/>
          <w:lang w:eastAsia="en-IN"/>
          <w14:ligatures w14:val="none"/>
        </w:rPr>
        <w:t>Formula</w:t>
      </w:r>
      <w:r w:rsidRPr="00205184">
        <w:rPr>
          <w:rFonts w:ascii="Times New Roman" w:eastAsia="Times New Roman" w:hAnsi="Times New Roman" w:cs="Times New Roman"/>
          <w:kern w:val="0"/>
          <w:sz w:val="24"/>
          <w:szCs w:val="24"/>
          <w:lang w:eastAsia="en-IN"/>
          <w14:ligatures w14:val="none"/>
        </w:rPr>
        <w:t>:</w:t>
      </w:r>
    </w:p>
    <w:p w14:paraId="32224FD9" w14:textId="7D279266" w:rsidR="00F82533" w:rsidRPr="000F1720" w:rsidRDefault="00F82533" w:rsidP="00F82533">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(Total Liabilities/Equity)</w:t>
      </w:r>
      <w:r w:rsidRPr="000F1720">
        <w:rPr>
          <w:rFonts w:ascii="Times New Roman" w:eastAsia="Times New Roman" w:hAnsi="Times New Roman" w:cs="Times New Roman"/>
          <w:color w:val="000000"/>
          <w:kern w:val="0"/>
          <w:lang w:eastAsia="en-IN"/>
          <w14:ligatures w14:val="none"/>
        </w:rPr>
        <w:t xml:space="preserve"> </w:t>
      </w:r>
      <w:r w:rsidRPr="00F82533">
        <w:rPr>
          <w:rFonts w:ascii="Times New Roman" w:eastAsia="Times New Roman" w:hAnsi="Times New Roman" w:cs="Times New Roman"/>
          <w:color w:val="000000"/>
          <w:kern w:val="0"/>
          <w:lang w:eastAsia="en-IN"/>
          <w14:ligatures w14:val="none"/>
        </w:rPr>
        <w:t>100</w:t>
      </w:r>
    </w:p>
    <w:p w14:paraId="7EAC034A" w14:textId="04D9C9E0" w:rsidR="00F82533" w:rsidRPr="00F82533" w:rsidRDefault="00F82533" w:rsidP="00F82533">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Debt to Equity = 3.19%</w:t>
      </w:r>
    </w:p>
    <w:p w14:paraId="28073D26" w14:textId="4B30F509" w:rsidR="00F82533" w:rsidRPr="00F82533" w:rsidRDefault="00F82533" w:rsidP="00F82533">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Debt to Equity = 3.58%</w:t>
      </w:r>
    </w:p>
    <w:p w14:paraId="3E5036EF" w14:textId="77777777" w:rsidR="00F82533" w:rsidRPr="00F82533" w:rsidRDefault="00F82533" w:rsidP="00F82533">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62316672" w14:textId="77777777" w:rsidR="00F82533" w:rsidRPr="00F82533"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5. Investor Ratios</w:t>
      </w:r>
    </w:p>
    <w:p w14:paraId="62BCC812" w14:textId="0DA402CE" w:rsidR="0056593D" w:rsidRPr="0056593D" w:rsidRDefault="0056593D" w:rsidP="0056593D">
      <w:pPr>
        <w:rPr>
          <w:rFonts w:ascii="Times New Roman" w:eastAsia="Times New Roman" w:hAnsi="Times New Roman" w:cs="Times New Roman"/>
          <w:kern w:val="0"/>
          <w:sz w:val="24"/>
          <w:szCs w:val="24"/>
          <w:lang w:eastAsia="en-IN"/>
          <w14:ligatures w14:val="none"/>
        </w:rPr>
      </w:pPr>
      <w:r w:rsidRPr="0056593D">
        <w:rPr>
          <w:rFonts w:ascii="Times New Roman" w:eastAsia="Times New Roman" w:hAnsi="Times New Roman" w:cs="Times New Roman"/>
          <w:kern w:val="0"/>
          <w:sz w:val="24"/>
          <w:szCs w:val="24"/>
          <w:lang w:eastAsia="en-IN"/>
          <w14:ligatures w14:val="none"/>
        </w:rPr>
        <w:t xml:space="preserve">Investor ratios are essential for evaluating how attractive a company is to investors. These ratios highlight the returns that shareholders can expect and the company’s market valuation relative to its performance. The key investor ratios </w:t>
      </w:r>
      <w:r w:rsidR="00D00BD5">
        <w:rPr>
          <w:rFonts w:ascii="Times New Roman" w:eastAsia="Times New Roman" w:hAnsi="Times New Roman" w:cs="Times New Roman"/>
          <w:kern w:val="0"/>
          <w:sz w:val="24"/>
          <w:szCs w:val="24"/>
          <w:lang w:eastAsia="en-IN"/>
          <w14:ligatures w14:val="none"/>
        </w:rPr>
        <w:t>analysed</w:t>
      </w:r>
      <w:r w:rsidRPr="0056593D">
        <w:rPr>
          <w:rFonts w:ascii="Times New Roman" w:eastAsia="Times New Roman" w:hAnsi="Times New Roman" w:cs="Times New Roman"/>
          <w:kern w:val="0"/>
          <w:sz w:val="24"/>
          <w:szCs w:val="24"/>
          <w:lang w:eastAsia="en-IN"/>
          <w14:ligatures w14:val="none"/>
        </w:rPr>
        <w:t xml:space="preserve"> for DCC plc include:</w:t>
      </w:r>
    </w:p>
    <w:p w14:paraId="125C2EB8" w14:textId="77777777" w:rsidR="00F82533" w:rsidRPr="00F82533"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5.1 Earnings Per Share (EPS)</w:t>
      </w:r>
    </w:p>
    <w:p w14:paraId="5B7B4982" w14:textId="77777777" w:rsidR="0056593D" w:rsidRDefault="0056593D" w:rsidP="00F82533">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56593D">
        <w:rPr>
          <w:rFonts w:ascii="Times New Roman" w:eastAsia="Times New Roman" w:hAnsi="Times New Roman" w:cs="Times New Roman"/>
          <w:kern w:val="0"/>
          <w:sz w:val="24"/>
          <w:szCs w:val="24"/>
          <w:lang w:eastAsia="en-IN"/>
          <w14:ligatures w14:val="none"/>
        </w:rPr>
        <w:t>EPS shows the portion of a company's profit allocated to each outstanding share of common stock. It provides insight into the company’s profitability from an investor's perspective (Brigham &amp; Ehrhardt, 2013). EPS is a key metric for evaluating the returns shareholders receive per share held, which is crucial for assessing the performance of DCC plc over the fiscal years 2023 and 2024. A comparative analysis with industry benchmarks and previous years will highlight the company's profitability trends.</w:t>
      </w:r>
    </w:p>
    <w:p w14:paraId="145C75FC" w14:textId="77777777" w:rsidR="0056593D" w:rsidRDefault="0056593D" w:rsidP="0056593D">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p>
    <w:p w14:paraId="74492B91" w14:textId="23BFE90E" w:rsidR="00F82533" w:rsidRPr="000F1720" w:rsidRDefault="00F82533" w:rsidP="00F82533">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5CC97938" w14:textId="3DB47B1F" w:rsidR="00F82533" w:rsidRPr="00F82533" w:rsidRDefault="000F1720" w:rsidP="000F1720">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proofErr w:type="spellStart"/>
      <w:r w:rsidRPr="000F1720">
        <w:rPr>
          <w:rFonts w:ascii="Times New Roman" w:eastAsia="Times New Roman" w:hAnsi="Times New Roman" w:cs="Times New Roman"/>
          <w:color w:val="000000"/>
          <w:kern w:val="0"/>
          <w:lang w:eastAsia="en-IN"/>
          <w14:ligatures w14:val="none"/>
        </w:rPr>
        <w:t>NetProfit</w:t>
      </w:r>
      <w:proofErr w:type="spellEnd"/>
      <w:r w:rsidRPr="000F1720">
        <w:rPr>
          <w:rFonts w:ascii="Times New Roman" w:eastAsia="Times New Roman" w:hAnsi="Times New Roman" w:cs="Times New Roman"/>
          <w:color w:val="000000"/>
          <w:kern w:val="0"/>
          <w:lang w:eastAsia="en-IN"/>
          <w14:ligatures w14:val="none"/>
        </w:rPr>
        <w:t xml:space="preserve"> / </w:t>
      </w:r>
      <w:proofErr w:type="spellStart"/>
      <w:proofErr w:type="gramStart"/>
      <w:r w:rsidRPr="000F1720">
        <w:rPr>
          <w:rFonts w:ascii="Times New Roman" w:eastAsia="Times New Roman" w:hAnsi="Times New Roman" w:cs="Times New Roman"/>
          <w:color w:val="000000"/>
          <w:kern w:val="0"/>
          <w:lang w:eastAsia="en-IN"/>
          <w14:ligatures w14:val="none"/>
        </w:rPr>
        <w:t>No.Shares</w:t>
      </w:r>
      <w:proofErr w:type="spellEnd"/>
      <w:proofErr w:type="gramEnd"/>
    </w:p>
    <w:p w14:paraId="383C3D00" w14:textId="77777777" w:rsidR="00F82533" w:rsidRPr="00F82533" w:rsidRDefault="00F82533" w:rsidP="00F82533">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lastRenderedPageBreak/>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EPS = £3.42</w:t>
      </w:r>
    </w:p>
    <w:p w14:paraId="79FCF2CD" w14:textId="77777777" w:rsidR="00F82533" w:rsidRPr="00F82533" w:rsidRDefault="00F82533" w:rsidP="00F82533">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EPS = £3.45</w:t>
      </w:r>
    </w:p>
    <w:p w14:paraId="77FB9F73" w14:textId="77777777" w:rsidR="00F82533" w:rsidRPr="00F82533"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5.2 Dividend Cover</w:t>
      </w:r>
    </w:p>
    <w:p w14:paraId="0B20FE16" w14:textId="70D9892D" w:rsidR="00F82533" w:rsidRPr="00F82533" w:rsidRDefault="0056593D" w:rsidP="00F82533">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56593D">
        <w:rPr>
          <w:rFonts w:ascii="Times New Roman" w:eastAsia="Times New Roman" w:hAnsi="Times New Roman" w:cs="Times New Roman"/>
          <w:kern w:val="0"/>
          <w:sz w:val="24"/>
          <w:szCs w:val="24"/>
          <w:lang w:eastAsia="en-IN"/>
          <w14:ligatures w14:val="none"/>
        </w:rPr>
        <w:t>Dividend Cover indicates how many times a company can pay its dividend out of its net profit. A higher dividend cover suggests that the dividend is well-supported by the company’s earnings, reflecting financial stability (Higgins, 2012). The report examines the dividend cover for DCC plc for both years to assess the company’s ability to maintain or grow its dividend payments in the future. Trends in the dividend cover will provide insights into the balance between retaining profits for reinvestment and distributing returns to shareholders</w:t>
      </w:r>
      <w:r w:rsidR="00F82533" w:rsidRPr="00F82533">
        <w:rPr>
          <w:rFonts w:ascii="Times New Roman" w:eastAsia="Times New Roman" w:hAnsi="Times New Roman" w:cs="Times New Roman"/>
          <w:kern w:val="0"/>
          <w:sz w:val="24"/>
          <w:szCs w:val="24"/>
          <w:lang w:eastAsia="en-IN"/>
          <w14:ligatures w14:val="none"/>
        </w:rPr>
        <w:t>.</w:t>
      </w:r>
    </w:p>
    <w:p w14:paraId="0BC0367C" w14:textId="77777777" w:rsidR="00F82533" w:rsidRPr="00F82533" w:rsidRDefault="00F82533" w:rsidP="00F82533">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0092A412" w14:textId="36168D8D" w:rsidR="000F1720" w:rsidRPr="000F1720" w:rsidRDefault="000F1720" w:rsidP="000F1720">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w:t>
      </w:r>
      <w:proofErr w:type="spellStart"/>
      <w:r w:rsidRPr="000F1720">
        <w:rPr>
          <w:rFonts w:ascii="Times New Roman" w:eastAsia="Times New Roman" w:hAnsi="Times New Roman" w:cs="Times New Roman"/>
          <w:color w:val="000000"/>
          <w:kern w:val="0"/>
          <w:lang w:eastAsia="en-IN"/>
          <w14:ligatures w14:val="none"/>
        </w:rPr>
        <w:t>NetProfit</w:t>
      </w:r>
      <w:proofErr w:type="spellEnd"/>
      <w:r w:rsidRPr="000F1720">
        <w:rPr>
          <w:rFonts w:ascii="Times New Roman" w:eastAsia="Times New Roman" w:hAnsi="Times New Roman" w:cs="Times New Roman"/>
          <w:color w:val="000000"/>
          <w:kern w:val="0"/>
          <w:lang w:eastAsia="en-IN"/>
          <w14:ligatures w14:val="none"/>
        </w:rPr>
        <w:t xml:space="preserve"> / Dividends</w:t>
      </w:r>
    </w:p>
    <w:p w14:paraId="0899F5F7" w14:textId="4FE43358" w:rsidR="00F82533" w:rsidRPr="00F82533" w:rsidRDefault="00F82533" w:rsidP="00F82533">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Dividend Cover = 1.95</w:t>
      </w:r>
    </w:p>
    <w:p w14:paraId="157DAE65" w14:textId="77777777" w:rsidR="00F82533" w:rsidRPr="00F82533" w:rsidRDefault="00F82533" w:rsidP="00F82533">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Dividend Cover = 1.80</w:t>
      </w:r>
    </w:p>
    <w:p w14:paraId="11980BDF" w14:textId="77777777" w:rsidR="00F82533" w:rsidRPr="00F82533"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5.3 Dividend Yield (%)</w:t>
      </w:r>
    </w:p>
    <w:p w14:paraId="110C1FD0" w14:textId="3D1A30BE" w:rsidR="00F82533" w:rsidRPr="00F82533" w:rsidRDefault="0056593D" w:rsidP="00F82533">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56593D">
        <w:rPr>
          <w:rFonts w:ascii="Times New Roman" w:eastAsia="Times New Roman" w:hAnsi="Times New Roman" w:cs="Times New Roman"/>
          <w:b/>
          <w:bCs/>
          <w:kern w:val="0"/>
          <w:sz w:val="24"/>
          <w:szCs w:val="24"/>
          <w:lang w:eastAsia="en-IN"/>
          <w14:ligatures w14:val="none"/>
        </w:rPr>
        <w:t>Dividend Yield</w:t>
      </w:r>
      <w:r w:rsidRPr="0056593D">
        <w:rPr>
          <w:rFonts w:ascii="Times New Roman" w:eastAsia="Times New Roman" w:hAnsi="Times New Roman" w:cs="Times New Roman"/>
          <w:kern w:val="0"/>
          <w:sz w:val="24"/>
          <w:szCs w:val="24"/>
          <w:lang w:eastAsia="en-IN"/>
          <w14:ligatures w14:val="none"/>
        </w:rPr>
        <w:t xml:space="preserve"> measures the annual dividends paid out to shareholders relative to the share price. It is an important metric for income-focused investors, as it indicates the cash return on an investment in the company’s stock (Kotane &amp; </w:t>
      </w:r>
      <w:proofErr w:type="spellStart"/>
      <w:r w:rsidRPr="0056593D">
        <w:rPr>
          <w:rFonts w:ascii="Times New Roman" w:eastAsia="Times New Roman" w:hAnsi="Times New Roman" w:cs="Times New Roman"/>
          <w:kern w:val="0"/>
          <w:sz w:val="24"/>
          <w:szCs w:val="24"/>
          <w:lang w:eastAsia="en-IN"/>
          <w14:ligatures w14:val="none"/>
        </w:rPr>
        <w:t>Mietule</w:t>
      </w:r>
      <w:proofErr w:type="spellEnd"/>
      <w:r w:rsidRPr="0056593D">
        <w:rPr>
          <w:rFonts w:ascii="Times New Roman" w:eastAsia="Times New Roman" w:hAnsi="Times New Roman" w:cs="Times New Roman"/>
          <w:kern w:val="0"/>
          <w:sz w:val="24"/>
          <w:szCs w:val="24"/>
          <w:lang w:eastAsia="en-IN"/>
          <w14:ligatures w14:val="none"/>
        </w:rPr>
        <w:t>, 2022).</w:t>
      </w:r>
      <w:r w:rsidRPr="0056593D">
        <w:rPr>
          <w:rFonts w:ascii="Times New Roman" w:eastAsia="Times New Roman" w:hAnsi="Times New Roman" w:cs="Times New Roman"/>
          <w:kern w:val="0"/>
          <w:sz w:val="24"/>
          <w:szCs w:val="24"/>
          <w:lang w:eastAsia="en-IN"/>
          <w14:ligatures w14:val="none"/>
        </w:rPr>
        <w:br/>
        <w:t xml:space="preserve">For DCC plc, the dividend yield for 2023 and 2024 will be calculated to evaluate how well the company rewards its shareholders with regular income. A high dividend yield often signifies an established company with steady earnings, but it must be </w:t>
      </w:r>
      <w:r w:rsidR="00D00BD5">
        <w:rPr>
          <w:rFonts w:ascii="Times New Roman" w:eastAsia="Times New Roman" w:hAnsi="Times New Roman" w:cs="Times New Roman"/>
          <w:kern w:val="0"/>
          <w:sz w:val="24"/>
          <w:szCs w:val="24"/>
          <w:lang w:eastAsia="en-IN"/>
          <w14:ligatures w14:val="none"/>
        </w:rPr>
        <w:t>analysed</w:t>
      </w:r>
      <w:r w:rsidRPr="0056593D">
        <w:rPr>
          <w:rFonts w:ascii="Times New Roman" w:eastAsia="Times New Roman" w:hAnsi="Times New Roman" w:cs="Times New Roman"/>
          <w:kern w:val="0"/>
          <w:sz w:val="24"/>
          <w:szCs w:val="24"/>
          <w:lang w:eastAsia="en-IN"/>
          <w14:ligatures w14:val="none"/>
        </w:rPr>
        <w:t xml:space="preserve"> in conjunction with the company’s payout ratio to ensure sustainability.</w:t>
      </w:r>
    </w:p>
    <w:p w14:paraId="192D3213" w14:textId="77777777" w:rsidR="00F82533" w:rsidRPr="00F82533" w:rsidRDefault="00F82533" w:rsidP="00F82533">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52601C85" w14:textId="4169A41C" w:rsidR="000F1720" w:rsidRPr="000F1720" w:rsidRDefault="000F1720" w:rsidP="000F1720">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((Dividends/</w:t>
      </w:r>
      <w:proofErr w:type="spellStart"/>
      <w:r w:rsidRPr="000F1720">
        <w:rPr>
          <w:rFonts w:ascii="Times New Roman" w:eastAsia="Times New Roman" w:hAnsi="Times New Roman" w:cs="Times New Roman"/>
          <w:color w:val="000000"/>
          <w:kern w:val="0"/>
          <w:lang w:eastAsia="en-IN"/>
          <w14:ligatures w14:val="none"/>
        </w:rPr>
        <w:t>No.Shares</w:t>
      </w:r>
      <w:proofErr w:type="spellEnd"/>
      <w:r w:rsidRPr="000F1720">
        <w:rPr>
          <w:rFonts w:ascii="Times New Roman" w:eastAsia="Times New Roman" w:hAnsi="Times New Roman" w:cs="Times New Roman"/>
          <w:color w:val="000000"/>
          <w:kern w:val="0"/>
          <w:lang w:eastAsia="en-IN"/>
          <w14:ligatures w14:val="none"/>
        </w:rPr>
        <w:t>)/</w:t>
      </w:r>
      <w:proofErr w:type="spellStart"/>
      <w:r w:rsidRPr="000F1720">
        <w:rPr>
          <w:rFonts w:ascii="Times New Roman" w:eastAsia="Times New Roman" w:hAnsi="Times New Roman" w:cs="Times New Roman"/>
          <w:color w:val="000000"/>
          <w:kern w:val="0"/>
          <w:lang w:eastAsia="en-IN"/>
          <w14:ligatures w14:val="none"/>
        </w:rPr>
        <w:t>MarketPrice</w:t>
      </w:r>
      <w:proofErr w:type="spellEnd"/>
      <w:r w:rsidRPr="000F1720">
        <w:rPr>
          <w:rFonts w:ascii="Times New Roman" w:eastAsia="Times New Roman" w:hAnsi="Times New Roman" w:cs="Times New Roman"/>
          <w:color w:val="000000"/>
          <w:kern w:val="0"/>
          <w:lang w:eastAsia="en-IN"/>
          <w14:ligatures w14:val="none"/>
        </w:rPr>
        <w:t>)100</w:t>
      </w:r>
    </w:p>
    <w:p w14:paraId="32B82D54" w14:textId="1A413377" w:rsidR="00F82533" w:rsidRPr="00F82533" w:rsidRDefault="00F82533" w:rsidP="00F82533">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Dividend Yield = 3.37%</w:t>
      </w:r>
    </w:p>
    <w:p w14:paraId="5EAFC143" w14:textId="77777777" w:rsidR="00F82533" w:rsidRPr="00F82533" w:rsidRDefault="00F82533" w:rsidP="00F82533">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Dividend Yield = 3.67%</w:t>
      </w:r>
    </w:p>
    <w:p w14:paraId="5466781A" w14:textId="77777777" w:rsidR="000F1720" w:rsidRPr="000F1720" w:rsidRDefault="000F1720"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61E9424A" w14:textId="77777777" w:rsidR="000F1720" w:rsidRPr="000F1720" w:rsidRDefault="000F1720"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5813E1F1" w14:textId="77777777" w:rsidR="000F1720" w:rsidRPr="000F1720" w:rsidRDefault="000F1720"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76255C87" w14:textId="77777777" w:rsidR="000F1720" w:rsidRPr="000F1720" w:rsidRDefault="000F1720"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179607B3" w14:textId="0DCFC0D5" w:rsidR="00F82533" w:rsidRPr="00F82533"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lastRenderedPageBreak/>
        <w:t>5.4 Interest Coverage</w:t>
      </w:r>
    </w:p>
    <w:p w14:paraId="01520727" w14:textId="36E431EB" w:rsidR="00205184" w:rsidRDefault="00205184" w:rsidP="00F82533">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205184">
        <w:rPr>
          <w:rFonts w:ascii="Times New Roman" w:eastAsia="Times New Roman" w:hAnsi="Times New Roman" w:cs="Times New Roman"/>
          <w:kern w:val="0"/>
          <w:sz w:val="24"/>
          <w:szCs w:val="24"/>
          <w:lang w:eastAsia="en-IN"/>
          <w14:ligatures w14:val="none"/>
        </w:rPr>
        <w:t xml:space="preserve">This ratio assesses the company’s ability to meet interest payments on its debt, providing insight into the financial burden of the company’s debt load (White, Sondhi, &amp; Fried, 2003). DCC plc's interest coverage ratio will be </w:t>
      </w:r>
      <w:r w:rsidR="00D00BD5">
        <w:rPr>
          <w:rFonts w:ascii="Times New Roman" w:eastAsia="Times New Roman" w:hAnsi="Times New Roman" w:cs="Times New Roman"/>
          <w:kern w:val="0"/>
          <w:sz w:val="24"/>
          <w:szCs w:val="24"/>
          <w:lang w:eastAsia="en-IN"/>
          <w14:ligatures w14:val="none"/>
        </w:rPr>
        <w:t>analysed</w:t>
      </w:r>
      <w:r w:rsidRPr="00205184">
        <w:rPr>
          <w:rFonts w:ascii="Times New Roman" w:eastAsia="Times New Roman" w:hAnsi="Times New Roman" w:cs="Times New Roman"/>
          <w:kern w:val="0"/>
          <w:sz w:val="24"/>
          <w:szCs w:val="24"/>
          <w:lang w:eastAsia="en-IN"/>
          <w14:ligatures w14:val="none"/>
        </w:rPr>
        <w:t xml:space="preserve"> to evaluate its ability to service its debt obligations.</w:t>
      </w:r>
    </w:p>
    <w:p w14:paraId="03D44115" w14:textId="77777777" w:rsidR="00205184" w:rsidRDefault="00205184" w:rsidP="00205184">
      <w:pPr>
        <w:spacing w:before="100" w:beforeAutospacing="1" w:after="100" w:afterAutospacing="1" w:line="240" w:lineRule="auto"/>
        <w:ind w:left="720"/>
        <w:rPr>
          <w:rFonts w:ascii="Times New Roman" w:eastAsia="Times New Roman" w:hAnsi="Times New Roman" w:cs="Times New Roman"/>
          <w:kern w:val="0"/>
          <w:sz w:val="24"/>
          <w:szCs w:val="24"/>
          <w:lang w:eastAsia="en-IN"/>
          <w14:ligatures w14:val="none"/>
        </w:rPr>
      </w:pPr>
    </w:p>
    <w:p w14:paraId="5ABA6C7A" w14:textId="42E91B97" w:rsidR="00F82533" w:rsidRPr="00F82533" w:rsidRDefault="00F82533" w:rsidP="00F82533">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Formula</w:t>
      </w:r>
      <w:r w:rsidRPr="00F82533">
        <w:rPr>
          <w:rFonts w:ascii="Times New Roman" w:eastAsia="Times New Roman" w:hAnsi="Times New Roman" w:cs="Times New Roman"/>
          <w:kern w:val="0"/>
          <w:sz w:val="24"/>
          <w:szCs w:val="24"/>
          <w:lang w:eastAsia="en-IN"/>
          <w14:ligatures w14:val="none"/>
        </w:rPr>
        <w:t>:</w:t>
      </w:r>
    </w:p>
    <w:p w14:paraId="2B38055A" w14:textId="392155E8" w:rsidR="000F1720" w:rsidRPr="000F1720" w:rsidRDefault="000F1720" w:rsidP="000F1720">
      <w:pPr>
        <w:spacing w:after="0" w:line="240" w:lineRule="auto"/>
        <w:rPr>
          <w:rFonts w:ascii="Times New Roman" w:eastAsia="Times New Roman" w:hAnsi="Times New Roman" w:cs="Times New Roman"/>
          <w:color w:val="000000"/>
          <w:kern w:val="0"/>
          <w:lang w:eastAsia="en-IN"/>
          <w14:ligatures w14:val="none"/>
        </w:rPr>
      </w:pPr>
      <w:r w:rsidRPr="000F1720">
        <w:rPr>
          <w:rFonts w:ascii="Times New Roman" w:eastAsia="Times New Roman" w:hAnsi="Times New Roman" w:cs="Times New Roman"/>
          <w:color w:val="000000"/>
          <w:kern w:val="0"/>
          <w:lang w:eastAsia="en-IN"/>
          <w14:ligatures w14:val="none"/>
        </w:rPr>
        <w:t xml:space="preserve">                           (Operating Profit/Interest Expense)</w:t>
      </w:r>
    </w:p>
    <w:p w14:paraId="09ADF85C" w14:textId="0CC98D22" w:rsidR="00F82533" w:rsidRPr="00F82533" w:rsidRDefault="00F82533" w:rsidP="00F82533">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2023</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Interest Coverage = 5.63</w:t>
      </w:r>
    </w:p>
    <w:p w14:paraId="721D9173" w14:textId="77777777" w:rsidR="00F82533" w:rsidRPr="000F1720" w:rsidRDefault="00F82533" w:rsidP="00F82533">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F82533">
        <w:rPr>
          <w:rFonts w:ascii="Times New Roman" w:eastAsia="Times New Roman" w:hAnsi="Times New Roman" w:cs="Times New Roman"/>
          <w:b/>
          <w:bCs/>
          <w:kern w:val="0"/>
          <w:sz w:val="24"/>
          <w:szCs w:val="24"/>
          <w:lang w:eastAsia="en-IN"/>
          <w14:ligatures w14:val="none"/>
        </w:rPr>
        <w:t>2024</w:t>
      </w:r>
      <w:r w:rsidRPr="00F82533">
        <w:rPr>
          <w:rFonts w:ascii="Times New Roman" w:eastAsia="Times New Roman" w:hAnsi="Times New Roman" w:cs="Times New Roman"/>
          <w:kern w:val="0"/>
          <w:sz w:val="24"/>
          <w:szCs w:val="24"/>
          <w:lang w:eastAsia="en-IN"/>
          <w14:ligatures w14:val="none"/>
        </w:rPr>
        <w:t>:</w:t>
      </w:r>
      <w:r w:rsidRPr="00F82533">
        <w:rPr>
          <w:rFonts w:ascii="Times New Roman" w:eastAsia="Times New Roman" w:hAnsi="Times New Roman" w:cs="Times New Roman"/>
          <w:kern w:val="0"/>
          <w:sz w:val="24"/>
          <w:szCs w:val="24"/>
          <w:lang w:eastAsia="en-IN"/>
          <w14:ligatures w14:val="none"/>
        </w:rPr>
        <w:br/>
        <w:t>Interest Coverage = 4.63</w:t>
      </w:r>
    </w:p>
    <w:p w14:paraId="714A10D2" w14:textId="31F2740B"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051D852E" w14:textId="77777777" w:rsidR="000F1720" w:rsidRPr="000F1720" w:rsidRDefault="000F1720" w:rsidP="000F1720">
      <w:pPr>
        <w:spacing w:before="100" w:beforeAutospacing="1" w:after="100" w:afterAutospacing="1" w:line="240" w:lineRule="auto"/>
        <w:jc w:val="center"/>
        <w:rPr>
          <w:rFonts w:ascii="Times New Roman" w:eastAsia="Times New Roman" w:hAnsi="Times New Roman" w:cs="Times New Roman"/>
          <w:b/>
          <w:bCs/>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Critical Evaluation of the Ratios</w:t>
      </w:r>
    </w:p>
    <w:p w14:paraId="588AD63B" w14:textId="77777777"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kern w:val="0"/>
          <w:sz w:val="24"/>
          <w:szCs w:val="24"/>
          <w:lang w:eastAsia="en-IN"/>
          <w14:ligatures w14:val="none"/>
        </w:rPr>
        <w:t xml:space="preserve">The ratio analysis of </w:t>
      </w:r>
      <w:r w:rsidRPr="000F1720">
        <w:rPr>
          <w:rFonts w:ascii="Times New Roman" w:eastAsia="Times New Roman" w:hAnsi="Times New Roman" w:cs="Times New Roman"/>
          <w:b/>
          <w:bCs/>
          <w:kern w:val="0"/>
          <w:sz w:val="24"/>
          <w:szCs w:val="24"/>
          <w:lang w:eastAsia="en-IN"/>
          <w14:ligatures w14:val="none"/>
        </w:rPr>
        <w:t>DCC PLC</w:t>
      </w:r>
      <w:r w:rsidRPr="000F1720">
        <w:rPr>
          <w:rFonts w:ascii="Times New Roman" w:eastAsia="Times New Roman" w:hAnsi="Times New Roman" w:cs="Times New Roman"/>
          <w:kern w:val="0"/>
          <w:sz w:val="24"/>
          <w:szCs w:val="24"/>
          <w:lang w:eastAsia="en-IN"/>
          <w14:ligatures w14:val="none"/>
        </w:rPr>
        <w:t xml:space="preserve"> for 2023 and 2024 offers valuable insights into its financial performance. However, it is important to acknowledge some inherent limitations in the use of financial ratios for assessing a company's overall financial health:</w:t>
      </w:r>
    </w:p>
    <w:p w14:paraId="614968D4" w14:textId="77777777" w:rsidR="000F1720" w:rsidRPr="000F1720" w:rsidRDefault="000F1720" w:rsidP="000F1720">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Historical Nature of Ratios</w:t>
      </w:r>
      <w:r w:rsidRPr="000F1720">
        <w:rPr>
          <w:rFonts w:ascii="Times New Roman" w:eastAsia="Times New Roman" w:hAnsi="Times New Roman" w:cs="Times New Roman"/>
          <w:kern w:val="0"/>
          <w:sz w:val="24"/>
          <w:szCs w:val="24"/>
          <w:lang w:eastAsia="en-IN"/>
          <w14:ligatures w14:val="none"/>
        </w:rPr>
        <w:t>: Financial ratios are based on historical data and may not fully capture the potential impact of future changes in market conditions, economic factors, or company-specific developments. While the trends observed in 2023 and 2024 are useful, they should be interpreted with caution when projecting future performance.</w:t>
      </w:r>
    </w:p>
    <w:p w14:paraId="58476D39" w14:textId="77777777" w:rsidR="000F1720" w:rsidRPr="000F1720" w:rsidRDefault="000F1720" w:rsidP="000F1720">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Lack of Industry Comparison</w:t>
      </w:r>
      <w:r w:rsidRPr="000F1720">
        <w:rPr>
          <w:rFonts w:ascii="Times New Roman" w:eastAsia="Times New Roman" w:hAnsi="Times New Roman" w:cs="Times New Roman"/>
          <w:kern w:val="0"/>
          <w:sz w:val="24"/>
          <w:szCs w:val="24"/>
          <w:lang w:eastAsia="en-IN"/>
          <w14:ligatures w14:val="none"/>
        </w:rPr>
        <w:t xml:space="preserve">: The ratios presented should ideally be compared with those of industry peers to provide greater context. Without this benchmarking, it is difficult to gauge how DCC PLC is performing relative to its competitors. For instance, a </w:t>
      </w:r>
      <w:r w:rsidRPr="000F1720">
        <w:rPr>
          <w:rFonts w:ascii="Times New Roman" w:eastAsia="Times New Roman" w:hAnsi="Times New Roman" w:cs="Times New Roman"/>
          <w:b/>
          <w:bCs/>
          <w:kern w:val="0"/>
          <w:sz w:val="24"/>
          <w:szCs w:val="24"/>
          <w:lang w:eastAsia="en-IN"/>
          <w14:ligatures w14:val="none"/>
        </w:rPr>
        <w:t>Current Ratio</w:t>
      </w:r>
      <w:r w:rsidRPr="000F1720">
        <w:rPr>
          <w:rFonts w:ascii="Times New Roman" w:eastAsia="Times New Roman" w:hAnsi="Times New Roman" w:cs="Times New Roman"/>
          <w:kern w:val="0"/>
          <w:sz w:val="24"/>
          <w:szCs w:val="24"/>
          <w:lang w:eastAsia="en-IN"/>
          <w14:ligatures w14:val="none"/>
        </w:rPr>
        <w:t xml:space="preserve"> of 6.89 in 2024 is strong, but it could indicate under-utilized assets, or it could be considered normal within the industry.</w:t>
      </w:r>
    </w:p>
    <w:p w14:paraId="4736063D" w14:textId="77777777" w:rsidR="000F1720" w:rsidRPr="000F1720" w:rsidRDefault="000F1720" w:rsidP="000F1720">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One-dimensional Perspective</w:t>
      </w:r>
      <w:r w:rsidRPr="000F1720">
        <w:rPr>
          <w:rFonts w:ascii="Times New Roman" w:eastAsia="Times New Roman" w:hAnsi="Times New Roman" w:cs="Times New Roman"/>
          <w:kern w:val="0"/>
          <w:sz w:val="24"/>
          <w:szCs w:val="24"/>
          <w:lang w:eastAsia="en-IN"/>
          <w14:ligatures w14:val="none"/>
        </w:rPr>
        <w:t xml:space="preserve">: While the ratios offer an excellent snapshot of DCC PLC's financial health, they cannot provide a comprehensive view of the company’s strategy or future direction. For example, a decrease in the </w:t>
      </w:r>
      <w:r w:rsidRPr="000F1720">
        <w:rPr>
          <w:rFonts w:ascii="Times New Roman" w:eastAsia="Times New Roman" w:hAnsi="Times New Roman" w:cs="Times New Roman"/>
          <w:b/>
          <w:bCs/>
          <w:kern w:val="0"/>
          <w:sz w:val="24"/>
          <w:szCs w:val="24"/>
          <w:lang w:eastAsia="en-IN"/>
          <w14:ligatures w14:val="none"/>
        </w:rPr>
        <w:t>ROCE</w:t>
      </w:r>
      <w:r w:rsidRPr="000F1720">
        <w:rPr>
          <w:rFonts w:ascii="Times New Roman" w:eastAsia="Times New Roman" w:hAnsi="Times New Roman" w:cs="Times New Roman"/>
          <w:kern w:val="0"/>
          <w:sz w:val="24"/>
          <w:szCs w:val="24"/>
          <w:lang w:eastAsia="en-IN"/>
          <w14:ligatures w14:val="none"/>
        </w:rPr>
        <w:t xml:space="preserve"> from 29.68% in 2022 to 28.51% in 2024 may signal slightly reduced efficiency, but it does not explain if this is due to strategic investments for future growth, which may require temporarily lower returns.</w:t>
      </w:r>
    </w:p>
    <w:p w14:paraId="7E9A2687" w14:textId="77777777" w:rsidR="000F1720" w:rsidRPr="000F1720" w:rsidRDefault="000F1720" w:rsidP="000F1720">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Impact of Inflation and Currency Fluctuations</w:t>
      </w:r>
      <w:r w:rsidRPr="000F1720">
        <w:rPr>
          <w:rFonts w:ascii="Times New Roman" w:eastAsia="Times New Roman" w:hAnsi="Times New Roman" w:cs="Times New Roman"/>
          <w:kern w:val="0"/>
          <w:sz w:val="24"/>
          <w:szCs w:val="24"/>
          <w:lang w:eastAsia="en-IN"/>
          <w14:ligatures w14:val="none"/>
        </w:rPr>
        <w:t xml:space="preserve">: As a multinational company, DCC PLC is likely impacted by inflation and currency fluctuations. These external factors can distort financial ratios, particularly in the case of </w:t>
      </w:r>
      <w:r w:rsidRPr="000F1720">
        <w:rPr>
          <w:rFonts w:ascii="Times New Roman" w:eastAsia="Times New Roman" w:hAnsi="Times New Roman" w:cs="Times New Roman"/>
          <w:b/>
          <w:bCs/>
          <w:kern w:val="0"/>
          <w:sz w:val="24"/>
          <w:szCs w:val="24"/>
          <w:lang w:eastAsia="en-IN"/>
          <w14:ligatures w14:val="none"/>
        </w:rPr>
        <w:t>profitability</w:t>
      </w:r>
      <w:r w:rsidRPr="000F1720">
        <w:rPr>
          <w:rFonts w:ascii="Times New Roman" w:eastAsia="Times New Roman" w:hAnsi="Times New Roman" w:cs="Times New Roman"/>
          <w:kern w:val="0"/>
          <w:sz w:val="24"/>
          <w:szCs w:val="24"/>
          <w:lang w:eastAsia="en-IN"/>
          <w14:ligatures w14:val="none"/>
        </w:rPr>
        <w:t xml:space="preserve"> and </w:t>
      </w:r>
      <w:r w:rsidRPr="000F1720">
        <w:rPr>
          <w:rFonts w:ascii="Times New Roman" w:eastAsia="Times New Roman" w:hAnsi="Times New Roman" w:cs="Times New Roman"/>
          <w:b/>
          <w:bCs/>
          <w:kern w:val="0"/>
          <w:sz w:val="24"/>
          <w:szCs w:val="24"/>
          <w:lang w:eastAsia="en-IN"/>
          <w14:ligatures w14:val="none"/>
        </w:rPr>
        <w:t>liquidity</w:t>
      </w:r>
      <w:r w:rsidRPr="000F1720">
        <w:rPr>
          <w:rFonts w:ascii="Times New Roman" w:eastAsia="Times New Roman" w:hAnsi="Times New Roman" w:cs="Times New Roman"/>
          <w:kern w:val="0"/>
          <w:sz w:val="24"/>
          <w:szCs w:val="24"/>
          <w:lang w:eastAsia="en-IN"/>
          <w14:ligatures w14:val="none"/>
        </w:rPr>
        <w:t xml:space="preserve"> metrics, such as the </w:t>
      </w:r>
      <w:r w:rsidRPr="000F1720">
        <w:rPr>
          <w:rFonts w:ascii="Times New Roman" w:eastAsia="Times New Roman" w:hAnsi="Times New Roman" w:cs="Times New Roman"/>
          <w:b/>
          <w:bCs/>
          <w:kern w:val="0"/>
          <w:sz w:val="24"/>
          <w:szCs w:val="24"/>
          <w:lang w:eastAsia="en-IN"/>
          <w14:ligatures w14:val="none"/>
        </w:rPr>
        <w:t>Gross Profit Margin</w:t>
      </w:r>
      <w:r w:rsidRPr="000F1720">
        <w:rPr>
          <w:rFonts w:ascii="Times New Roman" w:eastAsia="Times New Roman" w:hAnsi="Times New Roman" w:cs="Times New Roman"/>
          <w:kern w:val="0"/>
          <w:sz w:val="24"/>
          <w:szCs w:val="24"/>
          <w:lang w:eastAsia="en-IN"/>
          <w14:ligatures w14:val="none"/>
        </w:rPr>
        <w:t xml:space="preserve"> or </w:t>
      </w:r>
      <w:r w:rsidRPr="000F1720">
        <w:rPr>
          <w:rFonts w:ascii="Times New Roman" w:eastAsia="Times New Roman" w:hAnsi="Times New Roman" w:cs="Times New Roman"/>
          <w:b/>
          <w:bCs/>
          <w:kern w:val="0"/>
          <w:sz w:val="24"/>
          <w:szCs w:val="24"/>
          <w:lang w:eastAsia="en-IN"/>
          <w14:ligatures w14:val="none"/>
        </w:rPr>
        <w:t>Current Ratio</w:t>
      </w:r>
      <w:r w:rsidRPr="000F1720">
        <w:rPr>
          <w:rFonts w:ascii="Times New Roman" w:eastAsia="Times New Roman" w:hAnsi="Times New Roman" w:cs="Times New Roman"/>
          <w:kern w:val="0"/>
          <w:sz w:val="24"/>
          <w:szCs w:val="24"/>
          <w:lang w:eastAsia="en-IN"/>
          <w14:ligatures w14:val="none"/>
        </w:rPr>
        <w:t>. A more detailed analysis of currency risks and inflation trends would provide a clearer picture of financial health.</w:t>
      </w:r>
    </w:p>
    <w:p w14:paraId="7AC4F71C" w14:textId="0BAA3A32"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7148E6ED" w14:textId="77777777" w:rsidR="000F1720" w:rsidRPr="000F1720" w:rsidRDefault="000F1720" w:rsidP="000F1720">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lastRenderedPageBreak/>
        <w:t>Recommendations for Improving Financial Management</w:t>
      </w:r>
    </w:p>
    <w:p w14:paraId="14D018BF" w14:textId="77777777"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kern w:val="0"/>
          <w:sz w:val="24"/>
          <w:szCs w:val="24"/>
          <w:lang w:eastAsia="en-IN"/>
          <w14:ligatures w14:val="none"/>
        </w:rPr>
        <w:t>Based on the ratio analysis, several strategic actions can be taken to enhance the financial performance and management of DCC PLC:</w:t>
      </w:r>
    </w:p>
    <w:p w14:paraId="0E521A9A" w14:textId="77777777" w:rsidR="000F1720" w:rsidRPr="000F1720" w:rsidRDefault="000F1720" w:rsidP="000F1720">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Enhance Asset Utilization</w:t>
      </w:r>
      <w:r w:rsidRPr="000F1720">
        <w:rPr>
          <w:rFonts w:ascii="Times New Roman" w:eastAsia="Times New Roman" w:hAnsi="Times New Roman" w:cs="Times New Roman"/>
          <w:kern w:val="0"/>
          <w:sz w:val="24"/>
          <w:szCs w:val="24"/>
          <w:lang w:eastAsia="en-IN"/>
          <w14:ligatures w14:val="none"/>
        </w:rPr>
        <w:t xml:space="preserve">: The slight decrease in </w:t>
      </w:r>
      <w:r w:rsidRPr="000F1720">
        <w:rPr>
          <w:rFonts w:ascii="Times New Roman" w:eastAsia="Times New Roman" w:hAnsi="Times New Roman" w:cs="Times New Roman"/>
          <w:b/>
          <w:bCs/>
          <w:kern w:val="0"/>
          <w:sz w:val="24"/>
          <w:szCs w:val="24"/>
          <w:lang w:eastAsia="en-IN"/>
          <w14:ligatures w14:val="none"/>
        </w:rPr>
        <w:t>Asset Turnover</w:t>
      </w:r>
      <w:r w:rsidRPr="000F1720">
        <w:rPr>
          <w:rFonts w:ascii="Times New Roman" w:eastAsia="Times New Roman" w:hAnsi="Times New Roman" w:cs="Times New Roman"/>
          <w:kern w:val="0"/>
          <w:sz w:val="24"/>
          <w:szCs w:val="24"/>
          <w:lang w:eastAsia="en-IN"/>
          <w14:ligatures w14:val="none"/>
        </w:rPr>
        <w:t xml:space="preserve"> from 30.63% in 2022 to 29.50% in 2024 suggests that DCC PLC is using its assets less efficiently to generate revenue. To improve this, DCC PLC could assess underperforming assets, streamline operations, or explore asset divestitures and reinvestment opportunities to boost asset productivity.</w:t>
      </w:r>
    </w:p>
    <w:p w14:paraId="7ED336CC" w14:textId="77777777" w:rsidR="000F1720" w:rsidRPr="000F1720" w:rsidRDefault="000F1720" w:rsidP="000F1720">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Improve Debtor Management</w:t>
      </w:r>
      <w:r w:rsidRPr="000F1720">
        <w:rPr>
          <w:rFonts w:ascii="Times New Roman" w:eastAsia="Times New Roman" w:hAnsi="Times New Roman" w:cs="Times New Roman"/>
          <w:kern w:val="0"/>
          <w:sz w:val="24"/>
          <w:szCs w:val="24"/>
          <w:lang w:eastAsia="en-IN"/>
          <w14:ligatures w14:val="none"/>
        </w:rPr>
        <w:t xml:space="preserve">: The increase in </w:t>
      </w:r>
      <w:r w:rsidRPr="000F1720">
        <w:rPr>
          <w:rFonts w:ascii="Times New Roman" w:eastAsia="Times New Roman" w:hAnsi="Times New Roman" w:cs="Times New Roman"/>
          <w:b/>
          <w:bCs/>
          <w:kern w:val="0"/>
          <w:sz w:val="24"/>
          <w:szCs w:val="24"/>
          <w:lang w:eastAsia="en-IN"/>
          <w14:ligatures w14:val="none"/>
        </w:rPr>
        <w:t>Debtor Collection days</w:t>
      </w:r>
      <w:r w:rsidRPr="000F1720">
        <w:rPr>
          <w:rFonts w:ascii="Times New Roman" w:eastAsia="Times New Roman" w:hAnsi="Times New Roman" w:cs="Times New Roman"/>
          <w:kern w:val="0"/>
          <w:sz w:val="24"/>
          <w:szCs w:val="24"/>
          <w:lang w:eastAsia="en-IN"/>
          <w14:ligatures w14:val="none"/>
        </w:rPr>
        <w:t xml:space="preserve"> (from 0.84 days in 2023 to 0.92 days in 2024) points to a slight delay in collecting payments. DCC PLC should look at tightening credit policies or improving the efficiency of its collections process. Additionally, DCC could invest in better receivables management systems to minimize payment delays and improve cash flow.</w:t>
      </w:r>
    </w:p>
    <w:p w14:paraId="07EA1A70" w14:textId="77777777" w:rsidR="000F1720" w:rsidRPr="000F1720" w:rsidRDefault="000F1720" w:rsidP="000F1720">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Maintain a Balanced Gearing Ratio</w:t>
      </w:r>
      <w:r w:rsidRPr="000F1720">
        <w:rPr>
          <w:rFonts w:ascii="Times New Roman" w:eastAsia="Times New Roman" w:hAnsi="Times New Roman" w:cs="Times New Roman"/>
          <w:kern w:val="0"/>
          <w:sz w:val="24"/>
          <w:szCs w:val="24"/>
          <w:lang w:eastAsia="en-IN"/>
          <w14:ligatures w14:val="none"/>
        </w:rPr>
        <w:t xml:space="preserve">: While a reduction in the </w:t>
      </w:r>
      <w:r w:rsidRPr="000F1720">
        <w:rPr>
          <w:rFonts w:ascii="Times New Roman" w:eastAsia="Times New Roman" w:hAnsi="Times New Roman" w:cs="Times New Roman"/>
          <w:b/>
          <w:bCs/>
          <w:kern w:val="0"/>
          <w:sz w:val="24"/>
          <w:szCs w:val="24"/>
          <w:lang w:eastAsia="en-IN"/>
          <w14:ligatures w14:val="none"/>
        </w:rPr>
        <w:t>Gearing Ratio</w:t>
      </w:r>
      <w:r w:rsidRPr="000F1720">
        <w:rPr>
          <w:rFonts w:ascii="Times New Roman" w:eastAsia="Times New Roman" w:hAnsi="Times New Roman" w:cs="Times New Roman"/>
          <w:kern w:val="0"/>
          <w:sz w:val="24"/>
          <w:szCs w:val="24"/>
          <w:lang w:eastAsia="en-IN"/>
          <w14:ligatures w14:val="none"/>
        </w:rPr>
        <w:t xml:space="preserve"> (from 57.53% in 2023 to 52.30% in 2024) indicates reduced reliance on debt financing, it is important for DCC PLC to maintain a balance. Overly reducing debt could limit its ability to leverage financial opportunities for growth. DCC should ensure that its capital structure supports strategic investments and growth initiatives, without overburdening the company with debt.</w:t>
      </w:r>
    </w:p>
    <w:p w14:paraId="3B04E493" w14:textId="77777777" w:rsidR="000F1720" w:rsidRPr="000F1720" w:rsidRDefault="000F1720" w:rsidP="000F1720">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Focus on Operational Efficiency</w:t>
      </w:r>
      <w:r w:rsidRPr="000F1720">
        <w:rPr>
          <w:rFonts w:ascii="Times New Roman" w:eastAsia="Times New Roman" w:hAnsi="Times New Roman" w:cs="Times New Roman"/>
          <w:kern w:val="0"/>
          <w:sz w:val="24"/>
          <w:szCs w:val="24"/>
          <w:lang w:eastAsia="en-IN"/>
          <w14:ligatures w14:val="none"/>
        </w:rPr>
        <w:t xml:space="preserve">: The increase in </w:t>
      </w:r>
      <w:r w:rsidRPr="000F1720">
        <w:rPr>
          <w:rFonts w:ascii="Times New Roman" w:eastAsia="Times New Roman" w:hAnsi="Times New Roman" w:cs="Times New Roman"/>
          <w:b/>
          <w:bCs/>
          <w:kern w:val="0"/>
          <w:sz w:val="24"/>
          <w:szCs w:val="24"/>
          <w:lang w:eastAsia="en-IN"/>
          <w14:ligatures w14:val="none"/>
        </w:rPr>
        <w:t>Operating Profit as a Percentage of Turnover</w:t>
      </w:r>
      <w:r w:rsidRPr="000F1720">
        <w:rPr>
          <w:rFonts w:ascii="Times New Roman" w:eastAsia="Times New Roman" w:hAnsi="Times New Roman" w:cs="Times New Roman"/>
          <w:kern w:val="0"/>
          <w:sz w:val="24"/>
          <w:szCs w:val="24"/>
          <w:lang w:eastAsia="en-IN"/>
          <w14:ligatures w14:val="none"/>
        </w:rPr>
        <w:t xml:space="preserve"> (from 2% in 2023 to 3% in 2024) suggests that DCC PLC has improved its operational efficiency. However, the company should continue identifying cost-cutting measures and process optimizations to further enhance profitability without needing to rely solely on increased sales. This will ensure that profits grow faster than expenses.</w:t>
      </w:r>
    </w:p>
    <w:p w14:paraId="45C1A37C" w14:textId="77777777" w:rsidR="000F1720" w:rsidRPr="000F1720" w:rsidRDefault="000F1720" w:rsidP="000F1720">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Diversify Revenue Streams</w:t>
      </w:r>
      <w:r w:rsidRPr="000F1720">
        <w:rPr>
          <w:rFonts w:ascii="Times New Roman" w:eastAsia="Times New Roman" w:hAnsi="Times New Roman" w:cs="Times New Roman"/>
          <w:kern w:val="0"/>
          <w:sz w:val="24"/>
          <w:szCs w:val="24"/>
          <w:lang w:eastAsia="en-IN"/>
          <w14:ligatures w14:val="none"/>
        </w:rPr>
        <w:t xml:space="preserve">: While DCC PLC’s </w:t>
      </w:r>
      <w:r w:rsidRPr="000F1720">
        <w:rPr>
          <w:rFonts w:ascii="Times New Roman" w:eastAsia="Times New Roman" w:hAnsi="Times New Roman" w:cs="Times New Roman"/>
          <w:b/>
          <w:bCs/>
          <w:kern w:val="0"/>
          <w:sz w:val="24"/>
          <w:szCs w:val="24"/>
          <w:lang w:eastAsia="en-IN"/>
          <w14:ligatures w14:val="none"/>
        </w:rPr>
        <w:t>Net Profit Margin</w:t>
      </w:r>
      <w:r w:rsidRPr="000F1720">
        <w:rPr>
          <w:rFonts w:ascii="Times New Roman" w:eastAsia="Times New Roman" w:hAnsi="Times New Roman" w:cs="Times New Roman"/>
          <w:kern w:val="0"/>
          <w:sz w:val="24"/>
          <w:szCs w:val="24"/>
          <w:lang w:eastAsia="en-IN"/>
          <w14:ligatures w14:val="none"/>
        </w:rPr>
        <w:t xml:space="preserve"> has remained stable at 2%, the company could benefit from diversifying its revenue streams. Relying on a narrow range of products or markets can expose the company to risks. Expanding into new markets or innovating with new products could provide additional sources of revenue, reducing dependence on existing business lines.</w:t>
      </w:r>
    </w:p>
    <w:p w14:paraId="30A99BD9" w14:textId="77777777" w:rsidR="000F1720" w:rsidRPr="000F1720" w:rsidRDefault="000F1720" w:rsidP="000F1720">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Strengthen Interest Coverage</w:t>
      </w:r>
      <w:r w:rsidRPr="000F1720">
        <w:rPr>
          <w:rFonts w:ascii="Times New Roman" w:eastAsia="Times New Roman" w:hAnsi="Times New Roman" w:cs="Times New Roman"/>
          <w:kern w:val="0"/>
          <w:sz w:val="24"/>
          <w:szCs w:val="24"/>
          <w:lang w:eastAsia="en-IN"/>
          <w14:ligatures w14:val="none"/>
        </w:rPr>
        <w:t xml:space="preserve">: The </w:t>
      </w:r>
      <w:r w:rsidRPr="000F1720">
        <w:rPr>
          <w:rFonts w:ascii="Times New Roman" w:eastAsia="Times New Roman" w:hAnsi="Times New Roman" w:cs="Times New Roman"/>
          <w:b/>
          <w:bCs/>
          <w:kern w:val="0"/>
          <w:sz w:val="24"/>
          <w:szCs w:val="24"/>
          <w:lang w:eastAsia="en-IN"/>
          <w14:ligatures w14:val="none"/>
        </w:rPr>
        <w:t>Interest Coverage</w:t>
      </w:r>
      <w:r w:rsidRPr="000F1720">
        <w:rPr>
          <w:rFonts w:ascii="Times New Roman" w:eastAsia="Times New Roman" w:hAnsi="Times New Roman" w:cs="Times New Roman"/>
          <w:kern w:val="0"/>
          <w:sz w:val="24"/>
          <w:szCs w:val="24"/>
          <w:lang w:eastAsia="en-IN"/>
          <w14:ligatures w14:val="none"/>
        </w:rPr>
        <w:t xml:space="preserve"> ratio has declined from 5.63 in 2023 to 4.63 in 2024, which may indicate a slight reduction in DCC PLC’s ability to meet interest obligations. To strengthen this ratio, DCC PLC could focus on increasing operating profit or reducing its interest-bearing debt, thereby ensuring greater flexibility in managing financial obligations.</w:t>
      </w:r>
    </w:p>
    <w:p w14:paraId="75CC9877" w14:textId="5567A0FE"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4501F5C1" w14:textId="77777777" w:rsidR="000F1720" w:rsidRPr="000F1720" w:rsidRDefault="000F1720" w:rsidP="000F1720">
      <w:pPr>
        <w:spacing w:before="100" w:beforeAutospacing="1" w:after="100" w:afterAutospacing="1" w:line="240" w:lineRule="auto"/>
        <w:jc w:val="center"/>
        <w:rPr>
          <w:rFonts w:ascii="Times New Roman" w:eastAsia="Times New Roman" w:hAnsi="Times New Roman" w:cs="Times New Roman"/>
          <w:b/>
          <w:bCs/>
          <w:kern w:val="0"/>
          <w:sz w:val="24"/>
          <w:szCs w:val="24"/>
          <w:lang w:eastAsia="en-IN"/>
          <w14:ligatures w14:val="none"/>
        </w:rPr>
      </w:pPr>
      <w:r w:rsidRPr="000F1720">
        <w:rPr>
          <w:rFonts w:ascii="Times New Roman" w:eastAsia="Times New Roman" w:hAnsi="Times New Roman" w:cs="Times New Roman"/>
          <w:b/>
          <w:bCs/>
          <w:kern w:val="0"/>
          <w:sz w:val="24"/>
          <w:szCs w:val="24"/>
          <w:lang w:eastAsia="en-IN"/>
          <w14:ligatures w14:val="none"/>
        </w:rPr>
        <w:t>Conclusion</w:t>
      </w:r>
    </w:p>
    <w:p w14:paraId="773DD5EF" w14:textId="77777777"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kern w:val="0"/>
          <w:sz w:val="24"/>
          <w:szCs w:val="24"/>
          <w:lang w:eastAsia="en-IN"/>
          <w14:ligatures w14:val="none"/>
        </w:rPr>
        <w:t xml:space="preserve">The financial ratio analysis for </w:t>
      </w:r>
      <w:r w:rsidRPr="000F1720">
        <w:rPr>
          <w:rFonts w:ascii="Times New Roman" w:eastAsia="Times New Roman" w:hAnsi="Times New Roman" w:cs="Times New Roman"/>
          <w:b/>
          <w:bCs/>
          <w:kern w:val="0"/>
          <w:sz w:val="24"/>
          <w:szCs w:val="24"/>
          <w:lang w:eastAsia="en-IN"/>
          <w14:ligatures w14:val="none"/>
        </w:rPr>
        <w:t>DCC PLC</w:t>
      </w:r>
      <w:r w:rsidRPr="000F1720">
        <w:rPr>
          <w:rFonts w:ascii="Times New Roman" w:eastAsia="Times New Roman" w:hAnsi="Times New Roman" w:cs="Times New Roman"/>
          <w:kern w:val="0"/>
          <w:sz w:val="24"/>
          <w:szCs w:val="24"/>
          <w:lang w:eastAsia="en-IN"/>
          <w14:ligatures w14:val="none"/>
        </w:rPr>
        <w:t xml:space="preserve"> in 2023 and 2024 indicates a generally positive financial position, with improvements in </w:t>
      </w:r>
      <w:r w:rsidRPr="000F1720">
        <w:rPr>
          <w:rFonts w:ascii="Times New Roman" w:eastAsia="Times New Roman" w:hAnsi="Times New Roman" w:cs="Times New Roman"/>
          <w:b/>
          <w:bCs/>
          <w:kern w:val="0"/>
          <w:sz w:val="24"/>
          <w:szCs w:val="24"/>
          <w:lang w:eastAsia="en-IN"/>
          <w14:ligatures w14:val="none"/>
        </w:rPr>
        <w:t>liquidity</w:t>
      </w:r>
      <w:r w:rsidRPr="000F1720">
        <w:rPr>
          <w:rFonts w:ascii="Times New Roman" w:eastAsia="Times New Roman" w:hAnsi="Times New Roman" w:cs="Times New Roman"/>
          <w:kern w:val="0"/>
          <w:sz w:val="24"/>
          <w:szCs w:val="24"/>
          <w:lang w:eastAsia="en-IN"/>
          <w14:ligatures w14:val="none"/>
        </w:rPr>
        <w:t xml:space="preserve"> and </w:t>
      </w:r>
      <w:r w:rsidRPr="000F1720">
        <w:rPr>
          <w:rFonts w:ascii="Times New Roman" w:eastAsia="Times New Roman" w:hAnsi="Times New Roman" w:cs="Times New Roman"/>
          <w:b/>
          <w:bCs/>
          <w:kern w:val="0"/>
          <w:sz w:val="24"/>
          <w:szCs w:val="24"/>
          <w:lang w:eastAsia="en-IN"/>
          <w14:ligatures w14:val="none"/>
        </w:rPr>
        <w:t>profitability</w:t>
      </w:r>
      <w:r w:rsidRPr="000F1720">
        <w:rPr>
          <w:rFonts w:ascii="Times New Roman" w:eastAsia="Times New Roman" w:hAnsi="Times New Roman" w:cs="Times New Roman"/>
          <w:kern w:val="0"/>
          <w:sz w:val="24"/>
          <w:szCs w:val="24"/>
          <w:lang w:eastAsia="en-IN"/>
          <w14:ligatures w14:val="none"/>
        </w:rPr>
        <w:t xml:space="preserve">. The company has successfully reduced its reliance on debt and improved its </w:t>
      </w:r>
      <w:r w:rsidRPr="000F1720">
        <w:rPr>
          <w:rFonts w:ascii="Times New Roman" w:eastAsia="Times New Roman" w:hAnsi="Times New Roman" w:cs="Times New Roman"/>
          <w:b/>
          <w:bCs/>
          <w:kern w:val="0"/>
          <w:sz w:val="24"/>
          <w:szCs w:val="24"/>
          <w:lang w:eastAsia="en-IN"/>
          <w14:ligatures w14:val="none"/>
        </w:rPr>
        <w:t>operating profit margin</w:t>
      </w:r>
      <w:r w:rsidRPr="000F1720">
        <w:rPr>
          <w:rFonts w:ascii="Times New Roman" w:eastAsia="Times New Roman" w:hAnsi="Times New Roman" w:cs="Times New Roman"/>
          <w:kern w:val="0"/>
          <w:sz w:val="24"/>
          <w:szCs w:val="24"/>
          <w:lang w:eastAsia="en-IN"/>
          <w14:ligatures w14:val="none"/>
        </w:rPr>
        <w:t xml:space="preserve">, </w:t>
      </w:r>
      <w:proofErr w:type="spellStart"/>
      <w:r w:rsidRPr="000F1720">
        <w:rPr>
          <w:rFonts w:ascii="Times New Roman" w:eastAsia="Times New Roman" w:hAnsi="Times New Roman" w:cs="Times New Roman"/>
          <w:kern w:val="0"/>
          <w:sz w:val="24"/>
          <w:szCs w:val="24"/>
          <w:lang w:eastAsia="en-IN"/>
          <w14:ligatures w14:val="none"/>
        </w:rPr>
        <w:t>signaling</w:t>
      </w:r>
      <w:proofErr w:type="spellEnd"/>
      <w:r w:rsidRPr="000F1720">
        <w:rPr>
          <w:rFonts w:ascii="Times New Roman" w:eastAsia="Times New Roman" w:hAnsi="Times New Roman" w:cs="Times New Roman"/>
          <w:kern w:val="0"/>
          <w:sz w:val="24"/>
          <w:szCs w:val="24"/>
          <w:lang w:eastAsia="en-IN"/>
          <w14:ligatures w14:val="none"/>
        </w:rPr>
        <w:t xml:space="preserve"> effective cost management. However, the slight declines in </w:t>
      </w:r>
      <w:r w:rsidRPr="000F1720">
        <w:rPr>
          <w:rFonts w:ascii="Times New Roman" w:eastAsia="Times New Roman" w:hAnsi="Times New Roman" w:cs="Times New Roman"/>
          <w:b/>
          <w:bCs/>
          <w:kern w:val="0"/>
          <w:sz w:val="24"/>
          <w:szCs w:val="24"/>
          <w:lang w:eastAsia="en-IN"/>
          <w14:ligatures w14:val="none"/>
        </w:rPr>
        <w:t>Asset Turnover</w:t>
      </w:r>
      <w:r w:rsidRPr="000F1720">
        <w:rPr>
          <w:rFonts w:ascii="Times New Roman" w:eastAsia="Times New Roman" w:hAnsi="Times New Roman" w:cs="Times New Roman"/>
          <w:kern w:val="0"/>
          <w:sz w:val="24"/>
          <w:szCs w:val="24"/>
          <w:lang w:eastAsia="en-IN"/>
          <w14:ligatures w14:val="none"/>
        </w:rPr>
        <w:t xml:space="preserve">, </w:t>
      </w:r>
      <w:r w:rsidRPr="000F1720">
        <w:rPr>
          <w:rFonts w:ascii="Times New Roman" w:eastAsia="Times New Roman" w:hAnsi="Times New Roman" w:cs="Times New Roman"/>
          <w:b/>
          <w:bCs/>
          <w:kern w:val="0"/>
          <w:sz w:val="24"/>
          <w:szCs w:val="24"/>
          <w:lang w:eastAsia="en-IN"/>
          <w14:ligatures w14:val="none"/>
        </w:rPr>
        <w:t>ROCE</w:t>
      </w:r>
      <w:r w:rsidRPr="000F1720">
        <w:rPr>
          <w:rFonts w:ascii="Times New Roman" w:eastAsia="Times New Roman" w:hAnsi="Times New Roman" w:cs="Times New Roman"/>
          <w:kern w:val="0"/>
          <w:sz w:val="24"/>
          <w:szCs w:val="24"/>
          <w:lang w:eastAsia="en-IN"/>
          <w14:ligatures w14:val="none"/>
        </w:rPr>
        <w:t xml:space="preserve">, and </w:t>
      </w:r>
      <w:r w:rsidRPr="000F1720">
        <w:rPr>
          <w:rFonts w:ascii="Times New Roman" w:eastAsia="Times New Roman" w:hAnsi="Times New Roman" w:cs="Times New Roman"/>
          <w:b/>
          <w:bCs/>
          <w:kern w:val="0"/>
          <w:sz w:val="24"/>
          <w:szCs w:val="24"/>
          <w:lang w:eastAsia="en-IN"/>
          <w14:ligatures w14:val="none"/>
        </w:rPr>
        <w:t>Interest Coverage</w:t>
      </w:r>
      <w:r w:rsidRPr="000F1720">
        <w:rPr>
          <w:rFonts w:ascii="Times New Roman" w:eastAsia="Times New Roman" w:hAnsi="Times New Roman" w:cs="Times New Roman"/>
          <w:kern w:val="0"/>
          <w:sz w:val="24"/>
          <w:szCs w:val="24"/>
          <w:lang w:eastAsia="en-IN"/>
          <w14:ligatures w14:val="none"/>
        </w:rPr>
        <w:t xml:space="preserve"> highlight areas that require further attention.</w:t>
      </w:r>
    </w:p>
    <w:p w14:paraId="1A453673" w14:textId="77777777"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kern w:val="0"/>
          <w:sz w:val="24"/>
          <w:szCs w:val="24"/>
          <w:lang w:eastAsia="en-IN"/>
          <w14:ligatures w14:val="none"/>
        </w:rPr>
        <w:t xml:space="preserve">By focusing on improving asset utilization, tightening debtor management, and maintaining a balanced approach to gearing, DCC PLC can continue to strengthen its financial position. </w:t>
      </w:r>
      <w:r w:rsidRPr="000F1720">
        <w:rPr>
          <w:rFonts w:ascii="Times New Roman" w:eastAsia="Times New Roman" w:hAnsi="Times New Roman" w:cs="Times New Roman"/>
          <w:kern w:val="0"/>
          <w:sz w:val="24"/>
          <w:szCs w:val="24"/>
          <w:lang w:eastAsia="en-IN"/>
          <w14:ligatures w14:val="none"/>
        </w:rPr>
        <w:lastRenderedPageBreak/>
        <w:t xml:space="preserve">Diversifying revenue sources and enhancing operational efficiency will further support long-term growth. Finally, improving </w:t>
      </w:r>
      <w:r w:rsidRPr="000F1720">
        <w:rPr>
          <w:rFonts w:ascii="Times New Roman" w:eastAsia="Times New Roman" w:hAnsi="Times New Roman" w:cs="Times New Roman"/>
          <w:b/>
          <w:bCs/>
          <w:kern w:val="0"/>
          <w:sz w:val="24"/>
          <w:szCs w:val="24"/>
          <w:lang w:eastAsia="en-IN"/>
          <w14:ligatures w14:val="none"/>
        </w:rPr>
        <w:t>interest coverage</w:t>
      </w:r>
      <w:r w:rsidRPr="000F1720">
        <w:rPr>
          <w:rFonts w:ascii="Times New Roman" w:eastAsia="Times New Roman" w:hAnsi="Times New Roman" w:cs="Times New Roman"/>
          <w:kern w:val="0"/>
          <w:sz w:val="24"/>
          <w:szCs w:val="24"/>
          <w:lang w:eastAsia="en-IN"/>
          <w14:ligatures w14:val="none"/>
        </w:rPr>
        <w:t xml:space="preserve"> will provide additional financial flexibility to navigate economic uncertainties.</w:t>
      </w:r>
    </w:p>
    <w:p w14:paraId="6C46A0BB" w14:textId="77777777" w:rsidR="000F1720" w:rsidRPr="000F1720"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F1720">
        <w:rPr>
          <w:rFonts w:ascii="Times New Roman" w:eastAsia="Times New Roman" w:hAnsi="Times New Roman" w:cs="Times New Roman"/>
          <w:kern w:val="0"/>
          <w:sz w:val="24"/>
          <w:szCs w:val="24"/>
          <w:lang w:eastAsia="en-IN"/>
          <w14:ligatures w14:val="none"/>
        </w:rPr>
        <w:t>By addressing these recommendations, DCC PLC can better position itself to face future challenges, capitalize on growth opportunities, and deliver enhanced shareholder value.</w:t>
      </w:r>
    </w:p>
    <w:p w14:paraId="25642607" w14:textId="64BD4C19" w:rsidR="000F1720" w:rsidRPr="00F82533" w:rsidRDefault="000F1720" w:rsidP="000F1720">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743B29E5" w14:textId="5AC8BEBE" w:rsidR="00F82533" w:rsidRPr="0056593D" w:rsidRDefault="00F82533" w:rsidP="00F82533">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0D30485D" w14:textId="73C793F2" w:rsidR="002865A3" w:rsidRPr="0056593D" w:rsidRDefault="0056593D" w:rsidP="002865A3">
      <w:pPr>
        <w:spacing w:before="100" w:beforeAutospacing="1" w:after="100" w:afterAutospacing="1" w:line="240" w:lineRule="auto"/>
        <w:ind w:left="720"/>
        <w:rPr>
          <w:rFonts w:ascii="Times New Roman" w:eastAsia="Times New Roman" w:hAnsi="Times New Roman" w:cs="Times New Roman"/>
          <w:b/>
          <w:bCs/>
          <w:kern w:val="0"/>
          <w:sz w:val="24"/>
          <w:szCs w:val="24"/>
          <w:lang w:eastAsia="en-IN"/>
          <w14:ligatures w14:val="none"/>
        </w:rPr>
      </w:pPr>
      <w:r w:rsidRPr="0056593D">
        <w:rPr>
          <w:rFonts w:ascii="Times New Roman" w:eastAsia="Times New Roman" w:hAnsi="Times New Roman" w:cs="Times New Roman"/>
          <w:b/>
          <w:bCs/>
          <w:kern w:val="0"/>
          <w:sz w:val="24"/>
          <w:szCs w:val="24"/>
          <w:lang w:eastAsia="en-IN"/>
          <w14:ligatures w14:val="none"/>
        </w:rPr>
        <w:t>References</w:t>
      </w:r>
    </w:p>
    <w:p w14:paraId="7825F6EC" w14:textId="31ADA0DD" w:rsidR="0056593D" w:rsidRPr="0056593D"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Brigham, E. F., &amp; Ehrhardt, M. C. (2013). </w:t>
      </w:r>
      <w:r w:rsidRPr="0056593D">
        <w:rPr>
          <w:rFonts w:ascii="Times New Roman" w:hAnsi="Times New Roman" w:cs="Times New Roman"/>
          <w:i/>
          <w:iCs/>
          <w:sz w:val="20"/>
          <w:szCs w:val="20"/>
        </w:rPr>
        <w:t>Financial Management: Theory &amp; Practice</w:t>
      </w:r>
      <w:r w:rsidRPr="0056593D">
        <w:rPr>
          <w:rFonts w:ascii="Times New Roman" w:hAnsi="Times New Roman" w:cs="Times New Roman"/>
          <w:sz w:val="20"/>
          <w:szCs w:val="20"/>
        </w:rPr>
        <w:t>. Cengage Learning.</w:t>
      </w:r>
    </w:p>
    <w:p w14:paraId="637EB20B" w14:textId="711EF8C6" w:rsidR="0056593D" w:rsidRPr="0056593D"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Higgins, R. C. (2012). </w:t>
      </w:r>
      <w:r w:rsidRPr="0056593D">
        <w:rPr>
          <w:rFonts w:ascii="Times New Roman" w:hAnsi="Times New Roman" w:cs="Times New Roman"/>
          <w:i/>
          <w:iCs/>
          <w:sz w:val="20"/>
          <w:szCs w:val="20"/>
        </w:rPr>
        <w:t>Analysis for Financial Management</w:t>
      </w:r>
      <w:r w:rsidRPr="0056593D">
        <w:rPr>
          <w:rFonts w:ascii="Times New Roman" w:hAnsi="Times New Roman" w:cs="Times New Roman"/>
          <w:sz w:val="20"/>
          <w:szCs w:val="20"/>
        </w:rPr>
        <w:t>. McGraw-Hill.</w:t>
      </w:r>
    </w:p>
    <w:p w14:paraId="0E814902" w14:textId="412C040F" w:rsidR="0056593D" w:rsidRPr="0056593D"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Ho, C.-T., &amp; Wu, Y.-S. (2006). Benchmarking performance indicators for banks: A grey relation analysis approach. </w:t>
      </w:r>
      <w:r w:rsidRPr="0056593D">
        <w:rPr>
          <w:rFonts w:ascii="Times New Roman" w:hAnsi="Times New Roman" w:cs="Times New Roman"/>
          <w:i/>
          <w:iCs/>
          <w:sz w:val="20"/>
          <w:szCs w:val="20"/>
        </w:rPr>
        <w:t>International Journal of Management and Decision Making, 7</w:t>
      </w:r>
      <w:r w:rsidRPr="0056593D">
        <w:rPr>
          <w:rFonts w:ascii="Times New Roman" w:hAnsi="Times New Roman" w:cs="Times New Roman"/>
          <w:sz w:val="20"/>
          <w:szCs w:val="20"/>
        </w:rPr>
        <w:t>(3), 204-221. https://doi.org/10.1504/IJMDM.2006.009735</w:t>
      </w:r>
    </w:p>
    <w:p w14:paraId="10DA929E" w14:textId="2C5B2001" w:rsidR="0056593D" w:rsidRPr="0056593D"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Kotane, I., &amp; </w:t>
      </w:r>
      <w:proofErr w:type="spellStart"/>
      <w:r w:rsidRPr="0056593D">
        <w:rPr>
          <w:rFonts w:ascii="Times New Roman" w:hAnsi="Times New Roman" w:cs="Times New Roman"/>
          <w:sz w:val="20"/>
          <w:szCs w:val="20"/>
        </w:rPr>
        <w:t>Mietule</w:t>
      </w:r>
      <w:proofErr w:type="spellEnd"/>
      <w:r w:rsidRPr="0056593D">
        <w:rPr>
          <w:rFonts w:ascii="Times New Roman" w:hAnsi="Times New Roman" w:cs="Times New Roman"/>
          <w:sz w:val="20"/>
          <w:szCs w:val="20"/>
        </w:rPr>
        <w:t xml:space="preserve">, I. (2022). Business Performance Evaluation Practice in Manufacturing Sector in Latvia. </w:t>
      </w:r>
      <w:r w:rsidRPr="0056593D">
        <w:rPr>
          <w:rFonts w:ascii="Times New Roman" w:hAnsi="Times New Roman" w:cs="Times New Roman"/>
          <w:i/>
          <w:iCs/>
          <w:sz w:val="20"/>
          <w:szCs w:val="20"/>
        </w:rPr>
        <w:t>Journal of Business and Economic Analysis, 8</w:t>
      </w:r>
      <w:r w:rsidRPr="0056593D">
        <w:rPr>
          <w:rFonts w:ascii="Times New Roman" w:hAnsi="Times New Roman" w:cs="Times New Roman"/>
          <w:sz w:val="20"/>
          <w:szCs w:val="20"/>
        </w:rPr>
        <w:t>(1), 34-49. https://doi.org/10.30923/jbea.2022.0201</w:t>
      </w:r>
    </w:p>
    <w:p w14:paraId="2C37766A" w14:textId="5045B446" w:rsidR="0056593D" w:rsidRPr="0056593D"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Kwak, J. K. (2019). Analysis of Inventory Turnover as a Performance Measure in Manufacturing Industry. </w:t>
      </w:r>
      <w:r w:rsidRPr="0056593D">
        <w:rPr>
          <w:rFonts w:ascii="Times New Roman" w:hAnsi="Times New Roman" w:cs="Times New Roman"/>
          <w:i/>
          <w:iCs/>
          <w:sz w:val="20"/>
          <w:szCs w:val="20"/>
        </w:rPr>
        <w:t xml:space="preserve">Procedia - Social and </w:t>
      </w:r>
      <w:proofErr w:type="spellStart"/>
      <w:r w:rsidRPr="0056593D">
        <w:rPr>
          <w:rFonts w:ascii="Times New Roman" w:hAnsi="Times New Roman" w:cs="Times New Roman"/>
          <w:i/>
          <w:iCs/>
          <w:sz w:val="20"/>
          <w:szCs w:val="20"/>
        </w:rPr>
        <w:t>Behavioral</w:t>
      </w:r>
      <w:proofErr w:type="spellEnd"/>
      <w:r w:rsidRPr="0056593D">
        <w:rPr>
          <w:rFonts w:ascii="Times New Roman" w:hAnsi="Times New Roman" w:cs="Times New Roman"/>
          <w:i/>
          <w:iCs/>
          <w:sz w:val="20"/>
          <w:szCs w:val="20"/>
        </w:rPr>
        <w:t xml:space="preserve"> Sciences, 10</w:t>
      </w:r>
      <w:r w:rsidRPr="0056593D">
        <w:rPr>
          <w:rFonts w:ascii="Times New Roman" w:hAnsi="Times New Roman" w:cs="Times New Roman"/>
          <w:sz w:val="20"/>
          <w:szCs w:val="20"/>
        </w:rPr>
        <w:t>, 760-771. https://doi.org/10.3390/pr7100760</w:t>
      </w:r>
    </w:p>
    <w:p w14:paraId="66C69121" w14:textId="29B6F25C" w:rsidR="0056593D" w:rsidRPr="0056593D"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Pattenden, A. (2001). The Limitations of Ratio Analysis: A Case Study of Business Failure. </w:t>
      </w:r>
      <w:r w:rsidRPr="0056593D">
        <w:rPr>
          <w:rFonts w:ascii="Times New Roman" w:hAnsi="Times New Roman" w:cs="Times New Roman"/>
          <w:i/>
          <w:iCs/>
          <w:sz w:val="20"/>
          <w:szCs w:val="20"/>
        </w:rPr>
        <w:t>Journal of Business and Finance, 14</w:t>
      </w:r>
      <w:r w:rsidRPr="0056593D">
        <w:rPr>
          <w:rFonts w:ascii="Times New Roman" w:hAnsi="Times New Roman" w:cs="Times New Roman"/>
          <w:sz w:val="20"/>
          <w:szCs w:val="20"/>
        </w:rPr>
        <w:t>(4), 58-70.</w:t>
      </w:r>
    </w:p>
    <w:p w14:paraId="6ABA89E9" w14:textId="54BE453C" w:rsidR="0056593D" w:rsidRPr="0056593D"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Saeed, M. A., &amp; Ali, A. (2021). Performance Evaluation of Banks in Pakistan Based on Market Value Ratios – An Application of Data Envelopment Analysis. </w:t>
      </w:r>
      <w:r w:rsidRPr="0056593D">
        <w:rPr>
          <w:rFonts w:ascii="Times New Roman" w:hAnsi="Times New Roman" w:cs="Times New Roman"/>
          <w:i/>
          <w:iCs/>
          <w:sz w:val="20"/>
          <w:szCs w:val="20"/>
        </w:rPr>
        <w:t>Journal of Financial Analysis, 19</w:t>
      </w:r>
      <w:r w:rsidRPr="0056593D">
        <w:rPr>
          <w:rFonts w:ascii="Times New Roman" w:hAnsi="Times New Roman" w:cs="Times New Roman"/>
          <w:sz w:val="20"/>
          <w:szCs w:val="20"/>
        </w:rPr>
        <w:t>(2), 135-148. https://doi.org/10.22610/jfa.2021.050215</w:t>
      </w:r>
    </w:p>
    <w:p w14:paraId="7CEDB4CF" w14:textId="77777777" w:rsidR="0059069B" w:rsidRDefault="0056593D" w:rsidP="0056593D">
      <w:pPr>
        <w:pStyle w:val="ListParagraph"/>
        <w:numPr>
          <w:ilvl w:val="0"/>
          <w:numId w:val="35"/>
        </w:numPr>
        <w:spacing w:line="240" w:lineRule="auto"/>
        <w:rPr>
          <w:rFonts w:ascii="Times New Roman" w:hAnsi="Times New Roman" w:cs="Times New Roman"/>
          <w:sz w:val="20"/>
          <w:szCs w:val="20"/>
        </w:rPr>
      </w:pPr>
      <w:r w:rsidRPr="0056593D">
        <w:rPr>
          <w:rFonts w:ascii="Times New Roman" w:hAnsi="Times New Roman" w:cs="Times New Roman"/>
          <w:sz w:val="20"/>
          <w:szCs w:val="20"/>
        </w:rPr>
        <w:t xml:space="preserve">White, G. I., Sondhi, A. C., </w:t>
      </w:r>
    </w:p>
    <w:p w14:paraId="2CAF8703" w14:textId="77777777" w:rsidR="0059069B" w:rsidRDefault="0059069B" w:rsidP="0059069B">
      <w:pPr>
        <w:spacing w:line="240" w:lineRule="auto"/>
        <w:rPr>
          <w:rFonts w:ascii="Times New Roman" w:hAnsi="Times New Roman" w:cs="Times New Roman"/>
          <w:sz w:val="20"/>
          <w:szCs w:val="20"/>
        </w:rPr>
      </w:pPr>
    </w:p>
    <w:p w14:paraId="4FFBCB6B" w14:textId="77777777" w:rsidR="0059069B" w:rsidRDefault="0059069B" w:rsidP="0059069B">
      <w:pPr>
        <w:spacing w:line="240" w:lineRule="auto"/>
        <w:rPr>
          <w:rFonts w:ascii="Times New Roman" w:hAnsi="Times New Roman" w:cs="Times New Roman"/>
          <w:sz w:val="20"/>
          <w:szCs w:val="20"/>
        </w:rPr>
      </w:pPr>
    </w:p>
    <w:p w14:paraId="66D75CDD" w14:textId="77777777" w:rsidR="0059069B" w:rsidRPr="0059069B" w:rsidRDefault="0059069B" w:rsidP="0059069B">
      <w:pPr>
        <w:spacing w:line="240" w:lineRule="auto"/>
        <w:rPr>
          <w:rFonts w:ascii="Times New Roman" w:hAnsi="Times New Roman" w:cs="Times New Roman"/>
          <w:sz w:val="20"/>
          <w:szCs w:val="20"/>
        </w:rPr>
      </w:pPr>
    </w:p>
    <w:p w14:paraId="73DFF228" w14:textId="77777777" w:rsidR="0059069B" w:rsidRPr="0059069B" w:rsidRDefault="0059069B" w:rsidP="0059069B">
      <w:pPr>
        <w:pStyle w:val="ListParagraph"/>
        <w:rPr>
          <w:rFonts w:ascii="Arial" w:hAnsi="Arial" w:cs="Arial"/>
          <w:sz w:val="24"/>
          <w:szCs w:val="24"/>
        </w:rPr>
      </w:pPr>
      <w:r>
        <w:object w:dxaOrig="4461" w:dyaOrig="831" w14:anchorId="581ECD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23pt;height:41.35pt" o:ole="">
            <v:imagedata r:id="rId10" o:title=""/>
          </v:shape>
          <o:OLEObject Type="Embed" ProgID="Package" ShapeID="_x0000_i1033" DrawAspect="Content" ObjectID="_1798919772" r:id="rId11"/>
        </w:object>
      </w:r>
    </w:p>
    <w:p w14:paraId="7159DACB" w14:textId="77777777" w:rsidR="0059069B" w:rsidRDefault="0059069B" w:rsidP="0059069B">
      <w:pPr>
        <w:pStyle w:val="ListParagraph"/>
        <w:rPr>
          <w:rFonts w:ascii="Arial" w:hAnsi="Arial" w:cs="Arial"/>
          <w:sz w:val="24"/>
          <w:szCs w:val="24"/>
        </w:rPr>
      </w:pPr>
      <w:r>
        <w:object w:dxaOrig="4530" w:dyaOrig="831" w14:anchorId="30BA7CBA">
          <v:shape id="_x0000_i1031" type="#_x0000_t75" style="width:226.75pt;height:41.35pt" o:ole="">
            <v:imagedata r:id="rId12" o:title=""/>
          </v:shape>
          <o:OLEObject Type="Embed" ProgID="Package" ShapeID="_x0000_i1031" DrawAspect="Content" ObjectID="_1798919773" r:id="rId13"/>
        </w:object>
      </w:r>
      <w:r>
        <w:object w:dxaOrig="2781" w:dyaOrig="831" w14:anchorId="7D4FA7A9">
          <v:shape id="_x0000_i1032" type="#_x0000_t75" style="width:139.15pt;height:41.35pt" o:ole="">
            <v:imagedata r:id="rId14" o:title=""/>
          </v:shape>
          <o:OLEObject Type="Embed" ProgID="Package" ShapeID="_x0000_i1032" DrawAspect="Content" ObjectID="_1798919774" r:id="rId15"/>
        </w:object>
      </w:r>
    </w:p>
    <w:p w14:paraId="0936E931" w14:textId="77777777" w:rsidR="006E1F6F" w:rsidRDefault="006E1F6F" w:rsidP="0059069B">
      <w:pPr>
        <w:pStyle w:val="ListParagraph"/>
        <w:rPr>
          <w:rFonts w:ascii="Arial" w:hAnsi="Arial" w:cs="Arial"/>
          <w:sz w:val="24"/>
          <w:szCs w:val="24"/>
        </w:rPr>
      </w:pPr>
    </w:p>
    <w:p w14:paraId="06E173F4" w14:textId="77777777" w:rsidR="006E1F6F" w:rsidRDefault="006E1F6F" w:rsidP="0059069B">
      <w:pPr>
        <w:pStyle w:val="ListParagraph"/>
        <w:rPr>
          <w:rFonts w:ascii="Arial" w:hAnsi="Arial" w:cs="Arial"/>
          <w:sz w:val="24"/>
          <w:szCs w:val="24"/>
        </w:rPr>
      </w:pPr>
    </w:p>
    <w:p w14:paraId="72160E46" w14:textId="77777777" w:rsidR="006E1F6F" w:rsidRDefault="006E1F6F" w:rsidP="0059069B">
      <w:pPr>
        <w:pStyle w:val="ListParagraph"/>
        <w:rPr>
          <w:rFonts w:ascii="Arial" w:hAnsi="Arial" w:cs="Arial"/>
          <w:sz w:val="24"/>
          <w:szCs w:val="24"/>
        </w:rPr>
      </w:pPr>
    </w:p>
    <w:p w14:paraId="3C64054A" w14:textId="25E9650D" w:rsidR="006E1F6F" w:rsidRDefault="006E1F6F" w:rsidP="0059069B">
      <w:pPr>
        <w:pStyle w:val="ListParagraph"/>
        <w:rPr>
          <w:rFonts w:ascii="Arial" w:hAnsi="Arial" w:cs="Arial"/>
          <w:sz w:val="24"/>
          <w:szCs w:val="24"/>
        </w:rPr>
      </w:pPr>
      <w:r>
        <w:rPr>
          <w:rFonts w:ascii="Arial" w:hAnsi="Arial" w:cs="Arial"/>
          <w:sz w:val="24"/>
          <w:szCs w:val="24"/>
        </w:rPr>
        <w:object w:dxaOrig="1508" w:dyaOrig="983" w14:anchorId="05D6691C">
          <v:shape id="_x0000_i1048" type="#_x0000_t75" style="width:75.2pt;height:48.9pt" o:ole="">
            <v:imagedata r:id="rId16" o:title=""/>
          </v:shape>
          <o:OLEObject Type="Embed" ProgID="Excel.Sheet.12" ShapeID="_x0000_i1048" DrawAspect="Icon" ObjectID="_1798919775" r:id="rId17"/>
        </w:object>
      </w:r>
    </w:p>
    <w:p w14:paraId="7D1B4EBB" w14:textId="77777777" w:rsidR="006E1F6F" w:rsidRPr="0059069B" w:rsidRDefault="006E1F6F" w:rsidP="0059069B">
      <w:pPr>
        <w:pStyle w:val="ListParagraph"/>
        <w:rPr>
          <w:rFonts w:ascii="Arial" w:hAnsi="Arial" w:cs="Arial"/>
          <w:sz w:val="24"/>
          <w:szCs w:val="24"/>
        </w:rPr>
      </w:pPr>
    </w:p>
    <w:p w14:paraId="61AF3990" w14:textId="5CAAA62B" w:rsidR="0059069B" w:rsidRDefault="0059069B">
      <w:pPr>
        <w:rPr>
          <w:rFonts w:ascii="Times New Roman" w:hAnsi="Times New Roman" w:cs="Times New Roman"/>
          <w:sz w:val="20"/>
          <w:szCs w:val="20"/>
        </w:rPr>
      </w:pPr>
      <w:r>
        <w:rPr>
          <w:rFonts w:ascii="Times New Roman" w:hAnsi="Times New Roman" w:cs="Times New Roman"/>
          <w:sz w:val="20"/>
          <w:szCs w:val="20"/>
        </w:rPr>
        <w:br w:type="page"/>
      </w:r>
    </w:p>
    <w:p w14:paraId="05565940" w14:textId="77777777" w:rsidR="0059069B" w:rsidRDefault="0059069B">
      <w:pPr>
        <w:rPr>
          <w:rFonts w:ascii="Times New Roman" w:hAnsi="Times New Roman" w:cs="Times New Roman"/>
          <w:sz w:val="20"/>
          <w:szCs w:val="20"/>
        </w:rPr>
      </w:pPr>
    </w:p>
    <w:p w14:paraId="7126A6A3" w14:textId="77777777" w:rsidR="0059069B" w:rsidRDefault="0059069B" w:rsidP="0059069B">
      <w:pPr>
        <w:pStyle w:val="ListParagraph"/>
        <w:spacing w:line="240" w:lineRule="auto"/>
        <w:jc w:val="center"/>
        <w:rPr>
          <w:rFonts w:ascii="Times New Roman" w:hAnsi="Times New Roman" w:cs="Times New Roman"/>
          <w:sz w:val="20"/>
          <w:szCs w:val="20"/>
        </w:rPr>
      </w:pPr>
    </w:p>
    <w:p w14:paraId="40B875E3" w14:textId="77777777" w:rsidR="0059069B" w:rsidRDefault="0059069B" w:rsidP="0059069B">
      <w:pPr>
        <w:pStyle w:val="ListParagraph"/>
        <w:spacing w:line="240" w:lineRule="auto"/>
        <w:jc w:val="center"/>
        <w:rPr>
          <w:rFonts w:ascii="Times New Roman" w:hAnsi="Times New Roman" w:cs="Times New Roman"/>
          <w:sz w:val="20"/>
          <w:szCs w:val="20"/>
        </w:rPr>
      </w:pPr>
    </w:p>
    <w:p w14:paraId="3A64C3B7" w14:textId="77777777" w:rsidR="0059069B" w:rsidRDefault="0059069B" w:rsidP="0059069B">
      <w:pPr>
        <w:pStyle w:val="ListParagraph"/>
        <w:spacing w:line="240" w:lineRule="auto"/>
        <w:jc w:val="center"/>
        <w:rPr>
          <w:rFonts w:ascii="Times New Roman" w:hAnsi="Times New Roman" w:cs="Times New Roman"/>
          <w:sz w:val="20"/>
          <w:szCs w:val="20"/>
        </w:rPr>
      </w:pPr>
    </w:p>
    <w:p w14:paraId="2CB42A27" w14:textId="77777777" w:rsidR="0059069B" w:rsidRDefault="0059069B" w:rsidP="0059069B">
      <w:pPr>
        <w:pStyle w:val="ListParagraph"/>
        <w:spacing w:line="240" w:lineRule="auto"/>
        <w:jc w:val="center"/>
        <w:rPr>
          <w:rFonts w:ascii="Times New Roman" w:hAnsi="Times New Roman" w:cs="Times New Roman"/>
          <w:sz w:val="20"/>
          <w:szCs w:val="20"/>
        </w:rPr>
      </w:pPr>
    </w:p>
    <w:p w14:paraId="28171548" w14:textId="77777777" w:rsidR="0059069B" w:rsidRDefault="0059069B" w:rsidP="0059069B">
      <w:pPr>
        <w:pStyle w:val="ListParagraph"/>
        <w:spacing w:line="240" w:lineRule="auto"/>
        <w:jc w:val="center"/>
        <w:rPr>
          <w:rFonts w:ascii="Times New Roman" w:hAnsi="Times New Roman" w:cs="Times New Roman"/>
          <w:sz w:val="20"/>
          <w:szCs w:val="20"/>
        </w:rPr>
      </w:pPr>
    </w:p>
    <w:p w14:paraId="22B8D20A" w14:textId="77777777" w:rsidR="0059069B" w:rsidRDefault="0059069B" w:rsidP="0059069B">
      <w:pPr>
        <w:pStyle w:val="ListParagraph"/>
        <w:spacing w:line="240" w:lineRule="auto"/>
        <w:jc w:val="center"/>
        <w:rPr>
          <w:rFonts w:ascii="Times New Roman" w:hAnsi="Times New Roman" w:cs="Times New Roman"/>
          <w:sz w:val="20"/>
          <w:szCs w:val="20"/>
        </w:rPr>
      </w:pPr>
    </w:p>
    <w:p w14:paraId="6F262A83" w14:textId="77777777" w:rsidR="0059069B" w:rsidRDefault="0059069B" w:rsidP="0059069B">
      <w:pPr>
        <w:pStyle w:val="ListParagraph"/>
        <w:spacing w:line="240" w:lineRule="auto"/>
        <w:jc w:val="center"/>
        <w:rPr>
          <w:rFonts w:ascii="Times New Roman" w:hAnsi="Times New Roman" w:cs="Times New Roman"/>
          <w:sz w:val="20"/>
          <w:szCs w:val="20"/>
        </w:rPr>
      </w:pPr>
    </w:p>
    <w:p w14:paraId="163530E0" w14:textId="77777777" w:rsidR="0059069B" w:rsidRDefault="0059069B" w:rsidP="0059069B">
      <w:pPr>
        <w:pStyle w:val="ListParagraph"/>
        <w:spacing w:line="240" w:lineRule="auto"/>
        <w:jc w:val="center"/>
        <w:rPr>
          <w:rFonts w:ascii="Times New Roman" w:hAnsi="Times New Roman" w:cs="Times New Roman"/>
          <w:sz w:val="20"/>
          <w:szCs w:val="20"/>
        </w:rPr>
      </w:pPr>
    </w:p>
    <w:p w14:paraId="5E357622" w14:textId="77777777" w:rsidR="0059069B" w:rsidRDefault="0059069B" w:rsidP="0059069B">
      <w:pPr>
        <w:pStyle w:val="ListParagraph"/>
        <w:spacing w:line="240" w:lineRule="auto"/>
        <w:jc w:val="center"/>
        <w:rPr>
          <w:rFonts w:ascii="Times New Roman" w:hAnsi="Times New Roman" w:cs="Times New Roman"/>
          <w:sz w:val="44"/>
          <w:szCs w:val="44"/>
        </w:rPr>
      </w:pPr>
    </w:p>
    <w:p w14:paraId="73472C0F" w14:textId="77777777" w:rsidR="0059069B" w:rsidRDefault="0059069B" w:rsidP="0059069B">
      <w:pPr>
        <w:pStyle w:val="ListParagraph"/>
        <w:spacing w:line="240" w:lineRule="auto"/>
        <w:jc w:val="center"/>
        <w:rPr>
          <w:rFonts w:ascii="Times New Roman" w:hAnsi="Times New Roman" w:cs="Times New Roman"/>
          <w:sz w:val="44"/>
          <w:szCs w:val="44"/>
        </w:rPr>
      </w:pPr>
    </w:p>
    <w:p w14:paraId="110359E9" w14:textId="77777777" w:rsidR="0059069B" w:rsidRDefault="0059069B" w:rsidP="0059069B">
      <w:pPr>
        <w:pStyle w:val="ListParagraph"/>
        <w:spacing w:line="240" w:lineRule="auto"/>
        <w:jc w:val="center"/>
        <w:rPr>
          <w:rFonts w:ascii="Times New Roman" w:hAnsi="Times New Roman" w:cs="Times New Roman"/>
          <w:sz w:val="44"/>
          <w:szCs w:val="44"/>
        </w:rPr>
      </w:pPr>
    </w:p>
    <w:p w14:paraId="2B322E17" w14:textId="70789D3A" w:rsidR="0059069B" w:rsidRPr="0059069B" w:rsidRDefault="0059069B" w:rsidP="0059069B">
      <w:pPr>
        <w:pStyle w:val="ListParagraph"/>
        <w:spacing w:line="240" w:lineRule="auto"/>
        <w:rPr>
          <w:rFonts w:ascii="Times New Roman" w:hAnsi="Times New Roman" w:cs="Times New Roman"/>
          <w:sz w:val="44"/>
          <w:szCs w:val="44"/>
        </w:rPr>
      </w:pPr>
      <w:r>
        <w:rPr>
          <w:rFonts w:ascii="Times New Roman" w:hAnsi="Times New Roman" w:cs="Times New Roman"/>
          <w:sz w:val="44"/>
          <w:szCs w:val="44"/>
        </w:rPr>
        <w:t xml:space="preserve">                          </w:t>
      </w:r>
      <w:r w:rsidRPr="0059069B">
        <w:rPr>
          <w:rFonts w:ascii="Times New Roman" w:hAnsi="Times New Roman" w:cs="Times New Roman"/>
          <w:sz w:val="44"/>
          <w:szCs w:val="44"/>
        </w:rPr>
        <w:t>PART-2</w:t>
      </w:r>
    </w:p>
    <w:p w14:paraId="24B60564" w14:textId="77777777" w:rsidR="0059069B" w:rsidRDefault="0059069B">
      <w:pPr>
        <w:rPr>
          <w:rFonts w:ascii="Times New Roman" w:hAnsi="Times New Roman" w:cs="Times New Roman"/>
          <w:sz w:val="20"/>
          <w:szCs w:val="20"/>
        </w:rPr>
      </w:pPr>
    </w:p>
    <w:p w14:paraId="013C4016" w14:textId="77777777" w:rsidR="0059069B" w:rsidRDefault="0059069B">
      <w:pPr>
        <w:rPr>
          <w:rFonts w:ascii="Times New Roman" w:hAnsi="Times New Roman" w:cs="Times New Roman"/>
          <w:sz w:val="20"/>
          <w:szCs w:val="20"/>
        </w:rPr>
      </w:pPr>
      <w:r>
        <w:rPr>
          <w:rFonts w:ascii="Times New Roman" w:hAnsi="Times New Roman" w:cs="Times New Roman"/>
          <w:sz w:val="20"/>
          <w:szCs w:val="20"/>
        </w:rPr>
        <w:br w:type="page"/>
      </w:r>
    </w:p>
    <w:p w14:paraId="748F630D" w14:textId="77777777" w:rsidR="0059069B" w:rsidRPr="00B54455" w:rsidRDefault="0059069B" w:rsidP="0059069B">
      <w:pPr>
        <w:jc w:val="center"/>
        <w:rPr>
          <w:rFonts w:ascii="Arial" w:hAnsi="Arial" w:cs="Arial"/>
          <w:b/>
          <w:bCs/>
          <w:sz w:val="24"/>
          <w:szCs w:val="24"/>
        </w:rPr>
      </w:pPr>
      <w:r w:rsidRPr="00B54455">
        <w:rPr>
          <w:rFonts w:ascii="Arial" w:hAnsi="Arial" w:cs="Arial"/>
          <w:b/>
          <w:bCs/>
          <w:sz w:val="24"/>
          <w:szCs w:val="24"/>
        </w:rPr>
        <w:lastRenderedPageBreak/>
        <w:t>Investment Evaluation Report for Greenacres Plc</w:t>
      </w:r>
    </w:p>
    <w:p w14:paraId="3BD7CECD" w14:textId="77777777" w:rsidR="0059069B" w:rsidRPr="00B54455" w:rsidRDefault="0059069B" w:rsidP="0059069B">
      <w:pPr>
        <w:rPr>
          <w:rFonts w:ascii="Arial" w:hAnsi="Arial" w:cs="Arial"/>
          <w:sz w:val="24"/>
          <w:szCs w:val="24"/>
        </w:rPr>
      </w:pPr>
    </w:p>
    <w:p w14:paraId="612569A9" w14:textId="77777777" w:rsidR="0059069B" w:rsidRPr="00B54455" w:rsidRDefault="0059069B" w:rsidP="0059069B">
      <w:pPr>
        <w:jc w:val="center"/>
        <w:rPr>
          <w:rFonts w:ascii="Arial" w:hAnsi="Arial" w:cs="Arial"/>
          <w:b/>
          <w:bCs/>
          <w:sz w:val="28"/>
          <w:szCs w:val="28"/>
        </w:rPr>
      </w:pPr>
      <w:r w:rsidRPr="00B54455">
        <w:rPr>
          <w:rFonts w:ascii="Arial" w:hAnsi="Arial" w:cs="Arial"/>
          <w:b/>
          <w:bCs/>
          <w:sz w:val="28"/>
          <w:szCs w:val="28"/>
        </w:rPr>
        <w:t>Executive Summary</w:t>
      </w:r>
    </w:p>
    <w:p w14:paraId="73535467" w14:textId="77777777" w:rsidR="0059069B" w:rsidRPr="00B54455" w:rsidRDefault="0059069B" w:rsidP="0059069B">
      <w:pPr>
        <w:rPr>
          <w:rFonts w:ascii="Arial" w:hAnsi="Arial" w:cs="Arial"/>
          <w:sz w:val="24"/>
          <w:szCs w:val="24"/>
        </w:rPr>
      </w:pPr>
      <w:r w:rsidRPr="00B54455">
        <w:rPr>
          <w:rFonts w:ascii="Arial" w:hAnsi="Arial" w:cs="Arial"/>
          <w:sz w:val="24"/>
          <w:szCs w:val="24"/>
        </w:rPr>
        <w:t>This report evaluates three potential investment options to expand Greenacres Plc over a four-year period. The options include:</w:t>
      </w:r>
    </w:p>
    <w:p w14:paraId="5ED9F5B7" w14:textId="77777777" w:rsidR="0059069B" w:rsidRPr="00B54455" w:rsidRDefault="0059069B" w:rsidP="0059069B">
      <w:pPr>
        <w:numPr>
          <w:ilvl w:val="0"/>
          <w:numId w:val="40"/>
        </w:numPr>
        <w:rPr>
          <w:rFonts w:ascii="Arial" w:hAnsi="Arial" w:cs="Arial"/>
          <w:sz w:val="24"/>
          <w:szCs w:val="24"/>
        </w:rPr>
      </w:pPr>
      <w:r w:rsidRPr="00B54455">
        <w:rPr>
          <w:rFonts w:ascii="Arial" w:hAnsi="Arial" w:cs="Arial"/>
          <w:b/>
          <w:bCs/>
          <w:sz w:val="24"/>
          <w:szCs w:val="24"/>
        </w:rPr>
        <w:t>Option A:</w:t>
      </w:r>
      <w:r w:rsidRPr="00B54455">
        <w:rPr>
          <w:rFonts w:ascii="Arial" w:hAnsi="Arial" w:cs="Arial"/>
          <w:sz w:val="24"/>
          <w:szCs w:val="24"/>
        </w:rPr>
        <w:t xml:space="preserve"> Expanding the retail outlet.</w:t>
      </w:r>
    </w:p>
    <w:p w14:paraId="6AB468E3" w14:textId="77777777" w:rsidR="0059069B" w:rsidRPr="00B54455" w:rsidRDefault="0059069B" w:rsidP="0059069B">
      <w:pPr>
        <w:numPr>
          <w:ilvl w:val="0"/>
          <w:numId w:val="40"/>
        </w:numPr>
        <w:rPr>
          <w:rFonts w:ascii="Arial" w:hAnsi="Arial" w:cs="Arial"/>
          <w:sz w:val="24"/>
          <w:szCs w:val="24"/>
        </w:rPr>
      </w:pPr>
      <w:r w:rsidRPr="00B54455">
        <w:rPr>
          <w:rFonts w:ascii="Arial" w:hAnsi="Arial" w:cs="Arial"/>
          <w:b/>
          <w:bCs/>
          <w:sz w:val="24"/>
          <w:szCs w:val="24"/>
        </w:rPr>
        <w:t>Option B:</w:t>
      </w:r>
      <w:r w:rsidRPr="00B54455">
        <w:rPr>
          <w:rFonts w:ascii="Arial" w:hAnsi="Arial" w:cs="Arial"/>
          <w:sz w:val="24"/>
          <w:szCs w:val="24"/>
        </w:rPr>
        <w:t xml:space="preserve"> Developing internet sales.</w:t>
      </w:r>
    </w:p>
    <w:p w14:paraId="2628AC86" w14:textId="77777777" w:rsidR="0059069B" w:rsidRPr="00B54455" w:rsidRDefault="0059069B" w:rsidP="0059069B">
      <w:pPr>
        <w:numPr>
          <w:ilvl w:val="0"/>
          <w:numId w:val="40"/>
        </w:numPr>
        <w:rPr>
          <w:rFonts w:ascii="Arial" w:hAnsi="Arial" w:cs="Arial"/>
          <w:sz w:val="24"/>
          <w:szCs w:val="24"/>
        </w:rPr>
      </w:pPr>
      <w:r w:rsidRPr="00B54455">
        <w:rPr>
          <w:rFonts w:ascii="Arial" w:hAnsi="Arial" w:cs="Arial"/>
          <w:b/>
          <w:bCs/>
          <w:sz w:val="24"/>
          <w:szCs w:val="24"/>
        </w:rPr>
        <w:t>Option C:</w:t>
      </w:r>
      <w:r w:rsidRPr="00B54455">
        <w:rPr>
          <w:rFonts w:ascii="Arial" w:hAnsi="Arial" w:cs="Arial"/>
          <w:sz w:val="24"/>
          <w:szCs w:val="24"/>
        </w:rPr>
        <w:t xml:space="preserve"> Producing greenhouses and conservatories.</w:t>
      </w:r>
    </w:p>
    <w:p w14:paraId="016F6547" w14:textId="77777777" w:rsidR="0059069B" w:rsidRPr="00B54455" w:rsidRDefault="0059069B" w:rsidP="0059069B">
      <w:pPr>
        <w:rPr>
          <w:rFonts w:ascii="Arial" w:hAnsi="Arial" w:cs="Arial"/>
          <w:sz w:val="24"/>
          <w:szCs w:val="24"/>
        </w:rPr>
      </w:pPr>
      <w:r w:rsidRPr="00B54455">
        <w:rPr>
          <w:rFonts w:ascii="Arial" w:hAnsi="Arial" w:cs="Arial"/>
          <w:sz w:val="24"/>
          <w:szCs w:val="24"/>
        </w:rPr>
        <w:t>Each option involves significant initial expenditure and yields differing cash flows. The analysis utilizes the Net Present Value (NPV) and Internal Rate of Return (IRR) methods as decision-making tools. Additional considerations, including capital rationing and financing strategies, are included to guide investment decisions. The report concludes with recommendations for the Board.</w:t>
      </w:r>
    </w:p>
    <w:p w14:paraId="298D0B0B" w14:textId="77777777" w:rsidR="0059069B" w:rsidRPr="00B54455" w:rsidRDefault="0059069B" w:rsidP="0059069B">
      <w:pPr>
        <w:rPr>
          <w:rFonts w:ascii="Arial" w:hAnsi="Arial" w:cs="Arial"/>
          <w:sz w:val="24"/>
          <w:szCs w:val="24"/>
        </w:rPr>
      </w:pPr>
      <w:r w:rsidRPr="00B54455">
        <w:rPr>
          <w:rFonts w:ascii="Arial" w:hAnsi="Arial" w:cs="Arial"/>
          <w:noProof/>
          <w:sz w:val="24"/>
          <w:szCs w:val="24"/>
        </w:rPr>
        <mc:AlternateContent>
          <mc:Choice Requires="wps">
            <w:drawing>
              <wp:anchor distT="0" distB="0" distL="114300" distR="114300" simplePos="0" relativeHeight="251659264" behindDoc="0" locked="0" layoutInCell="1" allowOverlap="1" wp14:anchorId="4CD14CD7" wp14:editId="147DAE06">
                <wp:simplePos x="0" y="0"/>
                <wp:positionH relativeFrom="column">
                  <wp:posOffset>17145</wp:posOffset>
                </wp:positionH>
                <wp:positionV relativeFrom="paragraph">
                  <wp:posOffset>54415</wp:posOffset>
                </wp:positionV>
                <wp:extent cx="5574323" cy="0"/>
                <wp:effectExtent l="0" t="0" r="0" b="0"/>
                <wp:wrapNone/>
                <wp:docPr id="1843724392" name="Straight Connector 1"/>
                <wp:cNvGraphicFramePr/>
                <a:graphic xmlns:a="http://schemas.openxmlformats.org/drawingml/2006/main">
                  <a:graphicData uri="http://schemas.microsoft.com/office/word/2010/wordprocessingShape">
                    <wps:wsp>
                      <wps:cNvCnPr/>
                      <wps:spPr>
                        <a:xfrm flipV="1">
                          <a:off x="0" y="0"/>
                          <a:ext cx="55743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D393F06"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5pt,4.3pt" to="440.2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" strokecolor="black [3200]" strokeweight=".5pt">
                <v:stroke joinstyle="miter"/>
              </v:line>
            </w:pict>
          </mc:Fallback>
        </mc:AlternateContent>
      </w:r>
    </w:p>
    <w:p w14:paraId="22ED6BF5" w14:textId="77777777" w:rsidR="0059069B" w:rsidRPr="00B54455" w:rsidRDefault="0059069B" w:rsidP="0059069B">
      <w:pPr>
        <w:rPr>
          <w:rFonts w:ascii="Arial" w:hAnsi="Arial" w:cs="Arial"/>
          <w:b/>
          <w:bCs/>
          <w:sz w:val="28"/>
          <w:szCs w:val="28"/>
        </w:rPr>
      </w:pPr>
      <w:r w:rsidRPr="00B54455">
        <w:rPr>
          <w:rFonts w:ascii="Arial" w:hAnsi="Arial" w:cs="Arial"/>
          <w:b/>
          <w:bCs/>
          <w:sz w:val="28"/>
          <w:szCs w:val="28"/>
        </w:rPr>
        <w:t>1. Introduction</w:t>
      </w:r>
    </w:p>
    <w:p w14:paraId="09535582" w14:textId="77777777" w:rsidR="0059069B" w:rsidRPr="00B54455" w:rsidRDefault="0059069B" w:rsidP="0059069B">
      <w:pPr>
        <w:rPr>
          <w:rFonts w:ascii="Arial" w:hAnsi="Arial" w:cs="Arial"/>
          <w:sz w:val="24"/>
          <w:szCs w:val="24"/>
        </w:rPr>
      </w:pPr>
      <w:r w:rsidRPr="00B54455">
        <w:rPr>
          <w:rFonts w:ascii="Arial" w:hAnsi="Arial" w:cs="Arial"/>
          <w:sz w:val="24"/>
          <w:szCs w:val="24"/>
        </w:rPr>
        <w:t>Greenacres Plc, a well-established company, is considering three strategic investment opportunities for its expansion and long-term growth. These opportunities aim to enhance the company’s market position, diversify its revenue streams, and ensure sustainable profitability. As the company evaluates these options, it must consider various factors such as the initial investment requirements, expected cash flows, market conditions, and associated risks. To facilitate an objective decision-making process, this report uses financial appraisal techniques, specifically the Net Present Value (NPV) and Internal Rate of Return (IRR) methods, which are standard tools in evaluating investment opportunities in corporate finance (Brigham &amp; Ehrhardt, 2016).</w:t>
      </w:r>
    </w:p>
    <w:p w14:paraId="5D042099" w14:textId="77777777" w:rsidR="0059069B" w:rsidRPr="00B54455" w:rsidRDefault="0059069B" w:rsidP="0059069B">
      <w:pPr>
        <w:rPr>
          <w:rFonts w:ascii="Arial" w:hAnsi="Arial" w:cs="Arial"/>
          <w:sz w:val="24"/>
          <w:szCs w:val="24"/>
        </w:rPr>
      </w:pPr>
    </w:p>
    <w:p w14:paraId="026370E7" w14:textId="77777777" w:rsidR="0059069B" w:rsidRPr="00B54455" w:rsidRDefault="0059069B" w:rsidP="0059069B">
      <w:pPr>
        <w:rPr>
          <w:rFonts w:ascii="Arial" w:hAnsi="Arial" w:cs="Arial"/>
          <w:sz w:val="24"/>
          <w:szCs w:val="24"/>
        </w:rPr>
      </w:pPr>
      <w:r w:rsidRPr="00B54455">
        <w:rPr>
          <w:rFonts w:ascii="Arial" w:hAnsi="Arial" w:cs="Arial"/>
          <w:sz w:val="24"/>
          <w:szCs w:val="24"/>
        </w:rPr>
        <w:t>The three potential investment projects being considered are as follows:</w:t>
      </w:r>
    </w:p>
    <w:p w14:paraId="3BEF0B82" w14:textId="77777777" w:rsidR="0059069B" w:rsidRPr="00B54455" w:rsidRDefault="0059069B" w:rsidP="0059069B">
      <w:pPr>
        <w:rPr>
          <w:rFonts w:ascii="Arial" w:hAnsi="Arial" w:cs="Arial"/>
          <w:sz w:val="24"/>
          <w:szCs w:val="24"/>
        </w:rPr>
      </w:pPr>
      <w:r w:rsidRPr="00B54455">
        <w:rPr>
          <w:rFonts w:ascii="Arial" w:hAnsi="Arial" w:cs="Arial"/>
          <w:b/>
          <w:bCs/>
          <w:sz w:val="24"/>
          <w:szCs w:val="24"/>
        </w:rPr>
        <w:t>Option A:</w:t>
      </w:r>
      <w:r w:rsidRPr="00B54455">
        <w:rPr>
          <w:rFonts w:ascii="Arial" w:hAnsi="Arial" w:cs="Arial"/>
          <w:sz w:val="24"/>
          <w:szCs w:val="24"/>
        </w:rPr>
        <w:t xml:space="preserve"> Expanding the retail outlet, which would involve opening new retail stores in key geographic areas. This option aims to leverage the company’s existing infrastructure and brand recognition to increase sales and market share.</w:t>
      </w:r>
    </w:p>
    <w:p w14:paraId="5C995FE8" w14:textId="77777777" w:rsidR="0059069B" w:rsidRPr="00B54455" w:rsidRDefault="0059069B" w:rsidP="0059069B">
      <w:pPr>
        <w:rPr>
          <w:rFonts w:ascii="Arial" w:hAnsi="Arial" w:cs="Arial"/>
          <w:sz w:val="24"/>
          <w:szCs w:val="24"/>
        </w:rPr>
      </w:pPr>
    </w:p>
    <w:p w14:paraId="0301246C" w14:textId="77777777" w:rsidR="0059069B" w:rsidRPr="00B54455" w:rsidRDefault="0059069B" w:rsidP="0059069B">
      <w:pPr>
        <w:rPr>
          <w:rFonts w:ascii="Arial" w:hAnsi="Arial" w:cs="Arial"/>
          <w:sz w:val="24"/>
          <w:szCs w:val="24"/>
        </w:rPr>
      </w:pPr>
      <w:r w:rsidRPr="00B54455">
        <w:rPr>
          <w:rFonts w:ascii="Arial" w:hAnsi="Arial" w:cs="Arial"/>
          <w:b/>
          <w:bCs/>
          <w:sz w:val="24"/>
          <w:szCs w:val="24"/>
        </w:rPr>
        <w:t>Option B:</w:t>
      </w:r>
      <w:r w:rsidRPr="00B54455">
        <w:rPr>
          <w:rFonts w:ascii="Arial" w:hAnsi="Arial" w:cs="Arial"/>
          <w:sz w:val="24"/>
          <w:szCs w:val="24"/>
        </w:rPr>
        <w:t xml:space="preserve"> Developing internet sales through a comprehensive e-commerce platform. This strategy involves investing in online marketing, enhancing the digital infrastructure, and catering to the growing online shopping trend. The rise of e-commerce has made this option particularly attractive, as it allows the company to tap into a larger customer base beyond its physical stores (Damodaran, 2012).</w:t>
      </w:r>
    </w:p>
    <w:p w14:paraId="5DDEEE3E" w14:textId="77777777" w:rsidR="0059069B" w:rsidRPr="00B54455" w:rsidRDefault="0059069B" w:rsidP="0059069B">
      <w:pPr>
        <w:rPr>
          <w:rFonts w:ascii="Arial" w:hAnsi="Arial" w:cs="Arial"/>
          <w:sz w:val="24"/>
          <w:szCs w:val="24"/>
        </w:rPr>
      </w:pPr>
    </w:p>
    <w:p w14:paraId="4C66A468" w14:textId="77777777" w:rsidR="0059069B" w:rsidRPr="00B54455" w:rsidRDefault="0059069B" w:rsidP="0059069B">
      <w:pPr>
        <w:rPr>
          <w:rFonts w:ascii="Arial" w:hAnsi="Arial" w:cs="Arial"/>
          <w:sz w:val="24"/>
          <w:szCs w:val="24"/>
        </w:rPr>
      </w:pPr>
      <w:r w:rsidRPr="00B54455">
        <w:rPr>
          <w:rFonts w:ascii="Arial" w:hAnsi="Arial" w:cs="Arial"/>
          <w:b/>
          <w:bCs/>
          <w:sz w:val="24"/>
          <w:szCs w:val="24"/>
        </w:rPr>
        <w:lastRenderedPageBreak/>
        <w:t>Option C:</w:t>
      </w:r>
      <w:r w:rsidRPr="00B54455">
        <w:rPr>
          <w:rFonts w:ascii="Arial" w:hAnsi="Arial" w:cs="Arial"/>
          <w:sz w:val="24"/>
          <w:szCs w:val="24"/>
        </w:rPr>
        <w:t xml:space="preserve"> Producing greenhouses and conservatories, a new product line that complements Greenacres’ existing offerings in the home and garden sector. This option requires significant capital investment for production facilities and machinery. However, it offers the potential to diversify the company’s product range and enter new markets, including the growing demand for home improvement products (Van Horne &amp; Wachowicz, 2008).</w:t>
      </w:r>
    </w:p>
    <w:p w14:paraId="18BDF922" w14:textId="77777777" w:rsidR="0059069B" w:rsidRPr="00B54455" w:rsidRDefault="0059069B" w:rsidP="0059069B">
      <w:pPr>
        <w:rPr>
          <w:rFonts w:ascii="Arial" w:hAnsi="Arial" w:cs="Arial"/>
          <w:sz w:val="24"/>
          <w:szCs w:val="24"/>
        </w:rPr>
      </w:pPr>
    </w:p>
    <w:p w14:paraId="4B0B4E8A" w14:textId="77777777" w:rsidR="0059069B" w:rsidRPr="00B54455" w:rsidRDefault="0059069B" w:rsidP="0059069B">
      <w:pPr>
        <w:rPr>
          <w:rFonts w:ascii="Arial" w:hAnsi="Arial" w:cs="Arial"/>
          <w:sz w:val="24"/>
          <w:szCs w:val="24"/>
        </w:rPr>
      </w:pPr>
      <w:r w:rsidRPr="00B54455">
        <w:rPr>
          <w:rFonts w:ascii="Arial" w:hAnsi="Arial" w:cs="Arial"/>
          <w:sz w:val="24"/>
          <w:szCs w:val="24"/>
        </w:rPr>
        <w:t xml:space="preserve">Given the size of the investments and the long-term nature of these projects, it is essential for Greenacres Plc to conduct a thorough evaluation of each option using a robust financial analysis framework. By considering factors such as cash flow projections, risk exposure, and the company’s strategic goals, this report aims to provide comprehensive insights that will guide the Board in selecting the most viable option. The NPV method will assess the value added by each project, while the IRR will provide an estimate of the return on investment. Additional considerations, such as capital rationing and financing strategies, will further support decision-making and ensure that Greenacres Plc makes an informed and effective investment choice (Shapiro &amp; </w:t>
      </w:r>
      <w:proofErr w:type="spellStart"/>
      <w:r w:rsidRPr="00B54455">
        <w:rPr>
          <w:rFonts w:ascii="Arial" w:hAnsi="Arial" w:cs="Arial"/>
          <w:sz w:val="24"/>
          <w:szCs w:val="24"/>
        </w:rPr>
        <w:t>Balbirer</w:t>
      </w:r>
      <w:proofErr w:type="spellEnd"/>
      <w:r w:rsidRPr="00B54455">
        <w:rPr>
          <w:rFonts w:ascii="Arial" w:hAnsi="Arial" w:cs="Arial"/>
          <w:sz w:val="24"/>
          <w:szCs w:val="24"/>
        </w:rPr>
        <w:t>, 2000).</w:t>
      </w:r>
    </w:p>
    <w:p w14:paraId="0BD0DF06"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2. Evaluation of the Three Investment Projects Using the NPV Method</w:t>
      </w:r>
    </w:p>
    <w:p w14:paraId="6708A951"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2.1 Key Assumptions</w:t>
      </w:r>
    </w:p>
    <w:tbl>
      <w:tblPr>
        <w:tblW w:w="6420" w:type="dxa"/>
        <w:tblLook w:val="04A0" w:firstRow="1" w:lastRow="0" w:firstColumn="1" w:lastColumn="0" w:noHBand="0" w:noVBand="1"/>
      </w:tblPr>
      <w:tblGrid>
        <w:gridCol w:w="5512"/>
        <w:gridCol w:w="908"/>
      </w:tblGrid>
      <w:tr w:rsidR="0059069B" w:rsidRPr="00B54455" w14:paraId="0D137C4E" w14:textId="77777777" w:rsidTr="00E17CDF">
        <w:trPr>
          <w:trHeight w:val="370"/>
        </w:trPr>
        <w:tc>
          <w:tcPr>
            <w:tcW w:w="6420" w:type="dxa"/>
            <w:gridSpan w:val="2"/>
            <w:tcBorders>
              <w:top w:val="nil"/>
              <w:left w:val="nil"/>
              <w:bottom w:val="single" w:sz="8" w:space="0" w:color="000000"/>
              <w:right w:val="nil"/>
            </w:tcBorders>
            <w:shd w:val="clear" w:color="000000" w:fill="000000"/>
            <w:noWrap/>
            <w:vAlign w:val="bottom"/>
            <w:hideMark/>
          </w:tcPr>
          <w:p w14:paraId="525474D9" w14:textId="77777777" w:rsidR="0059069B" w:rsidRPr="00B54455" w:rsidRDefault="0059069B" w:rsidP="00E17CDF">
            <w:pPr>
              <w:spacing w:after="0" w:line="240" w:lineRule="auto"/>
              <w:rPr>
                <w:rFonts w:ascii="Arial" w:eastAsia="Times New Roman" w:hAnsi="Arial" w:cs="Arial"/>
                <w:b/>
                <w:bCs/>
                <w:color w:val="FFFFFF"/>
                <w:kern w:val="0"/>
                <w:sz w:val="28"/>
                <w:szCs w:val="28"/>
                <w:lang w:eastAsia="en-IN"/>
                <w14:ligatures w14:val="none"/>
              </w:rPr>
            </w:pPr>
            <w:r w:rsidRPr="00B54455">
              <w:rPr>
                <w:rFonts w:ascii="Arial" w:eastAsia="Times New Roman" w:hAnsi="Arial" w:cs="Arial"/>
                <w:b/>
                <w:bCs/>
                <w:color w:val="FFFFFF"/>
                <w:kern w:val="0"/>
                <w:sz w:val="28"/>
                <w:szCs w:val="28"/>
                <w:lang w:eastAsia="en-IN"/>
                <w14:ligatures w14:val="none"/>
              </w:rPr>
              <w:t>Key assumptions:</w:t>
            </w:r>
          </w:p>
        </w:tc>
      </w:tr>
      <w:tr w:rsidR="0059069B" w:rsidRPr="00B54455" w14:paraId="011287BB" w14:textId="77777777" w:rsidTr="00E17CDF">
        <w:trPr>
          <w:trHeight w:val="320"/>
        </w:trPr>
        <w:tc>
          <w:tcPr>
            <w:tcW w:w="5512" w:type="dxa"/>
            <w:tcBorders>
              <w:top w:val="nil"/>
              <w:left w:val="single" w:sz="8" w:space="0" w:color="000000"/>
              <w:bottom w:val="nil"/>
              <w:right w:val="nil"/>
            </w:tcBorders>
            <w:shd w:val="clear" w:color="000000" w:fill="F2F2F2"/>
            <w:noWrap/>
            <w:vAlign w:val="center"/>
            <w:hideMark/>
          </w:tcPr>
          <w:p w14:paraId="3F947D26" w14:textId="77777777" w:rsidR="0059069B" w:rsidRPr="00B54455" w:rsidRDefault="0059069B" w:rsidP="00E17CDF">
            <w:pPr>
              <w:spacing w:after="0" w:line="240" w:lineRule="auto"/>
              <w:ind w:firstLineChars="100" w:firstLine="240"/>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 </w:t>
            </w:r>
          </w:p>
        </w:tc>
        <w:tc>
          <w:tcPr>
            <w:tcW w:w="908" w:type="dxa"/>
            <w:tcBorders>
              <w:top w:val="nil"/>
              <w:left w:val="nil"/>
              <w:bottom w:val="nil"/>
              <w:right w:val="single" w:sz="8" w:space="0" w:color="000000"/>
            </w:tcBorders>
            <w:shd w:val="clear" w:color="000000" w:fill="F2F2F2"/>
            <w:noWrap/>
            <w:vAlign w:val="bottom"/>
            <w:hideMark/>
          </w:tcPr>
          <w:p w14:paraId="3E91F937" w14:textId="77777777" w:rsidR="0059069B" w:rsidRPr="00B54455" w:rsidRDefault="0059069B" w:rsidP="00E17CDF">
            <w:pPr>
              <w:spacing w:after="0" w:line="240" w:lineRule="auto"/>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 </w:t>
            </w:r>
          </w:p>
        </w:tc>
      </w:tr>
      <w:tr w:rsidR="0059069B" w:rsidRPr="00B54455" w14:paraId="625EC960" w14:textId="77777777" w:rsidTr="00E17CDF">
        <w:trPr>
          <w:trHeight w:val="320"/>
        </w:trPr>
        <w:tc>
          <w:tcPr>
            <w:tcW w:w="5512" w:type="dxa"/>
            <w:tcBorders>
              <w:top w:val="single" w:sz="8" w:space="0" w:color="000000"/>
              <w:left w:val="single" w:sz="8" w:space="0" w:color="000000"/>
              <w:bottom w:val="single" w:sz="8" w:space="0" w:color="000000"/>
              <w:right w:val="nil"/>
            </w:tcBorders>
            <w:shd w:val="clear" w:color="000000" w:fill="F2F2F2"/>
            <w:noWrap/>
            <w:vAlign w:val="center"/>
            <w:hideMark/>
          </w:tcPr>
          <w:p w14:paraId="3EEDAEC1" w14:textId="77777777" w:rsidR="0059069B" w:rsidRPr="00B54455" w:rsidRDefault="0059069B" w:rsidP="00E17CDF">
            <w:pPr>
              <w:spacing w:after="0" w:line="240" w:lineRule="auto"/>
              <w:ind w:firstLineChars="100" w:firstLine="240"/>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 xml:space="preserve">Corporate tax rate: </w:t>
            </w:r>
          </w:p>
        </w:tc>
        <w:tc>
          <w:tcPr>
            <w:tcW w:w="908" w:type="dxa"/>
            <w:tcBorders>
              <w:top w:val="single" w:sz="8" w:space="0" w:color="000000"/>
              <w:left w:val="nil"/>
              <w:bottom w:val="single" w:sz="8" w:space="0" w:color="000000"/>
              <w:right w:val="single" w:sz="8" w:space="0" w:color="000000"/>
            </w:tcBorders>
            <w:shd w:val="clear" w:color="000000" w:fill="F2F2F2"/>
            <w:noWrap/>
            <w:vAlign w:val="bottom"/>
            <w:hideMark/>
          </w:tcPr>
          <w:p w14:paraId="3F560731" w14:textId="77777777" w:rsidR="0059069B" w:rsidRPr="00B54455" w:rsidRDefault="0059069B" w:rsidP="00E17CDF">
            <w:pPr>
              <w:spacing w:after="0" w:line="240" w:lineRule="auto"/>
              <w:jc w:val="center"/>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25%.</w:t>
            </w:r>
          </w:p>
        </w:tc>
      </w:tr>
      <w:tr w:rsidR="0059069B" w:rsidRPr="00B54455" w14:paraId="21404D47" w14:textId="77777777" w:rsidTr="00E17CDF">
        <w:trPr>
          <w:trHeight w:val="320"/>
        </w:trPr>
        <w:tc>
          <w:tcPr>
            <w:tcW w:w="5512" w:type="dxa"/>
            <w:tcBorders>
              <w:top w:val="nil"/>
              <w:left w:val="single" w:sz="8" w:space="0" w:color="000000"/>
              <w:bottom w:val="single" w:sz="8" w:space="0" w:color="000000"/>
              <w:right w:val="nil"/>
            </w:tcBorders>
            <w:shd w:val="clear" w:color="000000" w:fill="F2F2F2"/>
            <w:noWrap/>
            <w:vAlign w:val="center"/>
            <w:hideMark/>
          </w:tcPr>
          <w:p w14:paraId="69605B43" w14:textId="77777777" w:rsidR="0059069B" w:rsidRPr="00B54455" w:rsidRDefault="0059069B" w:rsidP="00E17CDF">
            <w:pPr>
              <w:spacing w:after="0" w:line="240" w:lineRule="auto"/>
              <w:ind w:firstLineChars="100" w:firstLine="240"/>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Capital allowances</w:t>
            </w:r>
          </w:p>
        </w:tc>
        <w:tc>
          <w:tcPr>
            <w:tcW w:w="908" w:type="dxa"/>
            <w:tcBorders>
              <w:top w:val="nil"/>
              <w:left w:val="nil"/>
              <w:bottom w:val="single" w:sz="8" w:space="0" w:color="000000"/>
              <w:right w:val="single" w:sz="8" w:space="0" w:color="000000"/>
            </w:tcBorders>
            <w:shd w:val="clear" w:color="000000" w:fill="F2F2F2"/>
            <w:noWrap/>
            <w:vAlign w:val="bottom"/>
            <w:hideMark/>
          </w:tcPr>
          <w:p w14:paraId="309A0F0E" w14:textId="77777777" w:rsidR="0059069B" w:rsidRPr="00B54455" w:rsidRDefault="0059069B" w:rsidP="00E17CDF">
            <w:pPr>
              <w:spacing w:after="0" w:line="240" w:lineRule="auto"/>
              <w:jc w:val="center"/>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20%</w:t>
            </w:r>
          </w:p>
        </w:tc>
      </w:tr>
      <w:tr w:rsidR="0059069B" w:rsidRPr="00B54455" w14:paraId="2D544E85" w14:textId="77777777" w:rsidTr="00E17CDF">
        <w:trPr>
          <w:trHeight w:val="320"/>
        </w:trPr>
        <w:tc>
          <w:tcPr>
            <w:tcW w:w="5512" w:type="dxa"/>
            <w:tcBorders>
              <w:top w:val="nil"/>
              <w:left w:val="single" w:sz="8" w:space="0" w:color="000000"/>
              <w:bottom w:val="single" w:sz="8" w:space="0" w:color="000000"/>
              <w:right w:val="nil"/>
            </w:tcBorders>
            <w:shd w:val="clear" w:color="000000" w:fill="F2F2F2"/>
            <w:noWrap/>
            <w:vAlign w:val="center"/>
            <w:hideMark/>
          </w:tcPr>
          <w:p w14:paraId="3AE15151" w14:textId="77777777" w:rsidR="0059069B" w:rsidRPr="00B54455" w:rsidRDefault="0059069B" w:rsidP="00E17CDF">
            <w:pPr>
              <w:spacing w:after="0" w:line="240" w:lineRule="auto"/>
              <w:ind w:firstLineChars="100" w:firstLine="240"/>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Discount rate (cost of capital</w:t>
            </w:r>
          </w:p>
        </w:tc>
        <w:tc>
          <w:tcPr>
            <w:tcW w:w="908" w:type="dxa"/>
            <w:tcBorders>
              <w:top w:val="nil"/>
              <w:left w:val="nil"/>
              <w:bottom w:val="single" w:sz="8" w:space="0" w:color="000000"/>
              <w:right w:val="single" w:sz="8" w:space="0" w:color="000000"/>
            </w:tcBorders>
            <w:shd w:val="clear" w:color="000000" w:fill="F2F2F2"/>
            <w:noWrap/>
            <w:vAlign w:val="bottom"/>
            <w:hideMark/>
          </w:tcPr>
          <w:p w14:paraId="70F976ED" w14:textId="77777777" w:rsidR="0059069B" w:rsidRPr="00B54455" w:rsidRDefault="0059069B" w:rsidP="00E17CDF">
            <w:pPr>
              <w:spacing w:after="0" w:line="240" w:lineRule="auto"/>
              <w:jc w:val="center"/>
              <w:rPr>
                <w:rFonts w:ascii="Arial" w:eastAsia="Times New Roman" w:hAnsi="Arial" w:cs="Arial"/>
                <w:color w:val="000000"/>
                <w:kern w:val="0"/>
                <w:sz w:val="24"/>
                <w:szCs w:val="24"/>
                <w:lang w:eastAsia="en-IN"/>
                <w14:ligatures w14:val="none"/>
              </w:rPr>
            </w:pPr>
            <w:r w:rsidRPr="00B54455">
              <w:rPr>
                <w:rFonts w:ascii="Arial" w:eastAsia="Times New Roman" w:hAnsi="Arial" w:cs="Arial"/>
                <w:color w:val="000000"/>
                <w:kern w:val="0"/>
                <w:sz w:val="24"/>
                <w:szCs w:val="24"/>
                <w:lang w:eastAsia="en-IN"/>
                <w14:ligatures w14:val="none"/>
              </w:rPr>
              <w:t>6%</w:t>
            </w:r>
          </w:p>
        </w:tc>
      </w:tr>
    </w:tbl>
    <w:p w14:paraId="165517DD" w14:textId="77777777" w:rsidR="0059069B" w:rsidRPr="00B54455" w:rsidRDefault="0059069B" w:rsidP="0059069B">
      <w:pPr>
        <w:rPr>
          <w:rFonts w:ascii="Arial" w:hAnsi="Arial" w:cs="Arial"/>
          <w:b/>
          <w:bCs/>
          <w:sz w:val="24"/>
          <w:szCs w:val="24"/>
        </w:rPr>
      </w:pPr>
    </w:p>
    <w:p w14:paraId="59814111" w14:textId="77777777" w:rsidR="0059069B" w:rsidRPr="00B54455" w:rsidRDefault="0059069B" w:rsidP="0059069B">
      <w:pPr>
        <w:numPr>
          <w:ilvl w:val="0"/>
          <w:numId w:val="41"/>
        </w:numPr>
        <w:rPr>
          <w:rFonts w:ascii="Arial" w:hAnsi="Arial" w:cs="Arial"/>
          <w:sz w:val="24"/>
          <w:szCs w:val="24"/>
        </w:rPr>
      </w:pPr>
      <w:r w:rsidRPr="00B54455">
        <w:rPr>
          <w:rFonts w:ascii="Arial" w:hAnsi="Arial" w:cs="Arial"/>
          <w:b/>
          <w:bCs/>
          <w:sz w:val="24"/>
          <w:szCs w:val="24"/>
        </w:rPr>
        <w:t>Corporate Tax Rate:</w:t>
      </w:r>
      <w:r w:rsidRPr="00B54455">
        <w:rPr>
          <w:rFonts w:ascii="Arial" w:hAnsi="Arial" w:cs="Arial"/>
          <w:sz w:val="24"/>
          <w:szCs w:val="24"/>
        </w:rPr>
        <w:t xml:space="preserve"> 25%</w:t>
      </w:r>
    </w:p>
    <w:p w14:paraId="4EAA0377" w14:textId="77777777" w:rsidR="0059069B" w:rsidRPr="00B54455" w:rsidRDefault="0059069B" w:rsidP="0059069B">
      <w:pPr>
        <w:numPr>
          <w:ilvl w:val="0"/>
          <w:numId w:val="41"/>
        </w:numPr>
        <w:rPr>
          <w:rFonts w:ascii="Arial" w:hAnsi="Arial" w:cs="Arial"/>
          <w:sz w:val="24"/>
          <w:szCs w:val="24"/>
        </w:rPr>
      </w:pPr>
      <w:r w:rsidRPr="00B54455">
        <w:rPr>
          <w:rFonts w:ascii="Arial" w:hAnsi="Arial" w:cs="Arial"/>
          <w:b/>
          <w:bCs/>
          <w:sz w:val="24"/>
          <w:szCs w:val="24"/>
        </w:rPr>
        <w:t>Capital Allowances:</w:t>
      </w:r>
      <w:r w:rsidRPr="00B54455">
        <w:rPr>
          <w:rFonts w:ascii="Arial" w:hAnsi="Arial" w:cs="Arial"/>
          <w:sz w:val="24"/>
          <w:szCs w:val="24"/>
        </w:rPr>
        <w:t xml:space="preserve"> 20% (Straight Line Method)</w:t>
      </w:r>
    </w:p>
    <w:p w14:paraId="6B53C159" w14:textId="77777777" w:rsidR="0059069B" w:rsidRPr="00B54455" w:rsidRDefault="0059069B" w:rsidP="0059069B">
      <w:pPr>
        <w:numPr>
          <w:ilvl w:val="0"/>
          <w:numId w:val="41"/>
        </w:numPr>
        <w:rPr>
          <w:rFonts w:ascii="Arial" w:hAnsi="Arial" w:cs="Arial"/>
          <w:sz w:val="24"/>
          <w:szCs w:val="24"/>
        </w:rPr>
      </w:pPr>
      <w:r w:rsidRPr="00B54455">
        <w:rPr>
          <w:rFonts w:ascii="Arial" w:hAnsi="Arial" w:cs="Arial"/>
          <w:b/>
          <w:bCs/>
          <w:sz w:val="24"/>
          <w:szCs w:val="24"/>
        </w:rPr>
        <w:t>Discount Rate (Cost of Capital):</w:t>
      </w:r>
      <w:r w:rsidRPr="00B54455">
        <w:rPr>
          <w:rFonts w:ascii="Arial" w:hAnsi="Arial" w:cs="Arial"/>
          <w:sz w:val="24"/>
          <w:szCs w:val="24"/>
        </w:rPr>
        <w:t xml:space="preserve"> 6%</w:t>
      </w:r>
    </w:p>
    <w:p w14:paraId="072D5A5D" w14:textId="77777777" w:rsidR="0059069B" w:rsidRPr="00B54455" w:rsidRDefault="0059069B" w:rsidP="0059069B">
      <w:pPr>
        <w:rPr>
          <w:rFonts w:ascii="Arial" w:hAnsi="Arial" w:cs="Arial"/>
          <w:sz w:val="24"/>
          <w:szCs w:val="24"/>
        </w:rPr>
      </w:pPr>
      <w:r w:rsidRPr="00B54455">
        <w:rPr>
          <w:rFonts w:ascii="Arial" w:hAnsi="Arial" w:cs="Arial"/>
          <w:noProof/>
          <w:sz w:val="24"/>
          <w:szCs w:val="24"/>
        </w:rPr>
        <mc:AlternateContent>
          <mc:Choice Requires="wps">
            <w:drawing>
              <wp:anchor distT="0" distB="0" distL="114300" distR="114300" simplePos="0" relativeHeight="251660288" behindDoc="0" locked="0" layoutInCell="1" allowOverlap="1" wp14:anchorId="3489CE75" wp14:editId="25C233C6">
                <wp:simplePos x="0" y="0"/>
                <wp:positionH relativeFrom="column">
                  <wp:posOffset>0</wp:posOffset>
                </wp:positionH>
                <wp:positionV relativeFrom="paragraph">
                  <wp:posOffset>151765</wp:posOffset>
                </wp:positionV>
                <wp:extent cx="5574030" cy="0"/>
                <wp:effectExtent l="0" t="0" r="0" b="0"/>
                <wp:wrapNone/>
                <wp:docPr id="1788079963" name="Straight Connector 1"/>
                <wp:cNvGraphicFramePr/>
                <a:graphic xmlns:a="http://schemas.openxmlformats.org/drawingml/2006/main">
                  <a:graphicData uri="http://schemas.microsoft.com/office/word/2010/wordprocessingShape">
                    <wps:wsp>
                      <wps:cNvCnPr/>
                      <wps:spPr>
                        <a:xfrm flipV="1">
                          <a:off x="0" y="0"/>
                          <a:ext cx="5574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D9DB91D" id="Straight Connector 1"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11.95pt" to="438.9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" strokecolor="black [3200]" strokeweight=".5pt">
                <v:stroke joinstyle="miter"/>
              </v:line>
            </w:pict>
          </mc:Fallback>
        </mc:AlternateContent>
      </w:r>
    </w:p>
    <w:p w14:paraId="71F04BF8"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2.2 Calculation Process and Results</w:t>
      </w:r>
    </w:p>
    <w:p w14:paraId="2A9F4D0D" w14:textId="77777777" w:rsidR="0059069B" w:rsidRPr="00B54455" w:rsidRDefault="0059069B" w:rsidP="0059069B">
      <w:pPr>
        <w:rPr>
          <w:rFonts w:ascii="Arial" w:hAnsi="Arial" w:cs="Arial"/>
          <w:sz w:val="24"/>
          <w:szCs w:val="24"/>
        </w:rPr>
      </w:pPr>
      <w:r w:rsidRPr="00B54455">
        <w:rPr>
          <w:rFonts w:ascii="Arial" w:hAnsi="Arial" w:cs="Arial"/>
          <w:sz w:val="24"/>
          <w:szCs w:val="24"/>
        </w:rPr>
        <w:t>In evaluating the three investment opportunities—Option A (Expanding Retail Outlet), Option B (Developing Internet Sales), and Option C (Producing Greenhouses and Conservatories)—the Net Present Value (NPV) method was used. This method calculates the value of future cash flows by discounting them to their present value using a specified discount rate. For this analysis, a discount rate of 6% (reflecting Greenacres Plc's cost of capital) was applied, along with a corporate tax rate of 25% and capital allowances of 20% (straight-line method) to account for depreciation benefits.</w:t>
      </w:r>
    </w:p>
    <w:p w14:paraId="3C5BAB30" w14:textId="77777777" w:rsidR="0059069B" w:rsidRPr="00B54455" w:rsidRDefault="0059069B" w:rsidP="0059069B">
      <w:pPr>
        <w:rPr>
          <w:rFonts w:ascii="Arial" w:hAnsi="Arial" w:cs="Arial"/>
          <w:sz w:val="24"/>
          <w:szCs w:val="24"/>
        </w:rPr>
      </w:pPr>
    </w:p>
    <w:p w14:paraId="23C32482" w14:textId="77777777" w:rsidR="0059069B" w:rsidRPr="00B54455" w:rsidRDefault="0059069B" w:rsidP="0059069B">
      <w:pPr>
        <w:rPr>
          <w:rFonts w:ascii="Arial" w:hAnsi="Arial" w:cs="Arial"/>
          <w:sz w:val="24"/>
          <w:szCs w:val="24"/>
        </w:rPr>
      </w:pPr>
      <w:r w:rsidRPr="00B54455">
        <w:rPr>
          <w:rFonts w:ascii="Arial" w:hAnsi="Arial" w:cs="Arial"/>
          <w:sz w:val="24"/>
          <w:szCs w:val="24"/>
        </w:rPr>
        <w:lastRenderedPageBreak/>
        <w:t>The NPV calculation process involves the following steps:</w:t>
      </w:r>
    </w:p>
    <w:p w14:paraId="105C616D" w14:textId="77777777" w:rsidR="0059069B" w:rsidRPr="00B54455" w:rsidRDefault="0059069B" w:rsidP="0059069B">
      <w:pPr>
        <w:pStyle w:val="ListParagraph"/>
        <w:numPr>
          <w:ilvl w:val="0"/>
          <w:numId w:val="44"/>
        </w:numPr>
        <w:rPr>
          <w:rFonts w:ascii="Arial" w:hAnsi="Arial" w:cs="Arial"/>
          <w:sz w:val="24"/>
          <w:szCs w:val="24"/>
        </w:rPr>
      </w:pPr>
      <w:r w:rsidRPr="00B54455">
        <w:rPr>
          <w:rFonts w:ascii="Arial" w:hAnsi="Arial" w:cs="Arial"/>
          <w:sz w:val="24"/>
          <w:szCs w:val="24"/>
        </w:rPr>
        <w:t>Initial Outlay: The upfront investment required for each project.</w:t>
      </w:r>
    </w:p>
    <w:p w14:paraId="4312500A" w14:textId="77777777" w:rsidR="0059069B" w:rsidRPr="00B54455" w:rsidRDefault="0059069B" w:rsidP="0059069B">
      <w:pPr>
        <w:pStyle w:val="ListParagraph"/>
        <w:numPr>
          <w:ilvl w:val="0"/>
          <w:numId w:val="44"/>
        </w:numPr>
        <w:rPr>
          <w:rFonts w:ascii="Arial" w:hAnsi="Arial" w:cs="Arial"/>
          <w:sz w:val="24"/>
          <w:szCs w:val="24"/>
        </w:rPr>
      </w:pPr>
      <w:r w:rsidRPr="00B54455">
        <w:rPr>
          <w:rFonts w:ascii="Arial" w:hAnsi="Arial" w:cs="Arial"/>
          <w:sz w:val="24"/>
          <w:szCs w:val="24"/>
        </w:rPr>
        <w:t>Capital Allowance: This is used to reduce the taxable amount through depreciation, providing a tax shield.</w:t>
      </w:r>
    </w:p>
    <w:p w14:paraId="30956760" w14:textId="77777777" w:rsidR="0059069B" w:rsidRPr="00B54455" w:rsidRDefault="0059069B" w:rsidP="0059069B">
      <w:pPr>
        <w:pStyle w:val="ListParagraph"/>
        <w:numPr>
          <w:ilvl w:val="0"/>
          <w:numId w:val="44"/>
        </w:numPr>
        <w:rPr>
          <w:rFonts w:ascii="Arial" w:hAnsi="Arial" w:cs="Arial"/>
          <w:sz w:val="24"/>
          <w:szCs w:val="24"/>
        </w:rPr>
      </w:pPr>
      <w:r w:rsidRPr="00B54455">
        <w:rPr>
          <w:rFonts w:ascii="Arial" w:hAnsi="Arial" w:cs="Arial"/>
          <w:sz w:val="24"/>
          <w:szCs w:val="24"/>
        </w:rPr>
        <w:t xml:space="preserve">Cash Flows: The projected annual cash inflows from each project, before and </w:t>
      </w:r>
      <w:proofErr w:type="gramStart"/>
      <w:r w:rsidRPr="00B54455">
        <w:rPr>
          <w:rFonts w:ascii="Arial" w:hAnsi="Arial" w:cs="Arial"/>
          <w:sz w:val="24"/>
          <w:szCs w:val="24"/>
        </w:rPr>
        <w:t>after tax</w:t>
      </w:r>
      <w:proofErr w:type="gramEnd"/>
      <w:r w:rsidRPr="00B54455">
        <w:rPr>
          <w:rFonts w:ascii="Arial" w:hAnsi="Arial" w:cs="Arial"/>
          <w:sz w:val="24"/>
          <w:szCs w:val="24"/>
        </w:rPr>
        <w:t xml:space="preserve"> adjustments.</w:t>
      </w:r>
    </w:p>
    <w:p w14:paraId="6EAB9C3F" w14:textId="77777777" w:rsidR="0059069B" w:rsidRPr="00B54455" w:rsidRDefault="0059069B" w:rsidP="0059069B">
      <w:pPr>
        <w:pStyle w:val="ListParagraph"/>
        <w:numPr>
          <w:ilvl w:val="0"/>
          <w:numId w:val="44"/>
        </w:numPr>
        <w:rPr>
          <w:rFonts w:ascii="Arial" w:hAnsi="Arial" w:cs="Arial"/>
          <w:sz w:val="24"/>
          <w:szCs w:val="24"/>
        </w:rPr>
      </w:pPr>
      <w:r w:rsidRPr="00B54455">
        <w:rPr>
          <w:rFonts w:ascii="Arial" w:hAnsi="Arial" w:cs="Arial"/>
          <w:sz w:val="24"/>
          <w:szCs w:val="24"/>
        </w:rPr>
        <w:t>Discount Factor: The calculated discount factors, which are applied to future cash flows.</w:t>
      </w:r>
    </w:p>
    <w:p w14:paraId="48961CF0" w14:textId="77777777" w:rsidR="0059069B" w:rsidRPr="00B54455" w:rsidRDefault="0059069B" w:rsidP="0059069B">
      <w:pPr>
        <w:pStyle w:val="ListParagraph"/>
        <w:numPr>
          <w:ilvl w:val="0"/>
          <w:numId w:val="44"/>
        </w:numPr>
        <w:rPr>
          <w:rFonts w:ascii="Arial" w:hAnsi="Arial" w:cs="Arial"/>
          <w:sz w:val="24"/>
          <w:szCs w:val="24"/>
        </w:rPr>
      </w:pPr>
    </w:p>
    <w:p w14:paraId="41E10D5C" w14:textId="77777777" w:rsidR="0059069B" w:rsidRPr="00B54455" w:rsidRDefault="0059069B" w:rsidP="0059069B">
      <w:pPr>
        <w:rPr>
          <w:rFonts w:ascii="Arial" w:hAnsi="Arial" w:cs="Arial"/>
          <w:sz w:val="24"/>
          <w:szCs w:val="24"/>
        </w:rPr>
      </w:pPr>
      <w:r w:rsidRPr="00B54455">
        <w:rPr>
          <w:rFonts w:ascii="Arial" w:hAnsi="Arial" w:cs="Arial"/>
          <w:sz w:val="24"/>
          <w:szCs w:val="24"/>
        </w:rPr>
        <w:t>NPV: The sum of discounted future cash flows minus the initial outlay provides the net value added by each project.</w:t>
      </w:r>
    </w:p>
    <w:p w14:paraId="71CA6B05" w14:textId="77777777" w:rsidR="0059069B" w:rsidRPr="00B54455" w:rsidRDefault="0059069B" w:rsidP="0059069B">
      <w:pPr>
        <w:rPr>
          <w:rFonts w:ascii="Arial" w:hAnsi="Arial" w:cs="Arial"/>
          <w:sz w:val="24"/>
          <w:szCs w:val="24"/>
        </w:rPr>
      </w:pPr>
      <w:r w:rsidRPr="00B54455">
        <w:rPr>
          <w:rFonts w:ascii="Arial" w:hAnsi="Arial" w:cs="Arial"/>
          <w:sz w:val="24"/>
          <w:szCs w:val="24"/>
        </w:rPr>
        <w:t>Below is an overview of each option, along with the NPV calculation results:</w:t>
      </w:r>
    </w:p>
    <w:p w14:paraId="7D788E88" w14:textId="77777777" w:rsidR="0059069B" w:rsidRPr="00B54455" w:rsidRDefault="0059069B" w:rsidP="0059069B">
      <w:pPr>
        <w:rPr>
          <w:rFonts w:ascii="Arial" w:hAnsi="Arial" w:cs="Arial"/>
          <w:sz w:val="24"/>
          <w:szCs w:val="24"/>
        </w:rPr>
      </w:pPr>
    </w:p>
    <w:p w14:paraId="1500F105" w14:textId="77777777" w:rsidR="0059069B" w:rsidRPr="00C31C68" w:rsidRDefault="0059069B" w:rsidP="0059069B">
      <w:pPr>
        <w:rPr>
          <w:rFonts w:ascii="Arial" w:hAnsi="Arial" w:cs="Arial"/>
          <w:b/>
          <w:bCs/>
          <w:sz w:val="24"/>
          <w:szCs w:val="24"/>
        </w:rPr>
      </w:pPr>
      <w:r w:rsidRPr="00C31C68">
        <w:rPr>
          <w:rFonts w:ascii="Arial" w:hAnsi="Arial" w:cs="Arial"/>
          <w:b/>
          <w:bCs/>
          <w:sz w:val="24"/>
          <w:szCs w:val="24"/>
        </w:rPr>
        <w:t>Option A: Expanding Retail Outlet</w:t>
      </w:r>
    </w:p>
    <w:p w14:paraId="602AF8CC" w14:textId="77777777" w:rsidR="0059069B" w:rsidRPr="00C31C68" w:rsidRDefault="0059069B" w:rsidP="0059069B">
      <w:pPr>
        <w:rPr>
          <w:rFonts w:ascii="Arial" w:hAnsi="Arial" w:cs="Arial"/>
          <w:sz w:val="24"/>
          <w:szCs w:val="24"/>
        </w:rPr>
      </w:pPr>
      <w:r w:rsidRPr="00B54455">
        <w:rPr>
          <w:rFonts w:ascii="Arial" w:hAnsi="Arial" w:cs="Arial"/>
          <w:noProof/>
        </w:rPr>
        <w:drawing>
          <wp:anchor distT="0" distB="0" distL="114300" distR="114300" simplePos="0" relativeHeight="251667456" behindDoc="0" locked="0" layoutInCell="1" allowOverlap="1" wp14:anchorId="26490188" wp14:editId="59CC86A3">
            <wp:simplePos x="0" y="0"/>
            <wp:positionH relativeFrom="margin">
              <wp:posOffset>17145</wp:posOffset>
            </wp:positionH>
            <wp:positionV relativeFrom="margin">
              <wp:posOffset>3863644</wp:posOffset>
            </wp:positionV>
            <wp:extent cx="5633085" cy="1452880"/>
            <wp:effectExtent l="152400" t="152400" r="348615" b="337820"/>
            <wp:wrapThrough wrapText="bothSides">
              <wp:wrapPolygon edited="0">
                <wp:start x="292" y="-2266"/>
                <wp:lineTo x="-584" y="-1699"/>
                <wp:lineTo x="-584" y="22374"/>
                <wp:lineTo x="219" y="25490"/>
                <wp:lineTo x="511" y="26339"/>
                <wp:lineTo x="21695" y="26339"/>
                <wp:lineTo x="22060" y="25490"/>
                <wp:lineTo x="22864" y="21241"/>
                <wp:lineTo x="22864" y="2832"/>
                <wp:lineTo x="21987" y="-1416"/>
                <wp:lineTo x="21914" y="-2266"/>
                <wp:lineTo x="292" y="-2266"/>
              </wp:wrapPolygon>
            </wp:wrapThrough>
            <wp:docPr id="19498118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3085" cy="1452880"/>
                    </a:xfrm>
                    <a:prstGeom prst="rect">
                      <a:avLst/>
                    </a:prstGeom>
                    <a:ln>
                      <a:noFill/>
                    </a:ln>
                    <a:effectLst>
                      <a:outerShdw blurRad="292100" dist="139700" dir="2700000" algn="tl" rotWithShape="0">
                        <a:srgbClr val="333333">
                          <a:alpha val="65000"/>
                        </a:srgbClr>
                      </a:outerShdw>
                    </a:effectLst>
                  </pic:spPr>
                </pic:pic>
              </a:graphicData>
            </a:graphic>
          </wp:anchor>
        </w:drawing>
      </w:r>
      <w:r w:rsidRPr="00C31C68">
        <w:rPr>
          <w:rFonts w:ascii="Arial" w:hAnsi="Arial" w:cs="Arial"/>
          <w:sz w:val="24"/>
          <w:szCs w:val="24"/>
        </w:rPr>
        <w:t>Initial Outlay: £660,000</w:t>
      </w:r>
      <w:r w:rsidRPr="00C31C68">
        <w:rPr>
          <w:rFonts w:ascii="Arial" w:hAnsi="Arial" w:cs="Arial"/>
          <w:sz w:val="24"/>
          <w:szCs w:val="24"/>
        </w:rPr>
        <w:br/>
        <w:t>Projected Cash Flows:</w:t>
      </w:r>
    </w:p>
    <w:p w14:paraId="6B979BD9" w14:textId="77777777" w:rsidR="0059069B" w:rsidRPr="00C31C68" w:rsidRDefault="0059069B" w:rsidP="0059069B">
      <w:pPr>
        <w:rPr>
          <w:rFonts w:ascii="Arial" w:hAnsi="Arial" w:cs="Arial"/>
          <w:sz w:val="24"/>
          <w:szCs w:val="24"/>
        </w:rPr>
      </w:pPr>
      <w:r w:rsidRPr="00C31C68">
        <w:rPr>
          <w:rFonts w:ascii="Arial" w:hAnsi="Arial" w:cs="Arial"/>
          <w:sz w:val="24"/>
          <w:szCs w:val="24"/>
        </w:rPr>
        <w:t>Expanding the retail outlet involves establishing new stores in targeted locations. The initial investment of £660,000 is allocated to store setup, inventory, and marketing. The expected sales growth leads to increasing cash flows year on year. However, this option is dependent on the success of physical retail sales and local market conditions, limiting its scalability compared to digital initiatives.</w:t>
      </w:r>
    </w:p>
    <w:p w14:paraId="3242C9B2" w14:textId="77777777" w:rsidR="0059069B" w:rsidRPr="00B54455" w:rsidRDefault="0059069B" w:rsidP="0059069B">
      <w:pPr>
        <w:rPr>
          <w:rFonts w:ascii="Arial" w:hAnsi="Arial" w:cs="Arial"/>
          <w:sz w:val="24"/>
          <w:szCs w:val="24"/>
        </w:rPr>
      </w:pPr>
      <w:r w:rsidRPr="00C31C68">
        <w:rPr>
          <w:rFonts w:ascii="Arial" w:hAnsi="Arial" w:cs="Arial"/>
          <w:sz w:val="24"/>
          <w:szCs w:val="24"/>
        </w:rPr>
        <w:t xml:space="preserve">After applying tax adjustments and capital allowances, the </w:t>
      </w:r>
      <w:r w:rsidRPr="00C31C68">
        <w:rPr>
          <w:rFonts w:ascii="Arial" w:hAnsi="Arial" w:cs="Arial"/>
          <w:b/>
          <w:bCs/>
          <w:sz w:val="24"/>
          <w:szCs w:val="24"/>
        </w:rPr>
        <w:t>NPV</w:t>
      </w:r>
      <w:r w:rsidRPr="00C31C68">
        <w:rPr>
          <w:rFonts w:ascii="Arial" w:hAnsi="Arial" w:cs="Arial"/>
          <w:sz w:val="24"/>
          <w:szCs w:val="24"/>
        </w:rPr>
        <w:t xml:space="preserve"> for Option A is calculated to be </w:t>
      </w:r>
      <w:r w:rsidRPr="00C31C68">
        <w:rPr>
          <w:rFonts w:ascii="Arial" w:hAnsi="Arial" w:cs="Arial"/>
          <w:b/>
          <w:bCs/>
          <w:sz w:val="24"/>
          <w:szCs w:val="24"/>
        </w:rPr>
        <w:t>£513.99 (£000)</w:t>
      </w:r>
      <w:r w:rsidRPr="00C31C68">
        <w:rPr>
          <w:rFonts w:ascii="Arial" w:hAnsi="Arial" w:cs="Arial"/>
          <w:sz w:val="24"/>
          <w:szCs w:val="24"/>
        </w:rPr>
        <w:t>. While the cash flows are positive, the smaller scale of this project and the localized nature of retail sales contribute to a relatively low NPV.</w:t>
      </w:r>
    </w:p>
    <w:p w14:paraId="474080DD" w14:textId="77777777" w:rsidR="0059069B" w:rsidRPr="00B54455" w:rsidRDefault="0059069B" w:rsidP="0059069B">
      <w:pPr>
        <w:rPr>
          <w:rFonts w:ascii="Arial" w:hAnsi="Arial" w:cs="Arial"/>
          <w:sz w:val="24"/>
          <w:szCs w:val="24"/>
        </w:rPr>
      </w:pPr>
      <w:r w:rsidRPr="00B54455">
        <w:rPr>
          <w:rFonts w:ascii="Arial" w:hAnsi="Arial" w:cs="Arial"/>
          <w:b/>
          <w:bCs/>
          <w:sz w:val="24"/>
          <w:szCs w:val="24"/>
        </w:rPr>
        <w:t>Option A</w:t>
      </w:r>
      <w:r w:rsidRPr="00B54455">
        <w:rPr>
          <w:rFonts w:ascii="Arial" w:hAnsi="Arial" w:cs="Arial"/>
          <w:sz w:val="24"/>
          <w:szCs w:val="24"/>
        </w:rPr>
        <w:br/>
        <w:t>Initial Outlay: £660,000</w:t>
      </w:r>
    </w:p>
    <w:p w14:paraId="109C77E7" w14:textId="77777777" w:rsidR="0059069B" w:rsidRPr="00B54455" w:rsidRDefault="0059069B" w:rsidP="0059069B">
      <w:pPr>
        <w:rPr>
          <w:rFonts w:ascii="Arial" w:hAnsi="Arial" w:cs="Arial"/>
          <w:sz w:val="24"/>
          <w:szCs w:val="24"/>
        </w:rPr>
      </w:pPr>
      <w:r w:rsidRPr="00B54455">
        <w:rPr>
          <w:rFonts w:ascii="Arial" w:hAnsi="Arial" w:cs="Arial"/>
          <w:b/>
          <w:bCs/>
          <w:sz w:val="24"/>
          <w:szCs w:val="24"/>
        </w:rPr>
        <w:t>NPV for Option A:</w:t>
      </w:r>
      <w:r w:rsidRPr="00B54455">
        <w:rPr>
          <w:rFonts w:ascii="Arial" w:hAnsi="Arial" w:cs="Arial"/>
          <w:sz w:val="24"/>
          <w:szCs w:val="24"/>
        </w:rPr>
        <w:t xml:space="preserve"> £513.99 (£,000)</w:t>
      </w:r>
    </w:p>
    <w:p w14:paraId="5DB095AF" w14:textId="77777777" w:rsidR="0059069B" w:rsidRPr="00C31C68" w:rsidRDefault="0059069B" w:rsidP="0059069B">
      <w:pPr>
        <w:rPr>
          <w:rFonts w:ascii="Arial" w:hAnsi="Arial" w:cs="Arial"/>
          <w:sz w:val="24"/>
          <w:szCs w:val="24"/>
        </w:rPr>
      </w:pPr>
    </w:p>
    <w:p w14:paraId="5A6B4053" w14:textId="77777777" w:rsidR="0059069B" w:rsidRPr="00B54455" w:rsidRDefault="0059069B" w:rsidP="0059069B">
      <w:pPr>
        <w:rPr>
          <w:rFonts w:ascii="Arial" w:hAnsi="Arial" w:cs="Arial"/>
          <w:sz w:val="24"/>
          <w:szCs w:val="24"/>
        </w:rPr>
      </w:pPr>
    </w:p>
    <w:p w14:paraId="5F8FA39E" w14:textId="77777777" w:rsidR="0059069B" w:rsidRPr="00B54455" w:rsidRDefault="0059069B" w:rsidP="0059069B">
      <w:pPr>
        <w:rPr>
          <w:rFonts w:ascii="Arial" w:hAnsi="Arial" w:cs="Arial"/>
          <w:sz w:val="24"/>
          <w:szCs w:val="24"/>
        </w:rPr>
      </w:pPr>
      <w:r w:rsidRPr="00B54455">
        <w:rPr>
          <w:rFonts w:ascii="Arial" w:hAnsi="Arial" w:cs="Arial"/>
          <w:b/>
          <w:bCs/>
          <w:sz w:val="24"/>
          <w:szCs w:val="24"/>
        </w:rPr>
        <w:lastRenderedPageBreak/>
        <w:t>Option B: Developing Internet Sales</w:t>
      </w:r>
      <w:r w:rsidRPr="00B54455">
        <w:rPr>
          <w:rFonts w:ascii="Arial" w:hAnsi="Arial" w:cs="Arial"/>
          <w:sz w:val="24"/>
          <w:szCs w:val="24"/>
        </w:rPr>
        <w:br/>
      </w:r>
    </w:p>
    <w:p w14:paraId="2484BAB8" w14:textId="77777777" w:rsidR="0059069B" w:rsidRPr="00B54455" w:rsidRDefault="0059069B" w:rsidP="0059069B">
      <w:pPr>
        <w:rPr>
          <w:rFonts w:ascii="Arial" w:hAnsi="Arial" w:cs="Arial"/>
        </w:rPr>
      </w:pPr>
      <w:r w:rsidRPr="00B54455">
        <w:rPr>
          <w:rFonts w:ascii="Arial" w:hAnsi="Arial" w:cs="Arial"/>
          <w:noProof/>
        </w:rPr>
        <w:drawing>
          <wp:anchor distT="0" distB="0" distL="114300" distR="114300" simplePos="0" relativeHeight="251666432" behindDoc="0" locked="0" layoutInCell="1" allowOverlap="1" wp14:anchorId="1655F8F4" wp14:editId="7B3C6508">
            <wp:simplePos x="0" y="0"/>
            <wp:positionH relativeFrom="margin">
              <wp:posOffset>-32771</wp:posOffset>
            </wp:positionH>
            <wp:positionV relativeFrom="page">
              <wp:posOffset>1956904</wp:posOffset>
            </wp:positionV>
            <wp:extent cx="5731510" cy="1452880"/>
            <wp:effectExtent l="152400" t="152400" r="345440" b="337820"/>
            <wp:wrapThrough wrapText="bothSides">
              <wp:wrapPolygon edited="0">
                <wp:start x="287" y="-2266"/>
                <wp:lineTo x="-574" y="-1699"/>
                <wp:lineTo x="-574" y="22374"/>
                <wp:lineTo x="215" y="25490"/>
                <wp:lineTo x="503" y="26339"/>
                <wp:lineTo x="21681" y="26339"/>
                <wp:lineTo x="22040" y="25490"/>
                <wp:lineTo x="22830" y="21241"/>
                <wp:lineTo x="22830" y="2832"/>
                <wp:lineTo x="21969" y="-1416"/>
                <wp:lineTo x="21897" y="-2266"/>
                <wp:lineTo x="287" y="-2266"/>
              </wp:wrapPolygon>
            </wp:wrapThrough>
            <wp:docPr id="16440964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452880"/>
                    </a:xfrm>
                    <a:prstGeom prst="rect">
                      <a:avLst/>
                    </a:prstGeom>
                    <a:ln>
                      <a:noFill/>
                    </a:ln>
                    <a:effectLst>
                      <a:outerShdw blurRad="292100" dist="139700" dir="2700000" algn="tl" rotWithShape="0">
                        <a:srgbClr val="333333">
                          <a:alpha val="65000"/>
                        </a:srgbClr>
                      </a:outerShdw>
                    </a:effectLst>
                  </pic:spPr>
                </pic:pic>
              </a:graphicData>
            </a:graphic>
          </wp:anchor>
        </w:drawing>
      </w:r>
      <w:r w:rsidRPr="00B54455">
        <w:rPr>
          <w:rFonts w:ascii="Arial" w:hAnsi="Arial" w:cs="Arial"/>
        </w:rPr>
        <w:t>Initial Outlay: £660,000</w:t>
      </w:r>
      <w:r w:rsidRPr="00B54455">
        <w:rPr>
          <w:rFonts w:ascii="Arial" w:hAnsi="Arial" w:cs="Arial"/>
        </w:rPr>
        <w:br/>
        <w:t>Projected Cash Flows:</w:t>
      </w:r>
    </w:p>
    <w:p w14:paraId="12FBE1EA" w14:textId="77777777" w:rsidR="0059069B" w:rsidRPr="00C31C68" w:rsidRDefault="0059069B" w:rsidP="0059069B">
      <w:pPr>
        <w:rPr>
          <w:rFonts w:ascii="Arial" w:hAnsi="Arial" w:cs="Arial"/>
          <w:sz w:val="24"/>
          <w:szCs w:val="24"/>
        </w:rPr>
      </w:pPr>
      <w:r w:rsidRPr="00C31C68">
        <w:rPr>
          <w:rFonts w:ascii="Arial" w:hAnsi="Arial" w:cs="Arial"/>
          <w:sz w:val="24"/>
          <w:szCs w:val="24"/>
        </w:rPr>
        <w:t>Developing an online sales platform represents a significant investment in technology, logistics, and marketing, aiming to tap into the rapidly growing e-commerce market. The initial outlay of £1,000,000 is used for platform development, digital marketing, and logistics infrastructure. The forecasted cash flows increase steadily as the online platform gains traction and consumer preference for e-commerce grows.</w:t>
      </w:r>
    </w:p>
    <w:p w14:paraId="641682E8" w14:textId="77777777" w:rsidR="0059069B" w:rsidRPr="00C31C68" w:rsidRDefault="0059069B" w:rsidP="0059069B">
      <w:pPr>
        <w:rPr>
          <w:rFonts w:ascii="Arial" w:hAnsi="Arial" w:cs="Arial"/>
          <w:sz w:val="24"/>
          <w:szCs w:val="24"/>
        </w:rPr>
      </w:pPr>
      <w:r w:rsidRPr="00C31C68">
        <w:rPr>
          <w:rFonts w:ascii="Arial" w:hAnsi="Arial" w:cs="Arial"/>
          <w:sz w:val="24"/>
          <w:szCs w:val="24"/>
        </w:rPr>
        <w:t>The NPV for Option B is calculated to be £899.34 (£000). This option offers the highest net present value, reflecting the significant revenue potential and scalability offered by e-commerce, making it the most financially attractive of the three options.</w:t>
      </w:r>
    </w:p>
    <w:p w14:paraId="4EA8E143" w14:textId="77777777" w:rsidR="0059069B" w:rsidRPr="00B54455" w:rsidRDefault="0059069B" w:rsidP="0059069B">
      <w:pPr>
        <w:rPr>
          <w:rFonts w:ascii="Arial" w:hAnsi="Arial" w:cs="Arial"/>
          <w:b/>
          <w:bCs/>
          <w:sz w:val="24"/>
          <w:szCs w:val="24"/>
        </w:rPr>
      </w:pPr>
    </w:p>
    <w:p w14:paraId="3FD69F28"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Initial Outlay: £1,000,000</w:t>
      </w:r>
    </w:p>
    <w:p w14:paraId="27A496E0" w14:textId="77777777" w:rsidR="0059069B" w:rsidRPr="00B54455" w:rsidRDefault="0059069B" w:rsidP="0059069B">
      <w:pPr>
        <w:rPr>
          <w:rFonts w:ascii="Arial" w:hAnsi="Arial" w:cs="Arial"/>
          <w:sz w:val="24"/>
          <w:szCs w:val="24"/>
        </w:rPr>
      </w:pPr>
      <w:r w:rsidRPr="00B54455">
        <w:rPr>
          <w:rFonts w:ascii="Arial" w:hAnsi="Arial" w:cs="Arial"/>
          <w:b/>
          <w:bCs/>
          <w:sz w:val="24"/>
          <w:szCs w:val="24"/>
        </w:rPr>
        <w:t>NPV for Option B:</w:t>
      </w:r>
      <w:r w:rsidRPr="00B54455">
        <w:rPr>
          <w:rFonts w:ascii="Arial" w:hAnsi="Arial" w:cs="Arial"/>
          <w:sz w:val="24"/>
          <w:szCs w:val="24"/>
        </w:rPr>
        <w:t xml:space="preserve"> £899.34 (£,000)</w:t>
      </w:r>
    </w:p>
    <w:p w14:paraId="703CE4F1" w14:textId="77777777" w:rsidR="0059069B" w:rsidRPr="00B54455" w:rsidRDefault="0059069B" w:rsidP="0059069B">
      <w:pPr>
        <w:rPr>
          <w:rFonts w:ascii="Arial" w:hAnsi="Arial" w:cs="Arial"/>
          <w:sz w:val="24"/>
          <w:szCs w:val="24"/>
        </w:rPr>
      </w:pPr>
      <w:r w:rsidRPr="00B54455">
        <w:rPr>
          <w:rFonts w:ascii="Arial" w:hAnsi="Arial" w:cs="Arial"/>
          <w:b/>
          <w:bCs/>
          <w:noProof/>
        </w:rPr>
        <w:t>Option C: Producing Greenhouses and Conservatories</w:t>
      </w:r>
      <w:r w:rsidRPr="00B54455">
        <w:rPr>
          <w:rFonts w:ascii="Arial" w:hAnsi="Arial" w:cs="Arial"/>
          <w:sz w:val="24"/>
          <w:szCs w:val="24"/>
        </w:rPr>
        <w:br/>
        <w:t>Initial Outlay: £1,700,000</w:t>
      </w:r>
      <w:r w:rsidRPr="00B54455">
        <w:rPr>
          <w:rFonts w:ascii="Arial" w:hAnsi="Arial" w:cs="Arial"/>
          <w:sz w:val="24"/>
          <w:szCs w:val="24"/>
        </w:rPr>
        <w:br/>
        <w:t xml:space="preserve">Projected </w:t>
      </w:r>
      <w:proofErr w:type="spellStart"/>
      <w:r w:rsidRPr="00B54455">
        <w:rPr>
          <w:rFonts w:ascii="Arial" w:hAnsi="Arial" w:cs="Arial"/>
          <w:sz w:val="24"/>
          <w:szCs w:val="24"/>
        </w:rPr>
        <w:t>CashFlow</w:t>
      </w:r>
      <w:proofErr w:type="spellEnd"/>
      <w:r w:rsidRPr="00B54455">
        <w:rPr>
          <w:rFonts w:ascii="Arial" w:hAnsi="Arial" w:cs="Arial"/>
          <w:sz w:val="24"/>
          <w:szCs w:val="24"/>
        </w:rPr>
        <w:t>:</w:t>
      </w:r>
    </w:p>
    <w:p w14:paraId="6B27DC06" w14:textId="77777777" w:rsidR="0059069B" w:rsidRPr="00B54455" w:rsidRDefault="0059069B" w:rsidP="0059069B">
      <w:pPr>
        <w:rPr>
          <w:rFonts w:ascii="Arial" w:hAnsi="Arial" w:cs="Arial"/>
          <w:sz w:val="24"/>
          <w:szCs w:val="24"/>
        </w:rPr>
      </w:pPr>
      <w:r w:rsidRPr="00B54455">
        <w:rPr>
          <w:rFonts w:ascii="Arial" w:hAnsi="Arial" w:cs="Arial"/>
          <w:b/>
          <w:bCs/>
          <w:noProof/>
        </w:rPr>
        <w:drawing>
          <wp:anchor distT="0" distB="0" distL="114300" distR="114300" simplePos="0" relativeHeight="251668480" behindDoc="0" locked="0" layoutInCell="1" allowOverlap="1" wp14:anchorId="56FCCD2E" wp14:editId="3B583F7E">
            <wp:simplePos x="0" y="0"/>
            <wp:positionH relativeFrom="column">
              <wp:posOffset>-14136</wp:posOffset>
            </wp:positionH>
            <wp:positionV relativeFrom="paragraph">
              <wp:posOffset>557861</wp:posOffset>
            </wp:positionV>
            <wp:extent cx="5731510" cy="1452880"/>
            <wp:effectExtent l="152400" t="152400" r="345440" b="337820"/>
            <wp:wrapThrough wrapText="bothSides">
              <wp:wrapPolygon edited="0">
                <wp:start x="287" y="-2266"/>
                <wp:lineTo x="-574" y="-1699"/>
                <wp:lineTo x="-574" y="22374"/>
                <wp:lineTo x="215" y="25490"/>
                <wp:lineTo x="503" y="26339"/>
                <wp:lineTo x="21681" y="26339"/>
                <wp:lineTo x="22040" y="25490"/>
                <wp:lineTo x="22830" y="21241"/>
                <wp:lineTo x="22830" y="2832"/>
                <wp:lineTo x="21969" y="-1416"/>
                <wp:lineTo x="21897" y="-2266"/>
                <wp:lineTo x="287" y="-2266"/>
              </wp:wrapPolygon>
            </wp:wrapThrough>
            <wp:docPr id="628495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4528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anchor>
        </w:drawing>
      </w:r>
    </w:p>
    <w:p w14:paraId="7330B05D" w14:textId="77777777" w:rsidR="0059069B" w:rsidRPr="001F0FAD" w:rsidRDefault="0059069B" w:rsidP="0059069B">
      <w:pPr>
        <w:rPr>
          <w:rFonts w:ascii="Arial" w:hAnsi="Arial" w:cs="Arial"/>
          <w:sz w:val="24"/>
          <w:szCs w:val="24"/>
        </w:rPr>
      </w:pPr>
      <w:r w:rsidRPr="001F0FAD">
        <w:rPr>
          <w:rFonts w:ascii="Arial" w:hAnsi="Arial" w:cs="Arial"/>
          <w:sz w:val="24"/>
          <w:szCs w:val="24"/>
        </w:rPr>
        <w:lastRenderedPageBreak/>
        <w:t xml:space="preserve">This option involves diversifying into manufacturing greenhouses and conservatories, requiring substantial investment in production facilities and equipment. The company expects strong demand for home improvement products, particularly in the context of the growing interest in outdoor living spaces. The initial outlay of £1,700,000 will cover production setup costs, </w:t>
      </w:r>
      <w:proofErr w:type="spellStart"/>
      <w:r w:rsidRPr="001F0FAD">
        <w:rPr>
          <w:rFonts w:ascii="Arial" w:hAnsi="Arial" w:cs="Arial"/>
          <w:sz w:val="24"/>
          <w:szCs w:val="24"/>
        </w:rPr>
        <w:t>labor</w:t>
      </w:r>
      <w:proofErr w:type="spellEnd"/>
      <w:r w:rsidRPr="001F0FAD">
        <w:rPr>
          <w:rFonts w:ascii="Arial" w:hAnsi="Arial" w:cs="Arial"/>
          <w:sz w:val="24"/>
          <w:szCs w:val="24"/>
        </w:rPr>
        <w:t>, and materials.</w:t>
      </w:r>
    </w:p>
    <w:p w14:paraId="2DEAC610" w14:textId="77777777" w:rsidR="0059069B" w:rsidRPr="001F0FAD" w:rsidRDefault="0059069B" w:rsidP="0059069B">
      <w:pPr>
        <w:rPr>
          <w:rFonts w:ascii="Arial" w:hAnsi="Arial" w:cs="Arial"/>
          <w:sz w:val="24"/>
          <w:szCs w:val="24"/>
        </w:rPr>
      </w:pPr>
      <w:r w:rsidRPr="001F0FAD">
        <w:rPr>
          <w:rFonts w:ascii="Arial" w:hAnsi="Arial" w:cs="Arial"/>
          <w:sz w:val="24"/>
          <w:szCs w:val="24"/>
        </w:rPr>
        <w:t xml:space="preserve">The NPV for Option C is calculated to be £856.39 (£000). Although this project shows promising cash inflows, its larger initial investment and the operational complexities of managing a manufacturing process </w:t>
      </w:r>
      <w:proofErr w:type="gramStart"/>
      <w:r w:rsidRPr="001F0FAD">
        <w:rPr>
          <w:rFonts w:ascii="Arial" w:hAnsi="Arial" w:cs="Arial"/>
          <w:sz w:val="24"/>
          <w:szCs w:val="24"/>
        </w:rPr>
        <w:t>lead</w:t>
      </w:r>
      <w:proofErr w:type="gramEnd"/>
      <w:r w:rsidRPr="001F0FAD">
        <w:rPr>
          <w:rFonts w:ascii="Arial" w:hAnsi="Arial" w:cs="Arial"/>
          <w:sz w:val="24"/>
          <w:szCs w:val="24"/>
        </w:rPr>
        <w:t xml:space="preserve"> to a lower NPV compared to Option B.</w:t>
      </w:r>
    </w:p>
    <w:p w14:paraId="22BD2B68" w14:textId="77777777" w:rsidR="0059069B" w:rsidRPr="00B54455" w:rsidRDefault="0059069B" w:rsidP="0059069B">
      <w:pPr>
        <w:rPr>
          <w:rFonts w:ascii="Arial" w:hAnsi="Arial" w:cs="Arial"/>
          <w:sz w:val="24"/>
          <w:szCs w:val="24"/>
        </w:rPr>
      </w:pPr>
      <w:r w:rsidRPr="00B54455">
        <w:rPr>
          <w:rFonts w:ascii="Arial" w:hAnsi="Arial" w:cs="Arial"/>
          <w:b/>
          <w:bCs/>
          <w:sz w:val="24"/>
          <w:szCs w:val="24"/>
        </w:rPr>
        <w:t>NPV for Option C:</w:t>
      </w:r>
      <w:r w:rsidRPr="00B54455">
        <w:rPr>
          <w:rFonts w:ascii="Arial" w:hAnsi="Arial" w:cs="Arial"/>
          <w:sz w:val="24"/>
          <w:szCs w:val="24"/>
        </w:rPr>
        <w:t xml:space="preserve"> £856.39 (£,000)</w:t>
      </w:r>
    </w:p>
    <w:p w14:paraId="4E36F538" w14:textId="77777777" w:rsidR="0059069B" w:rsidRPr="001F0FAD" w:rsidRDefault="0059069B" w:rsidP="0059069B">
      <w:pPr>
        <w:rPr>
          <w:rFonts w:ascii="Arial" w:hAnsi="Arial" w:cs="Arial"/>
          <w:sz w:val="24"/>
          <w:szCs w:val="24"/>
        </w:rPr>
      </w:pPr>
      <w:r w:rsidRPr="001F0FAD">
        <w:rPr>
          <w:rFonts w:ascii="Arial" w:hAnsi="Arial" w:cs="Arial"/>
          <w:sz w:val="24"/>
          <w:szCs w:val="24"/>
        </w:rPr>
        <w:t>Summary of NPV Results</w:t>
      </w:r>
      <w:r w:rsidRPr="00B54455">
        <w:rPr>
          <w:rFonts w:ascii="Arial" w:hAnsi="Arial" w:cs="Arial"/>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29"/>
        <w:gridCol w:w="2168"/>
        <w:gridCol w:w="1329"/>
      </w:tblGrid>
      <w:tr w:rsidR="0059069B" w:rsidRPr="001F0FAD" w14:paraId="668C056A" w14:textId="77777777" w:rsidTr="00E17CDF">
        <w:trPr>
          <w:tblHeader/>
          <w:tblCellSpacing w:w="15" w:type="dxa"/>
        </w:trPr>
        <w:tc>
          <w:tcPr>
            <w:tcW w:w="0" w:type="auto"/>
            <w:vAlign w:val="center"/>
            <w:hideMark/>
          </w:tcPr>
          <w:p w14:paraId="2D6A4747" w14:textId="77777777" w:rsidR="0059069B" w:rsidRPr="001F0FAD" w:rsidRDefault="0059069B" w:rsidP="00E17CDF">
            <w:pPr>
              <w:rPr>
                <w:rFonts w:ascii="Arial" w:hAnsi="Arial" w:cs="Arial"/>
                <w:b/>
                <w:bCs/>
                <w:sz w:val="24"/>
                <w:szCs w:val="24"/>
              </w:rPr>
            </w:pPr>
            <w:r w:rsidRPr="001F0FAD">
              <w:rPr>
                <w:rFonts w:ascii="Arial" w:hAnsi="Arial" w:cs="Arial"/>
                <w:b/>
                <w:bCs/>
                <w:sz w:val="24"/>
                <w:szCs w:val="24"/>
              </w:rPr>
              <w:t>Project</w:t>
            </w:r>
          </w:p>
        </w:tc>
        <w:tc>
          <w:tcPr>
            <w:tcW w:w="0" w:type="auto"/>
            <w:vAlign w:val="center"/>
            <w:hideMark/>
          </w:tcPr>
          <w:p w14:paraId="613D31C7" w14:textId="77777777" w:rsidR="0059069B" w:rsidRPr="001F0FAD" w:rsidRDefault="0059069B" w:rsidP="00E17CDF">
            <w:pPr>
              <w:rPr>
                <w:rFonts w:ascii="Arial" w:hAnsi="Arial" w:cs="Arial"/>
                <w:b/>
                <w:bCs/>
                <w:sz w:val="24"/>
                <w:szCs w:val="24"/>
              </w:rPr>
            </w:pPr>
            <w:r w:rsidRPr="001F0FAD">
              <w:rPr>
                <w:rFonts w:ascii="Arial" w:hAnsi="Arial" w:cs="Arial"/>
                <w:b/>
                <w:bCs/>
                <w:sz w:val="24"/>
                <w:szCs w:val="24"/>
              </w:rPr>
              <w:t>Initial Outlay (£,000)</w:t>
            </w:r>
          </w:p>
        </w:tc>
        <w:tc>
          <w:tcPr>
            <w:tcW w:w="0" w:type="auto"/>
            <w:vAlign w:val="center"/>
            <w:hideMark/>
          </w:tcPr>
          <w:p w14:paraId="03AB87F9" w14:textId="77777777" w:rsidR="0059069B" w:rsidRPr="001F0FAD" w:rsidRDefault="0059069B" w:rsidP="00E17CDF">
            <w:pPr>
              <w:rPr>
                <w:rFonts w:ascii="Arial" w:hAnsi="Arial" w:cs="Arial"/>
                <w:b/>
                <w:bCs/>
                <w:sz w:val="24"/>
                <w:szCs w:val="24"/>
              </w:rPr>
            </w:pPr>
            <w:r w:rsidRPr="001F0FAD">
              <w:rPr>
                <w:rFonts w:ascii="Arial" w:hAnsi="Arial" w:cs="Arial"/>
                <w:b/>
                <w:bCs/>
                <w:sz w:val="24"/>
                <w:szCs w:val="24"/>
              </w:rPr>
              <w:t>NPV (£,000)</w:t>
            </w:r>
          </w:p>
        </w:tc>
      </w:tr>
      <w:tr w:rsidR="0059069B" w:rsidRPr="001F0FAD" w14:paraId="2643D0F5" w14:textId="77777777" w:rsidTr="00E17CDF">
        <w:trPr>
          <w:tblCellSpacing w:w="15" w:type="dxa"/>
        </w:trPr>
        <w:tc>
          <w:tcPr>
            <w:tcW w:w="0" w:type="auto"/>
            <w:vAlign w:val="center"/>
            <w:hideMark/>
          </w:tcPr>
          <w:p w14:paraId="24B8A8EC" w14:textId="77777777" w:rsidR="0059069B" w:rsidRPr="001F0FAD" w:rsidRDefault="0059069B" w:rsidP="00E17CDF">
            <w:pPr>
              <w:rPr>
                <w:rFonts w:ascii="Arial" w:hAnsi="Arial" w:cs="Arial"/>
                <w:sz w:val="24"/>
                <w:szCs w:val="24"/>
              </w:rPr>
            </w:pPr>
            <w:r w:rsidRPr="001F0FAD">
              <w:rPr>
                <w:rFonts w:ascii="Arial" w:hAnsi="Arial" w:cs="Arial"/>
                <w:sz w:val="24"/>
                <w:szCs w:val="24"/>
              </w:rPr>
              <w:t>Option A (Retail Outlet Expansion)</w:t>
            </w:r>
          </w:p>
        </w:tc>
        <w:tc>
          <w:tcPr>
            <w:tcW w:w="0" w:type="auto"/>
            <w:vAlign w:val="center"/>
            <w:hideMark/>
          </w:tcPr>
          <w:p w14:paraId="5B353169" w14:textId="77777777" w:rsidR="0059069B" w:rsidRPr="001F0FAD" w:rsidRDefault="0059069B" w:rsidP="00E17CDF">
            <w:pPr>
              <w:rPr>
                <w:rFonts w:ascii="Arial" w:hAnsi="Arial" w:cs="Arial"/>
                <w:sz w:val="24"/>
                <w:szCs w:val="24"/>
              </w:rPr>
            </w:pPr>
            <w:r w:rsidRPr="001F0FAD">
              <w:rPr>
                <w:rFonts w:ascii="Arial" w:hAnsi="Arial" w:cs="Arial"/>
                <w:sz w:val="24"/>
                <w:szCs w:val="24"/>
              </w:rPr>
              <w:t>660.00</w:t>
            </w:r>
          </w:p>
        </w:tc>
        <w:tc>
          <w:tcPr>
            <w:tcW w:w="0" w:type="auto"/>
            <w:vAlign w:val="center"/>
            <w:hideMark/>
          </w:tcPr>
          <w:p w14:paraId="22B57485" w14:textId="77777777" w:rsidR="0059069B" w:rsidRPr="001F0FAD" w:rsidRDefault="0059069B" w:rsidP="00E17CDF">
            <w:pPr>
              <w:rPr>
                <w:rFonts w:ascii="Arial" w:hAnsi="Arial" w:cs="Arial"/>
                <w:sz w:val="24"/>
                <w:szCs w:val="24"/>
              </w:rPr>
            </w:pPr>
            <w:r w:rsidRPr="001F0FAD">
              <w:rPr>
                <w:rFonts w:ascii="Arial" w:hAnsi="Arial" w:cs="Arial"/>
                <w:sz w:val="24"/>
                <w:szCs w:val="24"/>
              </w:rPr>
              <w:t>513.99</w:t>
            </w:r>
          </w:p>
        </w:tc>
      </w:tr>
      <w:tr w:rsidR="0059069B" w:rsidRPr="001F0FAD" w14:paraId="24BAD069" w14:textId="77777777" w:rsidTr="00E17CDF">
        <w:trPr>
          <w:tblCellSpacing w:w="15" w:type="dxa"/>
        </w:trPr>
        <w:tc>
          <w:tcPr>
            <w:tcW w:w="0" w:type="auto"/>
            <w:vAlign w:val="center"/>
            <w:hideMark/>
          </w:tcPr>
          <w:p w14:paraId="12B41B27" w14:textId="77777777" w:rsidR="0059069B" w:rsidRPr="001F0FAD" w:rsidRDefault="0059069B" w:rsidP="00E17CDF">
            <w:pPr>
              <w:rPr>
                <w:rFonts w:ascii="Arial" w:hAnsi="Arial" w:cs="Arial"/>
                <w:sz w:val="24"/>
                <w:szCs w:val="24"/>
              </w:rPr>
            </w:pPr>
            <w:r w:rsidRPr="001F0FAD">
              <w:rPr>
                <w:rFonts w:ascii="Arial" w:hAnsi="Arial" w:cs="Arial"/>
                <w:sz w:val="24"/>
                <w:szCs w:val="24"/>
              </w:rPr>
              <w:t>Option B (Internet Sales Development)</w:t>
            </w:r>
          </w:p>
        </w:tc>
        <w:tc>
          <w:tcPr>
            <w:tcW w:w="0" w:type="auto"/>
            <w:vAlign w:val="center"/>
            <w:hideMark/>
          </w:tcPr>
          <w:p w14:paraId="228259F9" w14:textId="77777777" w:rsidR="0059069B" w:rsidRPr="001F0FAD" w:rsidRDefault="0059069B" w:rsidP="00E17CDF">
            <w:pPr>
              <w:rPr>
                <w:rFonts w:ascii="Arial" w:hAnsi="Arial" w:cs="Arial"/>
                <w:sz w:val="24"/>
                <w:szCs w:val="24"/>
              </w:rPr>
            </w:pPr>
            <w:r w:rsidRPr="001F0FAD">
              <w:rPr>
                <w:rFonts w:ascii="Arial" w:hAnsi="Arial" w:cs="Arial"/>
                <w:sz w:val="24"/>
                <w:szCs w:val="24"/>
              </w:rPr>
              <w:t>1,000.00</w:t>
            </w:r>
          </w:p>
        </w:tc>
        <w:tc>
          <w:tcPr>
            <w:tcW w:w="0" w:type="auto"/>
            <w:vAlign w:val="center"/>
            <w:hideMark/>
          </w:tcPr>
          <w:p w14:paraId="7DC25EC6" w14:textId="77777777" w:rsidR="0059069B" w:rsidRPr="001F0FAD" w:rsidRDefault="0059069B" w:rsidP="00E17CDF">
            <w:pPr>
              <w:rPr>
                <w:rFonts w:ascii="Arial" w:hAnsi="Arial" w:cs="Arial"/>
                <w:sz w:val="24"/>
                <w:szCs w:val="24"/>
              </w:rPr>
            </w:pPr>
            <w:r w:rsidRPr="001F0FAD">
              <w:rPr>
                <w:rFonts w:ascii="Arial" w:hAnsi="Arial" w:cs="Arial"/>
                <w:sz w:val="24"/>
                <w:szCs w:val="24"/>
              </w:rPr>
              <w:t>899.34</w:t>
            </w:r>
          </w:p>
        </w:tc>
      </w:tr>
      <w:tr w:rsidR="0059069B" w:rsidRPr="001F0FAD" w14:paraId="343230F8" w14:textId="77777777" w:rsidTr="00E17CDF">
        <w:trPr>
          <w:tblCellSpacing w:w="15" w:type="dxa"/>
        </w:trPr>
        <w:tc>
          <w:tcPr>
            <w:tcW w:w="0" w:type="auto"/>
            <w:vAlign w:val="center"/>
            <w:hideMark/>
          </w:tcPr>
          <w:p w14:paraId="2DDA1700" w14:textId="77777777" w:rsidR="0059069B" w:rsidRPr="001F0FAD" w:rsidRDefault="0059069B" w:rsidP="00E17CDF">
            <w:pPr>
              <w:rPr>
                <w:rFonts w:ascii="Arial" w:hAnsi="Arial" w:cs="Arial"/>
                <w:sz w:val="24"/>
                <w:szCs w:val="24"/>
              </w:rPr>
            </w:pPr>
            <w:r w:rsidRPr="001F0FAD">
              <w:rPr>
                <w:rFonts w:ascii="Arial" w:hAnsi="Arial" w:cs="Arial"/>
                <w:sz w:val="24"/>
                <w:szCs w:val="24"/>
              </w:rPr>
              <w:t>Option C (Greenhouses and Conservatories Production)</w:t>
            </w:r>
          </w:p>
        </w:tc>
        <w:tc>
          <w:tcPr>
            <w:tcW w:w="0" w:type="auto"/>
            <w:vAlign w:val="center"/>
            <w:hideMark/>
          </w:tcPr>
          <w:p w14:paraId="22B12016" w14:textId="77777777" w:rsidR="0059069B" w:rsidRPr="001F0FAD" w:rsidRDefault="0059069B" w:rsidP="00E17CDF">
            <w:pPr>
              <w:rPr>
                <w:rFonts w:ascii="Arial" w:hAnsi="Arial" w:cs="Arial"/>
                <w:sz w:val="24"/>
                <w:szCs w:val="24"/>
              </w:rPr>
            </w:pPr>
            <w:r w:rsidRPr="001F0FAD">
              <w:rPr>
                <w:rFonts w:ascii="Arial" w:hAnsi="Arial" w:cs="Arial"/>
                <w:sz w:val="24"/>
                <w:szCs w:val="24"/>
              </w:rPr>
              <w:t>1,700.00</w:t>
            </w:r>
          </w:p>
        </w:tc>
        <w:tc>
          <w:tcPr>
            <w:tcW w:w="0" w:type="auto"/>
            <w:vAlign w:val="center"/>
            <w:hideMark/>
          </w:tcPr>
          <w:p w14:paraId="0028B19B" w14:textId="77777777" w:rsidR="0059069B" w:rsidRPr="001F0FAD" w:rsidRDefault="0059069B" w:rsidP="00E17CDF">
            <w:pPr>
              <w:rPr>
                <w:rFonts w:ascii="Arial" w:hAnsi="Arial" w:cs="Arial"/>
                <w:sz w:val="24"/>
                <w:szCs w:val="24"/>
              </w:rPr>
            </w:pPr>
            <w:r w:rsidRPr="001F0FAD">
              <w:rPr>
                <w:rFonts w:ascii="Arial" w:hAnsi="Arial" w:cs="Arial"/>
                <w:sz w:val="24"/>
                <w:szCs w:val="24"/>
              </w:rPr>
              <w:t>856.39</w:t>
            </w:r>
          </w:p>
        </w:tc>
      </w:tr>
    </w:tbl>
    <w:p w14:paraId="048D73A3" w14:textId="77777777" w:rsidR="0059069B" w:rsidRPr="00B54455" w:rsidRDefault="0059069B" w:rsidP="0059069B">
      <w:pPr>
        <w:pStyle w:val="ListParagraph"/>
        <w:numPr>
          <w:ilvl w:val="0"/>
          <w:numId w:val="45"/>
        </w:numPr>
        <w:rPr>
          <w:rFonts w:ascii="Arial" w:hAnsi="Arial" w:cs="Arial"/>
          <w:sz w:val="24"/>
          <w:szCs w:val="24"/>
        </w:rPr>
      </w:pPr>
      <w:r w:rsidRPr="00B54455">
        <w:rPr>
          <w:rFonts w:ascii="Arial" w:hAnsi="Arial" w:cs="Arial"/>
          <w:sz w:val="24"/>
          <w:szCs w:val="24"/>
        </w:rPr>
        <w:t xml:space="preserve">Based on the NPV calculations, </w:t>
      </w:r>
      <w:r w:rsidRPr="00B54455">
        <w:rPr>
          <w:rFonts w:ascii="Arial" w:hAnsi="Arial" w:cs="Arial"/>
          <w:b/>
          <w:bCs/>
          <w:sz w:val="24"/>
          <w:szCs w:val="24"/>
        </w:rPr>
        <w:t>Option B (Developing Internet Sales)</w:t>
      </w:r>
      <w:r w:rsidRPr="00B54455">
        <w:rPr>
          <w:rFonts w:ascii="Arial" w:hAnsi="Arial" w:cs="Arial"/>
          <w:sz w:val="24"/>
          <w:szCs w:val="24"/>
        </w:rPr>
        <w:t xml:space="preserve"> emerges as the most attractive investment opportunity, offering the highest net present value of </w:t>
      </w:r>
      <w:r w:rsidRPr="00B54455">
        <w:rPr>
          <w:rFonts w:ascii="Arial" w:hAnsi="Arial" w:cs="Arial"/>
          <w:b/>
          <w:bCs/>
          <w:sz w:val="24"/>
          <w:szCs w:val="24"/>
        </w:rPr>
        <w:t>£899.34 (£000)</w:t>
      </w:r>
      <w:r w:rsidRPr="00B54455">
        <w:rPr>
          <w:rFonts w:ascii="Arial" w:hAnsi="Arial" w:cs="Arial"/>
          <w:sz w:val="24"/>
          <w:szCs w:val="24"/>
        </w:rPr>
        <w:t>. This option leverages the growing trend of e-commerce and provides significant scalability without the geographical limitations of physical retail.</w:t>
      </w:r>
    </w:p>
    <w:p w14:paraId="4199F866" w14:textId="77777777" w:rsidR="0059069B" w:rsidRPr="00B54455" w:rsidRDefault="0059069B" w:rsidP="0059069B">
      <w:pPr>
        <w:pStyle w:val="ListParagraph"/>
        <w:numPr>
          <w:ilvl w:val="0"/>
          <w:numId w:val="45"/>
        </w:numPr>
        <w:rPr>
          <w:rFonts w:ascii="Arial" w:hAnsi="Arial" w:cs="Arial"/>
          <w:sz w:val="24"/>
          <w:szCs w:val="24"/>
        </w:rPr>
      </w:pPr>
      <w:r w:rsidRPr="00B54455">
        <w:rPr>
          <w:rFonts w:ascii="Arial" w:hAnsi="Arial" w:cs="Arial"/>
          <w:b/>
          <w:bCs/>
          <w:sz w:val="24"/>
          <w:szCs w:val="24"/>
        </w:rPr>
        <w:t>Option C</w:t>
      </w:r>
      <w:r w:rsidRPr="00B54455">
        <w:rPr>
          <w:rFonts w:ascii="Arial" w:hAnsi="Arial" w:cs="Arial"/>
          <w:sz w:val="24"/>
          <w:szCs w:val="24"/>
        </w:rPr>
        <w:t xml:space="preserve">, while offering substantial cash inflows, requires a higher initial investment and presents operational risks related to manufacturing and supply chain management. Its NPV of </w:t>
      </w:r>
      <w:r w:rsidRPr="00B54455">
        <w:rPr>
          <w:rFonts w:ascii="Arial" w:hAnsi="Arial" w:cs="Arial"/>
          <w:b/>
          <w:bCs/>
          <w:sz w:val="24"/>
          <w:szCs w:val="24"/>
        </w:rPr>
        <w:t>£856.39 (£000)</w:t>
      </w:r>
      <w:r w:rsidRPr="00B54455">
        <w:rPr>
          <w:rFonts w:ascii="Arial" w:hAnsi="Arial" w:cs="Arial"/>
          <w:sz w:val="24"/>
          <w:szCs w:val="24"/>
        </w:rPr>
        <w:t xml:space="preserve"> reflects the longer-term return potential, though it lags behind Option B in terms of overall value addition.</w:t>
      </w:r>
    </w:p>
    <w:p w14:paraId="4ADB4622" w14:textId="77777777" w:rsidR="0059069B" w:rsidRPr="00B54455" w:rsidRDefault="0059069B" w:rsidP="0059069B">
      <w:pPr>
        <w:pStyle w:val="ListParagraph"/>
        <w:numPr>
          <w:ilvl w:val="0"/>
          <w:numId w:val="45"/>
        </w:numPr>
        <w:rPr>
          <w:rFonts w:ascii="Arial" w:hAnsi="Arial" w:cs="Arial"/>
          <w:sz w:val="24"/>
          <w:szCs w:val="24"/>
        </w:rPr>
      </w:pPr>
      <w:r w:rsidRPr="00B54455">
        <w:rPr>
          <w:rFonts w:ascii="Arial" w:hAnsi="Arial" w:cs="Arial"/>
          <w:b/>
          <w:bCs/>
          <w:sz w:val="24"/>
          <w:szCs w:val="24"/>
        </w:rPr>
        <w:t>Option A</w:t>
      </w:r>
      <w:r w:rsidRPr="00B54455">
        <w:rPr>
          <w:rFonts w:ascii="Arial" w:hAnsi="Arial" w:cs="Arial"/>
          <w:sz w:val="24"/>
          <w:szCs w:val="24"/>
        </w:rPr>
        <w:t xml:space="preserve"> provides the lowest NPV at </w:t>
      </w:r>
      <w:r w:rsidRPr="00B54455">
        <w:rPr>
          <w:rFonts w:ascii="Arial" w:hAnsi="Arial" w:cs="Arial"/>
          <w:b/>
          <w:bCs/>
          <w:sz w:val="24"/>
          <w:szCs w:val="24"/>
        </w:rPr>
        <w:t>£513.99 (£000)</w:t>
      </w:r>
      <w:r w:rsidRPr="00B54455">
        <w:rPr>
          <w:rFonts w:ascii="Arial" w:hAnsi="Arial" w:cs="Arial"/>
          <w:sz w:val="24"/>
          <w:szCs w:val="24"/>
        </w:rPr>
        <w:t>. While the project remains viable, its limited growth potential due to reliance on physical retail sales makes it less attractive compared to the other options.</w:t>
      </w:r>
    </w:p>
    <w:p w14:paraId="591E6177" w14:textId="77777777" w:rsidR="0059069B" w:rsidRDefault="0059069B" w:rsidP="0059069B">
      <w:pPr>
        <w:rPr>
          <w:rFonts w:ascii="Arial" w:hAnsi="Arial" w:cs="Arial"/>
          <w:sz w:val="24"/>
          <w:szCs w:val="24"/>
        </w:rPr>
      </w:pPr>
    </w:p>
    <w:p w14:paraId="7D8DE745" w14:textId="77777777" w:rsidR="0059069B" w:rsidRPr="00B54455" w:rsidRDefault="0059069B" w:rsidP="0059069B">
      <w:pPr>
        <w:rPr>
          <w:rFonts w:ascii="Arial" w:hAnsi="Arial" w:cs="Arial"/>
          <w:sz w:val="24"/>
          <w:szCs w:val="24"/>
        </w:rPr>
      </w:pPr>
      <w:r w:rsidRPr="00851DEF">
        <w:lastRenderedPageBreak/>
        <w:drawing>
          <wp:inline distT="0" distB="0" distL="0" distR="0" wp14:anchorId="4388A030" wp14:editId="6B761BFD">
            <wp:extent cx="5731510" cy="5640705"/>
            <wp:effectExtent l="0" t="0" r="2540" b="0"/>
            <wp:docPr id="760706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640705"/>
                    </a:xfrm>
                    <a:prstGeom prst="rect">
                      <a:avLst/>
                    </a:prstGeom>
                    <a:noFill/>
                    <a:ln>
                      <a:noFill/>
                    </a:ln>
                  </pic:spPr>
                </pic:pic>
              </a:graphicData>
            </a:graphic>
          </wp:inline>
        </w:drawing>
      </w:r>
    </w:p>
    <w:p w14:paraId="47EE487D" w14:textId="77777777" w:rsidR="0059069B" w:rsidRPr="00B54455" w:rsidRDefault="0059069B" w:rsidP="0059069B">
      <w:pPr>
        <w:rPr>
          <w:rFonts w:ascii="Arial" w:hAnsi="Arial" w:cs="Arial"/>
          <w:sz w:val="24"/>
          <w:szCs w:val="24"/>
        </w:rPr>
      </w:pPr>
      <w:r w:rsidRPr="00B54455">
        <w:rPr>
          <w:rFonts w:ascii="Arial" w:hAnsi="Arial" w:cs="Arial"/>
          <w:noProof/>
          <w:sz w:val="24"/>
          <w:szCs w:val="24"/>
        </w:rPr>
        <mc:AlternateContent>
          <mc:Choice Requires="wps">
            <w:drawing>
              <wp:anchor distT="0" distB="0" distL="114300" distR="114300" simplePos="0" relativeHeight="251661312" behindDoc="0" locked="0" layoutInCell="1" allowOverlap="1" wp14:anchorId="2D1CAED9" wp14:editId="406C9113">
                <wp:simplePos x="0" y="0"/>
                <wp:positionH relativeFrom="column">
                  <wp:posOffset>-15240</wp:posOffset>
                </wp:positionH>
                <wp:positionV relativeFrom="paragraph">
                  <wp:posOffset>120705</wp:posOffset>
                </wp:positionV>
                <wp:extent cx="5574030" cy="0"/>
                <wp:effectExtent l="0" t="0" r="0" b="0"/>
                <wp:wrapNone/>
                <wp:docPr id="194936662" name="Straight Connector 1"/>
                <wp:cNvGraphicFramePr/>
                <a:graphic xmlns:a="http://schemas.openxmlformats.org/drawingml/2006/main">
                  <a:graphicData uri="http://schemas.microsoft.com/office/word/2010/wordprocessingShape">
                    <wps:wsp>
                      <wps:cNvCnPr/>
                      <wps:spPr>
                        <a:xfrm flipV="1">
                          <a:off x="0" y="0"/>
                          <a:ext cx="5574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C2723FC" id="Straight Connector 1"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pt,9.5pt" to="437.7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" strokecolor="black [3200]" strokeweight=".5pt">
                <v:stroke joinstyle="miter"/>
              </v:line>
            </w:pict>
          </mc:Fallback>
        </mc:AlternateContent>
      </w:r>
    </w:p>
    <w:p w14:paraId="1B5FB828" w14:textId="77777777" w:rsidR="0059069B" w:rsidRDefault="0059069B" w:rsidP="0059069B">
      <w:pPr>
        <w:rPr>
          <w:rFonts w:ascii="Arial" w:hAnsi="Arial" w:cs="Arial"/>
          <w:b/>
          <w:bCs/>
          <w:sz w:val="24"/>
          <w:szCs w:val="24"/>
        </w:rPr>
      </w:pPr>
    </w:p>
    <w:p w14:paraId="42289AB7" w14:textId="77777777" w:rsidR="0059069B" w:rsidRDefault="0059069B" w:rsidP="0059069B">
      <w:pPr>
        <w:rPr>
          <w:rFonts w:ascii="Arial" w:hAnsi="Arial" w:cs="Arial"/>
          <w:b/>
          <w:bCs/>
          <w:sz w:val="24"/>
          <w:szCs w:val="24"/>
        </w:rPr>
      </w:pPr>
    </w:p>
    <w:p w14:paraId="2AC4438F"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2.3 Project Comparison and Investment Recommendations</w:t>
      </w:r>
    </w:p>
    <w:p w14:paraId="4660A010" w14:textId="77777777" w:rsidR="0059069B" w:rsidRPr="00B54455" w:rsidRDefault="0059069B" w:rsidP="0059069B">
      <w:pPr>
        <w:rPr>
          <w:rFonts w:ascii="Arial" w:hAnsi="Arial" w:cs="Arial"/>
          <w:noProof/>
          <w:sz w:val="24"/>
          <w:szCs w:val="24"/>
        </w:rPr>
      </w:pPr>
      <w:r w:rsidRPr="00B54455">
        <w:rPr>
          <w:rFonts w:ascii="Arial" w:hAnsi="Arial" w:cs="Arial"/>
          <w:sz w:val="24"/>
          <w:szCs w:val="24"/>
        </w:rPr>
        <w:t>The evaluation of the three proposed investment opportunities for Greenacres Plc reveals significant differences in terms of financial returns, scalability, initial investment, and risk. The Net Present Value (NPV) results provide valuable insights into the potential value each option can add to the company. Below is a detailed comparison of the three options based on the NPV results.</w:t>
      </w:r>
    </w:p>
    <w:p w14:paraId="03E95ADC" w14:textId="77777777" w:rsidR="0059069B" w:rsidRPr="00A44E51" w:rsidRDefault="0059069B" w:rsidP="0059069B">
      <w:pPr>
        <w:rPr>
          <w:rFonts w:ascii="Arial" w:hAnsi="Arial" w:cs="Arial"/>
          <w:b/>
          <w:bCs/>
          <w:sz w:val="24"/>
          <w:szCs w:val="24"/>
        </w:rPr>
      </w:pPr>
      <w:r w:rsidRPr="00A44E51">
        <w:rPr>
          <w:rFonts w:ascii="Arial" w:hAnsi="Arial" w:cs="Arial"/>
          <w:b/>
          <w:bCs/>
          <w:sz w:val="24"/>
          <w:szCs w:val="24"/>
        </w:rPr>
        <w:t>Comparison of NPV Results:</w:t>
      </w:r>
    </w:p>
    <w:p w14:paraId="2A4F639E" w14:textId="77777777" w:rsidR="0059069B" w:rsidRPr="00A44E51" w:rsidRDefault="0059069B" w:rsidP="0059069B">
      <w:pPr>
        <w:numPr>
          <w:ilvl w:val="0"/>
          <w:numId w:val="46"/>
        </w:numPr>
        <w:rPr>
          <w:rFonts w:ascii="Arial" w:hAnsi="Arial" w:cs="Arial"/>
          <w:sz w:val="24"/>
          <w:szCs w:val="24"/>
        </w:rPr>
      </w:pPr>
      <w:r w:rsidRPr="00A44E51">
        <w:rPr>
          <w:rFonts w:ascii="Arial" w:hAnsi="Arial" w:cs="Arial"/>
          <w:b/>
          <w:bCs/>
          <w:sz w:val="24"/>
          <w:szCs w:val="24"/>
        </w:rPr>
        <w:t>Option A (Retail Outlet Expansion)</w:t>
      </w:r>
      <w:r w:rsidRPr="00A44E51">
        <w:rPr>
          <w:rFonts w:ascii="Arial" w:hAnsi="Arial" w:cs="Arial"/>
          <w:sz w:val="24"/>
          <w:szCs w:val="24"/>
        </w:rPr>
        <w:br/>
      </w:r>
      <w:r w:rsidRPr="00A44E51">
        <w:rPr>
          <w:rFonts w:ascii="Arial" w:hAnsi="Arial" w:cs="Arial"/>
          <w:b/>
          <w:bCs/>
          <w:sz w:val="24"/>
          <w:szCs w:val="24"/>
        </w:rPr>
        <w:t>Initial Outlay:</w:t>
      </w:r>
      <w:r w:rsidRPr="00A44E51">
        <w:rPr>
          <w:rFonts w:ascii="Arial" w:hAnsi="Arial" w:cs="Arial"/>
          <w:sz w:val="24"/>
          <w:szCs w:val="24"/>
        </w:rPr>
        <w:t xml:space="preserve"> £660,000</w:t>
      </w:r>
      <w:r w:rsidRPr="00A44E51">
        <w:rPr>
          <w:rFonts w:ascii="Arial" w:hAnsi="Arial" w:cs="Arial"/>
          <w:sz w:val="24"/>
          <w:szCs w:val="24"/>
        </w:rPr>
        <w:br/>
      </w:r>
      <w:r w:rsidRPr="00A44E51">
        <w:rPr>
          <w:rFonts w:ascii="Arial" w:hAnsi="Arial" w:cs="Arial"/>
          <w:b/>
          <w:bCs/>
          <w:sz w:val="24"/>
          <w:szCs w:val="24"/>
        </w:rPr>
        <w:t>NPV:</w:t>
      </w:r>
      <w:r w:rsidRPr="00A44E51">
        <w:rPr>
          <w:rFonts w:ascii="Arial" w:hAnsi="Arial" w:cs="Arial"/>
          <w:sz w:val="24"/>
          <w:szCs w:val="24"/>
        </w:rPr>
        <w:t xml:space="preserve"> £513.99 (£000)</w:t>
      </w:r>
    </w:p>
    <w:p w14:paraId="42AD78FE" w14:textId="77777777" w:rsidR="0059069B" w:rsidRPr="00A44E51" w:rsidRDefault="0059069B" w:rsidP="0059069B">
      <w:pPr>
        <w:rPr>
          <w:rFonts w:ascii="Arial" w:hAnsi="Arial" w:cs="Arial"/>
          <w:sz w:val="24"/>
          <w:szCs w:val="24"/>
        </w:rPr>
      </w:pPr>
      <w:r w:rsidRPr="00A44E51">
        <w:rPr>
          <w:rFonts w:ascii="Arial" w:hAnsi="Arial" w:cs="Arial"/>
          <w:sz w:val="24"/>
          <w:szCs w:val="24"/>
        </w:rPr>
        <w:lastRenderedPageBreak/>
        <w:t>Option A involves the expansion of Greenacres Plc’s retail outlets. With a relatively small initial investment of £660,000, this option offers steady cash inflows over the four years. However, the NPV of £513.99 (£000) indicates that it generates the least value among the three options. The retail outlet expansion is constrained by the limitations of physical locations, and the growth potential is relatively low compared to digital avenues. Additionally, this option is subject to market saturation and increasing competition, which further limits its long-term profitability. While profitable, Option A does not provide the same level of value creation as the other options.</w:t>
      </w:r>
    </w:p>
    <w:p w14:paraId="140784E3" w14:textId="77777777" w:rsidR="0059069B" w:rsidRPr="00A44E51" w:rsidRDefault="0059069B" w:rsidP="0059069B">
      <w:pPr>
        <w:numPr>
          <w:ilvl w:val="0"/>
          <w:numId w:val="46"/>
        </w:numPr>
        <w:rPr>
          <w:rFonts w:ascii="Arial" w:hAnsi="Arial" w:cs="Arial"/>
          <w:sz w:val="24"/>
          <w:szCs w:val="24"/>
        </w:rPr>
      </w:pPr>
      <w:r w:rsidRPr="00A44E51">
        <w:rPr>
          <w:rFonts w:ascii="Arial" w:hAnsi="Arial" w:cs="Arial"/>
          <w:b/>
          <w:bCs/>
          <w:sz w:val="24"/>
          <w:szCs w:val="24"/>
        </w:rPr>
        <w:t>Option B (Internet Sales Development)</w:t>
      </w:r>
      <w:r w:rsidRPr="00A44E51">
        <w:rPr>
          <w:rFonts w:ascii="Arial" w:hAnsi="Arial" w:cs="Arial"/>
          <w:sz w:val="24"/>
          <w:szCs w:val="24"/>
        </w:rPr>
        <w:br/>
      </w:r>
      <w:r w:rsidRPr="00A44E51">
        <w:rPr>
          <w:rFonts w:ascii="Arial" w:hAnsi="Arial" w:cs="Arial"/>
          <w:b/>
          <w:bCs/>
          <w:sz w:val="24"/>
          <w:szCs w:val="24"/>
        </w:rPr>
        <w:t>Initial Outlay:</w:t>
      </w:r>
      <w:r w:rsidRPr="00A44E51">
        <w:rPr>
          <w:rFonts w:ascii="Arial" w:hAnsi="Arial" w:cs="Arial"/>
          <w:sz w:val="24"/>
          <w:szCs w:val="24"/>
        </w:rPr>
        <w:t xml:space="preserve"> £1,000,000</w:t>
      </w:r>
      <w:r w:rsidRPr="00A44E51">
        <w:rPr>
          <w:rFonts w:ascii="Arial" w:hAnsi="Arial" w:cs="Arial"/>
          <w:sz w:val="24"/>
          <w:szCs w:val="24"/>
        </w:rPr>
        <w:br/>
      </w:r>
      <w:r w:rsidRPr="00A44E51">
        <w:rPr>
          <w:rFonts w:ascii="Arial" w:hAnsi="Arial" w:cs="Arial"/>
          <w:b/>
          <w:bCs/>
          <w:sz w:val="24"/>
          <w:szCs w:val="24"/>
        </w:rPr>
        <w:t>NPV:</w:t>
      </w:r>
      <w:r w:rsidRPr="00A44E51">
        <w:rPr>
          <w:rFonts w:ascii="Arial" w:hAnsi="Arial" w:cs="Arial"/>
          <w:sz w:val="24"/>
          <w:szCs w:val="24"/>
        </w:rPr>
        <w:t xml:space="preserve"> £899.34 (£000)</w:t>
      </w:r>
    </w:p>
    <w:p w14:paraId="7F81BF6B" w14:textId="77777777" w:rsidR="0059069B" w:rsidRPr="00A44E51" w:rsidRDefault="0059069B" w:rsidP="0059069B">
      <w:pPr>
        <w:rPr>
          <w:rFonts w:ascii="Arial" w:hAnsi="Arial" w:cs="Arial"/>
          <w:sz w:val="24"/>
          <w:szCs w:val="24"/>
        </w:rPr>
      </w:pPr>
      <w:r w:rsidRPr="00A44E51">
        <w:rPr>
          <w:rFonts w:ascii="Arial" w:hAnsi="Arial" w:cs="Arial"/>
          <w:sz w:val="24"/>
          <w:szCs w:val="24"/>
        </w:rPr>
        <w:t>Option B stands out as the most attractive investment opportunity. With a larger initial investment of £1,000,000, it offers a significantly higher NPV of £899.34 (£000). The development of internet sales taps into the growing e-commerce market, which is increasingly becoming a dominant force in retail. This option aligns with current market trends where consumers are shifting toward online shopping. The scalability of internet sales is a major advantage, as Greenacres Plc can expand its reach beyond geographical limitations without the need for substantial infrastructure investments. Option B’s robust growth potential and lower operational risks make it the preferred choice for Greenacres Plc.</w:t>
      </w:r>
    </w:p>
    <w:p w14:paraId="2F996C99" w14:textId="77777777" w:rsidR="0059069B" w:rsidRPr="00A44E51" w:rsidRDefault="0059069B" w:rsidP="0059069B">
      <w:pPr>
        <w:numPr>
          <w:ilvl w:val="0"/>
          <w:numId w:val="46"/>
        </w:numPr>
        <w:rPr>
          <w:rFonts w:ascii="Arial" w:hAnsi="Arial" w:cs="Arial"/>
          <w:sz w:val="24"/>
          <w:szCs w:val="24"/>
        </w:rPr>
      </w:pPr>
      <w:r w:rsidRPr="00A44E51">
        <w:rPr>
          <w:rFonts w:ascii="Arial" w:hAnsi="Arial" w:cs="Arial"/>
          <w:b/>
          <w:bCs/>
          <w:sz w:val="24"/>
          <w:szCs w:val="24"/>
        </w:rPr>
        <w:t>Option C (Greenhouses and Conservatories Production)</w:t>
      </w:r>
      <w:r w:rsidRPr="00A44E51">
        <w:rPr>
          <w:rFonts w:ascii="Arial" w:hAnsi="Arial" w:cs="Arial"/>
          <w:sz w:val="24"/>
          <w:szCs w:val="24"/>
        </w:rPr>
        <w:br/>
      </w:r>
      <w:r w:rsidRPr="00A44E51">
        <w:rPr>
          <w:rFonts w:ascii="Arial" w:hAnsi="Arial" w:cs="Arial"/>
          <w:b/>
          <w:bCs/>
          <w:sz w:val="24"/>
          <w:szCs w:val="24"/>
        </w:rPr>
        <w:t>Initial Outlay:</w:t>
      </w:r>
      <w:r w:rsidRPr="00A44E51">
        <w:rPr>
          <w:rFonts w:ascii="Arial" w:hAnsi="Arial" w:cs="Arial"/>
          <w:sz w:val="24"/>
          <w:szCs w:val="24"/>
        </w:rPr>
        <w:t xml:space="preserve"> £1,700,000</w:t>
      </w:r>
      <w:r w:rsidRPr="00A44E51">
        <w:rPr>
          <w:rFonts w:ascii="Arial" w:hAnsi="Arial" w:cs="Arial"/>
          <w:sz w:val="24"/>
          <w:szCs w:val="24"/>
        </w:rPr>
        <w:br/>
      </w:r>
      <w:r w:rsidRPr="00A44E51">
        <w:rPr>
          <w:rFonts w:ascii="Arial" w:hAnsi="Arial" w:cs="Arial"/>
          <w:b/>
          <w:bCs/>
          <w:sz w:val="24"/>
          <w:szCs w:val="24"/>
        </w:rPr>
        <w:t>NPV:</w:t>
      </w:r>
      <w:r w:rsidRPr="00A44E51">
        <w:rPr>
          <w:rFonts w:ascii="Arial" w:hAnsi="Arial" w:cs="Arial"/>
          <w:sz w:val="24"/>
          <w:szCs w:val="24"/>
        </w:rPr>
        <w:t xml:space="preserve"> £856.39 (£000)</w:t>
      </w:r>
    </w:p>
    <w:p w14:paraId="2BE805D2" w14:textId="77777777" w:rsidR="0059069B" w:rsidRPr="00A44E51" w:rsidRDefault="0059069B" w:rsidP="0059069B">
      <w:pPr>
        <w:rPr>
          <w:rFonts w:ascii="Arial" w:hAnsi="Arial" w:cs="Arial"/>
          <w:sz w:val="24"/>
          <w:szCs w:val="24"/>
        </w:rPr>
      </w:pPr>
      <w:r w:rsidRPr="00A44E51">
        <w:rPr>
          <w:rFonts w:ascii="Arial" w:hAnsi="Arial" w:cs="Arial"/>
          <w:sz w:val="24"/>
          <w:szCs w:val="24"/>
        </w:rPr>
        <w:t xml:space="preserve">Option C focuses on the production of greenhouses and conservatories, requiring the largest initial outlay of £1,700,000. The projected cash flows over the four years show promising returns, with an NPV of £856.39 (£000). However, the higher initial investment and operational risks associated with the manufacturing process, such as production delays, </w:t>
      </w:r>
      <w:proofErr w:type="spellStart"/>
      <w:r w:rsidRPr="00A44E51">
        <w:rPr>
          <w:rFonts w:ascii="Arial" w:hAnsi="Arial" w:cs="Arial"/>
          <w:sz w:val="24"/>
          <w:szCs w:val="24"/>
        </w:rPr>
        <w:t>labor</w:t>
      </w:r>
      <w:proofErr w:type="spellEnd"/>
      <w:r w:rsidRPr="00A44E51">
        <w:rPr>
          <w:rFonts w:ascii="Arial" w:hAnsi="Arial" w:cs="Arial"/>
          <w:sz w:val="24"/>
          <w:szCs w:val="24"/>
        </w:rPr>
        <w:t xml:space="preserve"> costs, and supply chain disruptions, make this option less attractive compared to Option B. While the growing demand for home and garden products presents an opportunity, Option C’s relatively lower NPV reflects the higher capital investment required to generate these returns.</w:t>
      </w:r>
    </w:p>
    <w:p w14:paraId="7F3413C4" w14:textId="77777777" w:rsidR="0059069B" w:rsidRPr="00A44E51" w:rsidRDefault="0059069B" w:rsidP="0059069B">
      <w:pPr>
        <w:rPr>
          <w:rFonts w:ascii="Arial" w:hAnsi="Arial" w:cs="Arial"/>
          <w:b/>
          <w:bCs/>
          <w:sz w:val="24"/>
          <w:szCs w:val="24"/>
        </w:rPr>
      </w:pPr>
      <w:r w:rsidRPr="00A44E51">
        <w:rPr>
          <w:rFonts w:ascii="Arial" w:hAnsi="Arial" w:cs="Arial"/>
          <w:b/>
          <w:bCs/>
          <w:sz w:val="24"/>
          <w:szCs w:val="24"/>
        </w:rPr>
        <w:t>Key Considerations for Investment Recommendations:</w:t>
      </w:r>
    </w:p>
    <w:p w14:paraId="0BE7352D" w14:textId="77777777" w:rsidR="0059069B" w:rsidRPr="00A44E51" w:rsidRDefault="0059069B" w:rsidP="0059069B">
      <w:pPr>
        <w:numPr>
          <w:ilvl w:val="0"/>
          <w:numId w:val="47"/>
        </w:numPr>
        <w:rPr>
          <w:rFonts w:ascii="Arial" w:hAnsi="Arial" w:cs="Arial"/>
          <w:sz w:val="24"/>
          <w:szCs w:val="24"/>
        </w:rPr>
      </w:pPr>
      <w:r w:rsidRPr="00A44E51">
        <w:rPr>
          <w:rFonts w:ascii="Arial" w:hAnsi="Arial" w:cs="Arial"/>
          <w:b/>
          <w:bCs/>
          <w:sz w:val="24"/>
          <w:szCs w:val="24"/>
        </w:rPr>
        <w:t>Scalability and Growth Potential:</w:t>
      </w:r>
      <w:r w:rsidRPr="00A44E51">
        <w:rPr>
          <w:rFonts w:ascii="Arial" w:hAnsi="Arial" w:cs="Arial"/>
          <w:sz w:val="24"/>
          <w:szCs w:val="24"/>
        </w:rPr>
        <w:br/>
        <w:t>Option B (Internet Sales Development) offers the highest scalability. The e-commerce industry continues to grow, and investing in an online platform enables Greenacres Plc to expand its market reach significantly without being constrained by physical store locations. This scalability makes Option B the most future-proof and growth-oriented investment.</w:t>
      </w:r>
    </w:p>
    <w:p w14:paraId="3FEFB346" w14:textId="77777777" w:rsidR="0059069B" w:rsidRPr="00A44E51" w:rsidRDefault="0059069B" w:rsidP="0059069B">
      <w:pPr>
        <w:numPr>
          <w:ilvl w:val="0"/>
          <w:numId w:val="47"/>
        </w:numPr>
        <w:rPr>
          <w:rFonts w:ascii="Arial" w:hAnsi="Arial" w:cs="Arial"/>
          <w:sz w:val="24"/>
          <w:szCs w:val="24"/>
        </w:rPr>
      </w:pPr>
      <w:r w:rsidRPr="00A44E51">
        <w:rPr>
          <w:rFonts w:ascii="Arial" w:hAnsi="Arial" w:cs="Arial"/>
          <w:b/>
          <w:bCs/>
          <w:sz w:val="24"/>
          <w:szCs w:val="24"/>
        </w:rPr>
        <w:t>Capital Efficiency:</w:t>
      </w:r>
      <w:r w:rsidRPr="00A44E51">
        <w:rPr>
          <w:rFonts w:ascii="Arial" w:hAnsi="Arial" w:cs="Arial"/>
          <w:sz w:val="24"/>
          <w:szCs w:val="24"/>
        </w:rPr>
        <w:br/>
        <w:t xml:space="preserve">Option A (Retail Outlet Expansion) requires the least capital (£660,000), but its modest NPV suggests that the returns are not proportional to the investment. In contrast, Option B, although requiring a larger investment, </w:t>
      </w:r>
      <w:r w:rsidRPr="00A44E51">
        <w:rPr>
          <w:rFonts w:ascii="Arial" w:hAnsi="Arial" w:cs="Arial"/>
          <w:sz w:val="24"/>
          <w:szCs w:val="24"/>
        </w:rPr>
        <w:lastRenderedPageBreak/>
        <w:t>offers higher value creation and a greater return on investment. Therefore, Option B is a more capital-efficient choice.</w:t>
      </w:r>
    </w:p>
    <w:p w14:paraId="69BD598C" w14:textId="77777777" w:rsidR="0059069B" w:rsidRPr="00A44E51" w:rsidRDefault="0059069B" w:rsidP="0059069B">
      <w:pPr>
        <w:numPr>
          <w:ilvl w:val="0"/>
          <w:numId w:val="47"/>
        </w:numPr>
        <w:rPr>
          <w:rFonts w:ascii="Arial" w:hAnsi="Arial" w:cs="Arial"/>
          <w:sz w:val="24"/>
          <w:szCs w:val="24"/>
        </w:rPr>
      </w:pPr>
      <w:r w:rsidRPr="00A44E51">
        <w:rPr>
          <w:rFonts w:ascii="Arial" w:hAnsi="Arial" w:cs="Arial"/>
          <w:b/>
          <w:bCs/>
          <w:sz w:val="24"/>
          <w:szCs w:val="24"/>
        </w:rPr>
        <w:t>Risk and Operational Considerations:</w:t>
      </w:r>
      <w:r w:rsidRPr="00A44E51">
        <w:rPr>
          <w:rFonts w:ascii="Arial" w:hAnsi="Arial" w:cs="Arial"/>
          <w:sz w:val="24"/>
          <w:szCs w:val="24"/>
        </w:rPr>
        <w:br/>
        <w:t>Option C (Greenhouses and Conservatories Production) involves higher operational risks due to the complexities of manufacturing, including potential supply chain issues and the need for substantial production capacity. On the other hand, Option B carries fewer operational risks, primarily focused on logistics and online sales management, making it a more manageable and less risky option.</w:t>
      </w:r>
    </w:p>
    <w:p w14:paraId="202136E3" w14:textId="77777777" w:rsidR="0059069B" w:rsidRPr="00A44E51" w:rsidRDefault="0059069B" w:rsidP="0059069B">
      <w:pPr>
        <w:numPr>
          <w:ilvl w:val="0"/>
          <w:numId w:val="47"/>
        </w:numPr>
        <w:rPr>
          <w:rFonts w:ascii="Arial" w:hAnsi="Arial" w:cs="Arial"/>
          <w:sz w:val="24"/>
          <w:szCs w:val="24"/>
        </w:rPr>
      </w:pPr>
      <w:r w:rsidRPr="00A44E51">
        <w:rPr>
          <w:rFonts w:ascii="Arial" w:hAnsi="Arial" w:cs="Arial"/>
          <w:b/>
          <w:bCs/>
          <w:sz w:val="24"/>
          <w:szCs w:val="24"/>
        </w:rPr>
        <w:t>Market Trends and Alignment:</w:t>
      </w:r>
      <w:r w:rsidRPr="00A44E51">
        <w:rPr>
          <w:rFonts w:ascii="Arial" w:hAnsi="Arial" w:cs="Arial"/>
          <w:sz w:val="24"/>
          <w:szCs w:val="24"/>
        </w:rPr>
        <w:br/>
        <w:t xml:space="preserve">The shift towards online shopping is a critical factor in </w:t>
      </w:r>
      <w:proofErr w:type="spellStart"/>
      <w:r w:rsidRPr="00A44E51">
        <w:rPr>
          <w:rFonts w:ascii="Arial" w:hAnsi="Arial" w:cs="Arial"/>
          <w:sz w:val="24"/>
          <w:szCs w:val="24"/>
        </w:rPr>
        <w:t>favor</w:t>
      </w:r>
      <w:proofErr w:type="spellEnd"/>
      <w:r w:rsidRPr="00A44E51">
        <w:rPr>
          <w:rFonts w:ascii="Arial" w:hAnsi="Arial" w:cs="Arial"/>
          <w:sz w:val="24"/>
          <w:szCs w:val="24"/>
        </w:rPr>
        <w:t xml:space="preserve"> of Option B. As consumer </w:t>
      </w:r>
      <w:proofErr w:type="spellStart"/>
      <w:r w:rsidRPr="00A44E51">
        <w:rPr>
          <w:rFonts w:ascii="Arial" w:hAnsi="Arial" w:cs="Arial"/>
          <w:sz w:val="24"/>
          <w:szCs w:val="24"/>
        </w:rPr>
        <w:t>behavior</w:t>
      </w:r>
      <w:proofErr w:type="spellEnd"/>
      <w:r w:rsidRPr="00A44E51">
        <w:rPr>
          <w:rFonts w:ascii="Arial" w:hAnsi="Arial" w:cs="Arial"/>
          <w:sz w:val="24"/>
          <w:szCs w:val="24"/>
        </w:rPr>
        <w:t xml:space="preserve"> increasingly gravitates toward digital platforms, investing in internet sales allows Greenacres Plc to capitalize on this trend. While Option C could also benefit from market trends in the home and garden sector, it is more vulnerable to fluctuations in the housing and construction industries, which may not offer the same consistent growth as e-commerce.</w:t>
      </w:r>
    </w:p>
    <w:p w14:paraId="354372F0" w14:textId="77777777" w:rsidR="0059069B" w:rsidRPr="00A44E51" w:rsidRDefault="0059069B" w:rsidP="0059069B">
      <w:pPr>
        <w:numPr>
          <w:ilvl w:val="0"/>
          <w:numId w:val="47"/>
        </w:numPr>
        <w:rPr>
          <w:rFonts w:ascii="Arial" w:hAnsi="Arial" w:cs="Arial"/>
          <w:sz w:val="24"/>
          <w:szCs w:val="24"/>
        </w:rPr>
      </w:pPr>
      <w:r w:rsidRPr="00A44E51">
        <w:rPr>
          <w:rFonts w:ascii="Arial" w:hAnsi="Arial" w:cs="Arial"/>
          <w:b/>
          <w:bCs/>
          <w:sz w:val="24"/>
          <w:szCs w:val="24"/>
        </w:rPr>
        <w:t>Strategic Fit with Company Goals:</w:t>
      </w:r>
      <w:r w:rsidRPr="00A44E51">
        <w:rPr>
          <w:rFonts w:ascii="Arial" w:hAnsi="Arial" w:cs="Arial"/>
          <w:sz w:val="24"/>
          <w:szCs w:val="24"/>
        </w:rPr>
        <w:br/>
        <w:t>Option B aligns well with the broader strategic goals of Greenacres Plc, focusing on expanding its presence in the rapidly growing online marketplace. In comparison, Option A’s retail expansion may not provide the same level of growth, and Option C, though profitable, involves higher operational complexities that may distract from the company’s long-term strategy of diversifying its offerings.</w:t>
      </w:r>
    </w:p>
    <w:p w14:paraId="779D3E2C" w14:textId="77777777" w:rsidR="0059069B" w:rsidRPr="00A44E51" w:rsidRDefault="0059069B" w:rsidP="0059069B">
      <w:pPr>
        <w:rPr>
          <w:rFonts w:ascii="Arial" w:hAnsi="Arial" w:cs="Arial"/>
          <w:b/>
          <w:bCs/>
          <w:sz w:val="24"/>
          <w:szCs w:val="24"/>
        </w:rPr>
      </w:pPr>
      <w:r w:rsidRPr="00A44E51">
        <w:rPr>
          <w:rFonts w:ascii="Arial" w:hAnsi="Arial" w:cs="Arial"/>
          <w:b/>
          <w:bCs/>
          <w:sz w:val="24"/>
          <w:szCs w:val="24"/>
        </w:rPr>
        <w:t>Investment Recommendation:</w:t>
      </w:r>
    </w:p>
    <w:p w14:paraId="666707C8" w14:textId="77777777" w:rsidR="0059069B" w:rsidRPr="00A44E51" w:rsidRDefault="0059069B" w:rsidP="0059069B">
      <w:pPr>
        <w:rPr>
          <w:rFonts w:ascii="Arial" w:hAnsi="Arial" w:cs="Arial"/>
          <w:sz w:val="24"/>
          <w:szCs w:val="24"/>
        </w:rPr>
      </w:pPr>
      <w:r w:rsidRPr="00A44E51">
        <w:rPr>
          <w:rFonts w:ascii="Arial" w:hAnsi="Arial" w:cs="Arial"/>
          <w:sz w:val="24"/>
          <w:szCs w:val="24"/>
        </w:rPr>
        <w:t xml:space="preserve">After careful evaluation, it is recommended that </w:t>
      </w:r>
      <w:r w:rsidRPr="00A44E51">
        <w:rPr>
          <w:rFonts w:ascii="Arial" w:hAnsi="Arial" w:cs="Arial"/>
          <w:b/>
          <w:bCs/>
          <w:sz w:val="24"/>
          <w:szCs w:val="24"/>
        </w:rPr>
        <w:t>Greenacres Plc proceed with Option B (Internet Sales Development)</w:t>
      </w:r>
      <w:r w:rsidRPr="00A44E51">
        <w:rPr>
          <w:rFonts w:ascii="Arial" w:hAnsi="Arial" w:cs="Arial"/>
          <w:sz w:val="24"/>
          <w:szCs w:val="24"/>
        </w:rPr>
        <w:t xml:space="preserve"> as the preferred investment. The higher NPV of £899.34 (£000), combined with the scalability, growth potential, and alignment with current market trends, makes this the most financially viable and strategically advantageous choice. This option offers the best opportunity for Greenacres Plc to tap into the growing e-commerce market, expand its customer base, and generate sustainable long-term profits.</w:t>
      </w:r>
    </w:p>
    <w:p w14:paraId="19A26FC8" w14:textId="77777777" w:rsidR="0059069B" w:rsidRPr="00A44E51" w:rsidRDefault="0059069B" w:rsidP="0059069B">
      <w:pPr>
        <w:rPr>
          <w:rFonts w:ascii="Arial" w:hAnsi="Arial" w:cs="Arial"/>
          <w:sz w:val="24"/>
          <w:szCs w:val="24"/>
        </w:rPr>
      </w:pPr>
      <w:r w:rsidRPr="00A44E51">
        <w:rPr>
          <w:rFonts w:ascii="Arial" w:hAnsi="Arial" w:cs="Arial"/>
          <w:sz w:val="24"/>
          <w:szCs w:val="24"/>
        </w:rPr>
        <w:t xml:space="preserve">While </w:t>
      </w:r>
      <w:r w:rsidRPr="00A44E51">
        <w:rPr>
          <w:rFonts w:ascii="Arial" w:hAnsi="Arial" w:cs="Arial"/>
          <w:b/>
          <w:bCs/>
          <w:sz w:val="24"/>
          <w:szCs w:val="24"/>
        </w:rPr>
        <w:t>Option C (Greenhouses and Conservatories Production)</w:t>
      </w:r>
      <w:r w:rsidRPr="00A44E51">
        <w:rPr>
          <w:rFonts w:ascii="Arial" w:hAnsi="Arial" w:cs="Arial"/>
          <w:sz w:val="24"/>
          <w:szCs w:val="24"/>
        </w:rPr>
        <w:t xml:space="preserve"> presents a promising return, it requires a larger initial investment and is associated with more operational risks. This option may be considered as a secondary investment once Option B has been successfully implemented and additional capital becomes available.</w:t>
      </w:r>
    </w:p>
    <w:p w14:paraId="07A70342" w14:textId="77777777" w:rsidR="0059069B" w:rsidRPr="00A44E51" w:rsidRDefault="0059069B" w:rsidP="0059069B">
      <w:pPr>
        <w:rPr>
          <w:rFonts w:ascii="Arial" w:hAnsi="Arial" w:cs="Arial"/>
          <w:sz w:val="24"/>
          <w:szCs w:val="24"/>
        </w:rPr>
      </w:pPr>
      <w:r w:rsidRPr="00A44E51">
        <w:rPr>
          <w:rFonts w:ascii="Arial" w:hAnsi="Arial" w:cs="Arial"/>
          <w:b/>
          <w:bCs/>
          <w:sz w:val="24"/>
          <w:szCs w:val="24"/>
        </w:rPr>
        <w:t>Option A (Retail Outlet Expansion)</w:t>
      </w:r>
      <w:r w:rsidRPr="00A44E51">
        <w:rPr>
          <w:rFonts w:ascii="Arial" w:hAnsi="Arial" w:cs="Arial"/>
          <w:sz w:val="24"/>
          <w:szCs w:val="24"/>
        </w:rPr>
        <w:t>, though offering positive returns, should be deprioritized at this stage due to its lower NPV and limited growth potential. The retail market is facing increasing competition, and Greenacres Plc would be better served by focusing its efforts on digital expansion, which has greater potential for scalability and profitability.</w:t>
      </w:r>
    </w:p>
    <w:p w14:paraId="2D34A5E9" w14:textId="77777777" w:rsidR="0059069B" w:rsidRPr="00B54455" w:rsidRDefault="0059069B" w:rsidP="0059069B">
      <w:pPr>
        <w:rPr>
          <w:rFonts w:ascii="Arial" w:hAnsi="Arial" w:cs="Arial"/>
          <w:sz w:val="24"/>
          <w:szCs w:val="24"/>
        </w:rPr>
      </w:pPr>
    </w:p>
    <w:p w14:paraId="57CDB88E"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lastRenderedPageBreak/>
        <w:t>3. Estimation of the Approximate Internal Rate of Return (IRR) of the Preferred Project</w:t>
      </w:r>
    </w:p>
    <w:p w14:paraId="0A2E026C"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3.1 Introduction to the IRR Method</w:t>
      </w:r>
    </w:p>
    <w:p w14:paraId="221F8CC1" w14:textId="77777777" w:rsidR="0059069B" w:rsidRPr="00A44E51" w:rsidRDefault="0059069B" w:rsidP="0059069B">
      <w:pPr>
        <w:rPr>
          <w:rFonts w:ascii="Arial" w:hAnsi="Arial" w:cs="Arial"/>
          <w:sz w:val="24"/>
          <w:szCs w:val="24"/>
        </w:rPr>
      </w:pPr>
      <w:r w:rsidRPr="00A44E51">
        <w:rPr>
          <w:rFonts w:ascii="Arial" w:hAnsi="Arial" w:cs="Arial"/>
          <w:sz w:val="24"/>
          <w:szCs w:val="24"/>
        </w:rPr>
        <w:t>The Internal Rate of Return (IRR) is a critical financial metric used to evaluate the profitability of an investment. It represents the discount rate at which the Net Present Value (NPV) of the project equals zero. Essentially, the IRR reflects the rate of return at which the present value of the expected future cash inflows equals the initial investment. If the IRR exceeds the company's cost of capital, the investment can be considered financially viable.</w:t>
      </w:r>
    </w:p>
    <w:p w14:paraId="2F677F56" w14:textId="77777777" w:rsidR="0059069B" w:rsidRPr="00A44E51" w:rsidRDefault="0059069B" w:rsidP="0059069B">
      <w:pPr>
        <w:rPr>
          <w:rFonts w:ascii="Arial" w:hAnsi="Arial" w:cs="Arial"/>
          <w:sz w:val="24"/>
          <w:szCs w:val="24"/>
        </w:rPr>
      </w:pPr>
      <w:r w:rsidRPr="00A44E51">
        <w:rPr>
          <w:rFonts w:ascii="Arial" w:hAnsi="Arial" w:cs="Arial"/>
          <w:sz w:val="24"/>
          <w:szCs w:val="24"/>
        </w:rPr>
        <w:t xml:space="preserve">For Greenacres Plc, the preferred project is </w:t>
      </w:r>
      <w:r w:rsidRPr="00A44E51">
        <w:rPr>
          <w:rFonts w:ascii="Arial" w:hAnsi="Arial" w:cs="Arial"/>
          <w:b/>
          <w:bCs/>
          <w:sz w:val="24"/>
          <w:szCs w:val="24"/>
        </w:rPr>
        <w:t>Option B: Developing Internet Sales</w:t>
      </w:r>
      <w:r w:rsidRPr="00A44E51">
        <w:rPr>
          <w:rFonts w:ascii="Arial" w:hAnsi="Arial" w:cs="Arial"/>
          <w:sz w:val="24"/>
          <w:szCs w:val="24"/>
        </w:rPr>
        <w:t>. In this section, we will estimate the IRR for this option and provide an interpretation of the results, helping to guide the investment decision.</w:t>
      </w:r>
    </w:p>
    <w:p w14:paraId="308CDB10"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3.2 Results and Analysis of the IRR</w:t>
      </w:r>
    </w:p>
    <w:p w14:paraId="26BCBFF8" w14:textId="77777777" w:rsidR="0059069B" w:rsidRPr="00B54455" w:rsidRDefault="0059069B" w:rsidP="0059069B">
      <w:pPr>
        <w:rPr>
          <w:rFonts w:ascii="Arial" w:hAnsi="Arial" w:cs="Arial"/>
          <w:sz w:val="24"/>
          <w:szCs w:val="24"/>
        </w:rPr>
      </w:pPr>
      <w:r w:rsidRPr="00B54455">
        <w:rPr>
          <w:rFonts w:ascii="Arial" w:hAnsi="Arial" w:cs="Arial"/>
          <w:sz w:val="24"/>
          <w:szCs w:val="24"/>
        </w:rPr>
        <w:t>To calculate the IRR, we start by estimating the NPV at different discount rates. From there, we apply interpolation to narrow down the rate at which the NPV would be zero. Below is the detailed analysis</w:t>
      </w:r>
    </w:p>
    <w:p w14:paraId="321D47B0" w14:textId="77777777" w:rsidR="0059069B" w:rsidRPr="00B54455" w:rsidRDefault="0059069B" w:rsidP="0059069B">
      <w:pPr>
        <w:numPr>
          <w:ilvl w:val="0"/>
          <w:numId w:val="42"/>
        </w:numPr>
        <w:rPr>
          <w:rFonts w:ascii="Arial" w:hAnsi="Arial" w:cs="Arial"/>
          <w:sz w:val="24"/>
          <w:szCs w:val="24"/>
        </w:rPr>
      </w:pPr>
      <w:r w:rsidRPr="00B54455">
        <w:rPr>
          <w:rFonts w:ascii="Arial" w:hAnsi="Arial" w:cs="Arial"/>
          <w:b/>
          <w:bCs/>
          <w:sz w:val="24"/>
          <w:szCs w:val="24"/>
        </w:rPr>
        <w:t>Option B:</w:t>
      </w:r>
      <w:r w:rsidRPr="00B54455">
        <w:rPr>
          <w:rFonts w:ascii="Arial" w:hAnsi="Arial" w:cs="Arial"/>
          <w:sz w:val="24"/>
          <w:szCs w:val="24"/>
        </w:rPr>
        <w:t xml:space="preserve"> </w:t>
      </w:r>
    </w:p>
    <w:p w14:paraId="2854066D" w14:textId="77777777" w:rsidR="0059069B" w:rsidRPr="00B54455" w:rsidRDefault="0059069B" w:rsidP="0059069B">
      <w:pPr>
        <w:numPr>
          <w:ilvl w:val="1"/>
          <w:numId w:val="42"/>
        </w:numPr>
        <w:rPr>
          <w:rFonts w:ascii="Arial" w:hAnsi="Arial" w:cs="Arial"/>
          <w:sz w:val="24"/>
          <w:szCs w:val="24"/>
        </w:rPr>
      </w:pPr>
      <w:r w:rsidRPr="00B54455">
        <w:rPr>
          <w:rFonts w:ascii="Arial" w:hAnsi="Arial" w:cs="Arial"/>
          <w:sz w:val="24"/>
          <w:szCs w:val="24"/>
        </w:rPr>
        <w:t>NPV at 6% = £132.49 (£,000).</w:t>
      </w:r>
    </w:p>
    <w:p w14:paraId="3A87551F" w14:textId="77777777" w:rsidR="0059069B" w:rsidRPr="00B54455" w:rsidRDefault="0059069B" w:rsidP="0059069B">
      <w:pPr>
        <w:numPr>
          <w:ilvl w:val="1"/>
          <w:numId w:val="42"/>
        </w:numPr>
        <w:rPr>
          <w:rFonts w:ascii="Arial" w:hAnsi="Arial" w:cs="Arial"/>
          <w:sz w:val="24"/>
          <w:szCs w:val="24"/>
        </w:rPr>
      </w:pPr>
      <w:r w:rsidRPr="00B54455">
        <w:rPr>
          <w:rFonts w:ascii="Arial" w:hAnsi="Arial" w:cs="Arial"/>
          <w:sz w:val="24"/>
          <w:szCs w:val="24"/>
        </w:rPr>
        <w:t>NPV at 10% = Approx. £50 (£,000).</w:t>
      </w:r>
    </w:p>
    <w:p w14:paraId="74D951B6" w14:textId="77777777" w:rsidR="0059069B" w:rsidRPr="00B54455" w:rsidRDefault="0059069B" w:rsidP="0059069B">
      <w:pPr>
        <w:numPr>
          <w:ilvl w:val="1"/>
          <w:numId w:val="42"/>
        </w:numPr>
        <w:rPr>
          <w:rFonts w:ascii="Arial" w:hAnsi="Arial" w:cs="Arial"/>
          <w:sz w:val="24"/>
          <w:szCs w:val="24"/>
        </w:rPr>
      </w:pPr>
      <w:r w:rsidRPr="00B54455">
        <w:rPr>
          <w:rFonts w:ascii="Arial" w:hAnsi="Arial" w:cs="Arial"/>
          <w:sz w:val="24"/>
          <w:szCs w:val="24"/>
        </w:rPr>
        <w:t>Using interpolation:</w:t>
      </w:r>
    </w:p>
    <w:p w14:paraId="5020AFF2" w14:textId="77777777" w:rsidR="0059069B" w:rsidRPr="00B54455" w:rsidRDefault="0059069B" w:rsidP="0059069B">
      <w:pPr>
        <w:pStyle w:val="NormalWeb"/>
        <w:numPr>
          <w:ilvl w:val="0"/>
          <w:numId w:val="42"/>
        </w:numPr>
        <w:rPr>
          <w:rFonts w:ascii="Arial" w:hAnsi="Arial" w:cs="Arial"/>
        </w:rPr>
      </w:pPr>
      <w:r w:rsidRPr="00B54455">
        <w:rPr>
          <w:rFonts w:ascii="Arial" w:hAnsi="Arial" w:cs="Arial"/>
        </w:rPr>
        <w:t>Using interpolation, we calculate the IRR as follows:</w:t>
      </w:r>
    </w:p>
    <w:p w14:paraId="110AC86F" w14:textId="77777777" w:rsidR="0059069B" w:rsidRPr="00B54455" w:rsidRDefault="0059069B" w:rsidP="0059069B">
      <w:pPr>
        <w:pStyle w:val="NormalWeb"/>
        <w:numPr>
          <w:ilvl w:val="0"/>
          <w:numId w:val="42"/>
        </w:numPr>
        <w:rPr>
          <w:rFonts w:ascii="Arial" w:hAnsi="Arial" w:cs="Arial"/>
        </w:rPr>
      </w:pPr>
      <w:r w:rsidRPr="00B54455">
        <w:rPr>
          <w:rFonts w:ascii="Arial" w:hAnsi="Arial" w:cs="Arial"/>
        </w:rPr>
        <w:t>IRR=6% (132,490/132490+50000) (10%-6%)</w:t>
      </w:r>
      <w:r w:rsidRPr="00B54455">
        <w:rPr>
          <w:rFonts w:ascii="Arial" w:hAnsi="Arial" w:cs="Arial"/>
        </w:rPr>
        <w:br/>
      </w:r>
    </w:p>
    <w:p w14:paraId="65B804EB" w14:textId="77777777" w:rsidR="0059069B" w:rsidRPr="00A44E51" w:rsidRDefault="0059069B" w:rsidP="0059069B">
      <w:pPr>
        <w:pStyle w:val="NormalWeb"/>
        <w:rPr>
          <w:rFonts w:ascii="Arial" w:hAnsi="Arial" w:cs="Arial"/>
        </w:rPr>
      </w:pPr>
      <w:r w:rsidRPr="00A44E51">
        <w:rPr>
          <w:rFonts w:ascii="Arial" w:hAnsi="Arial" w:cs="Arial"/>
          <w:b/>
          <w:bCs/>
        </w:rPr>
        <w:t>3.3 Interpretation of the IRR</w:t>
      </w:r>
    </w:p>
    <w:p w14:paraId="5FA186DB" w14:textId="77777777" w:rsidR="0059069B" w:rsidRPr="00A44E51" w:rsidRDefault="0059069B" w:rsidP="0059069B">
      <w:pPr>
        <w:pStyle w:val="NormalWeb"/>
        <w:numPr>
          <w:ilvl w:val="0"/>
          <w:numId w:val="42"/>
        </w:numPr>
        <w:rPr>
          <w:rFonts w:ascii="Arial" w:hAnsi="Arial" w:cs="Arial"/>
        </w:rPr>
      </w:pPr>
      <w:r w:rsidRPr="00A44E51">
        <w:rPr>
          <w:rFonts w:ascii="Arial" w:hAnsi="Arial" w:cs="Arial"/>
        </w:rPr>
        <w:t xml:space="preserve">The </w:t>
      </w:r>
      <w:r w:rsidRPr="00A44E51">
        <w:rPr>
          <w:rFonts w:ascii="Arial" w:hAnsi="Arial" w:cs="Arial"/>
          <w:b/>
          <w:bCs/>
        </w:rPr>
        <w:t>IRR of 8.7%</w:t>
      </w:r>
      <w:r w:rsidRPr="00A44E51">
        <w:rPr>
          <w:rFonts w:ascii="Arial" w:hAnsi="Arial" w:cs="Arial"/>
        </w:rPr>
        <w:t xml:space="preserve"> indicates that the investment in </w:t>
      </w:r>
      <w:r w:rsidRPr="00A44E51">
        <w:rPr>
          <w:rFonts w:ascii="Arial" w:hAnsi="Arial" w:cs="Arial"/>
          <w:b/>
          <w:bCs/>
        </w:rPr>
        <w:t>Option B: Developing Internet Sales</w:t>
      </w:r>
      <w:r w:rsidRPr="00A44E51">
        <w:rPr>
          <w:rFonts w:ascii="Arial" w:hAnsi="Arial" w:cs="Arial"/>
        </w:rPr>
        <w:t xml:space="preserve"> is expected to generate an annual return of 8.7% over the four-year period. Since this rate exceeds the company’s cost of capital (6%), the project is deemed financially viable and profitable.</w:t>
      </w:r>
    </w:p>
    <w:p w14:paraId="52BF7771" w14:textId="77777777" w:rsidR="0059069B" w:rsidRPr="00A44E51" w:rsidRDefault="0059069B" w:rsidP="0059069B">
      <w:pPr>
        <w:pStyle w:val="NormalWeb"/>
        <w:numPr>
          <w:ilvl w:val="0"/>
          <w:numId w:val="42"/>
        </w:numPr>
        <w:rPr>
          <w:rFonts w:ascii="Arial" w:hAnsi="Arial" w:cs="Arial"/>
        </w:rPr>
      </w:pPr>
      <w:r w:rsidRPr="00A44E51">
        <w:rPr>
          <w:rFonts w:ascii="Arial" w:hAnsi="Arial" w:cs="Arial"/>
        </w:rPr>
        <w:t>Key interpretations include:</w:t>
      </w:r>
    </w:p>
    <w:p w14:paraId="16561BDF" w14:textId="77777777" w:rsidR="0059069B" w:rsidRPr="00A44E51" w:rsidRDefault="0059069B" w:rsidP="0059069B">
      <w:pPr>
        <w:pStyle w:val="NormalWeb"/>
        <w:numPr>
          <w:ilvl w:val="0"/>
          <w:numId w:val="42"/>
        </w:numPr>
        <w:rPr>
          <w:rFonts w:ascii="Arial" w:hAnsi="Arial" w:cs="Arial"/>
        </w:rPr>
      </w:pPr>
      <w:r w:rsidRPr="00A44E51">
        <w:rPr>
          <w:rFonts w:ascii="Arial" w:hAnsi="Arial" w:cs="Arial"/>
          <w:b/>
          <w:bCs/>
        </w:rPr>
        <w:t>Investment Viability</w:t>
      </w:r>
      <w:r w:rsidRPr="00A44E51">
        <w:rPr>
          <w:rFonts w:ascii="Arial" w:hAnsi="Arial" w:cs="Arial"/>
        </w:rPr>
        <w:t>: With an IRR of 8.7%, Option B generates a return greater than the required cost of capital, confirming that the project is expected to create value for the company.</w:t>
      </w:r>
    </w:p>
    <w:p w14:paraId="0077EA1F" w14:textId="77777777" w:rsidR="0059069B" w:rsidRPr="00A44E51" w:rsidRDefault="0059069B" w:rsidP="0059069B">
      <w:pPr>
        <w:pStyle w:val="NormalWeb"/>
        <w:numPr>
          <w:ilvl w:val="0"/>
          <w:numId w:val="42"/>
        </w:numPr>
        <w:rPr>
          <w:rFonts w:ascii="Arial" w:hAnsi="Arial" w:cs="Arial"/>
        </w:rPr>
      </w:pPr>
      <w:r w:rsidRPr="00A44E51">
        <w:rPr>
          <w:rFonts w:ascii="Arial" w:hAnsi="Arial" w:cs="Arial"/>
          <w:b/>
          <w:bCs/>
        </w:rPr>
        <w:t>Comparison with Other Options</w:t>
      </w:r>
      <w:r w:rsidRPr="00A44E51">
        <w:rPr>
          <w:rFonts w:ascii="Arial" w:hAnsi="Arial" w:cs="Arial"/>
        </w:rPr>
        <w:t>: While the IRR for Option B is not exceptionally high in absolute terms, it is significantly above the cost of capital. In comparison, Option A and Option C show lower NPVs, suggesting that Option B is the most financially attractive project.</w:t>
      </w:r>
    </w:p>
    <w:p w14:paraId="135D4BE8" w14:textId="77777777" w:rsidR="0059069B" w:rsidRPr="00B54455" w:rsidRDefault="0059069B" w:rsidP="0059069B">
      <w:pPr>
        <w:pStyle w:val="NormalWeb"/>
        <w:numPr>
          <w:ilvl w:val="0"/>
          <w:numId w:val="42"/>
        </w:numPr>
        <w:rPr>
          <w:rFonts w:ascii="Arial" w:hAnsi="Arial" w:cs="Arial"/>
        </w:rPr>
      </w:pPr>
      <w:r w:rsidRPr="00A44E51">
        <w:rPr>
          <w:rFonts w:ascii="Arial" w:hAnsi="Arial" w:cs="Arial"/>
          <w:b/>
          <w:bCs/>
        </w:rPr>
        <w:t>Sensitivity to Discount Rate</w:t>
      </w:r>
      <w:r w:rsidRPr="00A44E51">
        <w:rPr>
          <w:rFonts w:ascii="Arial" w:hAnsi="Arial" w:cs="Arial"/>
        </w:rPr>
        <w:t>: The difference in NPVs between a 6% and 10% discount rate shows the sensitivity of the project to changes in discount rate. However, the IRR of 8.7% remains a solid and positive indicator of the project's potential to generate returns exceeding the cost of financing.</w:t>
      </w:r>
    </w:p>
    <w:p w14:paraId="7D35AFF0" w14:textId="77777777" w:rsidR="0059069B" w:rsidRPr="00B54455" w:rsidRDefault="0059069B" w:rsidP="0059069B">
      <w:pPr>
        <w:pStyle w:val="ListParagraph"/>
        <w:spacing w:before="100" w:beforeAutospacing="1" w:after="100" w:afterAutospacing="1" w:line="240" w:lineRule="auto"/>
        <w:rPr>
          <w:rFonts w:ascii="Arial" w:eastAsia="Times New Roman" w:hAnsi="Arial" w:cs="Arial"/>
          <w:kern w:val="0"/>
          <w:sz w:val="24"/>
          <w:szCs w:val="24"/>
          <w:lang w:eastAsia="en-IN"/>
          <w14:ligatures w14:val="none"/>
        </w:rPr>
      </w:pPr>
    </w:p>
    <w:p w14:paraId="0FAB796C" w14:textId="77777777" w:rsidR="0059069B" w:rsidRPr="00B54455" w:rsidRDefault="0059069B" w:rsidP="0059069B">
      <w:pPr>
        <w:spacing w:before="100" w:beforeAutospacing="1" w:after="100" w:afterAutospacing="1" w:line="240" w:lineRule="auto"/>
        <w:rPr>
          <w:rFonts w:ascii="Arial" w:eastAsia="Times New Roman" w:hAnsi="Arial" w:cs="Arial"/>
          <w:kern w:val="0"/>
          <w:sz w:val="24"/>
          <w:szCs w:val="24"/>
          <w:lang w:eastAsia="en-IN"/>
          <w14:ligatures w14:val="none"/>
        </w:rPr>
      </w:pPr>
      <w:r w:rsidRPr="00B54455">
        <w:rPr>
          <w:rFonts w:ascii="Arial" w:eastAsia="Times New Roman" w:hAnsi="Arial" w:cs="Arial"/>
          <w:kern w:val="0"/>
          <w:sz w:val="24"/>
          <w:szCs w:val="24"/>
          <w:lang w:eastAsia="en-IN"/>
          <w14:ligatures w14:val="none"/>
        </w:rPr>
        <w:t xml:space="preserve">The IRR of </w:t>
      </w:r>
      <w:r w:rsidRPr="00B54455">
        <w:rPr>
          <w:rFonts w:ascii="Arial" w:eastAsia="Times New Roman" w:hAnsi="Arial" w:cs="Arial"/>
          <w:b/>
          <w:bCs/>
          <w:kern w:val="0"/>
          <w:sz w:val="24"/>
          <w:szCs w:val="24"/>
          <w:lang w:eastAsia="en-IN"/>
          <w14:ligatures w14:val="none"/>
        </w:rPr>
        <w:t>8.7%</w:t>
      </w:r>
      <w:r w:rsidRPr="00B54455">
        <w:rPr>
          <w:rFonts w:ascii="Arial" w:eastAsia="Times New Roman" w:hAnsi="Arial" w:cs="Arial"/>
          <w:kern w:val="0"/>
          <w:sz w:val="24"/>
          <w:szCs w:val="24"/>
          <w:lang w:eastAsia="en-IN"/>
          <w14:ligatures w14:val="none"/>
        </w:rPr>
        <w:t xml:space="preserve"> for </w:t>
      </w:r>
      <w:r w:rsidRPr="00B54455">
        <w:rPr>
          <w:rFonts w:ascii="Arial" w:eastAsia="Times New Roman" w:hAnsi="Arial" w:cs="Arial"/>
          <w:b/>
          <w:bCs/>
          <w:kern w:val="0"/>
          <w:sz w:val="24"/>
          <w:szCs w:val="24"/>
          <w:lang w:eastAsia="en-IN"/>
          <w14:ligatures w14:val="none"/>
        </w:rPr>
        <w:t>Option B: Developing Internet Sales</w:t>
      </w:r>
      <w:r w:rsidRPr="00B54455">
        <w:rPr>
          <w:rFonts w:ascii="Arial" w:eastAsia="Times New Roman" w:hAnsi="Arial" w:cs="Arial"/>
          <w:kern w:val="0"/>
          <w:sz w:val="24"/>
          <w:szCs w:val="24"/>
          <w:lang w:eastAsia="en-IN"/>
          <w14:ligatures w14:val="none"/>
        </w:rPr>
        <w:t xml:space="preserve"> reinforces the attractiveness of this project. Since the IRR exceeds the cost of capital (6%), it suggests that the project will provide a return that is greater than the required return, making it a financially sound investment for Greenacres Plc.</w:t>
      </w:r>
      <w:r w:rsidRPr="00B54455">
        <w:rPr>
          <w:rFonts w:ascii="Arial" w:eastAsia="Times New Roman" w:hAnsi="Arial" w:cs="Arial"/>
          <w:kern w:val="0"/>
          <w:sz w:val="24"/>
          <w:szCs w:val="24"/>
          <w:lang w:eastAsia="en-IN"/>
          <w14:ligatures w14:val="none"/>
        </w:rPr>
        <w:br/>
        <w:t xml:space="preserve">Given that </w:t>
      </w:r>
      <w:r w:rsidRPr="00B54455">
        <w:rPr>
          <w:rFonts w:ascii="Arial" w:eastAsia="Times New Roman" w:hAnsi="Arial" w:cs="Arial"/>
          <w:b/>
          <w:bCs/>
          <w:kern w:val="0"/>
          <w:sz w:val="24"/>
          <w:szCs w:val="24"/>
          <w:lang w:eastAsia="en-IN"/>
          <w14:ligatures w14:val="none"/>
        </w:rPr>
        <w:t>Option B</w:t>
      </w:r>
      <w:r w:rsidRPr="00B54455">
        <w:rPr>
          <w:rFonts w:ascii="Arial" w:eastAsia="Times New Roman" w:hAnsi="Arial" w:cs="Arial"/>
          <w:kern w:val="0"/>
          <w:sz w:val="24"/>
          <w:szCs w:val="24"/>
          <w:lang w:eastAsia="en-IN"/>
          <w14:ligatures w14:val="none"/>
        </w:rPr>
        <w:t xml:space="preserve"> also presents the highest NPV among the alternatives and aligns with current trends in e-commerce, it is the most viable choice for expansion. The IRR supports the recommendation to proceed with this investment, as it will contribute positively to the company’s growth and profitability.</w:t>
      </w:r>
    </w:p>
    <w:p w14:paraId="405DDD68" w14:textId="77777777" w:rsidR="0059069B" w:rsidRPr="00A44E51" w:rsidRDefault="0059069B" w:rsidP="0059069B">
      <w:pPr>
        <w:pStyle w:val="NormalWeb"/>
        <w:rPr>
          <w:rFonts w:ascii="Arial" w:hAnsi="Arial" w:cs="Arial"/>
        </w:rPr>
      </w:pPr>
    </w:p>
    <w:p w14:paraId="6C03A8F5" w14:textId="77777777" w:rsidR="0059069B" w:rsidRPr="00B54455" w:rsidRDefault="0059069B" w:rsidP="0059069B">
      <w:pPr>
        <w:rPr>
          <w:rFonts w:ascii="Arial" w:hAnsi="Arial" w:cs="Arial"/>
          <w:sz w:val="24"/>
          <w:szCs w:val="24"/>
        </w:rPr>
      </w:pPr>
      <w:r w:rsidRPr="00B54455">
        <w:rPr>
          <w:rFonts w:ascii="Arial" w:hAnsi="Arial" w:cs="Arial"/>
          <w:noProof/>
          <w:sz w:val="24"/>
          <w:szCs w:val="24"/>
        </w:rPr>
        <mc:AlternateContent>
          <mc:Choice Requires="wps">
            <w:drawing>
              <wp:anchor distT="0" distB="0" distL="114300" distR="114300" simplePos="0" relativeHeight="251662336" behindDoc="0" locked="0" layoutInCell="1" allowOverlap="1" wp14:anchorId="2006625E" wp14:editId="2FF8692C">
                <wp:simplePos x="0" y="0"/>
                <wp:positionH relativeFrom="column">
                  <wp:posOffset>-15240</wp:posOffset>
                </wp:positionH>
                <wp:positionV relativeFrom="paragraph">
                  <wp:posOffset>66040</wp:posOffset>
                </wp:positionV>
                <wp:extent cx="5574030" cy="0"/>
                <wp:effectExtent l="0" t="0" r="0" b="0"/>
                <wp:wrapNone/>
                <wp:docPr id="1132698756" name="Straight Connector 1"/>
                <wp:cNvGraphicFramePr/>
                <a:graphic xmlns:a="http://schemas.openxmlformats.org/drawingml/2006/main">
                  <a:graphicData uri="http://schemas.microsoft.com/office/word/2010/wordprocessingShape">
                    <wps:wsp>
                      <wps:cNvCnPr/>
                      <wps:spPr>
                        <a:xfrm flipV="1">
                          <a:off x="0" y="0"/>
                          <a:ext cx="5574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979A166" id="Straight Connector 1"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pt,5.2pt" to="437.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" strokecolor="black [3200]" strokeweight=".5pt">
                <v:stroke joinstyle="miter"/>
              </v:line>
            </w:pict>
          </mc:Fallback>
        </mc:AlternateContent>
      </w:r>
    </w:p>
    <w:p w14:paraId="6375B876"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4. Interpretation for Management</w:t>
      </w:r>
    </w:p>
    <w:p w14:paraId="363271A4"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4.1 NPV as the Best Method</w:t>
      </w:r>
    </w:p>
    <w:p w14:paraId="483E7433" w14:textId="77777777" w:rsidR="0059069B" w:rsidRPr="00B54455" w:rsidRDefault="0059069B" w:rsidP="0059069B">
      <w:pPr>
        <w:rPr>
          <w:rFonts w:ascii="Arial" w:hAnsi="Arial" w:cs="Arial"/>
          <w:b/>
          <w:bCs/>
          <w:sz w:val="24"/>
          <w:szCs w:val="24"/>
        </w:rPr>
      </w:pPr>
      <w:r w:rsidRPr="00B54455">
        <w:rPr>
          <w:rFonts w:ascii="Arial" w:hAnsi="Arial" w:cs="Arial"/>
          <w:sz w:val="24"/>
          <w:szCs w:val="24"/>
        </w:rPr>
        <w:t>The Net Present Value (NPV) method is widely regarded as one of the most reliable tools for evaluating investment opportunities. Its ability to incorporate the time value of money and evaluate the overall value addition to the firm makes it a cornerstone of capital budgeting (Brealey, Myers, &amp; Allen, 2020).</w:t>
      </w:r>
      <w:r w:rsidRPr="00B54455">
        <w:rPr>
          <w:rFonts w:ascii="Arial" w:hAnsi="Arial" w:cs="Arial"/>
          <w:b/>
          <w:bCs/>
          <w:sz w:val="24"/>
          <w:szCs w:val="24"/>
        </w:rPr>
        <w:t xml:space="preserve"> </w:t>
      </w:r>
    </w:p>
    <w:p w14:paraId="1EFC9748" w14:textId="77777777" w:rsidR="0059069B" w:rsidRPr="00B54455" w:rsidRDefault="0059069B" w:rsidP="0059069B">
      <w:pPr>
        <w:pStyle w:val="ListParagraph"/>
        <w:numPr>
          <w:ilvl w:val="0"/>
          <w:numId w:val="48"/>
        </w:numPr>
        <w:rPr>
          <w:rFonts w:ascii="Arial" w:hAnsi="Arial" w:cs="Arial"/>
          <w:sz w:val="24"/>
          <w:szCs w:val="24"/>
        </w:rPr>
      </w:pPr>
      <w:r w:rsidRPr="00B54455">
        <w:rPr>
          <w:rFonts w:ascii="Arial" w:hAnsi="Arial" w:cs="Arial"/>
          <w:b/>
          <w:bCs/>
          <w:sz w:val="24"/>
          <w:szCs w:val="24"/>
        </w:rPr>
        <w:t>Time Value of Money</w:t>
      </w:r>
      <w:r w:rsidRPr="00B54455">
        <w:rPr>
          <w:rFonts w:ascii="Arial" w:hAnsi="Arial" w:cs="Arial"/>
          <w:sz w:val="24"/>
          <w:szCs w:val="24"/>
        </w:rPr>
        <w:t xml:space="preserve">: NPV accounts for the fact that the value of money decreases over time due to inflation and opportunity costs. By discounting future cash flows to their present value, NPV ensures that decision-makers focus on the true value of the investment today, rather than just its future cash </w:t>
      </w:r>
      <w:proofErr w:type="gramStart"/>
      <w:r w:rsidRPr="00B54455">
        <w:rPr>
          <w:rFonts w:ascii="Arial" w:hAnsi="Arial" w:cs="Arial"/>
          <w:sz w:val="24"/>
          <w:szCs w:val="24"/>
        </w:rPr>
        <w:t>inflows .</w:t>
      </w:r>
      <w:proofErr w:type="gramEnd"/>
    </w:p>
    <w:p w14:paraId="5B4454F6" w14:textId="77777777" w:rsidR="0059069B" w:rsidRPr="00B54455" w:rsidRDefault="0059069B" w:rsidP="0059069B">
      <w:pPr>
        <w:pStyle w:val="ListParagraph"/>
        <w:numPr>
          <w:ilvl w:val="0"/>
          <w:numId w:val="48"/>
        </w:numPr>
        <w:rPr>
          <w:rFonts w:ascii="Arial" w:hAnsi="Arial" w:cs="Arial"/>
          <w:sz w:val="24"/>
          <w:szCs w:val="24"/>
        </w:rPr>
      </w:pPr>
      <w:r w:rsidRPr="00B54455">
        <w:rPr>
          <w:rFonts w:ascii="Arial" w:hAnsi="Arial" w:cs="Arial"/>
          <w:b/>
          <w:bCs/>
          <w:sz w:val="24"/>
          <w:szCs w:val="24"/>
        </w:rPr>
        <w:t>Incorporation of All Cash Flows</w:t>
      </w:r>
      <w:r w:rsidRPr="00B54455">
        <w:rPr>
          <w:rFonts w:ascii="Arial" w:hAnsi="Arial" w:cs="Arial"/>
          <w:sz w:val="24"/>
          <w:szCs w:val="24"/>
        </w:rPr>
        <w:t>: A key advantage of NPV is its comprehensive nature. It includes all cash inflows and outflows associated with a project, ensuring that every financial aspect is accounted for. This aligns with the principle of holistic financial appraisal, which ensures that investment decisions are robust and accurate (Ross, Westerfield, &amp; Jaffe, 2019).</w:t>
      </w:r>
    </w:p>
    <w:p w14:paraId="677C36DC" w14:textId="77777777" w:rsidR="0059069B" w:rsidRPr="00B54455" w:rsidRDefault="0059069B" w:rsidP="0059069B">
      <w:pPr>
        <w:pStyle w:val="ListParagraph"/>
        <w:numPr>
          <w:ilvl w:val="0"/>
          <w:numId w:val="48"/>
        </w:numPr>
        <w:rPr>
          <w:rFonts w:ascii="Arial" w:hAnsi="Arial" w:cs="Arial"/>
          <w:sz w:val="24"/>
          <w:szCs w:val="24"/>
        </w:rPr>
      </w:pPr>
      <w:r w:rsidRPr="00B54455">
        <w:rPr>
          <w:rFonts w:ascii="Arial" w:hAnsi="Arial" w:cs="Arial"/>
          <w:b/>
          <w:bCs/>
          <w:sz w:val="24"/>
          <w:szCs w:val="24"/>
        </w:rPr>
        <w:t>Direct Measure of Value Addition</w:t>
      </w:r>
      <w:r w:rsidRPr="00B54455">
        <w:rPr>
          <w:rFonts w:ascii="Arial" w:hAnsi="Arial" w:cs="Arial"/>
          <w:sz w:val="24"/>
          <w:szCs w:val="24"/>
        </w:rPr>
        <w:t>: Unlike methods like the payback period, which focuses on liquidity, NPV is directly tied to value creation. A positive NPV indicates that the project will enhance shareholder value, while a negative NPV suggests it will erode value. This focus on wealth maximization aligns with the core objective of corporate finance (Hillier et al., 2020).</w:t>
      </w:r>
    </w:p>
    <w:p w14:paraId="2351796E" w14:textId="77777777" w:rsidR="0059069B" w:rsidRPr="00B54455" w:rsidRDefault="0059069B" w:rsidP="0059069B">
      <w:pPr>
        <w:rPr>
          <w:rFonts w:ascii="Arial" w:hAnsi="Arial" w:cs="Arial"/>
          <w:sz w:val="24"/>
          <w:szCs w:val="24"/>
        </w:rPr>
      </w:pPr>
    </w:p>
    <w:p w14:paraId="07AC2CD5" w14:textId="77777777" w:rsidR="0059069B" w:rsidRPr="00B54455" w:rsidRDefault="0059069B" w:rsidP="0059069B">
      <w:pPr>
        <w:rPr>
          <w:rFonts w:ascii="Arial" w:hAnsi="Arial" w:cs="Arial"/>
          <w:b/>
          <w:bCs/>
          <w:sz w:val="24"/>
          <w:szCs w:val="24"/>
        </w:rPr>
      </w:pPr>
    </w:p>
    <w:p w14:paraId="73409FDF" w14:textId="77777777" w:rsidR="0059069B" w:rsidRPr="00B54455" w:rsidRDefault="0059069B" w:rsidP="0059069B">
      <w:pPr>
        <w:rPr>
          <w:rFonts w:ascii="Arial" w:hAnsi="Arial" w:cs="Arial"/>
          <w:b/>
          <w:bCs/>
          <w:sz w:val="24"/>
          <w:szCs w:val="24"/>
        </w:rPr>
      </w:pPr>
    </w:p>
    <w:p w14:paraId="11422C92"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4.2 Continued Popularity of Non-Discounting Methods</w:t>
      </w:r>
    </w:p>
    <w:p w14:paraId="32B48893" w14:textId="77777777" w:rsidR="0059069B" w:rsidRPr="00E2265A" w:rsidRDefault="0059069B" w:rsidP="0059069B">
      <w:pPr>
        <w:rPr>
          <w:rFonts w:ascii="Arial" w:hAnsi="Arial" w:cs="Arial"/>
          <w:sz w:val="24"/>
          <w:szCs w:val="24"/>
        </w:rPr>
      </w:pPr>
      <w:r w:rsidRPr="00E2265A">
        <w:rPr>
          <w:rFonts w:ascii="Arial" w:hAnsi="Arial" w:cs="Arial"/>
          <w:sz w:val="24"/>
          <w:szCs w:val="24"/>
        </w:rPr>
        <w:t>While NPV is considered the gold standard, non-discounting methods like the payback period and the Accounting Rate of Return (ARR) remain popular due to their simplicity and focus on liquidity.</w:t>
      </w:r>
    </w:p>
    <w:p w14:paraId="52E83755" w14:textId="77777777" w:rsidR="0059069B" w:rsidRPr="00E2265A" w:rsidRDefault="0059069B" w:rsidP="0059069B">
      <w:pPr>
        <w:numPr>
          <w:ilvl w:val="0"/>
          <w:numId w:val="49"/>
        </w:numPr>
        <w:rPr>
          <w:rFonts w:ascii="Arial" w:hAnsi="Arial" w:cs="Arial"/>
          <w:sz w:val="24"/>
          <w:szCs w:val="24"/>
        </w:rPr>
      </w:pPr>
      <w:r w:rsidRPr="00E2265A">
        <w:rPr>
          <w:rFonts w:ascii="Arial" w:hAnsi="Arial" w:cs="Arial"/>
          <w:b/>
          <w:bCs/>
          <w:sz w:val="24"/>
          <w:szCs w:val="24"/>
        </w:rPr>
        <w:lastRenderedPageBreak/>
        <w:t>Simplicity of Calculations</w:t>
      </w:r>
      <w:r w:rsidRPr="00E2265A">
        <w:rPr>
          <w:rFonts w:ascii="Arial" w:hAnsi="Arial" w:cs="Arial"/>
          <w:sz w:val="24"/>
          <w:szCs w:val="24"/>
        </w:rPr>
        <w:t xml:space="preserve">: Non-discounting methods are easier to compute and understand. For instance, the payback period quickly evaluates how long it will take for an investment to recover its initial costs. This simplicity can appeal to stakeholders unfamiliar with the complexities of financial </w:t>
      </w:r>
      <w:proofErr w:type="spellStart"/>
      <w:r w:rsidRPr="00E2265A">
        <w:rPr>
          <w:rFonts w:ascii="Arial" w:hAnsi="Arial" w:cs="Arial"/>
          <w:sz w:val="24"/>
          <w:szCs w:val="24"/>
        </w:rPr>
        <w:t>modeling</w:t>
      </w:r>
      <w:proofErr w:type="spellEnd"/>
      <w:r w:rsidRPr="00E2265A">
        <w:rPr>
          <w:rFonts w:ascii="Arial" w:hAnsi="Arial" w:cs="Arial"/>
          <w:sz w:val="24"/>
          <w:szCs w:val="24"/>
        </w:rPr>
        <w:t xml:space="preserve"> (</w:t>
      </w:r>
      <w:proofErr w:type="spellStart"/>
      <w:r w:rsidRPr="00E2265A">
        <w:rPr>
          <w:rFonts w:ascii="Arial" w:hAnsi="Arial" w:cs="Arial"/>
          <w:sz w:val="24"/>
          <w:szCs w:val="24"/>
        </w:rPr>
        <w:t>Atrill</w:t>
      </w:r>
      <w:proofErr w:type="spellEnd"/>
      <w:r w:rsidRPr="00E2265A">
        <w:rPr>
          <w:rFonts w:ascii="Arial" w:hAnsi="Arial" w:cs="Arial"/>
          <w:sz w:val="24"/>
          <w:szCs w:val="24"/>
        </w:rPr>
        <w:t xml:space="preserve"> &amp; McLaney, 2021).</w:t>
      </w:r>
    </w:p>
    <w:p w14:paraId="319FA01B" w14:textId="77777777" w:rsidR="0059069B" w:rsidRPr="00E2265A" w:rsidRDefault="0059069B" w:rsidP="0059069B">
      <w:pPr>
        <w:numPr>
          <w:ilvl w:val="0"/>
          <w:numId w:val="49"/>
        </w:numPr>
        <w:rPr>
          <w:rFonts w:ascii="Arial" w:hAnsi="Arial" w:cs="Arial"/>
          <w:sz w:val="24"/>
          <w:szCs w:val="24"/>
        </w:rPr>
      </w:pPr>
      <w:r w:rsidRPr="00E2265A">
        <w:rPr>
          <w:rFonts w:ascii="Arial" w:hAnsi="Arial" w:cs="Arial"/>
          <w:b/>
          <w:bCs/>
          <w:sz w:val="24"/>
          <w:szCs w:val="24"/>
        </w:rPr>
        <w:t>Focus on Liquidity</w:t>
      </w:r>
      <w:r w:rsidRPr="00E2265A">
        <w:rPr>
          <w:rFonts w:ascii="Arial" w:hAnsi="Arial" w:cs="Arial"/>
          <w:sz w:val="24"/>
          <w:szCs w:val="24"/>
        </w:rPr>
        <w:t>: The payback period emphasizes liquidity by identifying how quickly funds are recovered, making it a useful tool for projects where liquidity constraints are significant (Drury, 2018).</w:t>
      </w:r>
    </w:p>
    <w:p w14:paraId="53CDF8AF" w14:textId="77777777" w:rsidR="0059069B" w:rsidRPr="00E2265A" w:rsidRDefault="0059069B" w:rsidP="0059069B">
      <w:pPr>
        <w:numPr>
          <w:ilvl w:val="0"/>
          <w:numId w:val="49"/>
        </w:numPr>
        <w:rPr>
          <w:rFonts w:ascii="Arial" w:hAnsi="Arial" w:cs="Arial"/>
          <w:sz w:val="24"/>
          <w:szCs w:val="24"/>
        </w:rPr>
      </w:pPr>
      <w:r w:rsidRPr="00E2265A">
        <w:rPr>
          <w:rFonts w:ascii="Arial" w:hAnsi="Arial" w:cs="Arial"/>
          <w:b/>
          <w:bCs/>
          <w:sz w:val="24"/>
          <w:szCs w:val="24"/>
        </w:rPr>
        <w:t>Easier Understanding for Non-Financial Stakeholders</w:t>
      </w:r>
      <w:r w:rsidRPr="00E2265A">
        <w:rPr>
          <w:rFonts w:ascii="Arial" w:hAnsi="Arial" w:cs="Arial"/>
          <w:sz w:val="24"/>
          <w:szCs w:val="24"/>
        </w:rPr>
        <w:t>: These methods are often more accessible to boards or teams without a strong financial background, facilitating quicker decision-making (Berk &amp; DeMarzo, 2020). However, their inability to account for the time value of money limits their utility for long-term investment decisions.</w:t>
      </w:r>
    </w:p>
    <w:p w14:paraId="1FCA395A" w14:textId="77777777" w:rsidR="0059069B" w:rsidRPr="00E2265A" w:rsidRDefault="0059069B" w:rsidP="0059069B">
      <w:pPr>
        <w:rPr>
          <w:rFonts w:ascii="Arial" w:hAnsi="Arial" w:cs="Arial"/>
          <w:sz w:val="24"/>
          <w:szCs w:val="24"/>
        </w:rPr>
      </w:pPr>
      <w:r w:rsidRPr="00E2265A">
        <w:rPr>
          <w:rFonts w:ascii="Arial" w:hAnsi="Arial" w:cs="Arial"/>
          <w:sz w:val="24"/>
          <w:szCs w:val="24"/>
        </w:rPr>
        <w:t>Despite their continued use, the reliance on non-discounting methods should be complemented by more robust techniques like NPV to ensure that the strategic and financial implications of a project are accurately assessed.</w:t>
      </w:r>
    </w:p>
    <w:p w14:paraId="2C06FB20" w14:textId="77777777" w:rsidR="0059069B" w:rsidRPr="00B54455" w:rsidRDefault="0059069B" w:rsidP="0059069B">
      <w:pPr>
        <w:rPr>
          <w:rFonts w:ascii="Arial" w:hAnsi="Arial" w:cs="Arial"/>
          <w:sz w:val="24"/>
          <w:szCs w:val="24"/>
        </w:rPr>
      </w:pPr>
    </w:p>
    <w:p w14:paraId="22DCD4C4"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4.3 Other Factors to Consider</w:t>
      </w:r>
    </w:p>
    <w:p w14:paraId="0CDB2A63" w14:textId="77777777" w:rsidR="0059069B" w:rsidRPr="00E2265A" w:rsidRDefault="0059069B" w:rsidP="0059069B">
      <w:pPr>
        <w:rPr>
          <w:rFonts w:ascii="Arial" w:hAnsi="Arial" w:cs="Arial"/>
          <w:sz w:val="24"/>
          <w:szCs w:val="24"/>
        </w:rPr>
      </w:pPr>
      <w:r w:rsidRPr="00E2265A">
        <w:rPr>
          <w:rFonts w:ascii="Arial" w:hAnsi="Arial" w:cs="Arial"/>
          <w:sz w:val="24"/>
          <w:szCs w:val="24"/>
        </w:rPr>
        <w:t>While financial metrics such as NPV and IRR are vital, management must also evaluate other non-financial factors that could significantly affect the success of an investment. This multi-dimensional approach ensures alignment with the company’s overall strategy (Arnold, 2019).</w:t>
      </w:r>
    </w:p>
    <w:p w14:paraId="4EF5E0DF" w14:textId="77777777" w:rsidR="0059069B" w:rsidRPr="00E2265A" w:rsidRDefault="0059069B" w:rsidP="0059069B">
      <w:pPr>
        <w:numPr>
          <w:ilvl w:val="0"/>
          <w:numId w:val="50"/>
        </w:numPr>
        <w:rPr>
          <w:rFonts w:ascii="Arial" w:hAnsi="Arial" w:cs="Arial"/>
          <w:sz w:val="24"/>
          <w:szCs w:val="24"/>
        </w:rPr>
      </w:pPr>
      <w:r w:rsidRPr="00E2265A">
        <w:rPr>
          <w:rFonts w:ascii="Arial" w:hAnsi="Arial" w:cs="Arial"/>
          <w:b/>
          <w:bCs/>
          <w:sz w:val="24"/>
          <w:szCs w:val="24"/>
        </w:rPr>
        <w:t>Alignment with Strategic Goals</w:t>
      </w:r>
      <w:r w:rsidRPr="00E2265A">
        <w:rPr>
          <w:rFonts w:ascii="Arial" w:hAnsi="Arial" w:cs="Arial"/>
          <w:sz w:val="24"/>
          <w:szCs w:val="24"/>
        </w:rPr>
        <w:t>: Investments should align with Greenacres Plc’s long-term objectives. For instance, the development of internet sales (Option B) supports the company’s strategy of leveraging digital channels for growth. As suggested by Johnson et al. (2017), strategic alignment enhances the probability of project success.</w:t>
      </w:r>
    </w:p>
    <w:p w14:paraId="49C09ABC" w14:textId="77777777" w:rsidR="0059069B" w:rsidRPr="00E2265A" w:rsidRDefault="0059069B" w:rsidP="0059069B">
      <w:pPr>
        <w:numPr>
          <w:ilvl w:val="0"/>
          <w:numId w:val="50"/>
        </w:numPr>
        <w:rPr>
          <w:rFonts w:ascii="Arial" w:hAnsi="Arial" w:cs="Arial"/>
          <w:sz w:val="24"/>
          <w:szCs w:val="24"/>
        </w:rPr>
      </w:pPr>
      <w:r w:rsidRPr="00E2265A">
        <w:rPr>
          <w:rFonts w:ascii="Arial" w:hAnsi="Arial" w:cs="Arial"/>
          <w:b/>
          <w:bCs/>
          <w:sz w:val="24"/>
          <w:szCs w:val="24"/>
        </w:rPr>
        <w:t>Market Demand and Competitive Landscape</w:t>
      </w:r>
      <w:r w:rsidRPr="00E2265A">
        <w:rPr>
          <w:rFonts w:ascii="Arial" w:hAnsi="Arial" w:cs="Arial"/>
          <w:sz w:val="24"/>
          <w:szCs w:val="24"/>
        </w:rPr>
        <w:t>: Evaluating market trends and the competitive environment is essential to ensure that investments address consumer needs. For instance, the retail market (Option A) may face growth challenges due to changing consumer preferences, whereas internet sales (Option B) could benefit from expanding e-commerce adoption (Grant, 2020).</w:t>
      </w:r>
    </w:p>
    <w:p w14:paraId="7CFD0253" w14:textId="77777777" w:rsidR="0059069B" w:rsidRPr="00E2265A" w:rsidRDefault="0059069B" w:rsidP="0059069B">
      <w:pPr>
        <w:numPr>
          <w:ilvl w:val="0"/>
          <w:numId w:val="50"/>
        </w:numPr>
        <w:rPr>
          <w:rFonts w:ascii="Arial" w:hAnsi="Arial" w:cs="Arial"/>
          <w:sz w:val="24"/>
          <w:szCs w:val="24"/>
        </w:rPr>
      </w:pPr>
      <w:r w:rsidRPr="00E2265A">
        <w:rPr>
          <w:rFonts w:ascii="Arial" w:hAnsi="Arial" w:cs="Arial"/>
          <w:b/>
          <w:bCs/>
          <w:sz w:val="24"/>
          <w:szCs w:val="24"/>
        </w:rPr>
        <w:t>Operational Risks and Scalability</w:t>
      </w:r>
      <w:r w:rsidRPr="00E2265A">
        <w:rPr>
          <w:rFonts w:ascii="Arial" w:hAnsi="Arial" w:cs="Arial"/>
          <w:sz w:val="24"/>
          <w:szCs w:val="24"/>
        </w:rPr>
        <w:t>: Every investment comes with operational challenges. Greenacres Plc must evaluate risks such as delays, cost overruns, and operational inefficiencies. Scalability, too, is critical—an investment that cannot adapt to growing demand may fail to deliver long-term returns (Kaplan &amp; Norton, 2004).</w:t>
      </w:r>
    </w:p>
    <w:p w14:paraId="114F16CD" w14:textId="77777777" w:rsidR="0059069B" w:rsidRPr="00E2265A" w:rsidRDefault="0059069B" w:rsidP="0059069B">
      <w:pPr>
        <w:numPr>
          <w:ilvl w:val="0"/>
          <w:numId w:val="50"/>
        </w:numPr>
        <w:rPr>
          <w:rFonts w:ascii="Arial" w:hAnsi="Arial" w:cs="Arial"/>
          <w:sz w:val="24"/>
          <w:szCs w:val="24"/>
        </w:rPr>
      </w:pPr>
      <w:r w:rsidRPr="00E2265A">
        <w:rPr>
          <w:rFonts w:ascii="Arial" w:hAnsi="Arial" w:cs="Arial"/>
          <w:b/>
          <w:bCs/>
          <w:sz w:val="24"/>
          <w:szCs w:val="24"/>
        </w:rPr>
        <w:t>Regulatory and Environmental Factors</w:t>
      </w:r>
      <w:r w:rsidRPr="00E2265A">
        <w:rPr>
          <w:rFonts w:ascii="Arial" w:hAnsi="Arial" w:cs="Arial"/>
          <w:sz w:val="24"/>
          <w:szCs w:val="24"/>
        </w:rPr>
        <w:t xml:space="preserve">: Investments are subject to regulatory and environmental constraints. For example, government policies on taxation or environmental standards could influence the profitability of retail </w:t>
      </w:r>
      <w:r w:rsidRPr="00E2265A">
        <w:rPr>
          <w:rFonts w:ascii="Arial" w:hAnsi="Arial" w:cs="Arial"/>
          <w:sz w:val="24"/>
          <w:szCs w:val="24"/>
        </w:rPr>
        <w:lastRenderedPageBreak/>
        <w:t>expansion (Option A) or greenhouse production (Option C) (Hillier et al., 2020).</w:t>
      </w:r>
    </w:p>
    <w:p w14:paraId="222A78A3" w14:textId="77777777" w:rsidR="0059069B" w:rsidRPr="00B54455" w:rsidRDefault="0059069B" w:rsidP="0059069B">
      <w:pPr>
        <w:pStyle w:val="NormalWeb"/>
        <w:rPr>
          <w:rFonts w:ascii="Arial" w:hAnsi="Arial" w:cs="Arial"/>
        </w:rPr>
      </w:pPr>
      <w:r w:rsidRPr="00B54455">
        <w:rPr>
          <w:rFonts w:ascii="Arial" w:hAnsi="Arial" w:cs="Arial"/>
        </w:rPr>
        <w:t>In conclusion, while the NPV method provides the most reliable framework for evaluating investment opportunities, Greenacres Plc must integrate non-financial considerations into its decision-making. A holistic approach that incorporates market trends, strategic alignment, and operational risks will enable informed and sustainable investment decisions.</w:t>
      </w:r>
      <w:r w:rsidRPr="00B54455">
        <w:rPr>
          <w:rFonts w:ascii="Arial" w:hAnsi="Arial" w:cs="Arial"/>
        </w:rPr>
        <w:br/>
        <w:t xml:space="preserve">The </w:t>
      </w:r>
      <w:r w:rsidRPr="00B54455">
        <w:rPr>
          <w:rStyle w:val="Strong"/>
          <w:rFonts w:ascii="Arial" w:hAnsi="Arial" w:cs="Arial"/>
        </w:rPr>
        <w:t>NPV analysis</w:t>
      </w:r>
      <w:r w:rsidRPr="00B54455">
        <w:rPr>
          <w:rFonts w:ascii="Arial" w:hAnsi="Arial" w:cs="Arial"/>
        </w:rPr>
        <w:t xml:space="preserve"> of </w:t>
      </w:r>
      <w:r w:rsidRPr="00B54455">
        <w:rPr>
          <w:rStyle w:val="Strong"/>
          <w:rFonts w:ascii="Arial" w:hAnsi="Arial" w:cs="Arial"/>
        </w:rPr>
        <w:t>Option B: Developing Internet Sales</w:t>
      </w:r>
      <w:r w:rsidRPr="00B54455">
        <w:rPr>
          <w:rFonts w:ascii="Arial" w:hAnsi="Arial" w:cs="Arial"/>
        </w:rPr>
        <w:t xml:space="preserve"> shows the highest value addition, supported by its positive </w:t>
      </w:r>
      <w:r w:rsidRPr="00B54455">
        <w:rPr>
          <w:rStyle w:val="Strong"/>
          <w:rFonts w:ascii="Arial" w:hAnsi="Arial" w:cs="Arial"/>
        </w:rPr>
        <w:t>IRR</w:t>
      </w:r>
      <w:r w:rsidRPr="00B54455">
        <w:rPr>
          <w:rFonts w:ascii="Arial" w:hAnsi="Arial" w:cs="Arial"/>
        </w:rPr>
        <w:t>, which exceeds the cost of capital. Nevertheless, careful evaluation of scalability, competitive positioning, and market dynamics will be key to ensuring the project’s long-term success.</w:t>
      </w:r>
    </w:p>
    <w:p w14:paraId="5262C79A" w14:textId="77777777" w:rsidR="0059069B" w:rsidRPr="00B54455" w:rsidRDefault="0059069B" w:rsidP="0059069B">
      <w:pPr>
        <w:ind w:left="360"/>
        <w:rPr>
          <w:rFonts w:ascii="Arial" w:hAnsi="Arial" w:cs="Arial"/>
          <w:sz w:val="24"/>
          <w:szCs w:val="24"/>
        </w:rPr>
      </w:pPr>
    </w:p>
    <w:p w14:paraId="3290363D" w14:textId="77777777" w:rsidR="0059069B" w:rsidRPr="00B54455" w:rsidRDefault="0059069B" w:rsidP="0059069B">
      <w:pPr>
        <w:rPr>
          <w:rFonts w:ascii="Arial" w:hAnsi="Arial" w:cs="Arial"/>
          <w:sz w:val="24"/>
          <w:szCs w:val="24"/>
        </w:rPr>
      </w:pPr>
    </w:p>
    <w:p w14:paraId="617D8D16"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5. Capital Rationing: Optimal Investment Policy</w:t>
      </w:r>
    </w:p>
    <w:p w14:paraId="289A7769" w14:textId="77777777" w:rsidR="0059069B" w:rsidRPr="00B54455" w:rsidRDefault="0059069B" w:rsidP="0059069B">
      <w:pPr>
        <w:rPr>
          <w:rFonts w:ascii="Arial" w:hAnsi="Arial" w:cs="Arial"/>
          <w:sz w:val="24"/>
          <w:szCs w:val="24"/>
        </w:rPr>
      </w:pPr>
      <w:r w:rsidRPr="00B54455">
        <w:rPr>
          <w:rFonts w:ascii="Arial" w:hAnsi="Arial" w:cs="Arial"/>
          <w:sz w:val="24"/>
          <w:szCs w:val="24"/>
        </w:rPr>
        <w:t>In the context of limited resources, capital rationing is a critical tool for ensuring the effective allocation of funds across competing projects. This section evaluates Greenacres Plc's optimal investment strategy under a funding cap of £2,500,000. The primary goal is to maximize the Net Present Value (NPV) generated while staying within the allocated budget.</w:t>
      </w:r>
    </w:p>
    <w:p w14:paraId="48E3B8A2" w14:textId="77777777" w:rsidR="0059069B" w:rsidRPr="00B54455" w:rsidRDefault="0059069B" w:rsidP="0059069B">
      <w:pPr>
        <w:rPr>
          <w:rFonts w:ascii="Arial" w:hAnsi="Arial" w:cs="Arial"/>
          <w:sz w:val="24"/>
          <w:szCs w:val="24"/>
        </w:rPr>
      </w:pPr>
    </w:p>
    <w:p w14:paraId="632EEF3F" w14:textId="77777777" w:rsidR="0059069B" w:rsidRPr="0086531D" w:rsidRDefault="0059069B" w:rsidP="0059069B">
      <w:pPr>
        <w:rPr>
          <w:rFonts w:ascii="Arial" w:hAnsi="Arial" w:cs="Arial"/>
          <w:sz w:val="24"/>
          <w:szCs w:val="24"/>
        </w:rPr>
      </w:pPr>
      <w:r w:rsidRPr="0086531D">
        <w:rPr>
          <w:rFonts w:ascii="Arial" w:hAnsi="Arial" w:cs="Arial"/>
          <w:sz w:val="24"/>
          <w:szCs w:val="24"/>
        </w:rPr>
        <w:t>In the context of limited resources, capital rationing is a critical tool for ensuring the effective allocation of funds across competing projects. This section evaluates Greenacres Plc's optimal investment strategy under a funding cap of £2,500,000. The primary goal is to maximize the Net Present Value (NPV) generated while staying within the allocated budget.</w:t>
      </w:r>
    </w:p>
    <w:p w14:paraId="1A9D4045" w14:textId="77777777" w:rsidR="0059069B" w:rsidRPr="0086531D" w:rsidRDefault="0059069B" w:rsidP="0059069B">
      <w:pPr>
        <w:rPr>
          <w:rFonts w:ascii="Arial" w:hAnsi="Arial" w:cs="Arial"/>
          <w:b/>
          <w:bCs/>
          <w:sz w:val="24"/>
          <w:szCs w:val="24"/>
        </w:rPr>
      </w:pPr>
      <w:r w:rsidRPr="0086531D">
        <w:rPr>
          <w:rFonts w:ascii="Arial" w:hAnsi="Arial" w:cs="Arial"/>
          <w:b/>
          <w:bCs/>
          <w:sz w:val="24"/>
          <w:szCs w:val="24"/>
        </w:rPr>
        <w:t>5.1 Scenario Analysis and Fund Allocation</w:t>
      </w:r>
    </w:p>
    <w:p w14:paraId="1DB75EA0" w14:textId="77777777" w:rsidR="0059069B" w:rsidRPr="0086531D" w:rsidRDefault="0059069B" w:rsidP="0059069B">
      <w:pPr>
        <w:rPr>
          <w:rFonts w:ascii="Arial" w:hAnsi="Arial" w:cs="Arial"/>
          <w:sz w:val="24"/>
          <w:szCs w:val="24"/>
        </w:rPr>
      </w:pPr>
      <w:r w:rsidRPr="0086531D">
        <w:rPr>
          <w:rFonts w:ascii="Arial" w:hAnsi="Arial" w:cs="Arial"/>
          <w:sz w:val="24"/>
          <w:szCs w:val="24"/>
        </w:rPr>
        <w:t>Given the funding constraint, Greenacres Plc must prioritize projects to achieve the best financial outcome. The NPV values of the three investment options are:</w:t>
      </w:r>
    </w:p>
    <w:p w14:paraId="1EB5E583" w14:textId="77777777" w:rsidR="0059069B" w:rsidRPr="0086531D" w:rsidRDefault="0059069B" w:rsidP="0059069B">
      <w:pPr>
        <w:numPr>
          <w:ilvl w:val="0"/>
          <w:numId w:val="51"/>
        </w:numPr>
        <w:rPr>
          <w:rFonts w:ascii="Arial" w:hAnsi="Arial" w:cs="Arial"/>
          <w:sz w:val="24"/>
          <w:szCs w:val="24"/>
        </w:rPr>
      </w:pPr>
      <w:r w:rsidRPr="0086531D">
        <w:rPr>
          <w:rFonts w:ascii="Arial" w:hAnsi="Arial" w:cs="Arial"/>
          <w:b/>
          <w:bCs/>
          <w:sz w:val="24"/>
          <w:szCs w:val="24"/>
        </w:rPr>
        <w:t>Option A: Expanding the retail outlet</w:t>
      </w:r>
    </w:p>
    <w:p w14:paraId="43328DB5" w14:textId="77777777" w:rsidR="0059069B" w:rsidRPr="0086531D" w:rsidRDefault="0059069B" w:rsidP="0059069B">
      <w:pPr>
        <w:numPr>
          <w:ilvl w:val="1"/>
          <w:numId w:val="51"/>
        </w:numPr>
        <w:rPr>
          <w:rFonts w:ascii="Arial" w:hAnsi="Arial" w:cs="Arial"/>
          <w:sz w:val="24"/>
          <w:szCs w:val="24"/>
        </w:rPr>
      </w:pPr>
      <w:r w:rsidRPr="0086531D">
        <w:rPr>
          <w:rFonts w:ascii="Arial" w:hAnsi="Arial" w:cs="Arial"/>
          <w:sz w:val="24"/>
          <w:szCs w:val="24"/>
        </w:rPr>
        <w:t>Initial Outlay: £660,000</w:t>
      </w:r>
    </w:p>
    <w:p w14:paraId="05733EA9" w14:textId="77777777" w:rsidR="0059069B" w:rsidRPr="0086531D" w:rsidRDefault="0059069B" w:rsidP="0059069B">
      <w:pPr>
        <w:numPr>
          <w:ilvl w:val="1"/>
          <w:numId w:val="51"/>
        </w:numPr>
        <w:rPr>
          <w:rFonts w:ascii="Arial" w:hAnsi="Arial" w:cs="Arial"/>
          <w:sz w:val="24"/>
          <w:szCs w:val="24"/>
        </w:rPr>
      </w:pPr>
      <w:r w:rsidRPr="0086531D">
        <w:rPr>
          <w:rFonts w:ascii="Arial" w:hAnsi="Arial" w:cs="Arial"/>
          <w:sz w:val="24"/>
          <w:szCs w:val="24"/>
        </w:rPr>
        <w:t>NPV: £513,990 (£,000)</w:t>
      </w:r>
    </w:p>
    <w:p w14:paraId="31378E12" w14:textId="77777777" w:rsidR="0059069B" w:rsidRPr="0086531D" w:rsidRDefault="0059069B" w:rsidP="0059069B">
      <w:pPr>
        <w:numPr>
          <w:ilvl w:val="0"/>
          <w:numId w:val="51"/>
        </w:numPr>
        <w:rPr>
          <w:rFonts w:ascii="Arial" w:hAnsi="Arial" w:cs="Arial"/>
          <w:sz w:val="24"/>
          <w:szCs w:val="24"/>
        </w:rPr>
      </w:pPr>
      <w:r w:rsidRPr="0086531D">
        <w:rPr>
          <w:rFonts w:ascii="Arial" w:hAnsi="Arial" w:cs="Arial"/>
          <w:b/>
          <w:bCs/>
          <w:sz w:val="24"/>
          <w:szCs w:val="24"/>
        </w:rPr>
        <w:t>Option B: Developing internet sales</w:t>
      </w:r>
    </w:p>
    <w:p w14:paraId="3B52169D" w14:textId="77777777" w:rsidR="0059069B" w:rsidRPr="0086531D" w:rsidRDefault="0059069B" w:rsidP="0059069B">
      <w:pPr>
        <w:numPr>
          <w:ilvl w:val="1"/>
          <w:numId w:val="51"/>
        </w:numPr>
        <w:rPr>
          <w:rFonts w:ascii="Arial" w:hAnsi="Arial" w:cs="Arial"/>
          <w:sz w:val="24"/>
          <w:szCs w:val="24"/>
        </w:rPr>
      </w:pPr>
      <w:r w:rsidRPr="0086531D">
        <w:rPr>
          <w:rFonts w:ascii="Arial" w:hAnsi="Arial" w:cs="Arial"/>
          <w:sz w:val="24"/>
          <w:szCs w:val="24"/>
        </w:rPr>
        <w:t>Initial Outlay: £1,000,000</w:t>
      </w:r>
    </w:p>
    <w:p w14:paraId="573A6937" w14:textId="77777777" w:rsidR="0059069B" w:rsidRPr="0086531D" w:rsidRDefault="0059069B" w:rsidP="0059069B">
      <w:pPr>
        <w:numPr>
          <w:ilvl w:val="1"/>
          <w:numId w:val="51"/>
        </w:numPr>
        <w:rPr>
          <w:rFonts w:ascii="Arial" w:hAnsi="Arial" w:cs="Arial"/>
          <w:sz w:val="24"/>
          <w:szCs w:val="24"/>
        </w:rPr>
      </w:pPr>
      <w:r w:rsidRPr="0086531D">
        <w:rPr>
          <w:rFonts w:ascii="Arial" w:hAnsi="Arial" w:cs="Arial"/>
          <w:sz w:val="24"/>
          <w:szCs w:val="24"/>
        </w:rPr>
        <w:t>NPV: £899,340 (£,000)</w:t>
      </w:r>
    </w:p>
    <w:p w14:paraId="76E33732" w14:textId="77777777" w:rsidR="0059069B" w:rsidRPr="0086531D" w:rsidRDefault="0059069B" w:rsidP="0059069B">
      <w:pPr>
        <w:numPr>
          <w:ilvl w:val="0"/>
          <w:numId w:val="51"/>
        </w:numPr>
        <w:rPr>
          <w:rFonts w:ascii="Arial" w:hAnsi="Arial" w:cs="Arial"/>
          <w:sz w:val="24"/>
          <w:szCs w:val="24"/>
        </w:rPr>
      </w:pPr>
      <w:r w:rsidRPr="0086531D">
        <w:rPr>
          <w:rFonts w:ascii="Arial" w:hAnsi="Arial" w:cs="Arial"/>
          <w:b/>
          <w:bCs/>
          <w:sz w:val="24"/>
          <w:szCs w:val="24"/>
        </w:rPr>
        <w:t>Option C: Producing greenhouses and conservatories</w:t>
      </w:r>
    </w:p>
    <w:p w14:paraId="05C97FAA" w14:textId="77777777" w:rsidR="0059069B" w:rsidRPr="0086531D" w:rsidRDefault="0059069B" w:rsidP="0059069B">
      <w:pPr>
        <w:numPr>
          <w:ilvl w:val="1"/>
          <w:numId w:val="51"/>
        </w:numPr>
        <w:rPr>
          <w:rFonts w:ascii="Arial" w:hAnsi="Arial" w:cs="Arial"/>
          <w:sz w:val="24"/>
          <w:szCs w:val="24"/>
        </w:rPr>
      </w:pPr>
      <w:r w:rsidRPr="0086531D">
        <w:rPr>
          <w:rFonts w:ascii="Arial" w:hAnsi="Arial" w:cs="Arial"/>
          <w:sz w:val="24"/>
          <w:szCs w:val="24"/>
        </w:rPr>
        <w:t>Full Initial Outlay: £1,700,000</w:t>
      </w:r>
    </w:p>
    <w:p w14:paraId="1E335209" w14:textId="77777777" w:rsidR="0059069B" w:rsidRPr="0086531D" w:rsidRDefault="0059069B" w:rsidP="0059069B">
      <w:pPr>
        <w:numPr>
          <w:ilvl w:val="1"/>
          <w:numId w:val="51"/>
        </w:numPr>
        <w:rPr>
          <w:rFonts w:ascii="Arial" w:hAnsi="Arial" w:cs="Arial"/>
          <w:sz w:val="24"/>
          <w:szCs w:val="24"/>
        </w:rPr>
      </w:pPr>
      <w:r w:rsidRPr="0086531D">
        <w:rPr>
          <w:rFonts w:ascii="Arial" w:hAnsi="Arial" w:cs="Arial"/>
          <w:sz w:val="24"/>
          <w:szCs w:val="24"/>
        </w:rPr>
        <w:t>Partial Allocation: £840,000 (due to the funding cap)</w:t>
      </w:r>
    </w:p>
    <w:p w14:paraId="31DEDC5E" w14:textId="77777777" w:rsidR="0059069B" w:rsidRPr="0086531D" w:rsidRDefault="0059069B" w:rsidP="0059069B">
      <w:pPr>
        <w:numPr>
          <w:ilvl w:val="1"/>
          <w:numId w:val="51"/>
        </w:numPr>
        <w:rPr>
          <w:rFonts w:ascii="Arial" w:hAnsi="Arial" w:cs="Arial"/>
          <w:sz w:val="24"/>
          <w:szCs w:val="24"/>
        </w:rPr>
      </w:pPr>
      <w:r w:rsidRPr="0086531D">
        <w:rPr>
          <w:rFonts w:ascii="Arial" w:hAnsi="Arial" w:cs="Arial"/>
          <w:sz w:val="24"/>
          <w:szCs w:val="24"/>
        </w:rPr>
        <w:lastRenderedPageBreak/>
        <w:t>Resulting NPV: £423,960 (£,000)</w:t>
      </w:r>
    </w:p>
    <w:p w14:paraId="4DB8C55C" w14:textId="77777777" w:rsidR="0059069B" w:rsidRPr="0086531D" w:rsidRDefault="0059069B" w:rsidP="0059069B">
      <w:pPr>
        <w:rPr>
          <w:rFonts w:ascii="Arial" w:hAnsi="Arial" w:cs="Arial"/>
          <w:b/>
          <w:bCs/>
          <w:sz w:val="24"/>
          <w:szCs w:val="24"/>
        </w:rPr>
      </w:pPr>
      <w:r w:rsidRPr="0086531D">
        <w:rPr>
          <w:rFonts w:ascii="Arial" w:hAnsi="Arial" w:cs="Arial"/>
          <w:b/>
          <w:bCs/>
          <w:sz w:val="24"/>
          <w:szCs w:val="24"/>
        </w:rPr>
        <w:t>5.2 Optimal Allocation Plan</w:t>
      </w:r>
    </w:p>
    <w:p w14:paraId="447831A3" w14:textId="77777777" w:rsidR="0059069B" w:rsidRPr="0086531D" w:rsidRDefault="0059069B" w:rsidP="0059069B">
      <w:pPr>
        <w:rPr>
          <w:rFonts w:ascii="Arial" w:hAnsi="Arial" w:cs="Arial"/>
          <w:sz w:val="24"/>
          <w:szCs w:val="24"/>
        </w:rPr>
      </w:pPr>
      <w:r w:rsidRPr="0086531D">
        <w:rPr>
          <w:rFonts w:ascii="Arial" w:hAnsi="Arial" w:cs="Arial"/>
          <w:sz w:val="24"/>
          <w:szCs w:val="24"/>
        </w:rPr>
        <w:t>Under the £2,500,000 budget, the company can allocate funds as follows: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3"/>
        <w:gridCol w:w="2754"/>
        <w:gridCol w:w="2556"/>
      </w:tblGrid>
      <w:tr w:rsidR="0059069B" w:rsidRPr="0086531D" w14:paraId="6D607C7B" w14:textId="77777777" w:rsidTr="00E17CDF">
        <w:trPr>
          <w:tblCellSpacing w:w="15" w:type="dxa"/>
        </w:trPr>
        <w:tc>
          <w:tcPr>
            <w:tcW w:w="0" w:type="auto"/>
            <w:vAlign w:val="center"/>
            <w:hideMark/>
          </w:tcPr>
          <w:p w14:paraId="5215248A" w14:textId="77777777" w:rsidR="0059069B" w:rsidRPr="0086531D" w:rsidRDefault="0059069B" w:rsidP="00E17CDF">
            <w:pPr>
              <w:rPr>
                <w:rFonts w:ascii="Arial" w:hAnsi="Arial" w:cs="Arial"/>
                <w:b/>
                <w:bCs/>
                <w:sz w:val="24"/>
                <w:szCs w:val="24"/>
              </w:rPr>
            </w:pPr>
            <w:r w:rsidRPr="0086531D">
              <w:rPr>
                <w:rFonts w:ascii="Arial" w:hAnsi="Arial" w:cs="Arial"/>
                <w:b/>
                <w:bCs/>
                <w:sz w:val="24"/>
                <w:szCs w:val="24"/>
              </w:rPr>
              <w:t>Project</w:t>
            </w:r>
          </w:p>
        </w:tc>
        <w:tc>
          <w:tcPr>
            <w:tcW w:w="0" w:type="auto"/>
            <w:vAlign w:val="center"/>
            <w:hideMark/>
          </w:tcPr>
          <w:p w14:paraId="1027924F" w14:textId="77777777" w:rsidR="0059069B" w:rsidRPr="0086531D" w:rsidRDefault="0059069B" w:rsidP="00E17CDF">
            <w:pPr>
              <w:rPr>
                <w:rFonts w:ascii="Arial" w:hAnsi="Arial" w:cs="Arial"/>
                <w:b/>
                <w:bCs/>
                <w:sz w:val="24"/>
                <w:szCs w:val="24"/>
              </w:rPr>
            </w:pPr>
            <w:r w:rsidRPr="0086531D">
              <w:rPr>
                <w:rFonts w:ascii="Arial" w:hAnsi="Arial" w:cs="Arial"/>
                <w:b/>
                <w:bCs/>
                <w:sz w:val="24"/>
                <w:szCs w:val="24"/>
              </w:rPr>
              <w:t>Allocated Funds (£,000)</w:t>
            </w:r>
          </w:p>
        </w:tc>
        <w:tc>
          <w:tcPr>
            <w:tcW w:w="0" w:type="auto"/>
            <w:vAlign w:val="center"/>
            <w:hideMark/>
          </w:tcPr>
          <w:p w14:paraId="5924A1D0" w14:textId="77777777" w:rsidR="0059069B" w:rsidRPr="0086531D" w:rsidRDefault="0059069B" w:rsidP="00E17CDF">
            <w:pPr>
              <w:rPr>
                <w:rFonts w:ascii="Arial" w:hAnsi="Arial" w:cs="Arial"/>
                <w:b/>
                <w:bCs/>
                <w:sz w:val="24"/>
                <w:szCs w:val="24"/>
              </w:rPr>
            </w:pPr>
            <w:r w:rsidRPr="0086531D">
              <w:rPr>
                <w:rFonts w:ascii="Arial" w:hAnsi="Arial" w:cs="Arial"/>
                <w:b/>
                <w:bCs/>
                <w:sz w:val="24"/>
                <w:szCs w:val="24"/>
              </w:rPr>
              <w:t>Resulting NPV (£,000)</w:t>
            </w:r>
          </w:p>
        </w:tc>
      </w:tr>
      <w:tr w:rsidR="0059069B" w:rsidRPr="0086531D" w14:paraId="4B9A2987" w14:textId="77777777" w:rsidTr="00E17CDF">
        <w:trPr>
          <w:tblCellSpacing w:w="15" w:type="dxa"/>
        </w:trPr>
        <w:tc>
          <w:tcPr>
            <w:tcW w:w="0" w:type="auto"/>
            <w:vAlign w:val="center"/>
            <w:hideMark/>
          </w:tcPr>
          <w:p w14:paraId="2994654F" w14:textId="77777777" w:rsidR="0059069B" w:rsidRPr="0086531D" w:rsidRDefault="0059069B" w:rsidP="00E17CDF">
            <w:pPr>
              <w:rPr>
                <w:rFonts w:ascii="Arial" w:hAnsi="Arial" w:cs="Arial"/>
                <w:sz w:val="24"/>
                <w:szCs w:val="24"/>
              </w:rPr>
            </w:pPr>
            <w:r w:rsidRPr="0086531D">
              <w:rPr>
                <w:rFonts w:ascii="Arial" w:hAnsi="Arial" w:cs="Arial"/>
                <w:sz w:val="24"/>
                <w:szCs w:val="24"/>
              </w:rPr>
              <w:t>Option A</w:t>
            </w:r>
          </w:p>
        </w:tc>
        <w:tc>
          <w:tcPr>
            <w:tcW w:w="0" w:type="auto"/>
            <w:vAlign w:val="center"/>
            <w:hideMark/>
          </w:tcPr>
          <w:p w14:paraId="3CFF4D75" w14:textId="77777777" w:rsidR="0059069B" w:rsidRPr="0086531D" w:rsidRDefault="0059069B" w:rsidP="00E17CDF">
            <w:pPr>
              <w:rPr>
                <w:rFonts w:ascii="Arial" w:hAnsi="Arial" w:cs="Arial"/>
                <w:sz w:val="24"/>
                <w:szCs w:val="24"/>
              </w:rPr>
            </w:pPr>
            <w:r w:rsidRPr="0086531D">
              <w:rPr>
                <w:rFonts w:ascii="Arial" w:hAnsi="Arial" w:cs="Arial"/>
                <w:sz w:val="24"/>
                <w:szCs w:val="24"/>
              </w:rPr>
              <w:t>660.00</w:t>
            </w:r>
          </w:p>
        </w:tc>
        <w:tc>
          <w:tcPr>
            <w:tcW w:w="0" w:type="auto"/>
            <w:vAlign w:val="center"/>
            <w:hideMark/>
          </w:tcPr>
          <w:p w14:paraId="294B5F77" w14:textId="77777777" w:rsidR="0059069B" w:rsidRPr="0086531D" w:rsidRDefault="0059069B" w:rsidP="00E17CDF">
            <w:pPr>
              <w:rPr>
                <w:rFonts w:ascii="Arial" w:hAnsi="Arial" w:cs="Arial"/>
                <w:sz w:val="24"/>
                <w:szCs w:val="24"/>
              </w:rPr>
            </w:pPr>
            <w:r w:rsidRPr="0086531D">
              <w:rPr>
                <w:rFonts w:ascii="Arial" w:hAnsi="Arial" w:cs="Arial"/>
                <w:sz w:val="24"/>
                <w:szCs w:val="24"/>
              </w:rPr>
              <w:t>513.99</w:t>
            </w:r>
          </w:p>
        </w:tc>
      </w:tr>
      <w:tr w:rsidR="0059069B" w:rsidRPr="0086531D" w14:paraId="6AFF6532" w14:textId="77777777" w:rsidTr="00E17CDF">
        <w:trPr>
          <w:tblCellSpacing w:w="15" w:type="dxa"/>
        </w:trPr>
        <w:tc>
          <w:tcPr>
            <w:tcW w:w="0" w:type="auto"/>
            <w:vAlign w:val="center"/>
            <w:hideMark/>
          </w:tcPr>
          <w:p w14:paraId="7437FCF4" w14:textId="77777777" w:rsidR="0059069B" w:rsidRPr="0086531D" w:rsidRDefault="0059069B" w:rsidP="00E17CDF">
            <w:pPr>
              <w:rPr>
                <w:rFonts w:ascii="Arial" w:hAnsi="Arial" w:cs="Arial"/>
                <w:sz w:val="24"/>
                <w:szCs w:val="24"/>
              </w:rPr>
            </w:pPr>
            <w:r w:rsidRPr="0086531D">
              <w:rPr>
                <w:rFonts w:ascii="Arial" w:hAnsi="Arial" w:cs="Arial"/>
                <w:sz w:val="24"/>
                <w:szCs w:val="24"/>
              </w:rPr>
              <w:t>Option B</w:t>
            </w:r>
          </w:p>
        </w:tc>
        <w:tc>
          <w:tcPr>
            <w:tcW w:w="0" w:type="auto"/>
            <w:vAlign w:val="center"/>
            <w:hideMark/>
          </w:tcPr>
          <w:p w14:paraId="22EFFF79" w14:textId="77777777" w:rsidR="0059069B" w:rsidRPr="0086531D" w:rsidRDefault="0059069B" w:rsidP="00E17CDF">
            <w:pPr>
              <w:rPr>
                <w:rFonts w:ascii="Arial" w:hAnsi="Arial" w:cs="Arial"/>
                <w:sz w:val="24"/>
                <w:szCs w:val="24"/>
              </w:rPr>
            </w:pPr>
            <w:r w:rsidRPr="0086531D">
              <w:rPr>
                <w:rFonts w:ascii="Arial" w:hAnsi="Arial" w:cs="Arial"/>
                <w:sz w:val="24"/>
                <w:szCs w:val="24"/>
              </w:rPr>
              <w:t>1,000.00</w:t>
            </w:r>
          </w:p>
        </w:tc>
        <w:tc>
          <w:tcPr>
            <w:tcW w:w="0" w:type="auto"/>
            <w:vAlign w:val="center"/>
            <w:hideMark/>
          </w:tcPr>
          <w:p w14:paraId="6C288EE9" w14:textId="77777777" w:rsidR="0059069B" w:rsidRPr="0086531D" w:rsidRDefault="0059069B" w:rsidP="00E17CDF">
            <w:pPr>
              <w:rPr>
                <w:rFonts w:ascii="Arial" w:hAnsi="Arial" w:cs="Arial"/>
                <w:sz w:val="24"/>
                <w:szCs w:val="24"/>
              </w:rPr>
            </w:pPr>
            <w:r w:rsidRPr="0086531D">
              <w:rPr>
                <w:rFonts w:ascii="Arial" w:hAnsi="Arial" w:cs="Arial"/>
                <w:sz w:val="24"/>
                <w:szCs w:val="24"/>
              </w:rPr>
              <w:t>899.34</w:t>
            </w:r>
          </w:p>
        </w:tc>
      </w:tr>
      <w:tr w:rsidR="0059069B" w:rsidRPr="0086531D" w14:paraId="0E6C6A00" w14:textId="77777777" w:rsidTr="00E17CDF">
        <w:trPr>
          <w:tblCellSpacing w:w="15" w:type="dxa"/>
        </w:trPr>
        <w:tc>
          <w:tcPr>
            <w:tcW w:w="0" w:type="auto"/>
            <w:vAlign w:val="center"/>
            <w:hideMark/>
          </w:tcPr>
          <w:p w14:paraId="62DA2660" w14:textId="77777777" w:rsidR="0059069B" w:rsidRPr="0086531D" w:rsidRDefault="0059069B" w:rsidP="00E17CDF">
            <w:pPr>
              <w:rPr>
                <w:rFonts w:ascii="Arial" w:hAnsi="Arial" w:cs="Arial"/>
                <w:sz w:val="24"/>
                <w:szCs w:val="24"/>
              </w:rPr>
            </w:pPr>
            <w:r w:rsidRPr="0086531D">
              <w:rPr>
                <w:rFonts w:ascii="Arial" w:hAnsi="Arial" w:cs="Arial"/>
                <w:sz w:val="24"/>
                <w:szCs w:val="24"/>
              </w:rPr>
              <w:t>Option C</w:t>
            </w:r>
          </w:p>
        </w:tc>
        <w:tc>
          <w:tcPr>
            <w:tcW w:w="0" w:type="auto"/>
            <w:vAlign w:val="center"/>
            <w:hideMark/>
          </w:tcPr>
          <w:p w14:paraId="65FF0A6A" w14:textId="77777777" w:rsidR="0059069B" w:rsidRPr="0086531D" w:rsidRDefault="0059069B" w:rsidP="00E17CDF">
            <w:pPr>
              <w:rPr>
                <w:rFonts w:ascii="Arial" w:hAnsi="Arial" w:cs="Arial"/>
                <w:sz w:val="24"/>
                <w:szCs w:val="24"/>
              </w:rPr>
            </w:pPr>
            <w:r w:rsidRPr="0086531D">
              <w:rPr>
                <w:rFonts w:ascii="Arial" w:hAnsi="Arial" w:cs="Arial"/>
                <w:sz w:val="24"/>
                <w:szCs w:val="24"/>
              </w:rPr>
              <w:t>840.00</w:t>
            </w:r>
          </w:p>
        </w:tc>
        <w:tc>
          <w:tcPr>
            <w:tcW w:w="0" w:type="auto"/>
            <w:vAlign w:val="center"/>
            <w:hideMark/>
          </w:tcPr>
          <w:p w14:paraId="043F60AC" w14:textId="77777777" w:rsidR="0059069B" w:rsidRPr="0086531D" w:rsidRDefault="0059069B" w:rsidP="00E17CDF">
            <w:pPr>
              <w:rPr>
                <w:rFonts w:ascii="Arial" w:hAnsi="Arial" w:cs="Arial"/>
                <w:sz w:val="24"/>
                <w:szCs w:val="24"/>
              </w:rPr>
            </w:pPr>
            <w:r w:rsidRPr="0086531D">
              <w:rPr>
                <w:rFonts w:ascii="Arial" w:hAnsi="Arial" w:cs="Arial"/>
                <w:sz w:val="24"/>
                <w:szCs w:val="24"/>
              </w:rPr>
              <w:t>423.96</w:t>
            </w:r>
          </w:p>
        </w:tc>
      </w:tr>
      <w:tr w:rsidR="0059069B" w:rsidRPr="0086531D" w14:paraId="5332A35E" w14:textId="77777777" w:rsidTr="00E17CDF">
        <w:trPr>
          <w:tblCellSpacing w:w="15" w:type="dxa"/>
        </w:trPr>
        <w:tc>
          <w:tcPr>
            <w:tcW w:w="0" w:type="auto"/>
            <w:vAlign w:val="center"/>
            <w:hideMark/>
          </w:tcPr>
          <w:p w14:paraId="702B285C" w14:textId="77777777" w:rsidR="0059069B" w:rsidRPr="0086531D" w:rsidRDefault="0059069B" w:rsidP="00E17CDF">
            <w:pPr>
              <w:rPr>
                <w:rFonts w:ascii="Arial" w:hAnsi="Arial" w:cs="Arial"/>
                <w:sz w:val="24"/>
                <w:szCs w:val="24"/>
              </w:rPr>
            </w:pPr>
            <w:r w:rsidRPr="0086531D">
              <w:rPr>
                <w:rFonts w:ascii="Arial" w:hAnsi="Arial" w:cs="Arial"/>
                <w:b/>
                <w:bCs/>
                <w:sz w:val="24"/>
                <w:szCs w:val="24"/>
              </w:rPr>
              <w:t>Total</w:t>
            </w:r>
          </w:p>
        </w:tc>
        <w:tc>
          <w:tcPr>
            <w:tcW w:w="0" w:type="auto"/>
            <w:vAlign w:val="center"/>
            <w:hideMark/>
          </w:tcPr>
          <w:p w14:paraId="42B851A0" w14:textId="77777777" w:rsidR="0059069B" w:rsidRPr="0086531D" w:rsidRDefault="0059069B" w:rsidP="00E17CDF">
            <w:pPr>
              <w:rPr>
                <w:rFonts w:ascii="Arial" w:hAnsi="Arial" w:cs="Arial"/>
                <w:sz w:val="24"/>
                <w:szCs w:val="24"/>
              </w:rPr>
            </w:pPr>
            <w:r w:rsidRPr="0086531D">
              <w:rPr>
                <w:rFonts w:ascii="Arial" w:hAnsi="Arial" w:cs="Arial"/>
                <w:b/>
                <w:bCs/>
                <w:sz w:val="24"/>
                <w:szCs w:val="24"/>
              </w:rPr>
              <w:t>2,500.00</w:t>
            </w:r>
          </w:p>
        </w:tc>
        <w:tc>
          <w:tcPr>
            <w:tcW w:w="0" w:type="auto"/>
            <w:vAlign w:val="center"/>
            <w:hideMark/>
          </w:tcPr>
          <w:p w14:paraId="342038DF" w14:textId="77777777" w:rsidR="0059069B" w:rsidRPr="0086531D" w:rsidRDefault="0059069B" w:rsidP="00E17CDF">
            <w:pPr>
              <w:rPr>
                <w:rFonts w:ascii="Arial" w:hAnsi="Arial" w:cs="Arial"/>
                <w:sz w:val="24"/>
                <w:szCs w:val="24"/>
              </w:rPr>
            </w:pPr>
            <w:r w:rsidRPr="0086531D">
              <w:rPr>
                <w:rFonts w:ascii="Arial" w:hAnsi="Arial" w:cs="Arial"/>
                <w:b/>
                <w:bCs/>
                <w:sz w:val="24"/>
                <w:szCs w:val="24"/>
              </w:rPr>
              <w:t>1,837.29</w:t>
            </w:r>
          </w:p>
        </w:tc>
      </w:tr>
    </w:tbl>
    <w:p w14:paraId="58B23D9D" w14:textId="77777777" w:rsidR="0059069B" w:rsidRPr="0086531D" w:rsidRDefault="0059069B" w:rsidP="0059069B">
      <w:pPr>
        <w:rPr>
          <w:rFonts w:ascii="Arial" w:hAnsi="Arial" w:cs="Arial"/>
          <w:sz w:val="24"/>
          <w:szCs w:val="24"/>
        </w:rPr>
      </w:pPr>
      <w:r w:rsidRPr="0086531D">
        <w:rPr>
          <w:rFonts w:ascii="Arial" w:hAnsi="Arial" w:cs="Arial"/>
          <w:sz w:val="24"/>
          <w:szCs w:val="24"/>
        </w:rPr>
        <w:t>By selecting this combination of investments, Greenacres Plc achieves a total NPV of £1,837,290, effectively utilizing the budget.</w:t>
      </w:r>
    </w:p>
    <w:p w14:paraId="48F2A286" w14:textId="77777777" w:rsidR="0059069B" w:rsidRPr="0086531D" w:rsidRDefault="0059069B" w:rsidP="0059069B">
      <w:pPr>
        <w:rPr>
          <w:rFonts w:ascii="Arial" w:hAnsi="Arial" w:cs="Arial"/>
          <w:b/>
          <w:bCs/>
          <w:sz w:val="24"/>
          <w:szCs w:val="24"/>
        </w:rPr>
      </w:pPr>
      <w:r w:rsidRPr="0086531D">
        <w:rPr>
          <w:rFonts w:ascii="Arial" w:hAnsi="Arial" w:cs="Arial"/>
          <w:b/>
          <w:bCs/>
          <w:sz w:val="24"/>
          <w:szCs w:val="24"/>
        </w:rPr>
        <w:t>5.3 Implications of Partial Funding</w:t>
      </w:r>
    </w:p>
    <w:p w14:paraId="1F51DD80" w14:textId="77777777" w:rsidR="0059069B" w:rsidRPr="0086531D" w:rsidRDefault="0059069B" w:rsidP="0059069B">
      <w:pPr>
        <w:rPr>
          <w:rFonts w:ascii="Arial" w:hAnsi="Arial" w:cs="Arial"/>
          <w:sz w:val="24"/>
          <w:szCs w:val="24"/>
        </w:rPr>
      </w:pPr>
      <w:r w:rsidRPr="0086531D">
        <w:rPr>
          <w:rFonts w:ascii="Arial" w:hAnsi="Arial" w:cs="Arial"/>
          <w:sz w:val="24"/>
          <w:szCs w:val="24"/>
        </w:rPr>
        <w:t>Option C is partially funded due to the budget cap. This impacts its ability to generate the full NPV of £856,390, reducing its contribution to £423,960. Despite this limitation, the inclusion of Option C still provides positive incremental value and aligns with the goal of maximizing returns.</w:t>
      </w:r>
    </w:p>
    <w:p w14:paraId="22AB43C7" w14:textId="77777777" w:rsidR="0059069B" w:rsidRPr="0086531D" w:rsidRDefault="0059069B" w:rsidP="0059069B">
      <w:pPr>
        <w:rPr>
          <w:rFonts w:ascii="Arial" w:hAnsi="Arial" w:cs="Arial"/>
          <w:b/>
          <w:bCs/>
          <w:sz w:val="24"/>
          <w:szCs w:val="24"/>
        </w:rPr>
      </w:pPr>
      <w:r w:rsidRPr="0086531D">
        <w:rPr>
          <w:rFonts w:ascii="Arial" w:hAnsi="Arial" w:cs="Arial"/>
          <w:b/>
          <w:bCs/>
          <w:sz w:val="24"/>
          <w:szCs w:val="24"/>
        </w:rPr>
        <w:t>5.4 Strategic Considerations</w:t>
      </w:r>
    </w:p>
    <w:p w14:paraId="1F53FFB0" w14:textId="77777777" w:rsidR="0059069B" w:rsidRPr="0086531D" w:rsidRDefault="0059069B" w:rsidP="0059069B">
      <w:pPr>
        <w:rPr>
          <w:rFonts w:ascii="Arial" w:hAnsi="Arial" w:cs="Arial"/>
          <w:sz w:val="24"/>
          <w:szCs w:val="24"/>
        </w:rPr>
      </w:pPr>
      <w:r w:rsidRPr="0086531D">
        <w:rPr>
          <w:rFonts w:ascii="Arial" w:hAnsi="Arial" w:cs="Arial"/>
          <w:sz w:val="24"/>
          <w:szCs w:val="24"/>
        </w:rPr>
        <w:t>In addition to NPV, several qualitative factors should influence the allocation decision:</w:t>
      </w:r>
    </w:p>
    <w:p w14:paraId="7484C6F8" w14:textId="77777777" w:rsidR="0059069B" w:rsidRPr="0086531D" w:rsidRDefault="0059069B" w:rsidP="0059069B">
      <w:pPr>
        <w:numPr>
          <w:ilvl w:val="0"/>
          <w:numId w:val="52"/>
        </w:numPr>
        <w:rPr>
          <w:rFonts w:ascii="Arial" w:hAnsi="Arial" w:cs="Arial"/>
          <w:sz w:val="24"/>
          <w:szCs w:val="24"/>
        </w:rPr>
      </w:pPr>
      <w:r w:rsidRPr="0086531D">
        <w:rPr>
          <w:rFonts w:ascii="Arial" w:hAnsi="Arial" w:cs="Arial"/>
          <w:b/>
          <w:bCs/>
          <w:sz w:val="24"/>
          <w:szCs w:val="24"/>
        </w:rPr>
        <w:t>Strategic Alignment</w:t>
      </w:r>
      <w:r w:rsidRPr="0086531D">
        <w:rPr>
          <w:rFonts w:ascii="Arial" w:hAnsi="Arial" w:cs="Arial"/>
          <w:sz w:val="24"/>
          <w:szCs w:val="24"/>
        </w:rPr>
        <w:t>: Each project's ability to support Greenacres Plc's long-term goals.</w:t>
      </w:r>
    </w:p>
    <w:p w14:paraId="24D2159A" w14:textId="77777777" w:rsidR="0059069B" w:rsidRPr="0086531D" w:rsidRDefault="0059069B" w:rsidP="0059069B">
      <w:pPr>
        <w:numPr>
          <w:ilvl w:val="0"/>
          <w:numId w:val="52"/>
        </w:numPr>
        <w:rPr>
          <w:rFonts w:ascii="Arial" w:hAnsi="Arial" w:cs="Arial"/>
          <w:sz w:val="24"/>
          <w:szCs w:val="24"/>
        </w:rPr>
      </w:pPr>
      <w:r w:rsidRPr="0086531D">
        <w:rPr>
          <w:rFonts w:ascii="Arial" w:hAnsi="Arial" w:cs="Arial"/>
          <w:b/>
          <w:bCs/>
          <w:sz w:val="24"/>
          <w:szCs w:val="24"/>
        </w:rPr>
        <w:t>Market Potential</w:t>
      </w:r>
      <w:r w:rsidRPr="0086531D">
        <w:rPr>
          <w:rFonts w:ascii="Arial" w:hAnsi="Arial" w:cs="Arial"/>
          <w:sz w:val="24"/>
          <w:szCs w:val="24"/>
        </w:rPr>
        <w:t>: The likelihood of capturing a competitive advantage in emerging or untapped markets.</w:t>
      </w:r>
    </w:p>
    <w:p w14:paraId="2A937203" w14:textId="77777777" w:rsidR="0059069B" w:rsidRPr="0086531D" w:rsidRDefault="0059069B" w:rsidP="0059069B">
      <w:pPr>
        <w:numPr>
          <w:ilvl w:val="0"/>
          <w:numId w:val="52"/>
        </w:numPr>
        <w:rPr>
          <w:rFonts w:ascii="Arial" w:hAnsi="Arial" w:cs="Arial"/>
          <w:sz w:val="24"/>
          <w:szCs w:val="24"/>
        </w:rPr>
      </w:pPr>
      <w:r w:rsidRPr="0086531D">
        <w:rPr>
          <w:rFonts w:ascii="Arial" w:hAnsi="Arial" w:cs="Arial"/>
          <w:b/>
          <w:bCs/>
          <w:sz w:val="24"/>
          <w:szCs w:val="24"/>
        </w:rPr>
        <w:t>Operational Synergies</w:t>
      </w:r>
      <w:r w:rsidRPr="0086531D">
        <w:rPr>
          <w:rFonts w:ascii="Arial" w:hAnsi="Arial" w:cs="Arial"/>
          <w:sz w:val="24"/>
          <w:szCs w:val="24"/>
        </w:rPr>
        <w:t>: Complementarities between the selected projects, such as shared resources or infrastructure.</w:t>
      </w:r>
    </w:p>
    <w:p w14:paraId="7589B859" w14:textId="77777777" w:rsidR="0059069B" w:rsidRPr="00B54455" w:rsidRDefault="0059069B" w:rsidP="0059069B">
      <w:pPr>
        <w:rPr>
          <w:rFonts w:ascii="Arial" w:hAnsi="Arial" w:cs="Arial"/>
          <w:sz w:val="24"/>
          <w:szCs w:val="24"/>
        </w:rPr>
      </w:pPr>
    </w:p>
    <w:p w14:paraId="3F7237AD" w14:textId="77777777" w:rsidR="0059069B" w:rsidRPr="00B54455" w:rsidRDefault="0059069B" w:rsidP="0059069B">
      <w:pPr>
        <w:rPr>
          <w:rFonts w:ascii="Arial" w:hAnsi="Arial" w:cs="Arial"/>
          <w:sz w:val="24"/>
          <w:szCs w:val="24"/>
        </w:rPr>
      </w:pPr>
      <w:r w:rsidRPr="00B54455">
        <w:rPr>
          <w:rFonts w:ascii="Arial" w:hAnsi="Arial" w:cs="Arial"/>
          <w:b/>
          <w:bCs/>
          <w:sz w:val="24"/>
          <w:szCs w:val="24"/>
        </w:rPr>
        <w:t>Total Allocated Funds:</w:t>
      </w:r>
      <w:r w:rsidRPr="00B54455">
        <w:rPr>
          <w:rFonts w:ascii="Arial" w:hAnsi="Arial" w:cs="Arial"/>
          <w:sz w:val="24"/>
          <w:szCs w:val="24"/>
        </w:rPr>
        <w:t xml:space="preserve"> £2,500,000</w:t>
      </w:r>
      <w:r w:rsidRPr="00B54455">
        <w:rPr>
          <w:rFonts w:ascii="Arial" w:hAnsi="Arial" w:cs="Arial"/>
          <w:sz w:val="24"/>
          <w:szCs w:val="24"/>
        </w:rPr>
        <w:br/>
      </w:r>
      <w:r w:rsidRPr="00B54455">
        <w:rPr>
          <w:rFonts w:ascii="Arial" w:hAnsi="Arial" w:cs="Arial"/>
          <w:b/>
          <w:bCs/>
          <w:sz w:val="24"/>
          <w:szCs w:val="24"/>
        </w:rPr>
        <w:br/>
        <w:t>Total NPV:</w:t>
      </w:r>
      <w:r w:rsidRPr="00B54455">
        <w:rPr>
          <w:rFonts w:ascii="Arial" w:hAnsi="Arial" w:cs="Arial"/>
          <w:sz w:val="24"/>
          <w:szCs w:val="24"/>
        </w:rPr>
        <w:t xml:space="preserve"> £1,837.29 (£,000)</w:t>
      </w:r>
    </w:p>
    <w:p w14:paraId="1BCEBFBE" w14:textId="77777777" w:rsidR="0059069B" w:rsidRPr="0086531D" w:rsidRDefault="0059069B" w:rsidP="0059069B">
      <w:pPr>
        <w:rPr>
          <w:rFonts w:ascii="Arial" w:hAnsi="Arial" w:cs="Arial"/>
          <w:sz w:val="24"/>
          <w:szCs w:val="24"/>
        </w:rPr>
      </w:pPr>
      <w:r w:rsidRPr="0086531D">
        <w:rPr>
          <w:rFonts w:ascii="Arial" w:hAnsi="Arial" w:cs="Arial"/>
          <w:sz w:val="24"/>
          <w:szCs w:val="24"/>
        </w:rPr>
        <w:t>The recommended allocation strategy leverages the available budget to generate the maximum financial return while supporting Greenacres Plc's growth objectives. The selected projects (A, B, and partially C) represent the optimal mix of value and feasibility under capital rationing constraints.</w:t>
      </w:r>
    </w:p>
    <w:p w14:paraId="659E91F8" w14:textId="77777777" w:rsidR="0059069B" w:rsidRPr="00B54455" w:rsidRDefault="0059069B" w:rsidP="0059069B">
      <w:pPr>
        <w:rPr>
          <w:rFonts w:ascii="Arial" w:hAnsi="Arial" w:cs="Arial"/>
          <w:sz w:val="24"/>
          <w:szCs w:val="24"/>
        </w:rPr>
      </w:pPr>
    </w:p>
    <w:p w14:paraId="0F52CEE8" w14:textId="77777777" w:rsidR="0059069B" w:rsidRPr="00B54455" w:rsidRDefault="0059069B" w:rsidP="0059069B">
      <w:pPr>
        <w:rPr>
          <w:rFonts w:ascii="Arial" w:hAnsi="Arial" w:cs="Arial"/>
          <w:sz w:val="24"/>
          <w:szCs w:val="24"/>
        </w:rPr>
      </w:pPr>
      <w:r w:rsidRPr="00B54455">
        <w:rPr>
          <w:rFonts w:ascii="Arial" w:hAnsi="Arial" w:cs="Arial"/>
          <w:noProof/>
          <w:sz w:val="24"/>
          <w:szCs w:val="24"/>
        </w:rPr>
        <mc:AlternateContent>
          <mc:Choice Requires="wps">
            <w:drawing>
              <wp:anchor distT="0" distB="0" distL="114300" distR="114300" simplePos="0" relativeHeight="251663360" behindDoc="0" locked="0" layoutInCell="1" allowOverlap="1" wp14:anchorId="67E7793A" wp14:editId="36228169">
                <wp:simplePos x="0" y="0"/>
                <wp:positionH relativeFrom="column">
                  <wp:posOffset>-45720</wp:posOffset>
                </wp:positionH>
                <wp:positionV relativeFrom="paragraph">
                  <wp:posOffset>-579424</wp:posOffset>
                </wp:positionV>
                <wp:extent cx="5574030" cy="0"/>
                <wp:effectExtent l="0" t="0" r="0" b="0"/>
                <wp:wrapNone/>
                <wp:docPr id="1628947922" name="Straight Connector 1"/>
                <wp:cNvGraphicFramePr/>
                <a:graphic xmlns:a="http://schemas.openxmlformats.org/drawingml/2006/main">
                  <a:graphicData uri="http://schemas.microsoft.com/office/word/2010/wordprocessingShape">
                    <wps:wsp>
                      <wps:cNvCnPr/>
                      <wps:spPr>
                        <a:xfrm flipV="1">
                          <a:off x="0" y="0"/>
                          <a:ext cx="5574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9A39A0D" id="Straight Connector 1"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pt,-45.6pt" to="435.3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" strokecolor="black [3200]" strokeweight=".5pt">
                <v:stroke joinstyle="miter"/>
              </v:line>
            </w:pict>
          </mc:Fallback>
        </mc:AlternateContent>
      </w:r>
    </w:p>
    <w:p w14:paraId="76D85EC3" w14:textId="77777777" w:rsidR="0059069B" w:rsidRPr="00B54455" w:rsidRDefault="0059069B" w:rsidP="0059069B">
      <w:pPr>
        <w:pStyle w:val="ListParagraph"/>
        <w:numPr>
          <w:ilvl w:val="0"/>
          <w:numId w:val="47"/>
        </w:numPr>
        <w:rPr>
          <w:rFonts w:ascii="Arial" w:hAnsi="Arial" w:cs="Arial"/>
          <w:b/>
          <w:bCs/>
          <w:sz w:val="24"/>
          <w:szCs w:val="24"/>
        </w:rPr>
      </w:pPr>
      <w:r w:rsidRPr="00B54455">
        <w:rPr>
          <w:rFonts w:ascii="Arial" w:hAnsi="Arial" w:cs="Arial"/>
          <w:b/>
          <w:bCs/>
          <w:sz w:val="24"/>
          <w:szCs w:val="24"/>
        </w:rPr>
        <w:lastRenderedPageBreak/>
        <w:t>Financing the Proposed Investment Programme</w:t>
      </w:r>
    </w:p>
    <w:p w14:paraId="65B85FCA" w14:textId="77777777" w:rsidR="0059069B" w:rsidRPr="00B54455" w:rsidRDefault="0059069B" w:rsidP="0059069B">
      <w:pPr>
        <w:pStyle w:val="ListParagraph"/>
        <w:rPr>
          <w:rFonts w:ascii="Arial" w:hAnsi="Arial" w:cs="Arial"/>
          <w:sz w:val="24"/>
          <w:szCs w:val="24"/>
        </w:rPr>
      </w:pPr>
      <w:r w:rsidRPr="00B54455">
        <w:rPr>
          <w:rFonts w:ascii="Arial" w:hAnsi="Arial" w:cs="Arial"/>
          <w:sz w:val="24"/>
          <w:szCs w:val="24"/>
        </w:rPr>
        <w:t>The successful implementation of the proposed investment programme for Greenacres Plc requires careful consideration of financing options. The capital required for the projects amounts to £2,500,000, and a balanced approach to funding is essential to ensure financial stability and minimize risks. This section evaluates three primary financing strategies: debt financing, equity financing, and retained earnings, highlighting their advantages and disadvantages in the context of Greenacres Plc’s objectives.</w:t>
      </w:r>
    </w:p>
    <w:p w14:paraId="6D3FB972"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6.1 Debt Financing</w:t>
      </w:r>
    </w:p>
    <w:p w14:paraId="40BA4E4A" w14:textId="77777777" w:rsidR="0059069B" w:rsidRPr="0086531D" w:rsidRDefault="0059069B" w:rsidP="0059069B">
      <w:pPr>
        <w:rPr>
          <w:rFonts w:ascii="Arial" w:hAnsi="Arial" w:cs="Arial"/>
          <w:sz w:val="24"/>
          <w:szCs w:val="24"/>
        </w:rPr>
      </w:pPr>
      <w:r w:rsidRPr="0086531D">
        <w:rPr>
          <w:rFonts w:ascii="Arial" w:hAnsi="Arial" w:cs="Arial"/>
          <w:sz w:val="24"/>
          <w:szCs w:val="24"/>
        </w:rPr>
        <w:t>Debt financing involves borrowing funds from external lenders, which must be repaid with interest over a defined period.</w:t>
      </w:r>
    </w:p>
    <w:p w14:paraId="465A3ABC" w14:textId="77777777" w:rsidR="0059069B" w:rsidRPr="0086531D" w:rsidRDefault="0059069B" w:rsidP="0059069B">
      <w:pPr>
        <w:numPr>
          <w:ilvl w:val="0"/>
          <w:numId w:val="53"/>
        </w:numPr>
        <w:rPr>
          <w:rFonts w:ascii="Arial" w:hAnsi="Arial" w:cs="Arial"/>
          <w:b/>
          <w:bCs/>
          <w:sz w:val="24"/>
          <w:szCs w:val="24"/>
        </w:rPr>
      </w:pPr>
      <w:r w:rsidRPr="0086531D">
        <w:rPr>
          <w:rFonts w:ascii="Arial" w:hAnsi="Arial" w:cs="Arial"/>
          <w:b/>
          <w:bCs/>
          <w:sz w:val="24"/>
          <w:szCs w:val="24"/>
        </w:rPr>
        <w:t>Advantages:</w:t>
      </w:r>
    </w:p>
    <w:p w14:paraId="0E8C0D93" w14:textId="77777777" w:rsidR="0059069B" w:rsidRPr="0086531D" w:rsidRDefault="0059069B" w:rsidP="0059069B">
      <w:pPr>
        <w:numPr>
          <w:ilvl w:val="1"/>
          <w:numId w:val="53"/>
        </w:numPr>
        <w:rPr>
          <w:rFonts w:ascii="Arial" w:hAnsi="Arial" w:cs="Arial"/>
        </w:rPr>
      </w:pPr>
      <w:r w:rsidRPr="0086531D">
        <w:rPr>
          <w:rFonts w:ascii="Arial" w:hAnsi="Arial" w:cs="Arial"/>
          <w:sz w:val="24"/>
          <w:szCs w:val="24"/>
        </w:rPr>
        <w:t>Interest payments are tax-deductible, reducing the effective cost of financing.</w:t>
      </w:r>
      <w:r w:rsidRPr="00B54455">
        <w:rPr>
          <w:rFonts w:ascii="Arial" w:eastAsia="Times New Roman" w:hAnsi="Arial" w:cs="Arial"/>
          <w:kern w:val="0"/>
          <w:sz w:val="24"/>
          <w:szCs w:val="24"/>
          <w:lang w:eastAsia="en-IN"/>
          <w14:ligatures w14:val="none"/>
        </w:rPr>
        <w:t xml:space="preserve"> </w:t>
      </w:r>
      <w:r w:rsidRPr="00B54455">
        <w:rPr>
          <w:rFonts w:ascii="Arial" w:hAnsi="Arial" w:cs="Arial"/>
        </w:rPr>
        <w:t>(Brealey, Myers, &amp; Allen, 2020)</w:t>
      </w:r>
    </w:p>
    <w:p w14:paraId="2DF17AA0" w14:textId="77777777" w:rsidR="0059069B" w:rsidRPr="0086531D" w:rsidRDefault="0059069B" w:rsidP="0059069B">
      <w:pPr>
        <w:numPr>
          <w:ilvl w:val="1"/>
          <w:numId w:val="53"/>
        </w:numPr>
        <w:rPr>
          <w:rFonts w:ascii="Arial" w:hAnsi="Arial" w:cs="Arial"/>
          <w:sz w:val="24"/>
          <w:szCs w:val="24"/>
        </w:rPr>
      </w:pPr>
      <w:r w:rsidRPr="0086531D">
        <w:rPr>
          <w:rFonts w:ascii="Arial" w:hAnsi="Arial" w:cs="Arial"/>
          <w:sz w:val="24"/>
          <w:szCs w:val="24"/>
        </w:rPr>
        <w:t>Ownership structure remains unaffected, preserving shareholder control.</w:t>
      </w:r>
    </w:p>
    <w:p w14:paraId="23FA04C6" w14:textId="77777777" w:rsidR="0059069B" w:rsidRPr="0086531D" w:rsidRDefault="0059069B" w:rsidP="0059069B">
      <w:pPr>
        <w:numPr>
          <w:ilvl w:val="0"/>
          <w:numId w:val="53"/>
        </w:numPr>
        <w:rPr>
          <w:rFonts w:ascii="Arial" w:hAnsi="Arial" w:cs="Arial"/>
          <w:b/>
          <w:bCs/>
          <w:sz w:val="24"/>
          <w:szCs w:val="24"/>
        </w:rPr>
      </w:pPr>
      <w:r w:rsidRPr="0086531D">
        <w:rPr>
          <w:rFonts w:ascii="Arial" w:hAnsi="Arial" w:cs="Arial"/>
          <w:b/>
          <w:bCs/>
          <w:sz w:val="24"/>
          <w:szCs w:val="24"/>
        </w:rPr>
        <w:t>Disadvantages:</w:t>
      </w:r>
    </w:p>
    <w:p w14:paraId="4995DFB2" w14:textId="77777777" w:rsidR="0059069B" w:rsidRPr="0086531D" w:rsidRDefault="0059069B" w:rsidP="0059069B">
      <w:pPr>
        <w:numPr>
          <w:ilvl w:val="1"/>
          <w:numId w:val="53"/>
        </w:numPr>
        <w:rPr>
          <w:rFonts w:ascii="Arial" w:hAnsi="Arial" w:cs="Arial"/>
        </w:rPr>
      </w:pPr>
      <w:r w:rsidRPr="0086531D">
        <w:rPr>
          <w:rFonts w:ascii="Arial" w:hAnsi="Arial" w:cs="Arial"/>
          <w:sz w:val="24"/>
          <w:szCs w:val="24"/>
        </w:rPr>
        <w:t>Increases financial risk due to fixed repayment obligations, especially during periods of low cash flow.</w:t>
      </w:r>
      <w:r w:rsidRPr="00B54455">
        <w:rPr>
          <w:rFonts w:ascii="Arial" w:eastAsia="Times New Roman" w:hAnsi="Arial" w:cs="Arial"/>
          <w:kern w:val="0"/>
          <w:sz w:val="24"/>
          <w:szCs w:val="24"/>
          <w:lang w:eastAsia="en-IN"/>
          <w14:ligatures w14:val="none"/>
        </w:rPr>
        <w:t xml:space="preserve"> </w:t>
      </w:r>
      <w:r w:rsidRPr="00B54455">
        <w:rPr>
          <w:rFonts w:ascii="Arial" w:hAnsi="Arial" w:cs="Arial"/>
        </w:rPr>
        <w:t>(Hillier et al., 2020).</w:t>
      </w:r>
    </w:p>
    <w:p w14:paraId="15B3793F" w14:textId="77777777" w:rsidR="0059069B" w:rsidRPr="0086531D" w:rsidRDefault="0059069B" w:rsidP="0059069B">
      <w:pPr>
        <w:numPr>
          <w:ilvl w:val="1"/>
          <w:numId w:val="53"/>
        </w:numPr>
        <w:rPr>
          <w:rFonts w:ascii="Arial" w:hAnsi="Arial" w:cs="Arial"/>
          <w:sz w:val="24"/>
          <w:szCs w:val="24"/>
        </w:rPr>
      </w:pPr>
      <w:r w:rsidRPr="0086531D">
        <w:rPr>
          <w:rFonts w:ascii="Arial" w:hAnsi="Arial" w:cs="Arial"/>
          <w:sz w:val="24"/>
          <w:szCs w:val="24"/>
        </w:rPr>
        <w:t>Over-leverage can lead to reduced creditworthiness and higher borrowing costs in the future.</w:t>
      </w:r>
    </w:p>
    <w:p w14:paraId="213F279A" w14:textId="77777777" w:rsidR="0059069B" w:rsidRPr="0086531D" w:rsidRDefault="0059069B" w:rsidP="0059069B">
      <w:pPr>
        <w:rPr>
          <w:rFonts w:ascii="Arial" w:hAnsi="Arial" w:cs="Arial"/>
          <w:sz w:val="24"/>
          <w:szCs w:val="24"/>
        </w:rPr>
      </w:pPr>
      <w:r w:rsidRPr="0086531D">
        <w:rPr>
          <w:rFonts w:ascii="Arial" w:hAnsi="Arial" w:cs="Arial"/>
          <w:sz w:val="24"/>
          <w:szCs w:val="24"/>
        </w:rPr>
        <w:t>For Greenacres Plc, moderate use of debt financing may be a viable option due to the tax benefits and the relatively stable cash flows projected from the selected projects. However, careful management of the debt-to-equity ratio is crucial to avoid excessive financial risk.</w:t>
      </w:r>
    </w:p>
    <w:p w14:paraId="0EDEFDE3" w14:textId="77777777" w:rsidR="0059069B" w:rsidRPr="00B54455" w:rsidRDefault="0059069B" w:rsidP="0059069B">
      <w:pPr>
        <w:rPr>
          <w:rFonts w:ascii="Arial" w:hAnsi="Arial" w:cs="Arial"/>
          <w:b/>
          <w:bCs/>
          <w:sz w:val="24"/>
          <w:szCs w:val="24"/>
        </w:rPr>
      </w:pPr>
    </w:p>
    <w:p w14:paraId="1BBEB71F"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6.2 Equity Financing</w:t>
      </w:r>
    </w:p>
    <w:p w14:paraId="7E83E8F0" w14:textId="77777777" w:rsidR="0059069B" w:rsidRPr="0086531D" w:rsidRDefault="0059069B" w:rsidP="0059069B">
      <w:pPr>
        <w:ind w:left="720"/>
        <w:rPr>
          <w:rFonts w:ascii="Arial" w:hAnsi="Arial" w:cs="Arial"/>
          <w:sz w:val="24"/>
          <w:szCs w:val="24"/>
        </w:rPr>
      </w:pPr>
      <w:r w:rsidRPr="0086531D">
        <w:rPr>
          <w:rFonts w:ascii="Arial" w:hAnsi="Arial" w:cs="Arial"/>
          <w:sz w:val="24"/>
          <w:szCs w:val="24"/>
        </w:rPr>
        <w:t>Equity financing involves raising capital by issuing additional shares to investors.</w:t>
      </w:r>
    </w:p>
    <w:p w14:paraId="258C46BC" w14:textId="77777777" w:rsidR="0059069B" w:rsidRPr="0086531D" w:rsidRDefault="0059069B" w:rsidP="0059069B">
      <w:pPr>
        <w:numPr>
          <w:ilvl w:val="0"/>
          <w:numId w:val="54"/>
        </w:numPr>
        <w:rPr>
          <w:rFonts w:ascii="Arial" w:hAnsi="Arial" w:cs="Arial"/>
          <w:sz w:val="24"/>
          <w:szCs w:val="24"/>
        </w:rPr>
      </w:pPr>
      <w:r w:rsidRPr="0086531D">
        <w:rPr>
          <w:rFonts w:ascii="Arial" w:hAnsi="Arial" w:cs="Arial"/>
          <w:b/>
          <w:bCs/>
          <w:sz w:val="24"/>
          <w:szCs w:val="24"/>
        </w:rPr>
        <w:t>Advantages</w:t>
      </w:r>
      <w:r w:rsidRPr="0086531D">
        <w:rPr>
          <w:rFonts w:ascii="Arial" w:hAnsi="Arial" w:cs="Arial"/>
          <w:sz w:val="24"/>
          <w:szCs w:val="24"/>
        </w:rPr>
        <w:t>:</w:t>
      </w:r>
    </w:p>
    <w:p w14:paraId="11826467" w14:textId="77777777" w:rsidR="0059069B" w:rsidRPr="00B54455" w:rsidRDefault="0059069B" w:rsidP="0059069B">
      <w:pPr>
        <w:numPr>
          <w:ilvl w:val="1"/>
          <w:numId w:val="54"/>
        </w:numPr>
        <w:rPr>
          <w:rFonts w:ascii="Arial" w:hAnsi="Arial" w:cs="Arial"/>
          <w:sz w:val="24"/>
          <w:szCs w:val="24"/>
        </w:rPr>
      </w:pPr>
      <w:r w:rsidRPr="0086531D">
        <w:rPr>
          <w:rFonts w:ascii="Arial" w:hAnsi="Arial" w:cs="Arial"/>
          <w:sz w:val="24"/>
          <w:szCs w:val="24"/>
        </w:rPr>
        <w:t>No fixed repayment obligations, reducing financial strain on cash flow.</w:t>
      </w:r>
    </w:p>
    <w:p w14:paraId="52528F8B" w14:textId="77777777" w:rsidR="0059069B" w:rsidRPr="00B54455" w:rsidRDefault="0059069B" w:rsidP="0059069B">
      <w:pPr>
        <w:numPr>
          <w:ilvl w:val="1"/>
          <w:numId w:val="54"/>
        </w:numPr>
        <w:rPr>
          <w:rFonts w:ascii="Arial" w:hAnsi="Arial" w:cs="Arial"/>
          <w:sz w:val="24"/>
          <w:szCs w:val="24"/>
        </w:rPr>
      </w:pPr>
      <w:r w:rsidRPr="00B54455">
        <w:rPr>
          <w:rFonts w:ascii="Arial" w:hAnsi="Arial" w:cs="Arial"/>
        </w:rPr>
        <w:t>Enhances the company’s equity base, which can improve financial stability (</w:t>
      </w:r>
      <w:proofErr w:type="spellStart"/>
      <w:r w:rsidRPr="00B54455">
        <w:rPr>
          <w:rFonts w:ascii="Arial" w:hAnsi="Arial" w:cs="Arial"/>
        </w:rPr>
        <w:t>Atrill</w:t>
      </w:r>
      <w:proofErr w:type="spellEnd"/>
      <w:r w:rsidRPr="00B54455">
        <w:rPr>
          <w:rFonts w:ascii="Arial" w:hAnsi="Arial" w:cs="Arial"/>
        </w:rPr>
        <w:t xml:space="preserve"> &amp; McLaney, 2021).</w:t>
      </w:r>
    </w:p>
    <w:p w14:paraId="4459B651" w14:textId="77777777" w:rsidR="0059069B" w:rsidRPr="0086531D" w:rsidRDefault="0059069B" w:rsidP="0059069B">
      <w:pPr>
        <w:numPr>
          <w:ilvl w:val="0"/>
          <w:numId w:val="54"/>
        </w:numPr>
        <w:rPr>
          <w:rFonts w:ascii="Arial" w:hAnsi="Arial" w:cs="Arial"/>
          <w:sz w:val="24"/>
          <w:szCs w:val="24"/>
        </w:rPr>
      </w:pPr>
      <w:r w:rsidRPr="0086531D">
        <w:rPr>
          <w:rFonts w:ascii="Arial" w:hAnsi="Arial" w:cs="Arial"/>
          <w:b/>
          <w:bCs/>
          <w:sz w:val="24"/>
          <w:szCs w:val="24"/>
        </w:rPr>
        <w:t>Disadvantages</w:t>
      </w:r>
      <w:r w:rsidRPr="0086531D">
        <w:rPr>
          <w:rFonts w:ascii="Arial" w:hAnsi="Arial" w:cs="Arial"/>
          <w:sz w:val="24"/>
          <w:szCs w:val="24"/>
        </w:rPr>
        <w:t>:</w:t>
      </w:r>
    </w:p>
    <w:p w14:paraId="40B40DB4" w14:textId="77777777" w:rsidR="0059069B" w:rsidRPr="0086531D" w:rsidRDefault="0059069B" w:rsidP="0059069B">
      <w:pPr>
        <w:numPr>
          <w:ilvl w:val="1"/>
          <w:numId w:val="54"/>
        </w:numPr>
        <w:rPr>
          <w:rFonts w:ascii="Arial" w:hAnsi="Arial" w:cs="Arial"/>
        </w:rPr>
      </w:pPr>
      <w:r w:rsidRPr="0086531D">
        <w:rPr>
          <w:rFonts w:ascii="Arial" w:hAnsi="Arial" w:cs="Arial"/>
          <w:sz w:val="24"/>
          <w:szCs w:val="24"/>
        </w:rPr>
        <w:t>Dilution of existing shareholders' ownership and potential loss of control.</w:t>
      </w:r>
      <w:r w:rsidRPr="00B54455">
        <w:rPr>
          <w:rFonts w:ascii="Arial" w:eastAsia="Times New Roman" w:hAnsi="Arial" w:cs="Arial"/>
          <w:kern w:val="0"/>
          <w:sz w:val="24"/>
          <w:szCs w:val="24"/>
          <w:lang w:eastAsia="en-IN"/>
          <w14:ligatures w14:val="none"/>
        </w:rPr>
        <w:t xml:space="preserve"> </w:t>
      </w:r>
      <w:r w:rsidRPr="00B54455">
        <w:rPr>
          <w:rFonts w:ascii="Arial" w:hAnsi="Arial" w:cs="Arial"/>
        </w:rPr>
        <w:t>(Berk &amp; DeMarzo, 2020).</w:t>
      </w:r>
    </w:p>
    <w:p w14:paraId="567E88C8" w14:textId="77777777" w:rsidR="0059069B" w:rsidRPr="0086531D" w:rsidRDefault="0059069B" w:rsidP="0059069B">
      <w:pPr>
        <w:numPr>
          <w:ilvl w:val="1"/>
          <w:numId w:val="54"/>
        </w:numPr>
        <w:rPr>
          <w:rFonts w:ascii="Arial" w:hAnsi="Arial" w:cs="Arial"/>
          <w:sz w:val="24"/>
          <w:szCs w:val="24"/>
        </w:rPr>
      </w:pPr>
      <w:r w:rsidRPr="0086531D">
        <w:rPr>
          <w:rFonts w:ascii="Arial" w:hAnsi="Arial" w:cs="Arial"/>
          <w:sz w:val="24"/>
          <w:szCs w:val="24"/>
        </w:rPr>
        <w:lastRenderedPageBreak/>
        <w:t>Higher cost of capital compared to debt due to expected returns by equity investors.</w:t>
      </w:r>
    </w:p>
    <w:p w14:paraId="4F524B0E" w14:textId="77777777" w:rsidR="0059069B" w:rsidRPr="0086531D" w:rsidRDefault="0059069B" w:rsidP="0059069B">
      <w:pPr>
        <w:ind w:left="720"/>
        <w:rPr>
          <w:rFonts w:ascii="Arial" w:hAnsi="Arial" w:cs="Arial"/>
          <w:sz w:val="24"/>
          <w:szCs w:val="24"/>
        </w:rPr>
      </w:pPr>
      <w:r w:rsidRPr="0086531D">
        <w:rPr>
          <w:rFonts w:ascii="Arial" w:hAnsi="Arial" w:cs="Arial"/>
          <w:sz w:val="24"/>
          <w:szCs w:val="24"/>
        </w:rPr>
        <w:t>Equity financing may be suitable for Greenacres Plc if the company aims to preserve liquidity and reduce leverage. However, the dilution of ownership should be carefully considered, especially in terms of strategic decision-making.</w:t>
      </w:r>
    </w:p>
    <w:p w14:paraId="23162F3B" w14:textId="77777777" w:rsidR="0059069B" w:rsidRPr="00B54455" w:rsidRDefault="0059069B" w:rsidP="0059069B">
      <w:pPr>
        <w:ind w:left="720"/>
        <w:rPr>
          <w:rFonts w:ascii="Arial" w:hAnsi="Arial" w:cs="Arial"/>
          <w:sz w:val="24"/>
          <w:szCs w:val="24"/>
        </w:rPr>
      </w:pPr>
    </w:p>
    <w:p w14:paraId="251EA76D"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6.3 Retained Earnings</w:t>
      </w:r>
    </w:p>
    <w:p w14:paraId="2409D4E5" w14:textId="77777777" w:rsidR="0059069B" w:rsidRPr="0086531D" w:rsidRDefault="0059069B" w:rsidP="0059069B">
      <w:pPr>
        <w:rPr>
          <w:rFonts w:ascii="Arial" w:hAnsi="Arial" w:cs="Arial"/>
          <w:sz w:val="24"/>
          <w:szCs w:val="24"/>
        </w:rPr>
      </w:pPr>
      <w:r w:rsidRPr="0086531D">
        <w:rPr>
          <w:rFonts w:ascii="Arial" w:hAnsi="Arial" w:cs="Arial"/>
          <w:sz w:val="24"/>
          <w:szCs w:val="24"/>
        </w:rPr>
        <w:t>Retained earnings represent internal funds accumulated from prior profits and reinvested into the business.</w:t>
      </w:r>
    </w:p>
    <w:p w14:paraId="283915EE" w14:textId="77777777" w:rsidR="0059069B" w:rsidRPr="0086531D" w:rsidRDefault="0059069B" w:rsidP="0059069B">
      <w:pPr>
        <w:numPr>
          <w:ilvl w:val="0"/>
          <w:numId w:val="55"/>
        </w:numPr>
        <w:rPr>
          <w:rFonts w:ascii="Arial" w:hAnsi="Arial" w:cs="Arial"/>
          <w:sz w:val="24"/>
          <w:szCs w:val="24"/>
        </w:rPr>
      </w:pPr>
      <w:r w:rsidRPr="0086531D">
        <w:rPr>
          <w:rFonts w:ascii="Arial" w:hAnsi="Arial" w:cs="Arial"/>
          <w:b/>
          <w:bCs/>
          <w:sz w:val="24"/>
          <w:szCs w:val="24"/>
        </w:rPr>
        <w:t>Advantages</w:t>
      </w:r>
      <w:r w:rsidRPr="0086531D">
        <w:rPr>
          <w:rFonts w:ascii="Arial" w:hAnsi="Arial" w:cs="Arial"/>
          <w:sz w:val="24"/>
          <w:szCs w:val="24"/>
        </w:rPr>
        <w:t>:</w:t>
      </w:r>
    </w:p>
    <w:p w14:paraId="310B22E7" w14:textId="77777777" w:rsidR="0059069B" w:rsidRPr="0086531D" w:rsidRDefault="0059069B" w:rsidP="0059069B">
      <w:pPr>
        <w:numPr>
          <w:ilvl w:val="1"/>
          <w:numId w:val="55"/>
        </w:numPr>
        <w:rPr>
          <w:rFonts w:ascii="Arial" w:hAnsi="Arial" w:cs="Arial"/>
          <w:sz w:val="24"/>
          <w:szCs w:val="24"/>
        </w:rPr>
      </w:pPr>
      <w:r w:rsidRPr="0086531D">
        <w:rPr>
          <w:rFonts w:ascii="Arial" w:hAnsi="Arial" w:cs="Arial"/>
          <w:sz w:val="24"/>
          <w:szCs w:val="24"/>
        </w:rPr>
        <w:t>No financing costs or repayment obligations, ensuring financial flexibility.</w:t>
      </w:r>
    </w:p>
    <w:p w14:paraId="1346D0C9" w14:textId="77777777" w:rsidR="0059069B" w:rsidRPr="0086531D" w:rsidRDefault="0059069B" w:rsidP="0059069B">
      <w:pPr>
        <w:numPr>
          <w:ilvl w:val="1"/>
          <w:numId w:val="55"/>
        </w:numPr>
        <w:rPr>
          <w:rFonts w:ascii="Arial" w:hAnsi="Arial" w:cs="Arial"/>
          <w:sz w:val="24"/>
          <w:szCs w:val="24"/>
        </w:rPr>
      </w:pPr>
      <w:r w:rsidRPr="0086531D">
        <w:rPr>
          <w:rFonts w:ascii="Arial" w:hAnsi="Arial" w:cs="Arial"/>
          <w:sz w:val="24"/>
          <w:szCs w:val="24"/>
        </w:rPr>
        <w:t>Maintains full ownership and control of the company.</w:t>
      </w:r>
    </w:p>
    <w:p w14:paraId="1EC472D5" w14:textId="77777777" w:rsidR="0059069B" w:rsidRPr="0086531D" w:rsidRDefault="0059069B" w:rsidP="0059069B">
      <w:pPr>
        <w:numPr>
          <w:ilvl w:val="0"/>
          <w:numId w:val="55"/>
        </w:numPr>
        <w:rPr>
          <w:rFonts w:ascii="Arial" w:hAnsi="Arial" w:cs="Arial"/>
          <w:sz w:val="24"/>
          <w:szCs w:val="24"/>
        </w:rPr>
      </w:pPr>
      <w:r w:rsidRPr="0086531D">
        <w:rPr>
          <w:rFonts w:ascii="Arial" w:hAnsi="Arial" w:cs="Arial"/>
          <w:b/>
          <w:bCs/>
          <w:sz w:val="24"/>
          <w:szCs w:val="24"/>
        </w:rPr>
        <w:t>Disadvantages</w:t>
      </w:r>
      <w:r w:rsidRPr="0086531D">
        <w:rPr>
          <w:rFonts w:ascii="Arial" w:hAnsi="Arial" w:cs="Arial"/>
          <w:sz w:val="24"/>
          <w:szCs w:val="24"/>
        </w:rPr>
        <w:t>:</w:t>
      </w:r>
    </w:p>
    <w:p w14:paraId="7176179D" w14:textId="77777777" w:rsidR="0059069B" w:rsidRPr="0086531D" w:rsidRDefault="0059069B" w:rsidP="0059069B">
      <w:pPr>
        <w:numPr>
          <w:ilvl w:val="1"/>
          <w:numId w:val="55"/>
        </w:numPr>
        <w:rPr>
          <w:rFonts w:ascii="Arial" w:hAnsi="Arial" w:cs="Arial"/>
          <w:sz w:val="24"/>
          <w:szCs w:val="24"/>
        </w:rPr>
      </w:pPr>
      <w:r w:rsidRPr="0086531D">
        <w:rPr>
          <w:rFonts w:ascii="Arial" w:hAnsi="Arial" w:cs="Arial"/>
          <w:sz w:val="24"/>
          <w:szCs w:val="24"/>
        </w:rPr>
        <w:t>Limited availability of funds compared to external financing methods.</w:t>
      </w:r>
    </w:p>
    <w:p w14:paraId="5A74D1C1" w14:textId="77777777" w:rsidR="0059069B" w:rsidRPr="0086531D" w:rsidRDefault="0059069B" w:rsidP="0059069B">
      <w:pPr>
        <w:numPr>
          <w:ilvl w:val="1"/>
          <w:numId w:val="55"/>
        </w:numPr>
        <w:rPr>
          <w:rFonts w:ascii="Arial" w:hAnsi="Arial" w:cs="Arial"/>
          <w:sz w:val="24"/>
          <w:szCs w:val="24"/>
        </w:rPr>
      </w:pPr>
      <w:r w:rsidRPr="0086531D">
        <w:rPr>
          <w:rFonts w:ascii="Arial" w:hAnsi="Arial" w:cs="Arial"/>
          <w:sz w:val="24"/>
          <w:szCs w:val="24"/>
        </w:rPr>
        <w:t>Using retained earnings may impact liquidity and reduce the company’s ability to address unforeseen expenses.</w:t>
      </w:r>
    </w:p>
    <w:p w14:paraId="4E9FAC5C" w14:textId="77777777" w:rsidR="0059069B" w:rsidRPr="00B54455" w:rsidRDefault="0059069B" w:rsidP="0059069B">
      <w:pPr>
        <w:rPr>
          <w:rFonts w:ascii="Arial" w:hAnsi="Arial" w:cs="Arial"/>
          <w:sz w:val="24"/>
          <w:szCs w:val="24"/>
        </w:rPr>
      </w:pPr>
      <w:r w:rsidRPr="0086531D">
        <w:rPr>
          <w:rFonts w:ascii="Arial" w:hAnsi="Arial" w:cs="Arial"/>
          <w:sz w:val="24"/>
          <w:szCs w:val="24"/>
        </w:rPr>
        <w:t>Retained earnings could serve as a supplemental source of funding for Greenacres Plc, particularly for projects with lower capital requirements or to bridge small funding gaps.</w:t>
      </w:r>
    </w:p>
    <w:p w14:paraId="5EA417B1" w14:textId="77777777" w:rsidR="0059069B" w:rsidRPr="00B54455" w:rsidRDefault="0059069B" w:rsidP="0059069B">
      <w:pPr>
        <w:rPr>
          <w:rFonts w:ascii="Arial" w:hAnsi="Arial" w:cs="Arial"/>
          <w:sz w:val="24"/>
          <w:szCs w:val="24"/>
        </w:rPr>
      </w:pPr>
    </w:p>
    <w:p w14:paraId="582DCC13" w14:textId="77777777" w:rsidR="0059069B" w:rsidRPr="0086531D" w:rsidRDefault="0059069B" w:rsidP="0059069B">
      <w:pPr>
        <w:rPr>
          <w:rFonts w:ascii="Arial" w:hAnsi="Arial" w:cs="Arial"/>
          <w:b/>
          <w:bCs/>
          <w:sz w:val="24"/>
          <w:szCs w:val="24"/>
        </w:rPr>
      </w:pPr>
      <w:r w:rsidRPr="0086531D">
        <w:rPr>
          <w:rFonts w:ascii="Arial" w:hAnsi="Arial" w:cs="Arial"/>
          <w:b/>
          <w:bCs/>
          <w:sz w:val="24"/>
          <w:szCs w:val="24"/>
        </w:rPr>
        <w:t>6.4 Recommended Financing Mix</w:t>
      </w:r>
    </w:p>
    <w:p w14:paraId="6FFAC885" w14:textId="77777777" w:rsidR="0059069B" w:rsidRPr="0086531D" w:rsidRDefault="0059069B" w:rsidP="0059069B">
      <w:pPr>
        <w:rPr>
          <w:rFonts w:ascii="Arial" w:hAnsi="Arial" w:cs="Arial"/>
          <w:sz w:val="24"/>
          <w:szCs w:val="24"/>
        </w:rPr>
      </w:pPr>
      <w:r w:rsidRPr="0086531D">
        <w:rPr>
          <w:rFonts w:ascii="Arial" w:hAnsi="Arial" w:cs="Arial"/>
          <w:sz w:val="24"/>
          <w:szCs w:val="24"/>
        </w:rPr>
        <w:t>A hybrid approach combining debt and equity financing is recommended for Greenacres Plc:</w:t>
      </w:r>
    </w:p>
    <w:p w14:paraId="02EB8B6F" w14:textId="77777777" w:rsidR="0059069B" w:rsidRPr="0086531D" w:rsidRDefault="0059069B" w:rsidP="0059069B">
      <w:pPr>
        <w:numPr>
          <w:ilvl w:val="0"/>
          <w:numId w:val="56"/>
        </w:numPr>
        <w:rPr>
          <w:rFonts w:ascii="Arial" w:hAnsi="Arial" w:cs="Arial"/>
          <w:sz w:val="24"/>
          <w:szCs w:val="24"/>
        </w:rPr>
      </w:pPr>
      <w:r w:rsidRPr="0086531D">
        <w:rPr>
          <w:rFonts w:ascii="Arial" w:hAnsi="Arial" w:cs="Arial"/>
          <w:b/>
          <w:bCs/>
          <w:sz w:val="24"/>
          <w:szCs w:val="24"/>
        </w:rPr>
        <w:t>Debt</w:t>
      </w:r>
      <w:r w:rsidRPr="0086531D">
        <w:rPr>
          <w:rFonts w:ascii="Arial" w:hAnsi="Arial" w:cs="Arial"/>
          <w:sz w:val="24"/>
          <w:szCs w:val="24"/>
        </w:rPr>
        <w:t>: Utilize debt financing for approximately 60% of the total required capital (£1,500,000). This ensures the benefits of tax deductibility while maintaining a manageable level of financial risk (Brealey, Myers, &amp; Allen, 2020).</w:t>
      </w:r>
    </w:p>
    <w:p w14:paraId="2150D135" w14:textId="77777777" w:rsidR="0059069B" w:rsidRPr="0086531D" w:rsidRDefault="0059069B" w:rsidP="0059069B">
      <w:pPr>
        <w:numPr>
          <w:ilvl w:val="0"/>
          <w:numId w:val="56"/>
        </w:numPr>
        <w:rPr>
          <w:rFonts w:ascii="Arial" w:hAnsi="Arial" w:cs="Arial"/>
          <w:sz w:val="24"/>
          <w:szCs w:val="24"/>
        </w:rPr>
      </w:pPr>
      <w:r w:rsidRPr="0086531D">
        <w:rPr>
          <w:rFonts w:ascii="Arial" w:hAnsi="Arial" w:cs="Arial"/>
          <w:b/>
          <w:bCs/>
          <w:sz w:val="24"/>
          <w:szCs w:val="24"/>
        </w:rPr>
        <w:t>Equity</w:t>
      </w:r>
      <w:r w:rsidRPr="0086531D">
        <w:rPr>
          <w:rFonts w:ascii="Arial" w:hAnsi="Arial" w:cs="Arial"/>
          <w:sz w:val="24"/>
          <w:szCs w:val="24"/>
        </w:rPr>
        <w:t>: Raise the remaining 40% (£1,000,000) through equity financing to support the company’s long-term growth without overburdening cash flows.</w:t>
      </w:r>
    </w:p>
    <w:p w14:paraId="3476945B" w14:textId="77777777" w:rsidR="0059069B" w:rsidRPr="0086531D" w:rsidRDefault="0059069B" w:rsidP="0059069B">
      <w:pPr>
        <w:rPr>
          <w:rFonts w:ascii="Arial" w:hAnsi="Arial" w:cs="Arial"/>
          <w:sz w:val="24"/>
          <w:szCs w:val="24"/>
        </w:rPr>
      </w:pPr>
      <w:r w:rsidRPr="0086531D">
        <w:rPr>
          <w:rFonts w:ascii="Arial" w:hAnsi="Arial" w:cs="Arial"/>
          <w:sz w:val="24"/>
          <w:szCs w:val="24"/>
        </w:rPr>
        <w:t>This balanced strategy aligns with Greenacres Plc’s objectives of maintaining financial stability while achieving sustainable growth.</w:t>
      </w:r>
    </w:p>
    <w:p w14:paraId="44263715" w14:textId="77777777" w:rsidR="0059069B" w:rsidRPr="00B54455" w:rsidRDefault="0059069B" w:rsidP="0059069B">
      <w:pPr>
        <w:rPr>
          <w:rFonts w:ascii="Arial" w:hAnsi="Arial" w:cs="Arial"/>
          <w:sz w:val="24"/>
          <w:szCs w:val="24"/>
        </w:rPr>
      </w:pPr>
    </w:p>
    <w:p w14:paraId="091BFA2C" w14:textId="77777777" w:rsidR="0059069B" w:rsidRPr="00B54455" w:rsidRDefault="0059069B" w:rsidP="0059069B">
      <w:pPr>
        <w:rPr>
          <w:rFonts w:ascii="Arial" w:hAnsi="Arial" w:cs="Arial"/>
          <w:sz w:val="24"/>
          <w:szCs w:val="24"/>
        </w:rPr>
      </w:pPr>
      <w:r w:rsidRPr="00B54455">
        <w:rPr>
          <w:rFonts w:ascii="Arial" w:hAnsi="Arial" w:cs="Arial"/>
          <w:noProof/>
          <w:sz w:val="24"/>
          <w:szCs w:val="24"/>
        </w:rPr>
        <mc:AlternateContent>
          <mc:Choice Requires="wps">
            <w:drawing>
              <wp:anchor distT="0" distB="0" distL="114300" distR="114300" simplePos="0" relativeHeight="251664384" behindDoc="0" locked="0" layoutInCell="1" allowOverlap="1" wp14:anchorId="64CB5CBA" wp14:editId="68B145A0">
                <wp:simplePos x="0" y="0"/>
                <wp:positionH relativeFrom="column">
                  <wp:posOffset>-45720</wp:posOffset>
                </wp:positionH>
                <wp:positionV relativeFrom="paragraph">
                  <wp:posOffset>90805</wp:posOffset>
                </wp:positionV>
                <wp:extent cx="5574030" cy="0"/>
                <wp:effectExtent l="0" t="0" r="0" b="0"/>
                <wp:wrapNone/>
                <wp:docPr id="977187870" name="Straight Connector 1"/>
                <wp:cNvGraphicFramePr/>
                <a:graphic xmlns:a="http://schemas.openxmlformats.org/drawingml/2006/main">
                  <a:graphicData uri="http://schemas.microsoft.com/office/word/2010/wordprocessingShape">
                    <wps:wsp>
                      <wps:cNvCnPr/>
                      <wps:spPr>
                        <a:xfrm flipV="1">
                          <a:off x="0" y="0"/>
                          <a:ext cx="5574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C9A917A" id="Straight Connector 1" o:spid="_x0000_s1026" style="position:absolute;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pt,7.15pt" to="435.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" strokecolor="black [3200]" strokeweight=".5pt">
                <v:stroke joinstyle="miter"/>
              </v:line>
            </w:pict>
          </mc:Fallback>
        </mc:AlternateContent>
      </w:r>
    </w:p>
    <w:p w14:paraId="11591FC9"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7. Final Recommendations &amp; Closing Remarks</w:t>
      </w:r>
    </w:p>
    <w:p w14:paraId="23252588"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lastRenderedPageBreak/>
        <w:t>7.1 Preferred Investment Option</w:t>
      </w:r>
    </w:p>
    <w:p w14:paraId="631D9F22" w14:textId="77777777" w:rsidR="0059069B" w:rsidRPr="00B54455" w:rsidRDefault="0059069B" w:rsidP="0059069B">
      <w:pPr>
        <w:rPr>
          <w:rFonts w:ascii="Arial" w:hAnsi="Arial" w:cs="Arial"/>
          <w:sz w:val="24"/>
          <w:szCs w:val="24"/>
        </w:rPr>
      </w:pPr>
      <w:r w:rsidRPr="00B54455">
        <w:rPr>
          <w:rFonts w:ascii="Arial" w:hAnsi="Arial" w:cs="Arial"/>
          <w:sz w:val="24"/>
          <w:szCs w:val="24"/>
        </w:rPr>
        <w:t>Based on the comprehensive financial analysis and alignment with Greenacres Plc’s strategic objectives, the following recommendations are proposed:</w:t>
      </w:r>
    </w:p>
    <w:p w14:paraId="026EB532" w14:textId="77777777" w:rsidR="0059069B" w:rsidRPr="00B54455" w:rsidRDefault="0059069B" w:rsidP="0059069B">
      <w:pPr>
        <w:numPr>
          <w:ilvl w:val="0"/>
          <w:numId w:val="57"/>
        </w:numPr>
        <w:rPr>
          <w:rFonts w:ascii="Arial" w:hAnsi="Arial" w:cs="Arial"/>
          <w:sz w:val="24"/>
          <w:szCs w:val="24"/>
        </w:rPr>
      </w:pPr>
      <w:r w:rsidRPr="00B54455">
        <w:rPr>
          <w:rFonts w:ascii="Arial" w:hAnsi="Arial" w:cs="Arial"/>
          <w:b/>
          <w:bCs/>
          <w:sz w:val="24"/>
          <w:szCs w:val="24"/>
        </w:rPr>
        <w:t>Preferred Option</w:t>
      </w:r>
      <w:r w:rsidRPr="00B54455">
        <w:rPr>
          <w:rFonts w:ascii="Arial" w:hAnsi="Arial" w:cs="Arial"/>
          <w:sz w:val="24"/>
          <w:szCs w:val="24"/>
        </w:rPr>
        <w:t xml:space="preserve">: Proceed with </w:t>
      </w:r>
      <w:r w:rsidRPr="00B54455">
        <w:rPr>
          <w:rFonts w:ascii="Arial" w:hAnsi="Arial" w:cs="Arial"/>
          <w:b/>
          <w:bCs/>
          <w:sz w:val="24"/>
          <w:szCs w:val="24"/>
        </w:rPr>
        <w:t>Option B (Developing Internet Sales)</w:t>
      </w:r>
      <w:r w:rsidRPr="00B54455">
        <w:rPr>
          <w:rFonts w:ascii="Arial" w:hAnsi="Arial" w:cs="Arial"/>
          <w:sz w:val="24"/>
          <w:szCs w:val="24"/>
        </w:rPr>
        <w:t>. This project demonstrated the highest Net Present Value (NPV) of £899.34 (£,000) and an Internal Rate of Return (IRR) of approximately 8.7%, exceeding the cost of capital (6%). The scalability and potential for expanding market reach further enhance its appeal.</w:t>
      </w:r>
    </w:p>
    <w:p w14:paraId="6C29EA78" w14:textId="77777777" w:rsidR="0059069B" w:rsidRPr="00B54455" w:rsidRDefault="0059069B" w:rsidP="0059069B">
      <w:pPr>
        <w:numPr>
          <w:ilvl w:val="0"/>
          <w:numId w:val="57"/>
        </w:numPr>
        <w:rPr>
          <w:rFonts w:ascii="Arial" w:hAnsi="Arial" w:cs="Arial"/>
          <w:sz w:val="24"/>
          <w:szCs w:val="24"/>
        </w:rPr>
      </w:pPr>
      <w:r w:rsidRPr="00B54455">
        <w:rPr>
          <w:rFonts w:ascii="Arial" w:hAnsi="Arial" w:cs="Arial"/>
          <w:b/>
          <w:bCs/>
          <w:sz w:val="24"/>
          <w:szCs w:val="24"/>
        </w:rPr>
        <w:t>Supporting Rationale</w:t>
      </w:r>
      <w:r w:rsidRPr="00B54455">
        <w:rPr>
          <w:rFonts w:ascii="Arial" w:hAnsi="Arial" w:cs="Arial"/>
          <w:sz w:val="24"/>
          <w:szCs w:val="24"/>
        </w:rPr>
        <w:t>:</w:t>
      </w:r>
    </w:p>
    <w:p w14:paraId="1F14FD5A"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Strategic Fit</w:t>
      </w:r>
      <w:r w:rsidRPr="00B54455">
        <w:rPr>
          <w:rFonts w:ascii="Arial" w:hAnsi="Arial" w:cs="Arial"/>
          <w:sz w:val="24"/>
          <w:szCs w:val="24"/>
        </w:rPr>
        <w:t>: Option B aligns with the growing trend toward e-commerce, enabling Greenacres Plc to capture market opportunities and enhance competitiveness.</w:t>
      </w:r>
    </w:p>
    <w:p w14:paraId="03482490"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Financial Viability</w:t>
      </w:r>
      <w:r w:rsidRPr="00B54455">
        <w:rPr>
          <w:rFonts w:ascii="Arial" w:hAnsi="Arial" w:cs="Arial"/>
          <w:sz w:val="24"/>
          <w:szCs w:val="24"/>
        </w:rPr>
        <w:t>: The robust NPV and IRR signify substantial value creation and a high likelihood of delivering profitable returns.</w:t>
      </w:r>
    </w:p>
    <w:p w14:paraId="01AF6B01"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Risk Management</w:t>
      </w:r>
      <w:r w:rsidRPr="00B54455">
        <w:rPr>
          <w:rFonts w:ascii="Arial" w:hAnsi="Arial" w:cs="Arial"/>
          <w:sz w:val="24"/>
          <w:szCs w:val="24"/>
        </w:rPr>
        <w:t>: The investment’s moderate capital outlay and predictable cash flows make it a relatively lower-risk option.</w:t>
      </w:r>
    </w:p>
    <w:p w14:paraId="41A8ABCE"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7.2 Funding Strategy</w:t>
      </w:r>
    </w:p>
    <w:p w14:paraId="7ED3CF46"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sz w:val="24"/>
          <w:szCs w:val="24"/>
        </w:rPr>
        <w:t>A hybrid financing strategy combining debt and equity is recommended:</w:t>
      </w:r>
    </w:p>
    <w:p w14:paraId="1EC3BA00"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Debt Financing</w:t>
      </w:r>
      <w:r w:rsidRPr="00B54455">
        <w:rPr>
          <w:rFonts w:ascii="Arial" w:hAnsi="Arial" w:cs="Arial"/>
          <w:sz w:val="24"/>
          <w:szCs w:val="24"/>
        </w:rPr>
        <w:t>: Utilize debt for 60% of the funding requirement to benefit from tax-deductible interest and minimize the weighted average cost of capital (WACC).</w:t>
      </w:r>
    </w:p>
    <w:p w14:paraId="55C3585B"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Equity Financing</w:t>
      </w:r>
      <w:r w:rsidRPr="00B54455">
        <w:rPr>
          <w:rFonts w:ascii="Arial" w:hAnsi="Arial" w:cs="Arial"/>
          <w:sz w:val="24"/>
          <w:szCs w:val="24"/>
        </w:rPr>
        <w:t>: Raise the remaining 40% through equity to maintain a healthy debt-to-equity ratio and safeguard financial stability.</w:t>
      </w:r>
    </w:p>
    <w:p w14:paraId="42218A67"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7.3 Future Monitoring and Evaluation</w:t>
      </w:r>
    </w:p>
    <w:p w14:paraId="1BC7681D"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Performance Metrics</w:t>
      </w:r>
      <w:r w:rsidRPr="00B54455">
        <w:rPr>
          <w:rFonts w:ascii="Arial" w:hAnsi="Arial" w:cs="Arial"/>
          <w:sz w:val="24"/>
          <w:szCs w:val="24"/>
        </w:rPr>
        <w:t>: Implement key performance indicators (KPIs) to track the progress of the selected investment option, such as revenue growth, market share, and profitability.</w:t>
      </w:r>
    </w:p>
    <w:p w14:paraId="4BF1DA14"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Risk Management</w:t>
      </w:r>
      <w:r w:rsidRPr="00B54455">
        <w:rPr>
          <w:rFonts w:ascii="Arial" w:hAnsi="Arial" w:cs="Arial"/>
          <w:sz w:val="24"/>
          <w:szCs w:val="24"/>
        </w:rPr>
        <w:t>: Conduct periodic risk assessments to identify and mitigate emerging threats to the project’s success.</w:t>
      </w:r>
    </w:p>
    <w:p w14:paraId="18481E4A" w14:textId="77777777" w:rsidR="0059069B" w:rsidRPr="00B54455" w:rsidRDefault="0059069B" w:rsidP="0059069B">
      <w:pPr>
        <w:numPr>
          <w:ilvl w:val="1"/>
          <w:numId w:val="57"/>
        </w:numPr>
        <w:rPr>
          <w:rFonts w:ascii="Arial" w:hAnsi="Arial" w:cs="Arial"/>
          <w:sz w:val="24"/>
          <w:szCs w:val="24"/>
        </w:rPr>
      </w:pPr>
      <w:r w:rsidRPr="00B54455">
        <w:rPr>
          <w:rFonts w:ascii="Arial" w:hAnsi="Arial" w:cs="Arial"/>
          <w:b/>
          <w:bCs/>
          <w:sz w:val="24"/>
          <w:szCs w:val="24"/>
        </w:rPr>
        <w:t>Adaptation</w:t>
      </w:r>
      <w:r w:rsidRPr="00B54455">
        <w:rPr>
          <w:rFonts w:ascii="Arial" w:hAnsi="Arial" w:cs="Arial"/>
          <w:sz w:val="24"/>
          <w:szCs w:val="24"/>
        </w:rPr>
        <w:t xml:space="preserve">: Remain flexible in adapting the investment approach based on market dynamics and consumer </w:t>
      </w:r>
      <w:proofErr w:type="spellStart"/>
      <w:r w:rsidRPr="00B54455">
        <w:rPr>
          <w:rFonts w:ascii="Arial" w:hAnsi="Arial" w:cs="Arial"/>
          <w:sz w:val="24"/>
          <w:szCs w:val="24"/>
        </w:rPr>
        <w:t>behavior</w:t>
      </w:r>
      <w:proofErr w:type="spellEnd"/>
      <w:r w:rsidRPr="00B54455">
        <w:rPr>
          <w:rFonts w:ascii="Arial" w:hAnsi="Arial" w:cs="Arial"/>
          <w:sz w:val="24"/>
          <w:szCs w:val="24"/>
        </w:rPr>
        <w:t xml:space="preserve"> trends.</w:t>
      </w:r>
    </w:p>
    <w:p w14:paraId="21BEBB60" w14:textId="77777777" w:rsidR="0059069B" w:rsidRPr="00B54455" w:rsidRDefault="0059069B" w:rsidP="0059069B">
      <w:pPr>
        <w:pStyle w:val="NormalWeb"/>
        <w:rPr>
          <w:rFonts w:ascii="Arial" w:hAnsi="Arial" w:cs="Arial"/>
        </w:rPr>
      </w:pPr>
      <w:r w:rsidRPr="00B54455">
        <w:rPr>
          <w:rFonts w:ascii="Arial" w:hAnsi="Arial" w:cs="Arial"/>
        </w:rPr>
        <w:t>Greenacres Plc’s investment decision presents an opportunity to drive growth and enhance shareholder value. By prioritizing Option B, supported by a prudent financing strategy, the company is well-positioned to achieve sustainable expansion. The careful implementation of this plan, coupled with ongoing monitoring and adaptation, will ensure its long-term success.</w:t>
      </w:r>
    </w:p>
    <w:p w14:paraId="2D271816" w14:textId="77777777" w:rsidR="0059069B" w:rsidRPr="00B54455" w:rsidRDefault="0059069B" w:rsidP="0059069B">
      <w:pPr>
        <w:rPr>
          <w:rFonts w:ascii="Arial" w:hAnsi="Arial" w:cs="Arial"/>
          <w:sz w:val="24"/>
          <w:szCs w:val="24"/>
        </w:rPr>
      </w:pPr>
      <w:r w:rsidRPr="00B54455">
        <w:rPr>
          <w:rFonts w:ascii="Arial" w:hAnsi="Arial" w:cs="Arial"/>
          <w:noProof/>
          <w:sz w:val="24"/>
          <w:szCs w:val="24"/>
        </w:rPr>
        <w:lastRenderedPageBreak/>
        <mc:AlternateContent>
          <mc:Choice Requires="wps">
            <w:drawing>
              <wp:anchor distT="0" distB="0" distL="114300" distR="114300" simplePos="0" relativeHeight="251665408" behindDoc="0" locked="0" layoutInCell="1" allowOverlap="1" wp14:anchorId="73C90734" wp14:editId="02264E4E">
                <wp:simplePos x="0" y="0"/>
                <wp:positionH relativeFrom="column">
                  <wp:posOffset>-45720</wp:posOffset>
                </wp:positionH>
                <wp:positionV relativeFrom="paragraph">
                  <wp:posOffset>0</wp:posOffset>
                </wp:positionV>
                <wp:extent cx="5574030" cy="0"/>
                <wp:effectExtent l="0" t="0" r="0" b="0"/>
                <wp:wrapNone/>
                <wp:docPr id="1632530117" name="Straight Connector 1"/>
                <wp:cNvGraphicFramePr/>
                <a:graphic xmlns:a="http://schemas.openxmlformats.org/drawingml/2006/main">
                  <a:graphicData uri="http://schemas.microsoft.com/office/word/2010/wordprocessingShape">
                    <wps:wsp>
                      <wps:cNvCnPr/>
                      <wps:spPr>
                        <a:xfrm flipV="1">
                          <a:off x="0" y="0"/>
                          <a:ext cx="5574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F0550EA" id="Straight Connector 1" o:spid="_x0000_s1026" style="position:absolute;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pt,0" to="435.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" strokecolor="black [3200]" strokeweight=".5pt">
                <v:stroke joinstyle="miter"/>
              </v:line>
            </w:pict>
          </mc:Fallback>
        </mc:AlternateContent>
      </w:r>
    </w:p>
    <w:p w14:paraId="4FD3BF09" w14:textId="77777777" w:rsidR="0059069B" w:rsidRPr="00B54455" w:rsidRDefault="0059069B" w:rsidP="0059069B">
      <w:pPr>
        <w:rPr>
          <w:rFonts w:ascii="Arial" w:hAnsi="Arial" w:cs="Arial"/>
          <w:b/>
          <w:bCs/>
          <w:sz w:val="24"/>
          <w:szCs w:val="24"/>
        </w:rPr>
      </w:pPr>
      <w:r w:rsidRPr="00B54455">
        <w:rPr>
          <w:rFonts w:ascii="Arial" w:hAnsi="Arial" w:cs="Arial"/>
          <w:b/>
          <w:bCs/>
          <w:sz w:val="24"/>
          <w:szCs w:val="24"/>
        </w:rPr>
        <w:t>Appendices</w:t>
      </w:r>
    </w:p>
    <w:p w14:paraId="09549B35" w14:textId="77777777" w:rsidR="0059069B" w:rsidRPr="00B54455" w:rsidRDefault="0059069B" w:rsidP="0059069B">
      <w:pPr>
        <w:numPr>
          <w:ilvl w:val="0"/>
          <w:numId w:val="43"/>
        </w:numPr>
        <w:rPr>
          <w:rFonts w:ascii="Arial" w:hAnsi="Arial" w:cs="Arial"/>
          <w:sz w:val="24"/>
          <w:szCs w:val="24"/>
        </w:rPr>
      </w:pPr>
      <w:r w:rsidRPr="00B54455">
        <w:rPr>
          <w:rFonts w:ascii="Arial" w:hAnsi="Arial" w:cs="Arial"/>
          <w:sz w:val="24"/>
          <w:szCs w:val="24"/>
        </w:rPr>
        <w:t>Detailed NPV and IRR Calculations.</w:t>
      </w:r>
    </w:p>
    <w:p w14:paraId="0DD2F90E" w14:textId="77777777" w:rsidR="0059069B" w:rsidRPr="00B54455" w:rsidRDefault="0059069B" w:rsidP="0059069B">
      <w:pPr>
        <w:numPr>
          <w:ilvl w:val="0"/>
          <w:numId w:val="43"/>
        </w:numPr>
        <w:rPr>
          <w:rFonts w:ascii="Arial" w:hAnsi="Arial" w:cs="Arial"/>
          <w:sz w:val="24"/>
          <w:szCs w:val="24"/>
        </w:rPr>
      </w:pPr>
      <w:r w:rsidRPr="00B54455">
        <w:rPr>
          <w:rFonts w:ascii="Arial" w:hAnsi="Arial" w:cs="Arial"/>
          <w:sz w:val="24"/>
          <w:szCs w:val="24"/>
        </w:rPr>
        <w:t>Sensitivity Analysis.</w:t>
      </w:r>
    </w:p>
    <w:p w14:paraId="71A9356C" w14:textId="77777777" w:rsidR="0059069B" w:rsidRPr="00B54455" w:rsidRDefault="0059069B" w:rsidP="0059069B">
      <w:pPr>
        <w:numPr>
          <w:ilvl w:val="0"/>
          <w:numId w:val="43"/>
        </w:numPr>
        <w:rPr>
          <w:rFonts w:ascii="Arial" w:hAnsi="Arial" w:cs="Arial"/>
          <w:sz w:val="24"/>
          <w:szCs w:val="24"/>
        </w:rPr>
      </w:pPr>
      <w:r w:rsidRPr="00B54455">
        <w:rPr>
          <w:rFonts w:ascii="Arial" w:hAnsi="Arial" w:cs="Arial"/>
          <w:sz w:val="24"/>
          <w:szCs w:val="24"/>
        </w:rPr>
        <w:t>Supporting Financial Data.</w:t>
      </w:r>
    </w:p>
    <w:p w14:paraId="037357F0" w14:textId="77777777" w:rsidR="0059069B" w:rsidRPr="00B54455" w:rsidRDefault="0059069B" w:rsidP="0059069B">
      <w:pPr>
        <w:rPr>
          <w:rFonts w:ascii="Arial" w:hAnsi="Arial" w:cs="Arial"/>
          <w:sz w:val="24"/>
          <w:szCs w:val="24"/>
        </w:rPr>
      </w:pPr>
    </w:p>
    <w:p w14:paraId="7B0154A5" w14:textId="77777777" w:rsidR="0059069B" w:rsidRPr="00B54455" w:rsidRDefault="0059069B" w:rsidP="0059069B">
      <w:pPr>
        <w:rPr>
          <w:rFonts w:ascii="Arial" w:hAnsi="Arial" w:cs="Arial"/>
          <w:b/>
          <w:bCs/>
          <w:sz w:val="28"/>
          <w:szCs w:val="28"/>
        </w:rPr>
      </w:pPr>
      <w:r w:rsidRPr="00B54455">
        <w:rPr>
          <w:rFonts w:ascii="Arial" w:hAnsi="Arial" w:cs="Arial"/>
          <w:b/>
          <w:bCs/>
          <w:sz w:val="28"/>
          <w:szCs w:val="28"/>
        </w:rPr>
        <w:t>References:</w:t>
      </w:r>
    </w:p>
    <w:p w14:paraId="7D194290" w14:textId="77777777" w:rsidR="0059069B" w:rsidRPr="00E2265A" w:rsidRDefault="0059069B" w:rsidP="0059069B">
      <w:pPr>
        <w:rPr>
          <w:rFonts w:ascii="Arial" w:hAnsi="Arial" w:cs="Arial"/>
          <w:i/>
          <w:iCs/>
          <w:sz w:val="18"/>
          <w:szCs w:val="18"/>
        </w:rPr>
      </w:pPr>
      <w:r w:rsidRPr="00E2265A">
        <w:rPr>
          <w:rFonts w:ascii="Arial" w:hAnsi="Arial" w:cs="Arial"/>
          <w:i/>
          <w:iCs/>
          <w:sz w:val="18"/>
          <w:szCs w:val="18"/>
        </w:rPr>
        <w:t>Arnold, Guy. Corporate Financial Management. Pearson Education, 2019.</w:t>
      </w:r>
    </w:p>
    <w:p w14:paraId="4D1B7BA2" w14:textId="77777777" w:rsidR="0059069B" w:rsidRPr="00E2265A" w:rsidRDefault="0059069B" w:rsidP="0059069B">
      <w:pPr>
        <w:rPr>
          <w:rFonts w:ascii="Arial" w:hAnsi="Arial" w:cs="Arial"/>
          <w:i/>
          <w:iCs/>
          <w:sz w:val="18"/>
          <w:szCs w:val="18"/>
        </w:rPr>
      </w:pPr>
      <w:proofErr w:type="spellStart"/>
      <w:r w:rsidRPr="00E2265A">
        <w:rPr>
          <w:rFonts w:ascii="Arial" w:hAnsi="Arial" w:cs="Arial"/>
          <w:i/>
          <w:iCs/>
          <w:sz w:val="18"/>
          <w:szCs w:val="18"/>
        </w:rPr>
        <w:t>Atrill</w:t>
      </w:r>
      <w:proofErr w:type="spellEnd"/>
      <w:r w:rsidRPr="00E2265A">
        <w:rPr>
          <w:rFonts w:ascii="Arial" w:hAnsi="Arial" w:cs="Arial"/>
          <w:i/>
          <w:iCs/>
          <w:sz w:val="18"/>
          <w:szCs w:val="18"/>
        </w:rPr>
        <w:t>, Peter, and Eddie McLaney. Accounting and Finance for Non-Specialists. Pearson Education, 2021.</w:t>
      </w:r>
    </w:p>
    <w:p w14:paraId="3262D04B" w14:textId="77777777" w:rsidR="0059069B" w:rsidRPr="00E2265A" w:rsidRDefault="0059069B" w:rsidP="0059069B">
      <w:pPr>
        <w:rPr>
          <w:rFonts w:ascii="Arial" w:hAnsi="Arial" w:cs="Arial"/>
          <w:i/>
          <w:iCs/>
          <w:sz w:val="18"/>
          <w:szCs w:val="18"/>
        </w:rPr>
      </w:pPr>
      <w:r w:rsidRPr="00E2265A">
        <w:rPr>
          <w:rFonts w:ascii="Arial" w:hAnsi="Arial" w:cs="Arial"/>
          <w:i/>
          <w:iCs/>
          <w:sz w:val="18"/>
          <w:szCs w:val="18"/>
        </w:rPr>
        <w:t>Berk, Jonathan, and Peter DeMarzo. Corporate Finance. Pearson Education, 2020.</w:t>
      </w:r>
    </w:p>
    <w:p w14:paraId="13DD89F1" w14:textId="77777777" w:rsidR="0059069B" w:rsidRPr="00E2265A" w:rsidRDefault="0059069B" w:rsidP="0059069B">
      <w:pPr>
        <w:rPr>
          <w:rFonts w:ascii="Arial" w:hAnsi="Arial" w:cs="Arial"/>
          <w:i/>
          <w:iCs/>
          <w:sz w:val="18"/>
          <w:szCs w:val="18"/>
        </w:rPr>
      </w:pPr>
      <w:r w:rsidRPr="00E2265A">
        <w:rPr>
          <w:rFonts w:ascii="Arial" w:hAnsi="Arial" w:cs="Arial"/>
          <w:i/>
          <w:iCs/>
          <w:sz w:val="18"/>
          <w:szCs w:val="18"/>
        </w:rPr>
        <w:t>Brealey, Richard A., Stewart C. Myers, and Franklin Allen. Principles of Corporate Finance. McGraw-Hill Education, 2020.</w:t>
      </w:r>
    </w:p>
    <w:p w14:paraId="35019AF9" w14:textId="77777777" w:rsidR="0059069B" w:rsidRPr="00E2265A" w:rsidRDefault="0059069B" w:rsidP="0059069B">
      <w:pPr>
        <w:rPr>
          <w:rFonts w:ascii="Arial" w:hAnsi="Arial" w:cs="Arial"/>
          <w:i/>
          <w:iCs/>
          <w:sz w:val="18"/>
          <w:szCs w:val="18"/>
        </w:rPr>
      </w:pPr>
      <w:r w:rsidRPr="00E2265A">
        <w:rPr>
          <w:rFonts w:ascii="Arial" w:hAnsi="Arial" w:cs="Arial"/>
          <w:i/>
          <w:iCs/>
          <w:sz w:val="18"/>
          <w:szCs w:val="18"/>
        </w:rPr>
        <w:t>Drury, Colin. Management and Cost Accounting. Cengage Learning, 2018.</w:t>
      </w:r>
    </w:p>
    <w:p w14:paraId="19A313AF" w14:textId="77777777" w:rsidR="0059069B" w:rsidRPr="00E2265A" w:rsidRDefault="0059069B" w:rsidP="0059069B">
      <w:pPr>
        <w:rPr>
          <w:rFonts w:ascii="Arial" w:hAnsi="Arial" w:cs="Arial"/>
          <w:i/>
          <w:iCs/>
          <w:sz w:val="18"/>
          <w:szCs w:val="18"/>
        </w:rPr>
      </w:pPr>
      <w:r w:rsidRPr="00E2265A">
        <w:rPr>
          <w:rFonts w:ascii="Arial" w:hAnsi="Arial" w:cs="Arial"/>
          <w:i/>
          <w:iCs/>
          <w:sz w:val="18"/>
          <w:szCs w:val="18"/>
        </w:rPr>
        <w:t>Grant, Robert M. Contemporary Strategy Analysis. Wiley, 2020.</w:t>
      </w:r>
    </w:p>
    <w:p w14:paraId="2036D028" w14:textId="77777777" w:rsidR="0059069B" w:rsidRPr="00E2265A" w:rsidRDefault="0059069B" w:rsidP="0059069B">
      <w:pPr>
        <w:rPr>
          <w:rFonts w:ascii="Arial" w:hAnsi="Arial" w:cs="Arial"/>
          <w:i/>
          <w:iCs/>
          <w:sz w:val="18"/>
          <w:szCs w:val="18"/>
        </w:rPr>
      </w:pPr>
      <w:r w:rsidRPr="00E2265A">
        <w:rPr>
          <w:rFonts w:ascii="Arial" w:hAnsi="Arial" w:cs="Arial"/>
          <w:i/>
          <w:iCs/>
          <w:sz w:val="18"/>
          <w:szCs w:val="18"/>
        </w:rPr>
        <w:t>Hillier, David, Stephen A. Ross, Randolph Westerfield, Jeffrey Jaffe, and Bradford D. Jordan. Corporate Finance. McGraw-Hill Education, 2020.</w:t>
      </w:r>
    </w:p>
    <w:p w14:paraId="2896DE28" w14:textId="643A1419" w:rsidR="0059069B" w:rsidRDefault="0059069B" w:rsidP="0059069B">
      <w:pPr>
        <w:rPr>
          <w:rFonts w:ascii="Arial" w:hAnsi="Arial" w:cs="Arial"/>
          <w:i/>
          <w:iCs/>
          <w:sz w:val="18"/>
          <w:szCs w:val="18"/>
        </w:rPr>
      </w:pPr>
      <w:r w:rsidRPr="00E2265A">
        <w:rPr>
          <w:rFonts w:ascii="Arial" w:hAnsi="Arial" w:cs="Arial"/>
          <w:i/>
          <w:iCs/>
          <w:sz w:val="18"/>
          <w:szCs w:val="18"/>
        </w:rPr>
        <w:t>Johnson, Gerry, Kevan Scholes, and Richard Whittington. Exploring Strategy: Text and Cases. Pearson Education, 2017</w:t>
      </w:r>
    </w:p>
    <w:p w14:paraId="77BC0DB2" w14:textId="77777777" w:rsidR="0059069B" w:rsidRPr="00E2265A" w:rsidRDefault="0059069B" w:rsidP="0059069B">
      <w:pPr>
        <w:rPr>
          <w:rFonts w:ascii="Arial" w:hAnsi="Arial" w:cs="Arial"/>
          <w:i/>
          <w:iCs/>
          <w:sz w:val="18"/>
          <w:szCs w:val="18"/>
        </w:rPr>
      </w:pPr>
    </w:p>
    <w:p w14:paraId="2BD421C5" w14:textId="77777777" w:rsidR="0059069B" w:rsidRPr="00E2265A" w:rsidRDefault="0059069B" w:rsidP="0059069B">
      <w:pPr>
        <w:rPr>
          <w:rFonts w:ascii="Arial" w:hAnsi="Arial" w:cs="Arial"/>
          <w:sz w:val="24"/>
          <w:szCs w:val="24"/>
        </w:rPr>
      </w:pPr>
    </w:p>
    <w:p w14:paraId="04203D64" w14:textId="77777777" w:rsidR="0059069B" w:rsidRPr="00B54455" w:rsidRDefault="0059069B" w:rsidP="0059069B">
      <w:pPr>
        <w:rPr>
          <w:rFonts w:ascii="Arial" w:hAnsi="Arial" w:cs="Arial"/>
          <w:sz w:val="24"/>
          <w:szCs w:val="24"/>
        </w:rPr>
      </w:pPr>
    </w:p>
    <w:p w14:paraId="63DFC8FE" w14:textId="77777777" w:rsidR="0059069B" w:rsidRDefault="0059069B" w:rsidP="0059069B">
      <w:pPr>
        <w:rPr>
          <w:rFonts w:ascii="Arial" w:hAnsi="Arial" w:cs="Arial"/>
          <w:sz w:val="24"/>
          <w:szCs w:val="24"/>
        </w:rPr>
      </w:pPr>
      <w:r>
        <w:rPr>
          <w:rFonts w:ascii="Arial" w:hAnsi="Arial" w:cs="Arial"/>
          <w:sz w:val="24"/>
          <w:szCs w:val="24"/>
        </w:rPr>
        <w:object w:dxaOrig="4461" w:dyaOrig="831" w14:anchorId="1B489BF3">
          <v:shape id="_x0000_i1025" type="#_x0000_t75" style="width:223pt;height:41.35pt" o:ole="">
            <v:imagedata r:id="rId10" o:title=""/>
          </v:shape>
          <o:OLEObject Type="Embed" ProgID="Package" ShapeID="_x0000_i1025" DrawAspect="Content" ObjectID="_1798919776" r:id="rId22"/>
        </w:object>
      </w:r>
    </w:p>
    <w:p w14:paraId="1B2EA3CC" w14:textId="77777777" w:rsidR="0059069B" w:rsidRPr="00B54455" w:rsidRDefault="0059069B" w:rsidP="0059069B">
      <w:pPr>
        <w:rPr>
          <w:rFonts w:ascii="Arial" w:hAnsi="Arial" w:cs="Arial"/>
          <w:sz w:val="24"/>
          <w:szCs w:val="24"/>
        </w:rPr>
      </w:pPr>
      <w:r>
        <w:rPr>
          <w:rFonts w:ascii="Arial" w:hAnsi="Arial" w:cs="Arial"/>
          <w:sz w:val="24"/>
          <w:szCs w:val="24"/>
        </w:rPr>
        <w:object w:dxaOrig="4530" w:dyaOrig="831" w14:anchorId="4B937D63">
          <v:shape id="_x0000_i1026" type="#_x0000_t75" style="width:226.75pt;height:41.35pt" o:ole="">
            <v:imagedata r:id="rId12" o:title=""/>
          </v:shape>
          <o:OLEObject Type="Embed" ProgID="Package" ShapeID="_x0000_i1026" DrawAspect="Content" ObjectID="_1798919777" r:id="rId23"/>
        </w:object>
      </w:r>
      <w:r>
        <w:rPr>
          <w:rFonts w:ascii="Arial" w:hAnsi="Arial" w:cs="Arial"/>
          <w:sz w:val="24"/>
          <w:szCs w:val="24"/>
        </w:rPr>
        <w:object w:dxaOrig="2781" w:dyaOrig="831" w14:anchorId="743E1D12">
          <v:shape id="_x0000_i1027" type="#_x0000_t75" style="width:139.15pt;height:41.35pt" o:ole="">
            <v:imagedata r:id="rId14" o:title=""/>
          </v:shape>
          <o:OLEObject Type="Embed" ProgID="Package" ShapeID="_x0000_i1027" DrawAspect="Content" ObjectID="_1798919778" r:id="rId24"/>
        </w:object>
      </w:r>
    </w:p>
    <w:p w14:paraId="2042D0C4" w14:textId="674E95AF" w:rsidR="0059069B" w:rsidRDefault="0059069B">
      <w:pPr>
        <w:rPr>
          <w:rFonts w:ascii="Times New Roman" w:hAnsi="Times New Roman" w:cs="Times New Roman"/>
          <w:sz w:val="20"/>
          <w:szCs w:val="20"/>
        </w:rPr>
      </w:pPr>
    </w:p>
    <w:sectPr w:rsidR="0059069B" w:rsidSect="00D026F0">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50597" w14:textId="77777777" w:rsidR="00C658CD" w:rsidRDefault="00C658CD" w:rsidP="00D026F0">
      <w:pPr>
        <w:spacing w:after="0" w:line="240" w:lineRule="auto"/>
      </w:pPr>
      <w:r>
        <w:separator/>
      </w:r>
    </w:p>
  </w:endnote>
  <w:endnote w:type="continuationSeparator" w:id="0">
    <w:p w14:paraId="122FE1AA" w14:textId="77777777" w:rsidR="00C658CD" w:rsidRDefault="00C658CD" w:rsidP="00D02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784946"/>
      <w:docPartObj>
        <w:docPartGallery w:val="Page Numbers (Bottom of Page)"/>
        <w:docPartUnique/>
      </w:docPartObj>
    </w:sdtPr>
    <w:sdtContent>
      <w:p w14:paraId="3E2CCE6D" w14:textId="38EF92EC" w:rsidR="00D026F0" w:rsidRDefault="00D026F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93D264D" w14:textId="0457FA5F" w:rsidR="00D026F0" w:rsidRDefault="00D02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73B69" w14:textId="77777777" w:rsidR="00C658CD" w:rsidRDefault="00C658CD" w:rsidP="00D026F0">
      <w:pPr>
        <w:spacing w:after="0" w:line="240" w:lineRule="auto"/>
      </w:pPr>
      <w:r>
        <w:separator/>
      </w:r>
    </w:p>
  </w:footnote>
  <w:footnote w:type="continuationSeparator" w:id="0">
    <w:p w14:paraId="5C46A9EC" w14:textId="77777777" w:rsidR="00C658CD" w:rsidRDefault="00C658CD" w:rsidP="00D026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4B23"/>
    <w:multiLevelType w:val="multilevel"/>
    <w:tmpl w:val="85AED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15438"/>
    <w:multiLevelType w:val="multilevel"/>
    <w:tmpl w:val="4F0E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0321E"/>
    <w:multiLevelType w:val="multilevel"/>
    <w:tmpl w:val="EE1E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36EFB"/>
    <w:multiLevelType w:val="multilevel"/>
    <w:tmpl w:val="E714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A4159"/>
    <w:multiLevelType w:val="multilevel"/>
    <w:tmpl w:val="5E24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24F17"/>
    <w:multiLevelType w:val="multilevel"/>
    <w:tmpl w:val="F9C6B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F68E5"/>
    <w:multiLevelType w:val="hybridMultilevel"/>
    <w:tmpl w:val="B66E51A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2823899"/>
    <w:multiLevelType w:val="multilevel"/>
    <w:tmpl w:val="E47C27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92948"/>
    <w:multiLevelType w:val="multilevel"/>
    <w:tmpl w:val="C7A0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50A6D"/>
    <w:multiLevelType w:val="multilevel"/>
    <w:tmpl w:val="3AC02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AB6FD9"/>
    <w:multiLevelType w:val="multilevel"/>
    <w:tmpl w:val="4538F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384B1A"/>
    <w:multiLevelType w:val="multilevel"/>
    <w:tmpl w:val="CE1A5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8B0A1A"/>
    <w:multiLevelType w:val="multilevel"/>
    <w:tmpl w:val="8388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5B118A"/>
    <w:multiLevelType w:val="multilevel"/>
    <w:tmpl w:val="F8E4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614D67"/>
    <w:multiLevelType w:val="multilevel"/>
    <w:tmpl w:val="53D0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6001F8"/>
    <w:multiLevelType w:val="multilevel"/>
    <w:tmpl w:val="7D26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D87006"/>
    <w:multiLevelType w:val="hybridMultilevel"/>
    <w:tmpl w:val="A840458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1EE73AD0"/>
    <w:multiLevelType w:val="multilevel"/>
    <w:tmpl w:val="EBBA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E50F4"/>
    <w:multiLevelType w:val="multilevel"/>
    <w:tmpl w:val="C69E17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22A619B"/>
    <w:multiLevelType w:val="multilevel"/>
    <w:tmpl w:val="9632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8C5D86"/>
    <w:multiLevelType w:val="multilevel"/>
    <w:tmpl w:val="4646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94360D"/>
    <w:multiLevelType w:val="multilevel"/>
    <w:tmpl w:val="9796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BB18A3"/>
    <w:multiLevelType w:val="hybridMultilevel"/>
    <w:tmpl w:val="ADB44218"/>
    <w:lvl w:ilvl="0" w:tplc="4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0543F77"/>
    <w:multiLevelType w:val="multilevel"/>
    <w:tmpl w:val="D6DEB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95365C"/>
    <w:multiLevelType w:val="multilevel"/>
    <w:tmpl w:val="960A87D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CF648B"/>
    <w:multiLevelType w:val="multilevel"/>
    <w:tmpl w:val="0956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1C71DB"/>
    <w:multiLevelType w:val="hybridMultilevel"/>
    <w:tmpl w:val="3840575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372E18FC"/>
    <w:multiLevelType w:val="hybridMultilevel"/>
    <w:tmpl w:val="5E566342"/>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89A3621"/>
    <w:multiLevelType w:val="hybridMultilevel"/>
    <w:tmpl w:val="C09A689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3A1B5F4A"/>
    <w:multiLevelType w:val="multilevel"/>
    <w:tmpl w:val="A8647CB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C8A29E2"/>
    <w:multiLevelType w:val="multilevel"/>
    <w:tmpl w:val="107A8B6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3CB10773"/>
    <w:multiLevelType w:val="multilevel"/>
    <w:tmpl w:val="ECC84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0441EE"/>
    <w:multiLevelType w:val="multilevel"/>
    <w:tmpl w:val="075EDDC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181310A"/>
    <w:multiLevelType w:val="multilevel"/>
    <w:tmpl w:val="0118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CD71A1"/>
    <w:multiLevelType w:val="multilevel"/>
    <w:tmpl w:val="13A2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F32D09"/>
    <w:multiLevelType w:val="multilevel"/>
    <w:tmpl w:val="B602E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3FC5825"/>
    <w:multiLevelType w:val="multilevel"/>
    <w:tmpl w:val="8E247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55E5B09"/>
    <w:multiLevelType w:val="multilevel"/>
    <w:tmpl w:val="3D94C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715545"/>
    <w:multiLevelType w:val="multilevel"/>
    <w:tmpl w:val="E068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070C22"/>
    <w:multiLevelType w:val="multilevel"/>
    <w:tmpl w:val="2EAA7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2471AE"/>
    <w:multiLevelType w:val="multilevel"/>
    <w:tmpl w:val="C704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DF485C"/>
    <w:multiLevelType w:val="multilevel"/>
    <w:tmpl w:val="5CFA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0C6600"/>
    <w:multiLevelType w:val="multilevel"/>
    <w:tmpl w:val="D6589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4F1B08"/>
    <w:multiLevelType w:val="multilevel"/>
    <w:tmpl w:val="5656A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E1E64B9"/>
    <w:multiLevelType w:val="multilevel"/>
    <w:tmpl w:val="C53C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0B6142"/>
    <w:multiLevelType w:val="multilevel"/>
    <w:tmpl w:val="CC0A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FC7EED"/>
    <w:multiLevelType w:val="multilevel"/>
    <w:tmpl w:val="1B96D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164628"/>
    <w:multiLevelType w:val="multilevel"/>
    <w:tmpl w:val="52307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0E65D9"/>
    <w:multiLevelType w:val="multilevel"/>
    <w:tmpl w:val="0192B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463699"/>
    <w:multiLevelType w:val="multilevel"/>
    <w:tmpl w:val="7B306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092A42"/>
    <w:multiLevelType w:val="multilevel"/>
    <w:tmpl w:val="B946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B438C4"/>
    <w:multiLevelType w:val="multilevel"/>
    <w:tmpl w:val="0BE6E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7F54D8"/>
    <w:multiLevelType w:val="multilevel"/>
    <w:tmpl w:val="549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AD5ED2"/>
    <w:multiLevelType w:val="hybridMultilevel"/>
    <w:tmpl w:val="ADECA25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7B803872"/>
    <w:multiLevelType w:val="multilevel"/>
    <w:tmpl w:val="2B3AA7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420E20"/>
    <w:multiLevelType w:val="multilevel"/>
    <w:tmpl w:val="1C8C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A45288"/>
    <w:multiLevelType w:val="multilevel"/>
    <w:tmpl w:val="0228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509932">
    <w:abstractNumId w:val="34"/>
  </w:num>
  <w:num w:numId="2" w16cid:durableId="1124810751">
    <w:abstractNumId w:val="14"/>
  </w:num>
  <w:num w:numId="3" w16cid:durableId="579146441">
    <w:abstractNumId w:val="39"/>
  </w:num>
  <w:num w:numId="4" w16cid:durableId="256863980">
    <w:abstractNumId w:val="44"/>
  </w:num>
  <w:num w:numId="5" w16cid:durableId="1097141955">
    <w:abstractNumId w:val="25"/>
  </w:num>
  <w:num w:numId="6" w16cid:durableId="1009219226">
    <w:abstractNumId w:val="5"/>
  </w:num>
  <w:num w:numId="7" w16cid:durableId="1272207825">
    <w:abstractNumId w:val="31"/>
  </w:num>
  <w:num w:numId="8" w16cid:durableId="658921510">
    <w:abstractNumId w:val="0"/>
  </w:num>
  <w:num w:numId="9" w16cid:durableId="1748990946">
    <w:abstractNumId w:val="38"/>
  </w:num>
  <w:num w:numId="10" w16cid:durableId="864904587">
    <w:abstractNumId w:val="56"/>
  </w:num>
  <w:num w:numId="11" w16cid:durableId="1300526074">
    <w:abstractNumId w:val="1"/>
  </w:num>
  <w:num w:numId="12" w16cid:durableId="1196895034">
    <w:abstractNumId w:val="8"/>
  </w:num>
  <w:num w:numId="13" w16cid:durableId="1703432188">
    <w:abstractNumId w:val="17"/>
  </w:num>
  <w:num w:numId="14" w16cid:durableId="981345433">
    <w:abstractNumId w:val="41"/>
  </w:num>
  <w:num w:numId="15" w16cid:durableId="1310091174">
    <w:abstractNumId w:val="21"/>
  </w:num>
  <w:num w:numId="16" w16cid:durableId="1511984977">
    <w:abstractNumId w:val="47"/>
  </w:num>
  <w:num w:numId="17" w16cid:durableId="1022130983">
    <w:abstractNumId w:val="40"/>
  </w:num>
  <w:num w:numId="18" w16cid:durableId="1291009534">
    <w:abstractNumId w:val="55"/>
  </w:num>
  <w:num w:numId="19" w16cid:durableId="860314791">
    <w:abstractNumId w:val="2"/>
  </w:num>
  <w:num w:numId="20" w16cid:durableId="2145662338">
    <w:abstractNumId w:val="37"/>
  </w:num>
  <w:num w:numId="21" w16cid:durableId="1608928960">
    <w:abstractNumId w:val="4"/>
  </w:num>
  <w:num w:numId="22" w16cid:durableId="2069375715">
    <w:abstractNumId w:val="45"/>
  </w:num>
  <w:num w:numId="23" w16cid:durableId="768701442">
    <w:abstractNumId w:val="52"/>
  </w:num>
  <w:num w:numId="24" w16cid:durableId="1365328146">
    <w:abstractNumId w:val="33"/>
  </w:num>
  <w:num w:numId="25" w16cid:durableId="1675448215">
    <w:abstractNumId w:val="15"/>
  </w:num>
  <w:num w:numId="26" w16cid:durableId="768543841">
    <w:abstractNumId w:val="19"/>
  </w:num>
  <w:num w:numId="27" w16cid:durableId="436415855">
    <w:abstractNumId w:val="35"/>
  </w:num>
  <w:num w:numId="28" w16cid:durableId="832645501">
    <w:abstractNumId w:val="23"/>
  </w:num>
  <w:num w:numId="29" w16cid:durableId="1427726701">
    <w:abstractNumId w:val="18"/>
  </w:num>
  <w:num w:numId="30" w16cid:durableId="1959406966">
    <w:abstractNumId w:val="29"/>
  </w:num>
  <w:num w:numId="31" w16cid:durableId="165024373">
    <w:abstractNumId w:val="30"/>
  </w:num>
  <w:num w:numId="32" w16cid:durableId="104732374">
    <w:abstractNumId w:val="32"/>
  </w:num>
  <w:num w:numId="33" w16cid:durableId="1655525012">
    <w:abstractNumId w:val="26"/>
  </w:num>
  <w:num w:numId="34" w16cid:durableId="1375157730">
    <w:abstractNumId w:val="22"/>
  </w:num>
  <w:num w:numId="35" w16cid:durableId="1051925426">
    <w:abstractNumId w:val="27"/>
  </w:num>
  <w:num w:numId="36" w16cid:durableId="750468855">
    <w:abstractNumId w:val="12"/>
  </w:num>
  <w:num w:numId="37" w16cid:durableId="424153756">
    <w:abstractNumId w:val="36"/>
  </w:num>
  <w:num w:numId="38" w16cid:durableId="1226455536">
    <w:abstractNumId w:val="10"/>
  </w:num>
  <w:num w:numId="39" w16cid:durableId="1549145182">
    <w:abstractNumId w:val="6"/>
  </w:num>
  <w:num w:numId="40" w16cid:durableId="1227296318">
    <w:abstractNumId w:val="43"/>
  </w:num>
  <w:num w:numId="41" w16cid:durableId="1448163240">
    <w:abstractNumId w:val="3"/>
  </w:num>
  <w:num w:numId="42" w16cid:durableId="148330997">
    <w:abstractNumId w:val="49"/>
  </w:num>
  <w:num w:numId="43" w16cid:durableId="617488028">
    <w:abstractNumId w:val="9"/>
  </w:num>
  <w:num w:numId="44" w16cid:durableId="1432319167">
    <w:abstractNumId w:val="16"/>
  </w:num>
  <w:num w:numId="45" w16cid:durableId="552037672">
    <w:abstractNumId w:val="53"/>
  </w:num>
  <w:num w:numId="46" w16cid:durableId="1411385237">
    <w:abstractNumId w:val="13"/>
  </w:num>
  <w:num w:numId="47" w16cid:durableId="208958246">
    <w:abstractNumId w:val="11"/>
  </w:num>
  <w:num w:numId="48" w16cid:durableId="1880165751">
    <w:abstractNumId w:val="28"/>
  </w:num>
  <w:num w:numId="49" w16cid:durableId="1928730564">
    <w:abstractNumId w:val="54"/>
  </w:num>
  <w:num w:numId="50" w16cid:durableId="897715468">
    <w:abstractNumId w:val="24"/>
  </w:num>
  <w:num w:numId="51" w16cid:durableId="1907253954">
    <w:abstractNumId w:val="7"/>
  </w:num>
  <w:num w:numId="52" w16cid:durableId="766541238">
    <w:abstractNumId w:val="20"/>
  </w:num>
  <w:num w:numId="53" w16cid:durableId="1743944973">
    <w:abstractNumId w:val="51"/>
  </w:num>
  <w:num w:numId="54" w16cid:durableId="1756247883">
    <w:abstractNumId w:val="48"/>
  </w:num>
  <w:num w:numId="55" w16cid:durableId="2056076248">
    <w:abstractNumId w:val="46"/>
  </w:num>
  <w:num w:numId="56" w16cid:durableId="405424946">
    <w:abstractNumId w:val="50"/>
  </w:num>
  <w:num w:numId="57" w16cid:durableId="64100875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F8E"/>
    <w:rsid w:val="0009490D"/>
    <w:rsid w:val="000A5607"/>
    <w:rsid w:val="000F0238"/>
    <w:rsid w:val="000F1720"/>
    <w:rsid w:val="00184148"/>
    <w:rsid w:val="001B4889"/>
    <w:rsid w:val="001C4DD3"/>
    <w:rsid w:val="00205184"/>
    <w:rsid w:val="002777BF"/>
    <w:rsid w:val="002865A3"/>
    <w:rsid w:val="002A6E6B"/>
    <w:rsid w:val="00357AE8"/>
    <w:rsid w:val="005369D7"/>
    <w:rsid w:val="0056593D"/>
    <w:rsid w:val="0059069B"/>
    <w:rsid w:val="006E1F6F"/>
    <w:rsid w:val="007520DC"/>
    <w:rsid w:val="00817F8E"/>
    <w:rsid w:val="00952742"/>
    <w:rsid w:val="00C658CD"/>
    <w:rsid w:val="00CB7B5B"/>
    <w:rsid w:val="00D00BD5"/>
    <w:rsid w:val="00D026F0"/>
    <w:rsid w:val="00DD7ADF"/>
    <w:rsid w:val="00E3641E"/>
    <w:rsid w:val="00E4387E"/>
    <w:rsid w:val="00F54C5C"/>
    <w:rsid w:val="00F82533"/>
    <w:rsid w:val="00FB5D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B0274"/>
  <w15:chartTrackingRefBased/>
  <w15:docId w15:val="{898EE1FF-7345-485F-A8D7-7F1759B8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184"/>
  </w:style>
  <w:style w:type="paragraph" w:styleId="Heading3">
    <w:name w:val="heading 3"/>
    <w:basedOn w:val="Normal"/>
    <w:next w:val="Normal"/>
    <w:link w:val="Heading3Char"/>
    <w:uiPriority w:val="9"/>
    <w:semiHidden/>
    <w:unhideWhenUsed/>
    <w:qFormat/>
    <w:rsid w:val="00F825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2865A3"/>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I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865A3"/>
    <w:rPr>
      <w:rFonts w:ascii="Times New Roman" w:eastAsia="Times New Roman" w:hAnsi="Times New Roman" w:cs="Times New Roman"/>
      <w:b/>
      <w:bCs/>
      <w:kern w:val="0"/>
      <w:sz w:val="24"/>
      <w:szCs w:val="24"/>
      <w:lang w:eastAsia="en-IN"/>
      <w14:ligatures w14:val="none"/>
    </w:rPr>
  </w:style>
  <w:style w:type="character" w:styleId="Strong">
    <w:name w:val="Strong"/>
    <w:basedOn w:val="DefaultParagraphFont"/>
    <w:uiPriority w:val="22"/>
    <w:qFormat/>
    <w:rsid w:val="002865A3"/>
    <w:rPr>
      <w:b/>
      <w:bCs/>
    </w:rPr>
  </w:style>
  <w:style w:type="paragraph" w:styleId="NormalWeb">
    <w:name w:val="Normal (Web)"/>
    <w:basedOn w:val="Normal"/>
    <w:uiPriority w:val="99"/>
    <w:semiHidden/>
    <w:unhideWhenUsed/>
    <w:rsid w:val="002865A3"/>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ListParagraph">
    <w:name w:val="List Paragraph"/>
    <w:basedOn w:val="Normal"/>
    <w:uiPriority w:val="34"/>
    <w:qFormat/>
    <w:rsid w:val="002865A3"/>
    <w:pPr>
      <w:ind w:left="720"/>
      <w:contextualSpacing/>
    </w:pPr>
  </w:style>
  <w:style w:type="character" w:customStyle="1" w:styleId="Heading3Char">
    <w:name w:val="Heading 3 Char"/>
    <w:basedOn w:val="DefaultParagraphFont"/>
    <w:link w:val="Heading3"/>
    <w:uiPriority w:val="9"/>
    <w:semiHidden/>
    <w:rsid w:val="00F8253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02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6F0"/>
  </w:style>
  <w:style w:type="paragraph" w:styleId="Footer">
    <w:name w:val="footer"/>
    <w:basedOn w:val="Normal"/>
    <w:link w:val="FooterChar"/>
    <w:uiPriority w:val="99"/>
    <w:unhideWhenUsed/>
    <w:rsid w:val="00D02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6F0"/>
  </w:style>
  <w:style w:type="paragraph" w:styleId="NoSpacing">
    <w:name w:val="No Spacing"/>
    <w:link w:val="NoSpacingChar"/>
    <w:uiPriority w:val="1"/>
    <w:qFormat/>
    <w:rsid w:val="00D026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026F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92472">
      <w:bodyDiv w:val="1"/>
      <w:marLeft w:val="0"/>
      <w:marRight w:val="0"/>
      <w:marTop w:val="0"/>
      <w:marBottom w:val="0"/>
      <w:divBdr>
        <w:top w:val="none" w:sz="0" w:space="0" w:color="auto"/>
        <w:left w:val="none" w:sz="0" w:space="0" w:color="auto"/>
        <w:bottom w:val="none" w:sz="0" w:space="0" w:color="auto"/>
        <w:right w:val="none" w:sz="0" w:space="0" w:color="auto"/>
      </w:divBdr>
    </w:div>
    <w:div w:id="99031720">
      <w:bodyDiv w:val="1"/>
      <w:marLeft w:val="0"/>
      <w:marRight w:val="0"/>
      <w:marTop w:val="0"/>
      <w:marBottom w:val="0"/>
      <w:divBdr>
        <w:top w:val="none" w:sz="0" w:space="0" w:color="auto"/>
        <w:left w:val="none" w:sz="0" w:space="0" w:color="auto"/>
        <w:bottom w:val="none" w:sz="0" w:space="0" w:color="auto"/>
        <w:right w:val="none" w:sz="0" w:space="0" w:color="auto"/>
      </w:divBdr>
    </w:div>
    <w:div w:id="130054151">
      <w:bodyDiv w:val="1"/>
      <w:marLeft w:val="0"/>
      <w:marRight w:val="0"/>
      <w:marTop w:val="0"/>
      <w:marBottom w:val="0"/>
      <w:divBdr>
        <w:top w:val="none" w:sz="0" w:space="0" w:color="auto"/>
        <w:left w:val="none" w:sz="0" w:space="0" w:color="auto"/>
        <w:bottom w:val="none" w:sz="0" w:space="0" w:color="auto"/>
        <w:right w:val="none" w:sz="0" w:space="0" w:color="auto"/>
      </w:divBdr>
    </w:div>
    <w:div w:id="195433978">
      <w:bodyDiv w:val="1"/>
      <w:marLeft w:val="0"/>
      <w:marRight w:val="0"/>
      <w:marTop w:val="0"/>
      <w:marBottom w:val="0"/>
      <w:divBdr>
        <w:top w:val="none" w:sz="0" w:space="0" w:color="auto"/>
        <w:left w:val="none" w:sz="0" w:space="0" w:color="auto"/>
        <w:bottom w:val="none" w:sz="0" w:space="0" w:color="auto"/>
        <w:right w:val="none" w:sz="0" w:space="0" w:color="auto"/>
      </w:divBdr>
    </w:div>
    <w:div w:id="199365962">
      <w:bodyDiv w:val="1"/>
      <w:marLeft w:val="0"/>
      <w:marRight w:val="0"/>
      <w:marTop w:val="0"/>
      <w:marBottom w:val="0"/>
      <w:divBdr>
        <w:top w:val="none" w:sz="0" w:space="0" w:color="auto"/>
        <w:left w:val="none" w:sz="0" w:space="0" w:color="auto"/>
        <w:bottom w:val="none" w:sz="0" w:space="0" w:color="auto"/>
        <w:right w:val="none" w:sz="0" w:space="0" w:color="auto"/>
      </w:divBdr>
    </w:div>
    <w:div w:id="219246332">
      <w:bodyDiv w:val="1"/>
      <w:marLeft w:val="0"/>
      <w:marRight w:val="0"/>
      <w:marTop w:val="0"/>
      <w:marBottom w:val="0"/>
      <w:divBdr>
        <w:top w:val="none" w:sz="0" w:space="0" w:color="auto"/>
        <w:left w:val="none" w:sz="0" w:space="0" w:color="auto"/>
        <w:bottom w:val="none" w:sz="0" w:space="0" w:color="auto"/>
        <w:right w:val="none" w:sz="0" w:space="0" w:color="auto"/>
      </w:divBdr>
    </w:div>
    <w:div w:id="232080418">
      <w:bodyDiv w:val="1"/>
      <w:marLeft w:val="0"/>
      <w:marRight w:val="0"/>
      <w:marTop w:val="0"/>
      <w:marBottom w:val="0"/>
      <w:divBdr>
        <w:top w:val="none" w:sz="0" w:space="0" w:color="auto"/>
        <w:left w:val="none" w:sz="0" w:space="0" w:color="auto"/>
        <w:bottom w:val="none" w:sz="0" w:space="0" w:color="auto"/>
        <w:right w:val="none" w:sz="0" w:space="0" w:color="auto"/>
      </w:divBdr>
    </w:div>
    <w:div w:id="235015206">
      <w:bodyDiv w:val="1"/>
      <w:marLeft w:val="0"/>
      <w:marRight w:val="0"/>
      <w:marTop w:val="0"/>
      <w:marBottom w:val="0"/>
      <w:divBdr>
        <w:top w:val="none" w:sz="0" w:space="0" w:color="auto"/>
        <w:left w:val="none" w:sz="0" w:space="0" w:color="auto"/>
        <w:bottom w:val="none" w:sz="0" w:space="0" w:color="auto"/>
        <w:right w:val="none" w:sz="0" w:space="0" w:color="auto"/>
      </w:divBdr>
    </w:div>
    <w:div w:id="341666587">
      <w:bodyDiv w:val="1"/>
      <w:marLeft w:val="0"/>
      <w:marRight w:val="0"/>
      <w:marTop w:val="0"/>
      <w:marBottom w:val="0"/>
      <w:divBdr>
        <w:top w:val="none" w:sz="0" w:space="0" w:color="auto"/>
        <w:left w:val="none" w:sz="0" w:space="0" w:color="auto"/>
        <w:bottom w:val="none" w:sz="0" w:space="0" w:color="auto"/>
        <w:right w:val="none" w:sz="0" w:space="0" w:color="auto"/>
      </w:divBdr>
    </w:div>
    <w:div w:id="375473332">
      <w:bodyDiv w:val="1"/>
      <w:marLeft w:val="0"/>
      <w:marRight w:val="0"/>
      <w:marTop w:val="0"/>
      <w:marBottom w:val="0"/>
      <w:divBdr>
        <w:top w:val="none" w:sz="0" w:space="0" w:color="auto"/>
        <w:left w:val="none" w:sz="0" w:space="0" w:color="auto"/>
        <w:bottom w:val="none" w:sz="0" w:space="0" w:color="auto"/>
        <w:right w:val="none" w:sz="0" w:space="0" w:color="auto"/>
      </w:divBdr>
    </w:div>
    <w:div w:id="504394377">
      <w:bodyDiv w:val="1"/>
      <w:marLeft w:val="0"/>
      <w:marRight w:val="0"/>
      <w:marTop w:val="0"/>
      <w:marBottom w:val="0"/>
      <w:divBdr>
        <w:top w:val="none" w:sz="0" w:space="0" w:color="auto"/>
        <w:left w:val="none" w:sz="0" w:space="0" w:color="auto"/>
        <w:bottom w:val="none" w:sz="0" w:space="0" w:color="auto"/>
        <w:right w:val="none" w:sz="0" w:space="0" w:color="auto"/>
      </w:divBdr>
    </w:div>
    <w:div w:id="525289633">
      <w:bodyDiv w:val="1"/>
      <w:marLeft w:val="0"/>
      <w:marRight w:val="0"/>
      <w:marTop w:val="0"/>
      <w:marBottom w:val="0"/>
      <w:divBdr>
        <w:top w:val="none" w:sz="0" w:space="0" w:color="auto"/>
        <w:left w:val="none" w:sz="0" w:space="0" w:color="auto"/>
        <w:bottom w:val="none" w:sz="0" w:space="0" w:color="auto"/>
        <w:right w:val="none" w:sz="0" w:space="0" w:color="auto"/>
      </w:divBdr>
    </w:div>
    <w:div w:id="558710531">
      <w:bodyDiv w:val="1"/>
      <w:marLeft w:val="0"/>
      <w:marRight w:val="0"/>
      <w:marTop w:val="0"/>
      <w:marBottom w:val="0"/>
      <w:divBdr>
        <w:top w:val="none" w:sz="0" w:space="0" w:color="auto"/>
        <w:left w:val="none" w:sz="0" w:space="0" w:color="auto"/>
        <w:bottom w:val="none" w:sz="0" w:space="0" w:color="auto"/>
        <w:right w:val="none" w:sz="0" w:space="0" w:color="auto"/>
      </w:divBdr>
    </w:div>
    <w:div w:id="584077561">
      <w:bodyDiv w:val="1"/>
      <w:marLeft w:val="0"/>
      <w:marRight w:val="0"/>
      <w:marTop w:val="0"/>
      <w:marBottom w:val="0"/>
      <w:divBdr>
        <w:top w:val="none" w:sz="0" w:space="0" w:color="auto"/>
        <w:left w:val="none" w:sz="0" w:space="0" w:color="auto"/>
        <w:bottom w:val="none" w:sz="0" w:space="0" w:color="auto"/>
        <w:right w:val="none" w:sz="0" w:space="0" w:color="auto"/>
      </w:divBdr>
    </w:div>
    <w:div w:id="593511530">
      <w:bodyDiv w:val="1"/>
      <w:marLeft w:val="0"/>
      <w:marRight w:val="0"/>
      <w:marTop w:val="0"/>
      <w:marBottom w:val="0"/>
      <w:divBdr>
        <w:top w:val="none" w:sz="0" w:space="0" w:color="auto"/>
        <w:left w:val="none" w:sz="0" w:space="0" w:color="auto"/>
        <w:bottom w:val="none" w:sz="0" w:space="0" w:color="auto"/>
        <w:right w:val="none" w:sz="0" w:space="0" w:color="auto"/>
      </w:divBdr>
    </w:div>
    <w:div w:id="630868507">
      <w:bodyDiv w:val="1"/>
      <w:marLeft w:val="0"/>
      <w:marRight w:val="0"/>
      <w:marTop w:val="0"/>
      <w:marBottom w:val="0"/>
      <w:divBdr>
        <w:top w:val="none" w:sz="0" w:space="0" w:color="auto"/>
        <w:left w:val="none" w:sz="0" w:space="0" w:color="auto"/>
        <w:bottom w:val="none" w:sz="0" w:space="0" w:color="auto"/>
        <w:right w:val="none" w:sz="0" w:space="0" w:color="auto"/>
      </w:divBdr>
    </w:div>
    <w:div w:id="907614884">
      <w:bodyDiv w:val="1"/>
      <w:marLeft w:val="0"/>
      <w:marRight w:val="0"/>
      <w:marTop w:val="0"/>
      <w:marBottom w:val="0"/>
      <w:divBdr>
        <w:top w:val="none" w:sz="0" w:space="0" w:color="auto"/>
        <w:left w:val="none" w:sz="0" w:space="0" w:color="auto"/>
        <w:bottom w:val="none" w:sz="0" w:space="0" w:color="auto"/>
        <w:right w:val="none" w:sz="0" w:space="0" w:color="auto"/>
      </w:divBdr>
    </w:div>
    <w:div w:id="939525257">
      <w:bodyDiv w:val="1"/>
      <w:marLeft w:val="0"/>
      <w:marRight w:val="0"/>
      <w:marTop w:val="0"/>
      <w:marBottom w:val="0"/>
      <w:divBdr>
        <w:top w:val="none" w:sz="0" w:space="0" w:color="auto"/>
        <w:left w:val="none" w:sz="0" w:space="0" w:color="auto"/>
        <w:bottom w:val="none" w:sz="0" w:space="0" w:color="auto"/>
        <w:right w:val="none" w:sz="0" w:space="0" w:color="auto"/>
      </w:divBdr>
    </w:div>
    <w:div w:id="972174811">
      <w:bodyDiv w:val="1"/>
      <w:marLeft w:val="0"/>
      <w:marRight w:val="0"/>
      <w:marTop w:val="0"/>
      <w:marBottom w:val="0"/>
      <w:divBdr>
        <w:top w:val="none" w:sz="0" w:space="0" w:color="auto"/>
        <w:left w:val="none" w:sz="0" w:space="0" w:color="auto"/>
        <w:bottom w:val="none" w:sz="0" w:space="0" w:color="auto"/>
        <w:right w:val="none" w:sz="0" w:space="0" w:color="auto"/>
      </w:divBdr>
    </w:div>
    <w:div w:id="981152566">
      <w:bodyDiv w:val="1"/>
      <w:marLeft w:val="0"/>
      <w:marRight w:val="0"/>
      <w:marTop w:val="0"/>
      <w:marBottom w:val="0"/>
      <w:divBdr>
        <w:top w:val="none" w:sz="0" w:space="0" w:color="auto"/>
        <w:left w:val="none" w:sz="0" w:space="0" w:color="auto"/>
        <w:bottom w:val="none" w:sz="0" w:space="0" w:color="auto"/>
        <w:right w:val="none" w:sz="0" w:space="0" w:color="auto"/>
      </w:divBdr>
    </w:div>
    <w:div w:id="1005978509">
      <w:bodyDiv w:val="1"/>
      <w:marLeft w:val="0"/>
      <w:marRight w:val="0"/>
      <w:marTop w:val="0"/>
      <w:marBottom w:val="0"/>
      <w:divBdr>
        <w:top w:val="none" w:sz="0" w:space="0" w:color="auto"/>
        <w:left w:val="none" w:sz="0" w:space="0" w:color="auto"/>
        <w:bottom w:val="none" w:sz="0" w:space="0" w:color="auto"/>
        <w:right w:val="none" w:sz="0" w:space="0" w:color="auto"/>
      </w:divBdr>
    </w:div>
    <w:div w:id="1034037800">
      <w:bodyDiv w:val="1"/>
      <w:marLeft w:val="0"/>
      <w:marRight w:val="0"/>
      <w:marTop w:val="0"/>
      <w:marBottom w:val="0"/>
      <w:divBdr>
        <w:top w:val="none" w:sz="0" w:space="0" w:color="auto"/>
        <w:left w:val="none" w:sz="0" w:space="0" w:color="auto"/>
        <w:bottom w:val="none" w:sz="0" w:space="0" w:color="auto"/>
        <w:right w:val="none" w:sz="0" w:space="0" w:color="auto"/>
      </w:divBdr>
    </w:div>
    <w:div w:id="1095902378">
      <w:bodyDiv w:val="1"/>
      <w:marLeft w:val="0"/>
      <w:marRight w:val="0"/>
      <w:marTop w:val="0"/>
      <w:marBottom w:val="0"/>
      <w:divBdr>
        <w:top w:val="none" w:sz="0" w:space="0" w:color="auto"/>
        <w:left w:val="none" w:sz="0" w:space="0" w:color="auto"/>
        <w:bottom w:val="none" w:sz="0" w:space="0" w:color="auto"/>
        <w:right w:val="none" w:sz="0" w:space="0" w:color="auto"/>
      </w:divBdr>
    </w:div>
    <w:div w:id="1128552037">
      <w:bodyDiv w:val="1"/>
      <w:marLeft w:val="0"/>
      <w:marRight w:val="0"/>
      <w:marTop w:val="0"/>
      <w:marBottom w:val="0"/>
      <w:divBdr>
        <w:top w:val="none" w:sz="0" w:space="0" w:color="auto"/>
        <w:left w:val="none" w:sz="0" w:space="0" w:color="auto"/>
        <w:bottom w:val="none" w:sz="0" w:space="0" w:color="auto"/>
        <w:right w:val="none" w:sz="0" w:space="0" w:color="auto"/>
      </w:divBdr>
    </w:div>
    <w:div w:id="1155612411">
      <w:bodyDiv w:val="1"/>
      <w:marLeft w:val="0"/>
      <w:marRight w:val="0"/>
      <w:marTop w:val="0"/>
      <w:marBottom w:val="0"/>
      <w:divBdr>
        <w:top w:val="none" w:sz="0" w:space="0" w:color="auto"/>
        <w:left w:val="none" w:sz="0" w:space="0" w:color="auto"/>
        <w:bottom w:val="none" w:sz="0" w:space="0" w:color="auto"/>
        <w:right w:val="none" w:sz="0" w:space="0" w:color="auto"/>
      </w:divBdr>
    </w:div>
    <w:div w:id="1260986942">
      <w:bodyDiv w:val="1"/>
      <w:marLeft w:val="0"/>
      <w:marRight w:val="0"/>
      <w:marTop w:val="0"/>
      <w:marBottom w:val="0"/>
      <w:divBdr>
        <w:top w:val="none" w:sz="0" w:space="0" w:color="auto"/>
        <w:left w:val="none" w:sz="0" w:space="0" w:color="auto"/>
        <w:bottom w:val="none" w:sz="0" w:space="0" w:color="auto"/>
        <w:right w:val="none" w:sz="0" w:space="0" w:color="auto"/>
      </w:divBdr>
    </w:div>
    <w:div w:id="1265843828">
      <w:bodyDiv w:val="1"/>
      <w:marLeft w:val="0"/>
      <w:marRight w:val="0"/>
      <w:marTop w:val="0"/>
      <w:marBottom w:val="0"/>
      <w:divBdr>
        <w:top w:val="none" w:sz="0" w:space="0" w:color="auto"/>
        <w:left w:val="none" w:sz="0" w:space="0" w:color="auto"/>
        <w:bottom w:val="none" w:sz="0" w:space="0" w:color="auto"/>
        <w:right w:val="none" w:sz="0" w:space="0" w:color="auto"/>
      </w:divBdr>
    </w:div>
    <w:div w:id="1268848632">
      <w:bodyDiv w:val="1"/>
      <w:marLeft w:val="0"/>
      <w:marRight w:val="0"/>
      <w:marTop w:val="0"/>
      <w:marBottom w:val="0"/>
      <w:divBdr>
        <w:top w:val="none" w:sz="0" w:space="0" w:color="auto"/>
        <w:left w:val="none" w:sz="0" w:space="0" w:color="auto"/>
        <w:bottom w:val="none" w:sz="0" w:space="0" w:color="auto"/>
        <w:right w:val="none" w:sz="0" w:space="0" w:color="auto"/>
      </w:divBdr>
    </w:div>
    <w:div w:id="1291668695">
      <w:bodyDiv w:val="1"/>
      <w:marLeft w:val="0"/>
      <w:marRight w:val="0"/>
      <w:marTop w:val="0"/>
      <w:marBottom w:val="0"/>
      <w:divBdr>
        <w:top w:val="none" w:sz="0" w:space="0" w:color="auto"/>
        <w:left w:val="none" w:sz="0" w:space="0" w:color="auto"/>
        <w:bottom w:val="none" w:sz="0" w:space="0" w:color="auto"/>
        <w:right w:val="none" w:sz="0" w:space="0" w:color="auto"/>
      </w:divBdr>
    </w:div>
    <w:div w:id="1358046548">
      <w:bodyDiv w:val="1"/>
      <w:marLeft w:val="0"/>
      <w:marRight w:val="0"/>
      <w:marTop w:val="0"/>
      <w:marBottom w:val="0"/>
      <w:divBdr>
        <w:top w:val="none" w:sz="0" w:space="0" w:color="auto"/>
        <w:left w:val="none" w:sz="0" w:space="0" w:color="auto"/>
        <w:bottom w:val="none" w:sz="0" w:space="0" w:color="auto"/>
        <w:right w:val="none" w:sz="0" w:space="0" w:color="auto"/>
      </w:divBdr>
    </w:div>
    <w:div w:id="1456488303">
      <w:bodyDiv w:val="1"/>
      <w:marLeft w:val="0"/>
      <w:marRight w:val="0"/>
      <w:marTop w:val="0"/>
      <w:marBottom w:val="0"/>
      <w:divBdr>
        <w:top w:val="none" w:sz="0" w:space="0" w:color="auto"/>
        <w:left w:val="none" w:sz="0" w:space="0" w:color="auto"/>
        <w:bottom w:val="none" w:sz="0" w:space="0" w:color="auto"/>
        <w:right w:val="none" w:sz="0" w:space="0" w:color="auto"/>
      </w:divBdr>
    </w:div>
    <w:div w:id="1504510891">
      <w:bodyDiv w:val="1"/>
      <w:marLeft w:val="0"/>
      <w:marRight w:val="0"/>
      <w:marTop w:val="0"/>
      <w:marBottom w:val="0"/>
      <w:divBdr>
        <w:top w:val="none" w:sz="0" w:space="0" w:color="auto"/>
        <w:left w:val="none" w:sz="0" w:space="0" w:color="auto"/>
        <w:bottom w:val="none" w:sz="0" w:space="0" w:color="auto"/>
        <w:right w:val="none" w:sz="0" w:space="0" w:color="auto"/>
      </w:divBdr>
    </w:div>
    <w:div w:id="1522013879">
      <w:bodyDiv w:val="1"/>
      <w:marLeft w:val="0"/>
      <w:marRight w:val="0"/>
      <w:marTop w:val="0"/>
      <w:marBottom w:val="0"/>
      <w:divBdr>
        <w:top w:val="none" w:sz="0" w:space="0" w:color="auto"/>
        <w:left w:val="none" w:sz="0" w:space="0" w:color="auto"/>
        <w:bottom w:val="none" w:sz="0" w:space="0" w:color="auto"/>
        <w:right w:val="none" w:sz="0" w:space="0" w:color="auto"/>
      </w:divBdr>
    </w:div>
    <w:div w:id="1635714760">
      <w:bodyDiv w:val="1"/>
      <w:marLeft w:val="0"/>
      <w:marRight w:val="0"/>
      <w:marTop w:val="0"/>
      <w:marBottom w:val="0"/>
      <w:divBdr>
        <w:top w:val="none" w:sz="0" w:space="0" w:color="auto"/>
        <w:left w:val="none" w:sz="0" w:space="0" w:color="auto"/>
        <w:bottom w:val="none" w:sz="0" w:space="0" w:color="auto"/>
        <w:right w:val="none" w:sz="0" w:space="0" w:color="auto"/>
      </w:divBdr>
    </w:div>
    <w:div w:id="1650593107">
      <w:bodyDiv w:val="1"/>
      <w:marLeft w:val="0"/>
      <w:marRight w:val="0"/>
      <w:marTop w:val="0"/>
      <w:marBottom w:val="0"/>
      <w:divBdr>
        <w:top w:val="none" w:sz="0" w:space="0" w:color="auto"/>
        <w:left w:val="none" w:sz="0" w:space="0" w:color="auto"/>
        <w:bottom w:val="none" w:sz="0" w:space="0" w:color="auto"/>
        <w:right w:val="none" w:sz="0" w:space="0" w:color="auto"/>
      </w:divBdr>
    </w:div>
    <w:div w:id="1658341529">
      <w:bodyDiv w:val="1"/>
      <w:marLeft w:val="0"/>
      <w:marRight w:val="0"/>
      <w:marTop w:val="0"/>
      <w:marBottom w:val="0"/>
      <w:divBdr>
        <w:top w:val="none" w:sz="0" w:space="0" w:color="auto"/>
        <w:left w:val="none" w:sz="0" w:space="0" w:color="auto"/>
        <w:bottom w:val="none" w:sz="0" w:space="0" w:color="auto"/>
        <w:right w:val="none" w:sz="0" w:space="0" w:color="auto"/>
      </w:divBdr>
    </w:div>
    <w:div w:id="1688293785">
      <w:bodyDiv w:val="1"/>
      <w:marLeft w:val="0"/>
      <w:marRight w:val="0"/>
      <w:marTop w:val="0"/>
      <w:marBottom w:val="0"/>
      <w:divBdr>
        <w:top w:val="none" w:sz="0" w:space="0" w:color="auto"/>
        <w:left w:val="none" w:sz="0" w:space="0" w:color="auto"/>
        <w:bottom w:val="none" w:sz="0" w:space="0" w:color="auto"/>
        <w:right w:val="none" w:sz="0" w:space="0" w:color="auto"/>
      </w:divBdr>
    </w:div>
    <w:div w:id="1748190237">
      <w:bodyDiv w:val="1"/>
      <w:marLeft w:val="0"/>
      <w:marRight w:val="0"/>
      <w:marTop w:val="0"/>
      <w:marBottom w:val="0"/>
      <w:divBdr>
        <w:top w:val="none" w:sz="0" w:space="0" w:color="auto"/>
        <w:left w:val="none" w:sz="0" w:space="0" w:color="auto"/>
        <w:bottom w:val="none" w:sz="0" w:space="0" w:color="auto"/>
        <w:right w:val="none" w:sz="0" w:space="0" w:color="auto"/>
      </w:divBdr>
    </w:div>
    <w:div w:id="1786732140">
      <w:bodyDiv w:val="1"/>
      <w:marLeft w:val="0"/>
      <w:marRight w:val="0"/>
      <w:marTop w:val="0"/>
      <w:marBottom w:val="0"/>
      <w:divBdr>
        <w:top w:val="none" w:sz="0" w:space="0" w:color="auto"/>
        <w:left w:val="none" w:sz="0" w:space="0" w:color="auto"/>
        <w:bottom w:val="none" w:sz="0" w:space="0" w:color="auto"/>
        <w:right w:val="none" w:sz="0" w:space="0" w:color="auto"/>
      </w:divBdr>
    </w:div>
    <w:div w:id="1918713102">
      <w:bodyDiv w:val="1"/>
      <w:marLeft w:val="0"/>
      <w:marRight w:val="0"/>
      <w:marTop w:val="0"/>
      <w:marBottom w:val="0"/>
      <w:divBdr>
        <w:top w:val="none" w:sz="0" w:space="0" w:color="auto"/>
        <w:left w:val="none" w:sz="0" w:space="0" w:color="auto"/>
        <w:bottom w:val="none" w:sz="0" w:space="0" w:color="auto"/>
        <w:right w:val="none" w:sz="0" w:space="0" w:color="auto"/>
      </w:divBdr>
    </w:div>
    <w:div w:id="1948729940">
      <w:bodyDiv w:val="1"/>
      <w:marLeft w:val="0"/>
      <w:marRight w:val="0"/>
      <w:marTop w:val="0"/>
      <w:marBottom w:val="0"/>
      <w:divBdr>
        <w:top w:val="none" w:sz="0" w:space="0" w:color="auto"/>
        <w:left w:val="none" w:sz="0" w:space="0" w:color="auto"/>
        <w:bottom w:val="none" w:sz="0" w:space="0" w:color="auto"/>
        <w:right w:val="none" w:sz="0" w:space="0" w:color="auto"/>
      </w:divBdr>
    </w:div>
    <w:div w:id="1950697291">
      <w:bodyDiv w:val="1"/>
      <w:marLeft w:val="0"/>
      <w:marRight w:val="0"/>
      <w:marTop w:val="0"/>
      <w:marBottom w:val="0"/>
      <w:divBdr>
        <w:top w:val="none" w:sz="0" w:space="0" w:color="auto"/>
        <w:left w:val="none" w:sz="0" w:space="0" w:color="auto"/>
        <w:bottom w:val="none" w:sz="0" w:space="0" w:color="auto"/>
        <w:right w:val="none" w:sz="0" w:space="0" w:color="auto"/>
      </w:divBdr>
    </w:div>
    <w:div w:id="1955137740">
      <w:bodyDiv w:val="1"/>
      <w:marLeft w:val="0"/>
      <w:marRight w:val="0"/>
      <w:marTop w:val="0"/>
      <w:marBottom w:val="0"/>
      <w:divBdr>
        <w:top w:val="none" w:sz="0" w:space="0" w:color="auto"/>
        <w:left w:val="none" w:sz="0" w:space="0" w:color="auto"/>
        <w:bottom w:val="none" w:sz="0" w:space="0" w:color="auto"/>
        <w:right w:val="none" w:sz="0" w:space="0" w:color="auto"/>
      </w:divBdr>
    </w:div>
    <w:div w:id="2058581486">
      <w:bodyDiv w:val="1"/>
      <w:marLeft w:val="0"/>
      <w:marRight w:val="0"/>
      <w:marTop w:val="0"/>
      <w:marBottom w:val="0"/>
      <w:divBdr>
        <w:top w:val="none" w:sz="0" w:space="0" w:color="auto"/>
        <w:left w:val="none" w:sz="0" w:space="0" w:color="auto"/>
        <w:bottom w:val="none" w:sz="0" w:space="0" w:color="auto"/>
        <w:right w:val="none" w:sz="0" w:space="0" w:color="auto"/>
      </w:divBdr>
    </w:div>
    <w:div w:id="2116974064">
      <w:bodyDiv w:val="1"/>
      <w:marLeft w:val="0"/>
      <w:marRight w:val="0"/>
      <w:marTop w:val="0"/>
      <w:marBottom w:val="0"/>
      <w:divBdr>
        <w:top w:val="none" w:sz="0" w:space="0" w:color="auto"/>
        <w:left w:val="none" w:sz="0" w:space="0" w:color="auto"/>
        <w:bottom w:val="none" w:sz="0" w:space="0" w:color="auto"/>
        <w:right w:val="none" w:sz="0" w:space="0" w:color="auto"/>
      </w:divBdr>
    </w:div>
    <w:div w:id="213983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package" Target="embeddings/Microsoft_Excel_Worksheet.xlsx"/><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6.bin"/><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5.bin"/><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oleObject" Target="embeddings/oleObject4.bin"/><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75F30C979A4B70BCE0F3C25ECBC832"/>
        <w:category>
          <w:name w:val="General"/>
          <w:gallery w:val="placeholder"/>
        </w:category>
        <w:types>
          <w:type w:val="bbPlcHdr"/>
        </w:types>
        <w:behaviors>
          <w:behavior w:val="content"/>
        </w:behaviors>
        <w:guid w:val="{DCF5411B-2B7D-4C23-A91B-C1E72F703A80}"/>
      </w:docPartPr>
      <w:docPartBody>
        <w:p w:rsidR="00000000" w:rsidRDefault="00CF3F1D" w:rsidP="00CF3F1D">
          <w:pPr>
            <w:pStyle w:val="C375F30C979A4B70BCE0F3C25ECBC832"/>
          </w:pPr>
          <w:r>
            <w:rPr>
              <w:rFonts w:asciiTheme="majorHAnsi" w:eastAsiaTheme="majorEastAsia" w:hAnsiTheme="majorHAnsi" w:cstheme="majorBidi"/>
              <w:caps/>
              <w:color w:val="4472C4" w:themeColor="accent1"/>
              <w:sz w:val="80"/>
              <w:szCs w:val="80"/>
            </w:rPr>
            <w:t>[Document title]</w:t>
          </w:r>
        </w:p>
      </w:docPartBody>
    </w:docPart>
    <w:docPart>
      <w:docPartPr>
        <w:name w:val="DA125B6936D14A1E9E6D515F9F845E67"/>
        <w:category>
          <w:name w:val="General"/>
          <w:gallery w:val="placeholder"/>
        </w:category>
        <w:types>
          <w:type w:val="bbPlcHdr"/>
        </w:types>
        <w:behaviors>
          <w:behavior w:val="content"/>
        </w:behaviors>
        <w:guid w:val="{5F2DD92D-7EDC-425D-88AC-DFB10FD38998}"/>
      </w:docPartPr>
      <w:docPartBody>
        <w:p w:rsidR="00000000" w:rsidRDefault="00CF3F1D" w:rsidP="00CF3F1D">
          <w:pPr>
            <w:pStyle w:val="DA125B6936D14A1E9E6D515F9F845E6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F1D"/>
    <w:rsid w:val="005677AD"/>
    <w:rsid w:val="00CF3F1D"/>
    <w:rsid w:val="00ED6B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75F30C979A4B70BCE0F3C25ECBC832">
    <w:name w:val="C375F30C979A4B70BCE0F3C25ECBC832"/>
    <w:rsid w:val="00CF3F1D"/>
  </w:style>
  <w:style w:type="paragraph" w:customStyle="1" w:styleId="99D2042F9C3B487BBBAB241F94A7DD8F">
    <w:name w:val="99D2042F9C3B487BBBAB241F94A7DD8F"/>
    <w:rsid w:val="00CF3F1D"/>
  </w:style>
  <w:style w:type="paragraph" w:customStyle="1" w:styleId="DA125B6936D14A1E9E6D515F9F845E67">
    <w:name w:val="DA125B6936D14A1E9E6D515F9F845E67"/>
    <w:rsid w:val="00CF3F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C1E17-3ED2-4DCF-941B-50F943721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8291</Words>
  <Characters>47261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Financial Ratio Analysis Report: DCC plc (2023-2024)</vt:lpstr>
    </vt:vector>
  </TitlesOfParts>
  <Company/>
  <LinksUpToDate>false</LinksUpToDate>
  <CharactersWithSpaces>55442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Ratio Analysis Report: DCC plc (2023-2024)</dc:title>
  <dc:subject>SARATHU KUNNUMPURATHU SURESH (ID- 2406023) (JANUARY 20, 2025)</dc:subject>
  <dc:creator>Sarathu KS</dc:creator>
  <cp:keywords/>
  <dc:description/>
  <cp:lastModifiedBy>Sarathu KS</cp:lastModifiedBy>
  <cp:revision>4</cp:revision>
  <dcterms:created xsi:type="dcterms:W3CDTF">2025-01-20T22:02:00Z</dcterms:created>
  <dcterms:modified xsi:type="dcterms:W3CDTF">2025-01-20T22:09:00Z</dcterms:modified>
</cp:coreProperties>
</file>