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45B3E" w14:textId="77777777" w:rsidR="00036DB3" w:rsidRPr="002E3D59" w:rsidRDefault="00B10B85" w:rsidP="002E3D59">
      <w:pPr>
        <w:spacing w:line="360" w:lineRule="auto"/>
        <w:jc w:val="center"/>
        <w:rPr>
          <w:rFonts w:ascii="Times New Roman" w:hAnsi="Times New Roman" w:cs="Times New Roman"/>
          <w:b/>
          <w:sz w:val="24"/>
        </w:rPr>
      </w:pPr>
      <w:bookmarkStart w:id="0" w:name="_9ok98xj1oplq" w:colFirst="0" w:colLast="0"/>
      <w:bookmarkEnd w:id="0"/>
      <w:r w:rsidRPr="002E3D59">
        <w:rPr>
          <w:rFonts w:ascii="Times New Roman" w:hAnsi="Times New Roman" w:cs="Times New Roman"/>
          <w:b/>
          <w:sz w:val="24"/>
        </w:rPr>
        <w:t>Programme: BA (Hons) Business Management</w:t>
      </w:r>
    </w:p>
    <w:p w14:paraId="02FD12EC" w14:textId="77777777" w:rsidR="002E3D59" w:rsidRDefault="002E3D59" w:rsidP="002E3D59">
      <w:pPr>
        <w:spacing w:line="360" w:lineRule="auto"/>
        <w:jc w:val="center"/>
        <w:rPr>
          <w:rFonts w:ascii="Times New Roman" w:hAnsi="Times New Roman" w:cs="Times New Roman"/>
          <w:b/>
          <w:sz w:val="28"/>
          <w:szCs w:val="26"/>
        </w:rPr>
      </w:pPr>
      <w:bookmarkStart w:id="1" w:name="_n8o02kfs5b5o" w:colFirst="0" w:colLast="0"/>
      <w:bookmarkEnd w:id="1"/>
    </w:p>
    <w:p w14:paraId="41CBA075" w14:textId="77777777" w:rsidR="00036DB3" w:rsidRPr="002E3D59" w:rsidRDefault="00B10B85" w:rsidP="002E3D59">
      <w:pPr>
        <w:pBdr>
          <w:bottom w:val="single" w:sz="4" w:space="1" w:color="auto"/>
        </w:pBdr>
        <w:spacing w:line="360" w:lineRule="auto"/>
        <w:jc w:val="center"/>
        <w:rPr>
          <w:rFonts w:ascii="Times New Roman" w:hAnsi="Times New Roman" w:cs="Times New Roman"/>
          <w:b/>
          <w:sz w:val="28"/>
          <w:szCs w:val="26"/>
        </w:rPr>
      </w:pPr>
      <w:r w:rsidRPr="002E3D59">
        <w:rPr>
          <w:rFonts w:ascii="Times New Roman" w:hAnsi="Times New Roman" w:cs="Times New Roman"/>
          <w:b/>
          <w:sz w:val="28"/>
          <w:szCs w:val="26"/>
        </w:rPr>
        <w:t>Module: Strategic Management and Sustainability</w:t>
      </w:r>
    </w:p>
    <w:p w14:paraId="3BD76F3D" w14:textId="77777777" w:rsidR="002E3D59" w:rsidRDefault="002E3D59" w:rsidP="002E3D59">
      <w:pPr>
        <w:spacing w:line="360" w:lineRule="auto"/>
        <w:jc w:val="center"/>
        <w:rPr>
          <w:rFonts w:ascii="Times New Roman" w:hAnsi="Times New Roman" w:cs="Times New Roman"/>
          <w:b/>
          <w:sz w:val="24"/>
        </w:rPr>
      </w:pPr>
      <w:bookmarkStart w:id="2" w:name="_muv2mn8d33ps" w:colFirst="0" w:colLast="0"/>
      <w:bookmarkEnd w:id="2"/>
    </w:p>
    <w:p w14:paraId="52D3539F" w14:textId="77777777" w:rsidR="00036DB3" w:rsidRPr="002E3D59" w:rsidRDefault="00B10B85" w:rsidP="002E3D59">
      <w:pPr>
        <w:spacing w:line="360" w:lineRule="auto"/>
        <w:jc w:val="center"/>
        <w:rPr>
          <w:rFonts w:ascii="Times New Roman" w:hAnsi="Times New Roman" w:cs="Times New Roman"/>
          <w:b/>
          <w:sz w:val="24"/>
        </w:rPr>
      </w:pPr>
      <w:r w:rsidRPr="002E3D59">
        <w:rPr>
          <w:rFonts w:ascii="Times New Roman" w:hAnsi="Times New Roman" w:cs="Times New Roman"/>
          <w:b/>
          <w:sz w:val="24"/>
        </w:rPr>
        <w:t>Module code: LCBB6004</w:t>
      </w:r>
    </w:p>
    <w:p w14:paraId="103BDA26" w14:textId="77777777" w:rsidR="002E3D59" w:rsidRDefault="002E3D59" w:rsidP="002E3D59">
      <w:pPr>
        <w:spacing w:line="360" w:lineRule="auto"/>
        <w:jc w:val="center"/>
        <w:rPr>
          <w:rFonts w:ascii="Times New Roman" w:hAnsi="Times New Roman" w:cs="Times New Roman"/>
          <w:b/>
          <w:sz w:val="32"/>
          <w:szCs w:val="32"/>
        </w:rPr>
      </w:pPr>
    </w:p>
    <w:p w14:paraId="632CA00C" w14:textId="77777777" w:rsidR="00036DB3" w:rsidRPr="002E3D59" w:rsidRDefault="00B10B85" w:rsidP="002E3D59">
      <w:pPr>
        <w:pBdr>
          <w:bottom w:val="single" w:sz="4" w:space="1" w:color="auto"/>
        </w:pBdr>
        <w:spacing w:line="360" w:lineRule="auto"/>
        <w:jc w:val="center"/>
        <w:rPr>
          <w:rFonts w:ascii="Times New Roman" w:hAnsi="Times New Roman" w:cs="Times New Roman"/>
          <w:b/>
          <w:sz w:val="32"/>
          <w:szCs w:val="32"/>
        </w:rPr>
      </w:pPr>
      <w:r w:rsidRPr="002E3D59">
        <w:rPr>
          <w:rFonts w:ascii="Times New Roman" w:hAnsi="Times New Roman" w:cs="Times New Roman"/>
          <w:b/>
          <w:sz w:val="32"/>
          <w:szCs w:val="32"/>
        </w:rPr>
        <w:t>Assignment Title: Component 1: Coursework: Written Report</w:t>
      </w:r>
    </w:p>
    <w:p w14:paraId="4204C7B2" w14:textId="77777777" w:rsidR="00036DB3" w:rsidRPr="002E3D59" w:rsidRDefault="00036DB3" w:rsidP="002E3D59">
      <w:pPr>
        <w:spacing w:line="360" w:lineRule="auto"/>
        <w:jc w:val="center"/>
        <w:rPr>
          <w:rFonts w:ascii="Times New Roman" w:hAnsi="Times New Roman" w:cs="Times New Roman"/>
          <w:b/>
        </w:rPr>
      </w:pPr>
      <w:bookmarkStart w:id="3" w:name="_fhvd03rm1zal" w:colFirst="0" w:colLast="0"/>
      <w:bookmarkEnd w:id="3"/>
    </w:p>
    <w:p w14:paraId="4C6DE19D" w14:textId="77777777" w:rsidR="00036DB3" w:rsidRPr="002E3D59" w:rsidRDefault="00036DB3" w:rsidP="002E3D59">
      <w:pPr>
        <w:spacing w:line="360" w:lineRule="auto"/>
        <w:jc w:val="center"/>
        <w:rPr>
          <w:rFonts w:ascii="Times New Roman" w:hAnsi="Times New Roman" w:cs="Times New Roman"/>
          <w:b/>
        </w:rPr>
      </w:pPr>
      <w:bookmarkStart w:id="4" w:name="_oa6gz7lmu4vr" w:colFirst="0" w:colLast="0"/>
      <w:bookmarkEnd w:id="4"/>
    </w:p>
    <w:p w14:paraId="2E7517BB" w14:textId="77777777" w:rsidR="002E3D59" w:rsidRDefault="002E3D59" w:rsidP="002E3D59">
      <w:pPr>
        <w:spacing w:line="360" w:lineRule="auto"/>
        <w:jc w:val="center"/>
        <w:rPr>
          <w:rFonts w:ascii="Times New Roman" w:hAnsi="Times New Roman" w:cs="Times New Roman"/>
          <w:b/>
          <w:sz w:val="24"/>
          <w:szCs w:val="24"/>
        </w:rPr>
      </w:pPr>
      <w:bookmarkStart w:id="5" w:name="_kc58mnyfn712" w:colFirst="0" w:colLast="0"/>
      <w:bookmarkEnd w:id="5"/>
    </w:p>
    <w:p w14:paraId="5D1C36A6" w14:textId="77777777" w:rsidR="002E3D59" w:rsidRDefault="002E3D59" w:rsidP="002E3D59">
      <w:pPr>
        <w:spacing w:line="360" w:lineRule="auto"/>
        <w:jc w:val="center"/>
        <w:rPr>
          <w:rFonts w:ascii="Times New Roman" w:hAnsi="Times New Roman" w:cs="Times New Roman"/>
          <w:b/>
          <w:sz w:val="24"/>
          <w:szCs w:val="24"/>
        </w:rPr>
      </w:pPr>
    </w:p>
    <w:p w14:paraId="1E6976B8" w14:textId="77777777" w:rsidR="002E3D59" w:rsidRDefault="002E3D59" w:rsidP="002E3D59">
      <w:pPr>
        <w:spacing w:line="360" w:lineRule="auto"/>
        <w:jc w:val="center"/>
        <w:rPr>
          <w:rFonts w:ascii="Times New Roman" w:hAnsi="Times New Roman" w:cs="Times New Roman"/>
          <w:b/>
          <w:sz w:val="24"/>
          <w:szCs w:val="24"/>
        </w:rPr>
      </w:pPr>
    </w:p>
    <w:p w14:paraId="4EFC2059" w14:textId="77777777" w:rsidR="002E3D59" w:rsidRDefault="002E3D59" w:rsidP="002E3D59">
      <w:pPr>
        <w:spacing w:line="360" w:lineRule="auto"/>
        <w:jc w:val="center"/>
        <w:rPr>
          <w:rFonts w:ascii="Times New Roman" w:hAnsi="Times New Roman" w:cs="Times New Roman"/>
          <w:b/>
          <w:sz w:val="24"/>
          <w:szCs w:val="24"/>
        </w:rPr>
      </w:pPr>
    </w:p>
    <w:p w14:paraId="3971D651" w14:textId="77777777" w:rsidR="002E3D59" w:rsidRDefault="002E3D59" w:rsidP="002E3D59">
      <w:pPr>
        <w:spacing w:line="360" w:lineRule="auto"/>
        <w:jc w:val="center"/>
        <w:rPr>
          <w:rFonts w:ascii="Times New Roman" w:hAnsi="Times New Roman" w:cs="Times New Roman"/>
          <w:b/>
          <w:sz w:val="24"/>
          <w:szCs w:val="24"/>
        </w:rPr>
      </w:pPr>
    </w:p>
    <w:p w14:paraId="5F37AF0D" w14:textId="283F2BA7" w:rsidR="00036DB3" w:rsidRPr="002E3D59" w:rsidRDefault="00B10B85" w:rsidP="002E3D59">
      <w:pPr>
        <w:spacing w:line="360" w:lineRule="auto"/>
        <w:jc w:val="center"/>
        <w:rPr>
          <w:rFonts w:ascii="Times New Roman" w:hAnsi="Times New Roman" w:cs="Times New Roman"/>
          <w:b/>
          <w:sz w:val="24"/>
          <w:szCs w:val="24"/>
        </w:rPr>
      </w:pPr>
      <w:r w:rsidRPr="002E3D59">
        <w:rPr>
          <w:rFonts w:ascii="Times New Roman" w:hAnsi="Times New Roman" w:cs="Times New Roman"/>
          <w:b/>
          <w:sz w:val="24"/>
          <w:szCs w:val="24"/>
        </w:rPr>
        <w:t>Student Name:</w:t>
      </w:r>
      <w:r w:rsidR="00520013">
        <w:rPr>
          <w:rFonts w:ascii="Times New Roman" w:hAnsi="Times New Roman" w:cs="Times New Roman"/>
          <w:b/>
          <w:sz w:val="24"/>
          <w:szCs w:val="24"/>
        </w:rPr>
        <w:t xml:space="preserve"> Bogdan </w:t>
      </w:r>
      <w:proofErr w:type="spellStart"/>
      <w:r w:rsidR="00520013">
        <w:rPr>
          <w:rFonts w:ascii="Times New Roman" w:hAnsi="Times New Roman" w:cs="Times New Roman"/>
          <w:b/>
          <w:sz w:val="24"/>
          <w:szCs w:val="24"/>
        </w:rPr>
        <w:t>Pacuraru</w:t>
      </w:r>
      <w:proofErr w:type="spellEnd"/>
      <w:r w:rsidR="00520013">
        <w:rPr>
          <w:rFonts w:ascii="Times New Roman" w:hAnsi="Times New Roman" w:cs="Times New Roman"/>
          <w:b/>
          <w:sz w:val="24"/>
          <w:szCs w:val="24"/>
        </w:rPr>
        <w:t xml:space="preserve"> </w:t>
      </w:r>
    </w:p>
    <w:p w14:paraId="76436674" w14:textId="405E6373" w:rsidR="00036DB3" w:rsidRPr="002E3D59" w:rsidRDefault="00B10B85" w:rsidP="002E3D59">
      <w:pPr>
        <w:spacing w:line="360" w:lineRule="auto"/>
        <w:jc w:val="center"/>
        <w:rPr>
          <w:rFonts w:ascii="Times New Roman" w:eastAsia="Times New Roman" w:hAnsi="Times New Roman" w:cs="Times New Roman"/>
          <w:b/>
          <w:sz w:val="24"/>
          <w:szCs w:val="24"/>
        </w:rPr>
      </w:pPr>
      <w:r w:rsidRPr="002E3D59">
        <w:rPr>
          <w:rFonts w:ascii="Times New Roman" w:eastAsia="Times New Roman" w:hAnsi="Times New Roman" w:cs="Times New Roman"/>
          <w:b/>
          <w:sz w:val="24"/>
          <w:szCs w:val="24"/>
        </w:rPr>
        <w:t>Student ID:</w:t>
      </w:r>
      <w:r w:rsidR="00660616">
        <w:rPr>
          <w:rFonts w:ascii="Times New Roman" w:eastAsia="Times New Roman" w:hAnsi="Times New Roman" w:cs="Times New Roman"/>
          <w:b/>
          <w:sz w:val="24"/>
          <w:szCs w:val="24"/>
        </w:rPr>
        <w:t xml:space="preserve">2245496 </w:t>
      </w:r>
    </w:p>
    <w:p w14:paraId="12BE5D17" w14:textId="77777777" w:rsidR="00036DB3" w:rsidRDefault="00B10B85">
      <w:pPr>
        <w:spacing w:before="360" w:after="80" w:line="360" w:lineRule="auto"/>
        <w:jc w:val="center"/>
        <w:rPr>
          <w:rFonts w:ascii="Times New Roman" w:eastAsia="Times New Roman" w:hAnsi="Times New Roman" w:cs="Times New Roman"/>
          <w:b/>
          <w:sz w:val="24"/>
          <w:szCs w:val="24"/>
        </w:rPr>
      </w:pPr>
      <w:r>
        <w:br w:type="page"/>
      </w:r>
    </w:p>
    <w:p w14:paraId="2C05F2E1" w14:textId="77777777" w:rsidR="00036DB3" w:rsidRDefault="00B10B85">
      <w:pPr>
        <w:spacing w:before="360" w:after="8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7B436C10"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Lotus Cars Limited is a historic, British-based automotive manufacturer that is experiencing a strategic change aimed at rebranding as a world leader in electric performance mobility. The report will analyse the strategic position of Lotus in the frameworks of PESTLE, Porter's five forces, value chain analysis, VRIO and SWOT. The review indicates that Lotus has the advantages of engineering quality and brand prestige, but it has challenges: small scale production, weak supply chain, and ineffective digital infrastructure. It has suggested strategic options to overcome these gaps with accelerated electrification, digital innovation, global market expansion, and sustainability integration. The report concludes with practical recommendations that will help Lotus achieve long-term competitiveness and sustainable growth in the high-end EV market.</w:t>
      </w:r>
    </w:p>
    <w:p w14:paraId="6495A935" w14:textId="77777777" w:rsidR="002E3D59" w:rsidRDefault="002E3D59">
      <w:pPr>
        <w:rPr>
          <w:rFonts w:ascii="Times New Roman" w:eastAsia="Times New Roman" w:hAnsi="Times New Roman" w:cs="Times New Roman"/>
          <w:b/>
          <w:sz w:val="24"/>
          <w:szCs w:val="24"/>
        </w:rPr>
      </w:pPr>
      <w:bookmarkStart w:id="6" w:name="_prbgmxwmiszf" w:colFirst="0" w:colLast="0"/>
      <w:bookmarkEnd w:id="6"/>
      <w:r>
        <w:br w:type="page"/>
      </w:r>
    </w:p>
    <w:sdt>
      <w:sdtPr>
        <w:rPr>
          <w:rFonts w:ascii="Arial" w:eastAsia="Arial" w:hAnsi="Arial" w:cs="Arial"/>
          <w:color w:val="auto"/>
          <w:sz w:val="22"/>
          <w:szCs w:val="22"/>
          <w:lang w:val="en-GB" w:eastAsia="en-GB"/>
        </w:rPr>
        <w:id w:val="1451512438"/>
        <w:docPartObj>
          <w:docPartGallery w:val="Table of Contents"/>
          <w:docPartUnique/>
        </w:docPartObj>
      </w:sdtPr>
      <w:sdtEndPr>
        <w:rPr>
          <w:b/>
          <w:bCs/>
          <w:noProof/>
        </w:rPr>
      </w:sdtEndPr>
      <w:sdtContent>
        <w:p w14:paraId="5C8938C8" w14:textId="77777777" w:rsidR="002E3D59" w:rsidRPr="002E3D59" w:rsidRDefault="002E3D59" w:rsidP="002E3D59">
          <w:pPr>
            <w:pStyle w:val="Titlucuprins"/>
            <w:spacing w:line="360" w:lineRule="auto"/>
            <w:jc w:val="center"/>
            <w:rPr>
              <w:rFonts w:ascii="Times New Roman" w:hAnsi="Times New Roman" w:cs="Times New Roman"/>
              <w:b/>
              <w:color w:val="000000" w:themeColor="text1"/>
              <w:sz w:val="28"/>
              <w:szCs w:val="24"/>
            </w:rPr>
          </w:pPr>
          <w:r w:rsidRPr="002E3D59">
            <w:rPr>
              <w:rFonts w:ascii="Times New Roman" w:hAnsi="Times New Roman" w:cs="Times New Roman"/>
              <w:b/>
              <w:color w:val="000000" w:themeColor="text1"/>
              <w:sz w:val="28"/>
              <w:szCs w:val="24"/>
            </w:rPr>
            <w:t>Table of Contents</w:t>
          </w:r>
        </w:p>
        <w:p w14:paraId="17544B64" w14:textId="77777777" w:rsidR="002E3D59" w:rsidRPr="002E3D59" w:rsidRDefault="002E3D59" w:rsidP="002E3D59">
          <w:pPr>
            <w:pStyle w:val="Cuprins1"/>
            <w:tabs>
              <w:tab w:val="right" w:leader="dot" w:pos="9019"/>
            </w:tabs>
            <w:spacing w:line="360" w:lineRule="auto"/>
            <w:jc w:val="both"/>
            <w:rPr>
              <w:rFonts w:ascii="Times New Roman" w:eastAsiaTheme="minorEastAsia" w:hAnsi="Times New Roman" w:cs="Times New Roman"/>
              <w:noProof/>
              <w:sz w:val="24"/>
              <w:szCs w:val="24"/>
            </w:rPr>
          </w:pPr>
          <w:r w:rsidRPr="002E3D59">
            <w:rPr>
              <w:rFonts w:ascii="Times New Roman" w:hAnsi="Times New Roman" w:cs="Times New Roman"/>
              <w:b/>
              <w:bCs/>
              <w:noProof/>
              <w:sz w:val="24"/>
              <w:szCs w:val="24"/>
            </w:rPr>
            <w:fldChar w:fldCharType="begin"/>
          </w:r>
          <w:r w:rsidRPr="002E3D59">
            <w:rPr>
              <w:rFonts w:ascii="Times New Roman" w:hAnsi="Times New Roman" w:cs="Times New Roman"/>
              <w:b/>
              <w:bCs/>
              <w:noProof/>
              <w:sz w:val="24"/>
              <w:szCs w:val="24"/>
            </w:rPr>
            <w:instrText xml:space="preserve"> TOC \o "1-3" \h \z \u </w:instrText>
          </w:r>
          <w:r w:rsidRPr="002E3D59">
            <w:rPr>
              <w:rFonts w:ascii="Times New Roman" w:hAnsi="Times New Roman" w:cs="Times New Roman"/>
              <w:b/>
              <w:bCs/>
              <w:noProof/>
              <w:sz w:val="24"/>
              <w:szCs w:val="24"/>
            </w:rPr>
            <w:fldChar w:fldCharType="separate"/>
          </w:r>
          <w:hyperlink w:anchor="_Toc208529537" w:history="1">
            <w:r w:rsidRPr="002E3D59">
              <w:rPr>
                <w:rStyle w:val="Hyperlink"/>
                <w:rFonts w:ascii="Times New Roman" w:hAnsi="Times New Roman" w:cs="Times New Roman"/>
                <w:noProof/>
                <w:sz w:val="24"/>
                <w:szCs w:val="24"/>
              </w:rPr>
              <w:t>1. Introduction</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_Toc208529537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4</w:t>
            </w:r>
            <w:r w:rsidRPr="002E3D59">
              <w:rPr>
                <w:rFonts w:ascii="Times New Roman" w:hAnsi="Times New Roman" w:cs="Times New Roman"/>
                <w:noProof/>
                <w:webHidden/>
                <w:sz w:val="24"/>
                <w:szCs w:val="24"/>
              </w:rPr>
              <w:fldChar w:fldCharType="end"/>
            </w:r>
          </w:hyperlink>
        </w:p>
        <w:p w14:paraId="17DD030A" w14:textId="77777777" w:rsidR="002E3D59" w:rsidRPr="002E3D59" w:rsidRDefault="002E3D59" w:rsidP="002E3D59">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208529538" w:history="1">
            <w:r w:rsidRPr="002E3D59">
              <w:rPr>
                <w:rStyle w:val="Hyperlink"/>
                <w:rFonts w:ascii="Times New Roman" w:hAnsi="Times New Roman" w:cs="Times New Roman"/>
                <w:noProof/>
                <w:sz w:val="24"/>
                <w:szCs w:val="24"/>
              </w:rPr>
              <w:t>2. Strategy Analysis</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_Toc208529538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5</w:t>
            </w:r>
            <w:r w:rsidRPr="002E3D59">
              <w:rPr>
                <w:rFonts w:ascii="Times New Roman" w:hAnsi="Times New Roman" w:cs="Times New Roman"/>
                <w:noProof/>
                <w:webHidden/>
                <w:sz w:val="24"/>
                <w:szCs w:val="24"/>
              </w:rPr>
              <w:fldChar w:fldCharType="end"/>
            </w:r>
          </w:hyperlink>
        </w:p>
        <w:p w14:paraId="14CA4398" w14:textId="77777777" w:rsidR="002E3D59" w:rsidRPr="002E3D59" w:rsidRDefault="002E3D59" w:rsidP="002E3D59">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208529539" w:history="1">
            <w:r w:rsidRPr="002E3D59">
              <w:rPr>
                <w:rStyle w:val="Hyperlink"/>
                <w:rFonts w:ascii="Times New Roman" w:hAnsi="Times New Roman" w:cs="Times New Roman"/>
                <w:noProof/>
                <w:sz w:val="24"/>
                <w:szCs w:val="24"/>
              </w:rPr>
              <w:t>2.1. External Environment Audit</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_Toc208529539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5</w:t>
            </w:r>
            <w:r w:rsidRPr="002E3D59">
              <w:rPr>
                <w:rFonts w:ascii="Times New Roman" w:hAnsi="Times New Roman" w:cs="Times New Roman"/>
                <w:noProof/>
                <w:webHidden/>
                <w:sz w:val="24"/>
                <w:szCs w:val="24"/>
              </w:rPr>
              <w:fldChar w:fldCharType="end"/>
            </w:r>
          </w:hyperlink>
        </w:p>
        <w:p w14:paraId="2E8FD119" w14:textId="77777777" w:rsidR="002E3D59" w:rsidRPr="002E3D59" w:rsidRDefault="002E3D59" w:rsidP="002E3D59">
          <w:pPr>
            <w:pStyle w:val="Cuprins3"/>
            <w:tabs>
              <w:tab w:val="right" w:leader="dot" w:pos="9019"/>
            </w:tabs>
            <w:spacing w:line="360" w:lineRule="auto"/>
            <w:jc w:val="both"/>
            <w:rPr>
              <w:rFonts w:ascii="Times New Roman" w:eastAsiaTheme="minorEastAsia" w:hAnsi="Times New Roman" w:cs="Times New Roman"/>
              <w:noProof/>
              <w:sz w:val="24"/>
              <w:szCs w:val="24"/>
            </w:rPr>
          </w:pPr>
          <w:hyperlink w:anchor="_Toc208529540" w:history="1">
            <w:r w:rsidRPr="002E3D59">
              <w:rPr>
                <w:rStyle w:val="Hyperlink"/>
                <w:rFonts w:ascii="Times New Roman" w:hAnsi="Times New Roman" w:cs="Times New Roman"/>
                <w:noProof/>
                <w:sz w:val="24"/>
                <w:szCs w:val="24"/>
              </w:rPr>
              <w:t>2.1.1. PESTLE Analysis</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_Toc208529540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5</w:t>
            </w:r>
            <w:r w:rsidRPr="002E3D59">
              <w:rPr>
                <w:rFonts w:ascii="Times New Roman" w:hAnsi="Times New Roman" w:cs="Times New Roman"/>
                <w:noProof/>
                <w:webHidden/>
                <w:sz w:val="24"/>
                <w:szCs w:val="24"/>
              </w:rPr>
              <w:fldChar w:fldCharType="end"/>
            </w:r>
          </w:hyperlink>
        </w:p>
        <w:p w14:paraId="5E556C5E" w14:textId="77777777" w:rsidR="002E3D59" w:rsidRPr="002E3D59" w:rsidRDefault="002E3D59" w:rsidP="002E3D59">
          <w:pPr>
            <w:pStyle w:val="Cuprins3"/>
            <w:tabs>
              <w:tab w:val="right" w:leader="dot" w:pos="9019"/>
            </w:tabs>
            <w:spacing w:line="360" w:lineRule="auto"/>
            <w:jc w:val="both"/>
            <w:rPr>
              <w:rFonts w:ascii="Times New Roman" w:eastAsiaTheme="minorEastAsia" w:hAnsi="Times New Roman" w:cs="Times New Roman"/>
              <w:noProof/>
              <w:sz w:val="24"/>
              <w:szCs w:val="24"/>
            </w:rPr>
          </w:pPr>
          <w:hyperlink w:anchor="_Toc208529541" w:history="1">
            <w:r w:rsidRPr="002E3D59">
              <w:rPr>
                <w:rStyle w:val="Hyperlink"/>
                <w:rFonts w:ascii="Times New Roman" w:hAnsi="Times New Roman" w:cs="Times New Roman"/>
                <w:noProof/>
                <w:sz w:val="24"/>
                <w:szCs w:val="24"/>
              </w:rPr>
              <w:t>2.1.2. Porter’s Five Forces</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_Toc208529541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6</w:t>
            </w:r>
            <w:r w:rsidRPr="002E3D59">
              <w:rPr>
                <w:rFonts w:ascii="Times New Roman" w:hAnsi="Times New Roman" w:cs="Times New Roman"/>
                <w:noProof/>
                <w:webHidden/>
                <w:sz w:val="24"/>
                <w:szCs w:val="24"/>
              </w:rPr>
              <w:fldChar w:fldCharType="end"/>
            </w:r>
          </w:hyperlink>
        </w:p>
        <w:p w14:paraId="0E2B4C82" w14:textId="77777777" w:rsidR="002E3D59" w:rsidRPr="002E3D59" w:rsidRDefault="002E3D59" w:rsidP="002E3D59">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208529542" w:history="1">
            <w:r w:rsidRPr="002E3D59">
              <w:rPr>
                <w:rStyle w:val="Hyperlink"/>
                <w:rFonts w:ascii="Times New Roman" w:hAnsi="Times New Roman" w:cs="Times New Roman"/>
                <w:noProof/>
                <w:sz w:val="24"/>
                <w:szCs w:val="24"/>
              </w:rPr>
              <w:t>2.2. Internal Environment Audit</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_Toc208529542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7</w:t>
            </w:r>
            <w:r w:rsidRPr="002E3D59">
              <w:rPr>
                <w:rFonts w:ascii="Times New Roman" w:hAnsi="Times New Roman" w:cs="Times New Roman"/>
                <w:noProof/>
                <w:webHidden/>
                <w:sz w:val="24"/>
                <w:szCs w:val="24"/>
              </w:rPr>
              <w:fldChar w:fldCharType="end"/>
            </w:r>
          </w:hyperlink>
        </w:p>
        <w:p w14:paraId="2E22E275" w14:textId="77777777" w:rsidR="002E3D59" w:rsidRPr="002E3D59" w:rsidRDefault="002E3D59" w:rsidP="002E3D59">
          <w:pPr>
            <w:pStyle w:val="Cuprins3"/>
            <w:tabs>
              <w:tab w:val="right" w:leader="dot" w:pos="9019"/>
            </w:tabs>
            <w:spacing w:line="360" w:lineRule="auto"/>
            <w:jc w:val="both"/>
            <w:rPr>
              <w:rFonts w:ascii="Times New Roman" w:eastAsiaTheme="minorEastAsia" w:hAnsi="Times New Roman" w:cs="Times New Roman"/>
              <w:noProof/>
              <w:sz w:val="24"/>
              <w:szCs w:val="24"/>
            </w:rPr>
          </w:pPr>
          <w:hyperlink w:anchor="_Toc208529543" w:history="1">
            <w:r w:rsidRPr="002E3D59">
              <w:rPr>
                <w:rStyle w:val="Hyperlink"/>
                <w:rFonts w:ascii="Times New Roman" w:hAnsi="Times New Roman" w:cs="Times New Roman"/>
                <w:noProof/>
                <w:sz w:val="24"/>
                <w:szCs w:val="24"/>
              </w:rPr>
              <w:t>2.2.1. Value Chain Analysis</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_Toc208529543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7</w:t>
            </w:r>
            <w:r w:rsidRPr="002E3D59">
              <w:rPr>
                <w:rFonts w:ascii="Times New Roman" w:hAnsi="Times New Roman" w:cs="Times New Roman"/>
                <w:noProof/>
                <w:webHidden/>
                <w:sz w:val="24"/>
                <w:szCs w:val="24"/>
              </w:rPr>
              <w:fldChar w:fldCharType="end"/>
            </w:r>
          </w:hyperlink>
        </w:p>
        <w:p w14:paraId="0B566412" w14:textId="77777777" w:rsidR="002E3D59" w:rsidRPr="002E3D59" w:rsidRDefault="002E3D59" w:rsidP="002E3D59">
          <w:pPr>
            <w:pStyle w:val="Cuprins3"/>
            <w:tabs>
              <w:tab w:val="right" w:leader="dot" w:pos="9019"/>
            </w:tabs>
            <w:spacing w:line="360" w:lineRule="auto"/>
            <w:jc w:val="both"/>
            <w:rPr>
              <w:rFonts w:ascii="Times New Roman" w:eastAsiaTheme="minorEastAsia" w:hAnsi="Times New Roman" w:cs="Times New Roman"/>
              <w:noProof/>
              <w:sz w:val="24"/>
              <w:szCs w:val="24"/>
            </w:rPr>
          </w:pPr>
          <w:hyperlink w:anchor="_Toc208529544" w:history="1">
            <w:r w:rsidRPr="002E3D59">
              <w:rPr>
                <w:rStyle w:val="Hyperlink"/>
                <w:rFonts w:ascii="Times New Roman" w:hAnsi="Times New Roman" w:cs="Times New Roman"/>
                <w:noProof/>
                <w:sz w:val="24"/>
                <w:szCs w:val="24"/>
              </w:rPr>
              <w:t>2.2.2. VRIO Framework</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_Toc208529544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9</w:t>
            </w:r>
            <w:r w:rsidRPr="002E3D59">
              <w:rPr>
                <w:rFonts w:ascii="Times New Roman" w:hAnsi="Times New Roman" w:cs="Times New Roman"/>
                <w:noProof/>
                <w:webHidden/>
                <w:sz w:val="24"/>
                <w:szCs w:val="24"/>
              </w:rPr>
              <w:fldChar w:fldCharType="end"/>
            </w:r>
          </w:hyperlink>
        </w:p>
        <w:p w14:paraId="0C49B78C" w14:textId="77777777" w:rsidR="002E3D59" w:rsidRPr="002E3D59" w:rsidRDefault="002E3D59" w:rsidP="002E3D59">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208529545" w:history="1">
            <w:r w:rsidRPr="002E3D59">
              <w:rPr>
                <w:rStyle w:val="Hyperlink"/>
                <w:rFonts w:ascii="Times New Roman" w:hAnsi="Times New Roman" w:cs="Times New Roman"/>
                <w:noProof/>
                <w:sz w:val="24"/>
                <w:szCs w:val="24"/>
              </w:rPr>
              <w:t>2.3. SWOT Analysis</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_Toc208529545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10</w:t>
            </w:r>
            <w:r w:rsidRPr="002E3D59">
              <w:rPr>
                <w:rFonts w:ascii="Times New Roman" w:hAnsi="Times New Roman" w:cs="Times New Roman"/>
                <w:noProof/>
                <w:webHidden/>
                <w:sz w:val="24"/>
                <w:szCs w:val="24"/>
              </w:rPr>
              <w:fldChar w:fldCharType="end"/>
            </w:r>
          </w:hyperlink>
        </w:p>
        <w:p w14:paraId="03132166" w14:textId="77777777" w:rsidR="002E3D59" w:rsidRPr="002E3D59" w:rsidRDefault="002E3D59" w:rsidP="002E3D59">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208529546" w:history="1">
            <w:r w:rsidRPr="002E3D59">
              <w:rPr>
                <w:rStyle w:val="Hyperlink"/>
                <w:rFonts w:ascii="Times New Roman" w:hAnsi="Times New Roman" w:cs="Times New Roman"/>
                <w:noProof/>
                <w:sz w:val="24"/>
                <w:szCs w:val="24"/>
              </w:rPr>
              <w:t>3. Strategy Formulation</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_Toc208529546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11</w:t>
            </w:r>
            <w:r w:rsidRPr="002E3D59">
              <w:rPr>
                <w:rFonts w:ascii="Times New Roman" w:hAnsi="Times New Roman" w:cs="Times New Roman"/>
                <w:noProof/>
                <w:webHidden/>
                <w:sz w:val="24"/>
                <w:szCs w:val="24"/>
              </w:rPr>
              <w:fldChar w:fldCharType="end"/>
            </w:r>
          </w:hyperlink>
        </w:p>
        <w:p w14:paraId="0FF4E7A0" w14:textId="77777777" w:rsidR="002E3D59" w:rsidRPr="002E3D59" w:rsidRDefault="002E3D59" w:rsidP="002E3D59">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208529547" w:history="1">
            <w:r w:rsidRPr="002E3D59">
              <w:rPr>
                <w:rStyle w:val="Hyperlink"/>
                <w:rFonts w:ascii="Times New Roman" w:hAnsi="Times New Roman" w:cs="Times New Roman"/>
                <w:noProof/>
                <w:sz w:val="24"/>
                <w:szCs w:val="24"/>
              </w:rPr>
              <w:t>4. Conclusion and Recommendation</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_Toc208529547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12</w:t>
            </w:r>
            <w:r w:rsidRPr="002E3D59">
              <w:rPr>
                <w:rFonts w:ascii="Times New Roman" w:hAnsi="Times New Roman" w:cs="Times New Roman"/>
                <w:noProof/>
                <w:webHidden/>
                <w:sz w:val="24"/>
                <w:szCs w:val="24"/>
              </w:rPr>
              <w:fldChar w:fldCharType="end"/>
            </w:r>
          </w:hyperlink>
        </w:p>
        <w:p w14:paraId="4166A6FD" w14:textId="77777777" w:rsidR="002E3D59" w:rsidRPr="002E3D59" w:rsidRDefault="002E3D59" w:rsidP="002E3D59">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208529548" w:history="1">
            <w:r w:rsidRPr="002E3D59">
              <w:rPr>
                <w:rStyle w:val="Hyperlink"/>
                <w:rFonts w:ascii="Times New Roman" w:hAnsi="Times New Roman" w:cs="Times New Roman"/>
                <w:noProof/>
                <w:sz w:val="24"/>
                <w:szCs w:val="24"/>
              </w:rPr>
              <w:t>References</w:t>
            </w:r>
            <w:r w:rsidRPr="002E3D59">
              <w:rPr>
                <w:rFonts w:ascii="Times New Roman" w:hAnsi="Times New Roman" w:cs="Times New Roman"/>
                <w:noProof/>
                <w:webHidden/>
                <w:sz w:val="24"/>
                <w:szCs w:val="24"/>
              </w:rPr>
              <w:tab/>
            </w:r>
            <w:r w:rsidRPr="002E3D59">
              <w:rPr>
                <w:rFonts w:ascii="Times New Roman" w:hAnsi="Times New Roman" w:cs="Times New Roman"/>
                <w:noProof/>
                <w:webHidden/>
                <w:sz w:val="24"/>
                <w:szCs w:val="24"/>
              </w:rPr>
              <w:fldChar w:fldCharType="begin"/>
            </w:r>
            <w:r w:rsidRPr="002E3D59">
              <w:rPr>
                <w:rFonts w:ascii="Times New Roman" w:hAnsi="Times New Roman" w:cs="Times New Roman"/>
                <w:noProof/>
                <w:webHidden/>
                <w:sz w:val="24"/>
                <w:szCs w:val="24"/>
              </w:rPr>
              <w:instrText xml:space="preserve"> PAGEREF _Toc208529548 \h </w:instrText>
            </w:r>
            <w:r w:rsidRPr="002E3D59">
              <w:rPr>
                <w:rFonts w:ascii="Times New Roman" w:hAnsi="Times New Roman" w:cs="Times New Roman"/>
                <w:noProof/>
                <w:webHidden/>
                <w:sz w:val="24"/>
                <w:szCs w:val="24"/>
              </w:rPr>
            </w:r>
            <w:r w:rsidRPr="002E3D59">
              <w:rPr>
                <w:rFonts w:ascii="Times New Roman" w:hAnsi="Times New Roman" w:cs="Times New Roman"/>
                <w:noProof/>
                <w:webHidden/>
                <w:sz w:val="24"/>
                <w:szCs w:val="24"/>
              </w:rPr>
              <w:fldChar w:fldCharType="separate"/>
            </w:r>
            <w:r w:rsidRPr="002E3D59">
              <w:rPr>
                <w:rFonts w:ascii="Times New Roman" w:hAnsi="Times New Roman" w:cs="Times New Roman"/>
                <w:noProof/>
                <w:webHidden/>
                <w:sz w:val="24"/>
                <w:szCs w:val="24"/>
              </w:rPr>
              <w:t>14</w:t>
            </w:r>
            <w:r w:rsidRPr="002E3D59">
              <w:rPr>
                <w:rFonts w:ascii="Times New Roman" w:hAnsi="Times New Roman" w:cs="Times New Roman"/>
                <w:noProof/>
                <w:webHidden/>
                <w:sz w:val="24"/>
                <w:szCs w:val="24"/>
              </w:rPr>
              <w:fldChar w:fldCharType="end"/>
            </w:r>
          </w:hyperlink>
        </w:p>
        <w:p w14:paraId="1A211BCB" w14:textId="77777777" w:rsidR="002E3D59" w:rsidRDefault="002E3D59" w:rsidP="002E3D59">
          <w:pPr>
            <w:spacing w:line="360" w:lineRule="auto"/>
            <w:jc w:val="both"/>
          </w:pPr>
          <w:r w:rsidRPr="002E3D59">
            <w:rPr>
              <w:rFonts w:ascii="Times New Roman" w:hAnsi="Times New Roman" w:cs="Times New Roman"/>
              <w:b/>
              <w:bCs/>
              <w:noProof/>
              <w:sz w:val="24"/>
              <w:szCs w:val="24"/>
            </w:rPr>
            <w:fldChar w:fldCharType="end"/>
          </w:r>
        </w:p>
      </w:sdtContent>
    </w:sdt>
    <w:p w14:paraId="0333F319" w14:textId="77777777" w:rsidR="002E3D59" w:rsidRDefault="002E3D59">
      <w:pPr>
        <w:rPr>
          <w:rFonts w:ascii="Times New Roman" w:eastAsia="Times New Roman" w:hAnsi="Times New Roman" w:cs="Times New Roman"/>
          <w:b/>
          <w:sz w:val="24"/>
          <w:szCs w:val="24"/>
        </w:rPr>
      </w:pPr>
      <w:r>
        <w:br w:type="page"/>
      </w:r>
    </w:p>
    <w:p w14:paraId="7B01A9F8" w14:textId="77777777" w:rsidR="00036DB3" w:rsidRDefault="00B10B85">
      <w:pPr>
        <w:pStyle w:val="Titlu1"/>
        <w:spacing w:before="360" w:after="80"/>
        <w:jc w:val="both"/>
      </w:pPr>
      <w:bookmarkStart w:id="7" w:name="_Toc208529537"/>
      <w:r>
        <w:t>1. Introduction</w:t>
      </w:r>
      <w:bookmarkEnd w:id="7"/>
    </w:p>
    <w:p w14:paraId="09E28F87"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management is important in the process of leading organisations in dynamic business environments. It entails the development, execution and assessment of cross-functional decisions that help firms to attain long-term goals (</w:t>
      </w:r>
      <w:proofErr w:type="spellStart"/>
      <w:r>
        <w:rPr>
          <w:rFonts w:ascii="Times New Roman" w:eastAsia="Times New Roman" w:hAnsi="Times New Roman" w:cs="Times New Roman"/>
          <w:sz w:val="24"/>
          <w:szCs w:val="24"/>
          <w:highlight w:val="white"/>
        </w:rPr>
        <w:t>Alharbi</w:t>
      </w:r>
      <w:proofErr w:type="spellEnd"/>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Strategic management in the automotive industry is crucial to its agility, innovation and sustainable growth as the industry is redefining competitive environments due to technological disruption, regulatory changes and changing consumer preferences. It helps companies to align internal capabilities with external opportunities and threats, manage resources efficiently and retain their competitive advantage in international markets.</w:t>
      </w:r>
    </w:p>
    <w:p w14:paraId="53A8DED2"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Lotus Cars Limited is a British automobile producer that is known for its light sports cars, engineering accuracy and motorsport background (</w:t>
      </w:r>
      <w:r>
        <w:rPr>
          <w:rFonts w:ascii="Times New Roman" w:eastAsia="Times New Roman" w:hAnsi="Times New Roman" w:cs="Times New Roman"/>
          <w:sz w:val="24"/>
          <w:szCs w:val="24"/>
          <w:highlight w:val="white"/>
        </w:rPr>
        <w:t xml:space="preserve">Jenkins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xml:space="preserve">). Lotus was founded in 1948 by Colin Chapman but built a reputation based on the philosophy of </w:t>
      </w:r>
      <w:r>
        <w:rPr>
          <w:rFonts w:ascii="Times New Roman" w:eastAsia="Times New Roman" w:hAnsi="Times New Roman" w:cs="Times New Roman"/>
          <w:i/>
          <w:sz w:val="24"/>
          <w:szCs w:val="24"/>
        </w:rPr>
        <w:t>“simplify, then add lightness”</w:t>
      </w:r>
      <w:r>
        <w:rPr>
          <w:rFonts w:ascii="Times New Roman" w:eastAsia="Times New Roman" w:hAnsi="Times New Roman" w:cs="Times New Roman"/>
          <w:sz w:val="24"/>
          <w:szCs w:val="24"/>
        </w:rPr>
        <w:t xml:space="preserve"> and created cars that focused more on handling, performance and driver feedback. The manufacturing plant and the headquarters is based in </w:t>
      </w:r>
      <w:proofErr w:type="spellStart"/>
      <w:r>
        <w:rPr>
          <w:rFonts w:ascii="Times New Roman" w:eastAsia="Times New Roman" w:hAnsi="Times New Roman" w:cs="Times New Roman"/>
          <w:sz w:val="24"/>
          <w:szCs w:val="24"/>
        </w:rPr>
        <w:t>Hethel</w:t>
      </w:r>
      <w:proofErr w:type="spellEnd"/>
      <w:r>
        <w:rPr>
          <w:rFonts w:ascii="Times New Roman" w:eastAsia="Times New Roman" w:hAnsi="Times New Roman" w:cs="Times New Roman"/>
          <w:sz w:val="24"/>
          <w:szCs w:val="24"/>
        </w:rPr>
        <w:t xml:space="preserve"> Norway in Norfolk and the company still continues to produce high-performance cars with an emphasis on innovation and craftsmanship.</w:t>
      </w:r>
    </w:p>
    <w:p w14:paraId="107901A6" w14:textId="77777777" w:rsidR="00036DB3" w:rsidRDefault="00B10B85">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Lotus has experienced a strategic change over the last few years under the ownership of Lotus Technology Inc., a subsidiary of </w:t>
      </w:r>
      <w:proofErr w:type="spellStart"/>
      <w:r>
        <w:rPr>
          <w:rFonts w:ascii="Times New Roman" w:eastAsia="Times New Roman" w:hAnsi="Times New Roman" w:cs="Times New Roman"/>
          <w:sz w:val="24"/>
          <w:szCs w:val="24"/>
        </w:rPr>
        <w:t>Geely</w:t>
      </w:r>
      <w:proofErr w:type="spellEnd"/>
      <w:r>
        <w:rPr>
          <w:rFonts w:ascii="Times New Roman" w:eastAsia="Times New Roman" w:hAnsi="Times New Roman" w:cs="Times New Roman"/>
          <w:sz w:val="24"/>
          <w:szCs w:val="24"/>
        </w:rPr>
        <w:t xml:space="preserve"> Holding Group in China (</w:t>
      </w:r>
      <w:r>
        <w:rPr>
          <w:rFonts w:ascii="Times New Roman" w:eastAsia="Times New Roman" w:hAnsi="Times New Roman" w:cs="Times New Roman"/>
          <w:sz w:val="24"/>
          <w:szCs w:val="24"/>
          <w:highlight w:val="white"/>
        </w:rPr>
        <w:t xml:space="preserve">Wang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The change indicates the transformation of Lotus as a niche sports car company to a worldwide electric performance innovator. The company is making massive investments in electrification, digitalization, and sustainability in order to satisfy the evolving and fast changing automotive environment.</w:t>
      </w:r>
    </w:p>
    <w:p w14:paraId="0D40EB3D"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vision of Lotus is to be an international leader in environmentally friendly performance mobility, combining the latest technology with its legendary driving experience (</w:t>
      </w:r>
      <w:proofErr w:type="spellStart"/>
      <w:r>
        <w:rPr>
          <w:rFonts w:ascii="Times New Roman" w:eastAsia="Times New Roman" w:hAnsi="Times New Roman" w:cs="Times New Roman"/>
          <w:sz w:val="24"/>
          <w:szCs w:val="24"/>
          <w:highlight w:val="white"/>
        </w:rPr>
        <w:t>Weggemans</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xml:space="preserve">). It aims to provide new, driver-centric electric vehicles that reflect engineering quality and emotional connection of the brand. According to </w:t>
      </w:r>
      <w:proofErr w:type="spellStart"/>
      <w:r>
        <w:rPr>
          <w:rFonts w:ascii="Times New Roman" w:eastAsia="Times New Roman" w:hAnsi="Times New Roman" w:cs="Times New Roman"/>
          <w:sz w:val="24"/>
          <w:szCs w:val="24"/>
          <w:highlight w:val="white"/>
        </w:rPr>
        <w:t>Thumiger</w:t>
      </w:r>
      <w:proofErr w:type="spellEnd"/>
      <w:r>
        <w:rPr>
          <w:rFonts w:ascii="Times New Roman" w:eastAsia="Times New Roman" w:hAnsi="Times New Roman" w:cs="Times New Roman"/>
          <w:sz w:val="24"/>
          <w:szCs w:val="24"/>
          <w:highlight w:val="white"/>
        </w:rPr>
        <w:t xml:space="preserve"> (2021), </w:t>
      </w:r>
      <w:r>
        <w:rPr>
          <w:rFonts w:ascii="Times New Roman" w:eastAsia="Times New Roman" w:hAnsi="Times New Roman" w:cs="Times New Roman"/>
          <w:sz w:val="24"/>
          <w:szCs w:val="24"/>
        </w:rPr>
        <w:t>the firm’s strategic goals are to fully electrify their product range by the close of the decade, expand to high-growth foreign markets and incorporate digital and environmental innovation in all its processes.</w:t>
      </w:r>
    </w:p>
    <w:p w14:paraId="0E8D43E7"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uses the strategic management concepts to evaluate the current status of Lotus, its challenges and opportunities and provide an effective course of action to enable it to be a more competitive firm and achieve long-term success in the electric cars and vehicles in the high-end market.</w:t>
      </w:r>
    </w:p>
    <w:p w14:paraId="5C72A5FF" w14:textId="77777777" w:rsidR="00036DB3" w:rsidRDefault="00B10B85">
      <w:pPr>
        <w:pStyle w:val="Titlu1"/>
        <w:keepNext w:val="0"/>
        <w:keepLines w:val="0"/>
        <w:spacing w:before="360" w:after="80"/>
      </w:pPr>
      <w:bookmarkStart w:id="8" w:name="_exmwsof88ywa" w:colFirst="0" w:colLast="0"/>
      <w:bookmarkStart w:id="9" w:name="_Toc208529538"/>
      <w:bookmarkEnd w:id="8"/>
      <w:r>
        <w:t>2. Strategy Analysis</w:t>
      </w:r>
      <w:bookmarkEnd w:id="9"/>
    </w:p>
    <w:p w14:paraId="35570081" w14:textId="77777777" w:rsidR="00036DB3" w:rsidRDefault="00B10B85">
      <w:pPr>
        <w:pStyle w:val="Titlu2"/>
        <w:keepNext w:val="0"/>
        <w:keepLines w:val="0"/>
        <w:spacing w:before="280"/>
      </w:pPr>
      <w:bookmarkStart w:id="10" w:name="_pqsmahttzhvj" w:colFirst="0" w:colLast="0"/>
      <w:bookmarkStart w:id="11" w:name="_Toc208529539"/>
      <w:bookmarkEnd w:id="10"/>
      <w:r>
        <w:t>2.1. External Environment Audit</w:t>
      </w:r>
      <w:bookmarkEnd w:id="11"/>
    </w:p>
    <w:p w14:paraId="65BB18AC" w14:textId="77777777" w:rsidR="00036DB3" w:rsidRDefault="00B10B85">
      <w:pPr>
        <w:pStyle w:val="Titlu3"/>
      </w:pPr>
      <w:bookmarkStart w:id="12" w:name="_f98fybhuruag" w:colFirst="0" w:colLast="0"/>
      <w:bookmarkStart w:id="13" w:name="_Toc208529540"/>
      <w:bookmarkEnd w:id="12"/>
      <w:r>
        <w:t>2.1.1. PESTLE Analysis</w:t>
      </w:r>
      <w:bookmarkEnd w:id="13"/>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17"/>
        <w:gridCol w:w="7408"/>
      </w:tblGrid>
      <w:tr w:rsidR="00036DB3" w14:paraId="3409A981" w14:textId="77777777">
        <w:trPr>
          <w:trHeight w:val="500"/>
        </w:trPr>
        <w:tc>
          <w:tcPr>
            <w:tcW w:w="1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AE6715"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Factor</w:t>
            </w:r>
          </w:p>
        </w:tc>
        <w:tc>
          <w:tcPr>
            <w:tcW w:w="7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B58059"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Detailed Strategic Analysis for Lotus Cars Limited</w:t>
            </w:r>
          </w:p>
        </w:tc>
      </w:tr>
      <w:tr w:rsidR="00036DB3" w14:paraId="0ABC2A6B" w14:textId="77777777">
        <w:trPr>
          <w:trHeight w:val="1340"/>
        </w:trPr>
        <w:tc>
          <w:tcPr>
            <w:tcW w:w="1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8852A"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w:t>
            </w:r>
          </w:p>
        </w:tc>
        <w:tc>
          <w:tcPr>
            <w:tcW w:w="7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D98B27"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commitment of the UK government to stop internal combustion engine vehicles in 2035 and the ZEV Mandate mandating 80% of zero-emission sales in 2030 directly influence the product strategy of Lotus (</w:t>
            </w:r>
            <w:proofErr w:type="spellStart"/>
            <w:r>
              <w:rPr>
                <w:rFonts w:ascii="Times New Roman" w:eastAsia="Times New Roman" w:hAnsi="Times New Roman" w:cs="Times New Roman"/>
                <w:sz w:val="24"/>
                <w:szCs w:val="24"/>
                <w:highlight w:val="white"/>
              </w:rPr>
              <w:t>Gimbert</w:t>
            </w:r>
            <w:proofErr w:type="spellEnd"/>
            <w:r>
              <w:rPr>
                <w:rFonts w:ascii="Times New Roman" w:eastAsia="Times New Roman" w:hAnsi="Times New Roman" w:cs="Times New Roman"/>
                <w:sz w:val="24"/>
                <w:szCs w:val="24"/>
                <w:highlight w:val="white"/>
              </w:rPr>
              <w:t xml:space="preserve"> and Earl, 2021</w:t>
            </w:r>
            <w:r>
              <w:rPr>
                <w:rFonts w:ascii="Times New Roman" w:eastAsia="Times New Roman" w:hAnsi="Times New Roman" w:cs="Times New Roman"/>
                <w:sz w:val="24"/>
                <w:szCs w:val="24"/>
              </w:rPr>
              <w:t>). Brexit has created regulatory differences and customs, which have an impact on cross-border supply chains and access to the EU (</w:t>
            </w:r>
            <w:r>
              <w:rPr>
                <w:rFonts w:ascii="Times New Roman" w:eastAsia="Times New Roman" w:hAnsi="Times New Roman" w:cs="Times New Roman"/>
                <w:sz w:val="24"/>
                <w:szCs w:val="24"/>
                <w:highlight w:val="white"/>
              </w:rPr>
              <w:t>Philipp, 2025</w:t>
            </w:r>
            <w:r>
              <w:rPr>
                <w:rFonts w:ascii="Times New Roman" w:eastAsia="Times New Roman" w:hAnsi="Times New Roman" w:cs="Times New Roman"/>
                <w:sz w:val="24"/>
                <w:szCs w:val="24"/>
              </w:rPr>
              <w:t>). Lotus can deal with these changes by localising production and conforming to the UK and EU compliance models.</w:t>
            </w:r>
          </w:p>
        </w:tc>
      </w:tr>
      <w:tr w:rsidR="00036DB3" w14:paraId="6C8E2EDE" w14:textId="77777777">
        <w:trPr>
          <w:trHeight w:val="1610"/>
        </w:trPr>
        <w:tc>
          <w:tcPr>
            <w:tcW w:w="1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B3F6C7"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w:t>
            </w:r>
          </w:p>
        </w:tc>
        <w:tc>
          <w:tcPr>
            <w:tcW w:w="7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F1B10"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Production costs have been escalated by inflation, increased energy prices, and disruption of the global supply chains. The economic shocks expose Lotus to a greater vulnerability due to its boutique manufacturing model. Export margins are influenced by fluctuations in currency particularly between the GBP and USD/CNY (</w:t>
            </w:r>
            <w:r>
              <w:rPr>
                <w:rFonts w:ascii="Times New Roman" w:eastAsia="Times New Roman" w:hAnsi="Times New Roman" w:cs="Times New Roman"/>
                <w:sz w:val="24"/>
                <w:szCs w:val="24"/>
                <w:highlight w:val="white"/>
              </w:rPr>
              <w:t>Tor, 2025</w:t>
            </w:r>
            <w:r>
              <w:rPr>
                <w:rFonts w:ascii="Times New Roman" w:eastAsia="Times New Roman" w:hAnsi="Times New Roman" w:cs="Times New Roman"/>
                <w:sz w:val="24"/>
                <w:szCs w:val="24"/>
              </w:rPr>
              <w:t>). The firm needs to implement cost-controlling strategies and seek economies of scale by using strategic alliances and automation.</w:t>
            </w:r>
          </w:p>
        </w:tc>
      </w:tr>
      <w:tr w:rsidR="00036DB3" w14:paraId="6239B40D" w14:textId="77777777">
        <w:trPr>
          <w:trHeight w:val="1610"/>
        </w:trPr>
        <w:tc>
          <w:tcPr>
            <w:tcW w:w="1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8F6BB"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w:t>
            </w:r>
          </w:p>
        </w:tc>
        <w:tc>
          <w:tcPr>
            <w:tcW w:w="7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E35FB"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Consumers are more and more concerned about sustainability, digital connectivity and brand authenticity (</w:t>
            </w:r>
            <w:r>
              <w:rPr>
                <w:rFonts w:ascii="Times New Roman" w:eastAsia="Times New Roman" w:hAnsi="Times New Roman" w:cs="Times New Roman"/>
                <w:sz w:val="24"/>
                <w:szCs w:val="24"/>
                <w:highlight w:val="white"/>
              </w:rPr>
              <w:t xml:space="preserve">Pittman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Lotus has a heritage that attracts fans, yet to achieve wider market acceptance, it needs to match lifestyle trends including environmental awareness and city living. As stated by </w:t>
            </w:r>
            <w:r>
              <w:rPr>
                <w:rFonts w:ascii="Times New Roman" w:eastAsia="Times New Roman" w:hAnsi="Times New Roman" w:cs="Times New Roman"/>
                <w:sz w:val="24"/>
                <w:szCs w:val="24"/>
                <w:highlight w:val="white"/>
              </w:rPr>
              <w:t xml:space="preserve">Weber (2022), </w:t>
            </w:r>
            <w:r>
              <w:rPr>
                <w:rFonts w:ascii="Times New Roman" w:eastAsia="Times New Roman" w:hAnsi="Times New Roman" w:cs="Times New Roman"/>
                <w:sz w:val="24"/>
                <w:szCs w:val="24"/>
              </w:rPr>
              <w:t>providing smaller EVs and subscriptions can help Lotus to attract the younger, more technologically advanced customers.</w:t>
            </w:r>
          </w:p>
        </w:tc>
      </w:tr>
      <w:tr w:rsidR="00036DB3" w14:paraId="1F37E8F9" w14:textId="77777777">
        <w:trPr>
          <w:trHeight w:val="1610"/>
        </w:trPr>
        <w:tc>
          <w:tcPr>
            <w:tcW w:w="1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D36B4"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w:t>
            </w:r>
          </w:p>
        </w:tc>
        <w:tc>
          <w:tcPr>
            <w:tcW w:w="7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88B62"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Battery innovation, autonomous driving, and software-defined vehicles are altering the automotive industry (</w:t>
            </w:r>
            <w:r>
              <w:rPr>
                <w:rFonts w:ascii="Times New Roman" w:eastAsia="Times New Roman" w:hAnsi="Times New Roman" w:cs="Times New Roman"/>
                <w:sz w:val="24"/>
                <w:szCs w:val="24"/>
                <w:highlight w:val="white"/>
              </w:rPr>
              <w:t>Hamid, 2024</w:t>
            </w:r>
            <w:r>
              <w:rPr>
                <w:rFonts w:ascii="Times New Roman" w:eastAsia="Times New Roman" w:hAnsi="Times New Roman" w:cs="Times New Roman"/>
                <w:sz w:val="24"/>
                <w:szCs w:val="24"/>
              </w:rPr>
              <w:t xml:space="preserve">). Lotus should invest in the R&amp;D to create proprietary EV platforms, AI-related diagnostics and increase the level of vehicle connectivity. Partnerships with UK universities and </w:t>
            </w:r>
            <w:proofErr w:type="spellStart"/>
            <w:r>
              <w:rPr>
                <w:rFonts w:ascii="Times New Roman" w:eastAsia="Times New Roman" w:hAnsi="Times New Roman" w:cs="Times New Roman"/>
                <w:sz w:val="24"/>
                <w:szCs w:val="24"/>
              </w:rPr>
              <w:t>Geely</w:t>
            </w:r>
            <w:proofErr w:type="spellEnd"/>
            <w:r>
              <w:rPr>
                <w:rFonts w:ascii="Times New Roman" w:eastAsia="Times New Roman" w:hAnsi="Times New Roman" w:cs="Times New Roman"/>
                <w:sz w:val="24"/>
                <w:szCs w:val="24"/>
              </w:rPr>
              <w:t xml:space="preserve"> can help the company accelerate innovation and reduce the cost of development.</w:t>
            </w:r>
          </w:p>
        </w:tc>
      </w:tr>
      <w:tr w:rsidR="00036DB3" w14:paraId="10CD18A6" w14:textId="77777777">
        <w:trPr>
          <w:trHeight w:val="1340"/>
        </w:trPr>
        <w:tc>
          <w:tcPr>
            <w:tcW w:w="1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F15F0A"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Legal</w:t>
            </w:r>
          </w:p>
        </w:tc>
        <w:tc>
          <w:tcPr>
            <w:tcW w:w="7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D7E084"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Strict adherence to emissions laws, automobile safety and information protection is essential. Lotus will need to ensure that its EVs comply with the regulatory provisions of the UK, EU and China (</w:t>
            </w:r>
            <w:r>
              <w:rPr>
                <w:rFonts w:ascii="Times New Roman" w:eastAsia="Times New Roman" w:hAnsi="Times New Roman" w:cs="Times New Roman"/>
                <w:sz w:val="24"/>
                <w:szCs w:val="24"/>
                <w:highlight w:val="white"/>
              </w:rPr>
              <w:t>CHEN, 2023</w:t>
            </w:r>
            <w:r>
              <w:rPr>
                <w:rFonts w:ascii="Times New Roman" w:eastAsia="Times New Roman" w:hAnsi="Times New Roman" w:cs="Times New Roman"/>
                <w:sz w:val="24"/>
                <w:szCs w:val="24"/>
              </w:rPr>
              <w:t>). The firm must also be ready to adapt to emerging cybersecurity laws that govern connected vehicles.</w:t>
            </w:r>
          </w:p>
        </w:tc>
      </w:tr>
      <w:tr w:rsidR="00036DB3" w14:paraId="3FD16A69" w14:textId="77777777">
        <w:trPr>
          <w:trHeight w:val="1340"/>
        </w:trPr>
        <w:tc>
          <w:tcPr>
            <w:tcW w:w="1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752FA"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Environmental</w:t>
            </w:r>
          </w:p>
        </w:tc>
        <w:tc>
          <w:tcPr>
            <w:tcW w:w="7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6FCEB"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ESG expectations and climate ambitions require low-carbon manufacturing, ethical sourcing and circular production (</w:t>
            </w:r>
            <w:proofErr w:type="spellStart"/>
            <w:r>
              <w:rPr>
                <w:rFonts w:ascii="Times New Roman" w:eastAsia="Times New Roman" w:hAnsi="Times New Roman" w:cs="Times New Roman"/>
                <w:sz w:val="24"/>
                <w:szCs w:val="24"/>
                <w:highlight w:val="white"/>
              </w:rPr>
              <w:t>Kandpal</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xml:space="preserve">). Lotus needs to minimize energy usage at its </w:t>
            </w:r>
            <w:proofErr w:type="spellStart"/>
            <w:r>
              <w:rPr>
                <w:rFonts w:ascii="Times New Roman" w:eastAsia="Times New Roman" w:hAnsi="Times New Roman" w:cs="Times New Roman"/>
                <w:sz w:val="24"/>
                <w:szCs w:val="24"/>
              </w:rPr>
              <w:t>Hethel</w:t>
            </w:r>
            <w:proofErr w:type="spellEnd"/>
            <w:r>
              <w:rPr>
                <w:rFonts w:ascii="Times New Roman" w:eastAsia="Times New Roman" w:hAnsi="Times New Roman" w:cs="Times New Roman"/>
                <w:sz w:val="24"/>
                <w:szCs w:val="24"/>
              </w:rPr>
              <w:t xml:space="preserve"> plant, implement ISO 14001 certification and increase transparent reporting on sustainability. Such actions will increase brand trust and investor faith.</w:t>
            </w:r>
          </w:p>
        </w:tc>
      </w:tr>
    </w:tbl>
    <w:p w14:paraId="5FEC09F8" w14:textId="77777777" w:rsidR="00036DB3" w:rsidRDefault="00B10B85">
      <w:pPr>
        <w:pStyle w:val="Titlu3"/>
      </w:pPr>
      <w:bookmarkStart w:id="14" w:name="_jf3mk5k5mhfy" w:colFirst="0" w:colLast="0"/>
      <w:bookmarkStart w:id="15" w:name="_Toc208529541"/>
      <w:bookmarkEnd w:id="14"/>
      <w:r>
        <w:t>2.1.2. Porter’s Five Forces</w:t>
      </w:r>
      <w:bookmarkEnd w:id="15"/>
    </w:p>
    <w:p w14:paraId="7D476866"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 of New Entrants: </w:t>
      </w:r>
      <w:r>
        <w:rPr>
          <w:rFonts w:ascii="Times New Roman" w:eastAsia="Times New Roman" w:hAnsi="Times New Roman" w:cs="Times New Roman"/>
          <w:sz w:val="24"/>
          <w:szCs w:val="24"/>
        </w:rPr>
        <w:t xml:space="preserve">Moderate. Although the barriers include high capital requirements and brand loyalty, EV </w:t>
      </w:r>
      <w:proofErr w:type="spellStart"/>
      <w:r>
        <w:rPr>
          <w:rFonts w:ascii="Times New Roman" w:eastAsia="Times New Roman" w:hAnsi="Times New Roman" w:cs="Times New Roman"/>
          <w:sz w:val="24"/>
          <w:szCs w:val="24"/>
        </w:rPr>
        <w:t>startups</w:t>
      </w:r>
      <w:proofErr w:type="spellEnd"/>
      <w:r>
        <w:rPr>
          <w:rFonts w:ascii="Times New Roman" w:eastAsia="Times New Roman" w:hAnsi="Times New Roman" w:cs="Times New Roman"/>
          <w:sz w:val="24"/>
          <w:szCs w:val="24"/>
        </w:rPr>
        <w:t xml:space="preserve"> such as </w:t>
      </w:r>
      <w:proofErr w:type="spellStart"/>
      <w:r>
        <w:rPr>
          <w:rFonts w:ascii="Times New Roman" w:eastAsia="Times New Roman" w:hAnsi="Times New Roman" w:cs="Times New Roman"/>
          <w:sz w:val="24"/>
          <w:szCs w:val="24"/>
        </w:rPr>
        <w:t>Rimac</w:t>
      </w:r>
      <w:proofErr w:type="spellEnd"/>
      <w:r>
        <w:rPr>
          <w:rFonts w:ascii="Times New Roman" w:eastAsia="Times New Roman" w:hAnsi="Times New Roman" w:cs="Times New Roman"/>
          <w:sz w:val="24"/>
          <w:szCs w:val="24"/>
        </w:rPr>
        <w:t xml:space="preserve"> and Lucid Motors are moving into the performance segment with agile and tech-oriented models. According to </w:t>
      </w:r>
      <w:proofErr w:type="spellStart"/>
      <w:r>
        <w:rPr>
          <w:rFonts w:ascii="Times New Roman" w:eastAsia="Times New Roman" w:hAnsi="Times New Roman" w:cs="Times New Roman"/>
          <w:sz w:val="24"/>
          <w:szCs w:val="24"/>
          <w:highlight w:val="white"/>
        </w:rPr>
        <w:t>Sali</w:t>
      </w:r>
      <w:proofErr w:type="spellEnd"/>
      <w:r>
        <w:rPr>
          <w:rFonts w:ascii="Times New Roman" w:eastAsia="Times New Roman" w:hAnsi="Times New Roman" w:cs="Times New Roman"/>
          <w:sz w:val="24"/>
          <w:szCs w:val="24"/>
          <w:highlight w:val="white"/>
        </w:rPr>
        <w:t xml:space="preserve"> (2024), </w:t>
      </w:r>
      <w:r>
        <w:rPr>
          <w:rFonts w:ascii="Times New Roman" w:eastAsia="Times New Roman" w:hAnsi="Times New Roman" w:cs="Times New Roman"/>
          <w:sz w:val="24"/>
          <w:szCs w:val="24"/>
        </w:rPr>
        <w:t>Lotus should distinguish itself with engineering prowess, lightweight design and brand legacy and speed up its EV roadmap.</w:t>
      </w:r>
    </w:p>
    <w:p w14:paraId="377D142E"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Supplier Power: </w:t>
      </w:r>
      <w:r>
        <w:rPr>
          <w:rFonts w:ascii="Times New Roman" w:eastAsia="Times New Roman" w:hAnsi="Times New Roman" w:cs="Times New Roman"/>
          <w:sz w:val="24"/>
          <w:szCs w:val="24"/>
        </w:rPr>
        <w:t>High. Lotus also uses a network of specialised suppliers in terms of batteries, semiconductors and lightweight composites. International scarcity and political agitations enhance volatility of costs and delivery hazards (</w:t>
      </w:r>
      <w:proofErr w:type="spellStart"/>
      <w:r>
        <w:rPr>
          <w:rFonts w:ascii="Times New Roman" w:eastAsia="Times New Roman" w:hAnsi="Times New Roman" w:cs="Times New Roman"/>
          <w:sz w:val="24"/>
          <w:szCs w:val="24"/>
          <w:highlight w:val="white"/>
        </w:rPr>
        <w:t>Noorani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xml:space="preserve">). These pressures can be reduced through vertical integration with </w:t>
      </w:r>
      <w:proofErr w:type="spellStart"/>
      <w:r>
        <w:rPr>
          <w:rFonts w:ascii="Times New Roman" w:eastAsia="Times New Roman" w:hAnsi="Times New Roman" w:cs="Times New Roman"/>
          <w:sz w:val="24"/>
          <w:szCs w:val="24"/>
        </w:rPr>
        <w:t>Geely</w:t>
      </w:r>
      <w:proofErr w:type="spellEnd"/>
      <w:r>
        <w:rPr>
          <w:rFonts w:ascii="Times New Roman" w:eastAsia="Times New Roman" w:hAnsi="Times New Roman" w:cs="Times New Roman"/>
          <w:sz w:val="24"/>
          <w:szCs w:val="24"/>
        </w:rPr>
        <w:t xml:space="preserve"> and long-term contracts with ethical suppliers.</w:t>
      </w:r>
    </w:p>
    <w:p w14:paraId="547BFD9B"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Buyer Power: </w:t>
      </w:r>
      <w:r>
        <w:rPr>
          <w:rFonts w:ascii="Times New Roman" w:eastAsia="Times New Roman" w:hAnsi="Times New Roman" w:cs="Times New Roman"/>
          <w:sz w:val="24"/>
          <w:szCs w:val="24"/>
        </w:rPr>
        <w:t>Increasing. Consumers want digital configurators, clear pricing and customised experiences. Sustainability and innovation are the expectations in the premium segment. Lotus needs to increase online interactions, provide the flexibility of ownership models and provide related services to maintain loyalty.</w:t>
      </w:r>
    </w:p>
    <w:p w14:paraId="33BCF56E"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Threat of Substitutes:</w:t>
      </w:r>
      <w:r>
        <w:rPr>
          <w:rFonts w:ascii="Times New Roman" w:eastAsia="Times New Roman" w:hAnsi="Times New Roman" w:cs="Times New Roman"/>
          <w:sz w:val="24"/>
          <w:szCs w:val="24"/>
        </w:rPr>
        <w:t xml:space="preserve"> Rising. Public transport, shared mobility, and </w:t>
      </w:r>
      <w:proofErr w:type="spellStart"/>
      <w:r>
        <w:rPr>
          <w:rFonts w:ascii="Times New Roman" w:eastAsia="Times New Roman" w:hAnsi="Times New Roman" w:cs="Times New Roman"/>
          <w:sz w:val="24"/>
          <w:szCs w:val="24"/>
        </w:rPr>
        <w:t>micromobility</w:t>
      </w:r>
      <w:proofErr w:type="spellEnd"/>
      <w:r>
        <w:rPr>
          <w:rFonts w:ascii="Times New Roman" w:eastAsia="Times New Roman" w:hAnsi="Times New Roman" w:cs="Times New Roman"/>
          <w:sz w:val="24"/>
          <w:szCs w:val="24"/>
        </w:rPr>
        <w:t xml:space="preserve"> can be used in replacement of car ownership, particularly in cities (</w:t>
      </w:r>
      <w:proofErr w:type="spellStart"/>
      <w:r>
        <w:rPr>
          <w:rFonts w:ascii="Times New Roman" w:eastAsia="Times New Roman" w:hAnsi="Times New Roman" w:cs="Times New Roman"/>
          <w:sz w:val="24"/>
          <w:szCs w:val="24"/>
          <w:highlight w:val="white"/>
        </w:rPr>
        <w:t>Nikitas</w:t>
      </w:r>
      <w:proofErr w:type="spellEnd"/>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Lotus can respond to it through providing subscription-based access to performance EVs and creating small-scale electric vehicles to use in the city.</w:t>
      </w:r>
    </w:p>
    <w:p w14:paraId="732059CB" w14:textId="77777777" w:rsidR="00036DB3" w:rsidRDefault="00B10B85">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Industry Rivalry:</w:t>
      </w:r>
      <w:r>
        <w:rPr>
          <w:rFonts w:ascii="Times New Roman" w:eastAsia="Times New Roman" w:hAnsi="Times New Roman" w:cs="Times New Roman"/>
          <w:sz w:val="24"/>
          <w:szCs w:val="24"/>
        </w:rPr>
        <w:t xml:space="preserve"> Intense. Legacy OEMs such as Porsche and BMW are in the performance EV market, and tech companies are offering disruptive features. The Chinese manufacturers BYD and NIO are entering the European market with competitive prices and advanced technology (</w:t>
      </w:r>
      <w:r>
        <w:rPr>
          <w:rFonts w:ascii="Times New Roman" w:eastAsia="Times New Roman" w:hAnsi="Times New Roman" w:cs="Times New Roman"/>
          <w:sz w:val="24"/>
          <w:szCs w:val="24"/>
          <w:highlight w:val="white"/>
        </w:rPr>
        <w:t>Berezina, 2024</w:t>
      </w:r>
      <w:r>
        <w:rPr>
          <w:rFonts w:ascii="Times New Roman" w:eastAsia="Times New Roman" w:hAnsi="Times New Roman" w:cs="Times New Roman"/>
          <w:sz w:val="24"/>
          <w:szCs w:val="24"/>
        </w:rPr>
        <w:t>). Lotus needs to be an innovator, simplify its business and strengthen the brand to stay relevant.</w:t>
      </w:r>
    </w:p>
    <w:p w14:paraId="3B21C2F9" w14:textId="77777777" w:rsidR="00036DB3" w:rsidRDefault="00B10B85">
      <w:pPr>
        <w:pStyle w:val="Titlu2"/>
        <w:keepNext w:val="0"/>
        <w:keepLines w:val="0"/>
        <w:spacing w:before="280"/>
      </w:pPr>
      <w:bookmarkStart w:id="16" w:name="_olob7d2gyiij" w:colFirst="0" w:colLast="0"/>
      <w:bookmarkStart w:id="17" w:name="_Toc208529542"/>
      <w:bookmarkEnd w:id="16"/>
      <w:r>
        <w:t>2.2. Internal Environment Audit</w:t>
      </w:r>
      <w:bookmarkEnd w:id="17"/>
    </w:p>
    <w:p w14:paraId="19419876" w14:textId="77777777" w:rsidR="00036DB3" w:rsidRDefault="00B10B85">
      <w:pPr>
        <w:pStyle w:val="Titlu3"/>
      </w:pPr>
      <w:bookmarkStart w:id="18" w:name="_m9yxnmxukadg" w:colFirst="0" w:colLast="0"/>
      <w:bookmarkStart w:id="19" w:name="_Toc208529543"/>
      <w:bookmarkEnd w:id="18"/>
      <w:r>
        <w:t>2.2.1. Value Chain Analysis</w:t>
      </w:r>
      <w:bookmarkEnd w:id="19"/>
    </w:p>
    <w:tbl>
      <w:tblPr>
        <w:tblStyle w:val="a0"/>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50"/>
        <w:gridCol w:w="2070"/>
        <w:gridCol w:w="5310"/>
      </w:tblGrid>
      <w:tr w:rsidR="00036DB3" w14:paraId="60411871" w14:textId="77777777">
        <w:trPr>
          <w:trHeight w:val="848"/>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29DB8" w14:textId="77777777" w:rsidR="00036DB3" w:rsidRDefault="00B10B85">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Activity Type</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94DD3" w14:textId="77777777" w:rsidR="00036DB3" w:rsidRDefault="00B10B85">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Specific Activity</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B510D" w14:textId="77777777" w:rsidR="00036DB3" w:rsidRDefault="00B10B85">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Strategic Analysis for Lotus Cars Limited</w:t>
            </w:r>
          </w:p>
        </w:tc>
      </w:tr>
      <w:tr w:rsidR="00036DB3" w14:paraId="7C096429" w14:textId="77777777">
        <w:trPr>
          <w:trHeight w:val="3407"/>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539426"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Primary Activities</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73B43"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Inbound Logistics</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961CB"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Lotus acquires lightweight materials, EV components and high-performance parts worldwide. Risk is heightened by Brexit-related supply chain delays and the shortage of supplier variety. Resilience can be strengthened through strategic sourcing of ethical and local suppliers, and digital inventory.</w:t>
            </w:r>
          </w:p>
        </w:tc>
      </w:tr>
      <w:tr w:rsidR="00036DB3" w14:paraId="624CB558" w14:textId="77777777">
        <w:trPr>
          <w:trHeight w:val="2783"/>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47AAC" w14:textId="77777777" w:rsidR="00036DB3" w:rsidRDefault="00036DB3">
            <w:pPr>
              <w:spacing w:before="240" w:after="240" w:line="360" w:lineRule="auto"/>
              <w:jc w:val="both"/>
              <w:rPr>
                <w:rFonts w:ascii="Times New Roman" w:eastAsia="Times New Roman" w:hAnsi="Times New Roman" w:cs="Times New Roman"/>
                <w:sz w:val="24"/>
                <w:szCs w:val="24"/>
              </w:rPr>
            </w:pP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F2E30A"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CC636" w14:textId="77777777" w:rsidR="00036DB3" w:rsidRDefault="00B10B85">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Hethel</w:t>
            </w:r>
            <w:proofErr w:type="spellEnd"/>
            <w:r>
              <w:rPr>
                <w:rFonts w:ascii="Times New Roman" w:eastAsia="Times New Roman" w:hAnsi="Times New Roman" w:cs="Times New Roman"/>
                <w:sz w:val="24"/>
                <w:szCs w:val="24"/>
              </w:rPr>
              <w:t xml:space="preserve"> manufacturing focuses on precision and craftsmanship. However, the automation of EV production, lean production and cybersecurity enhancements are needed to scale the production. Lotus needs to moderate the artisanal quality and scalable efficiency.</w:t>
            </w:r>
          </w:p>
        </w:tc>
      </w:tr>
      <w:tr w:rsidR="00036DB3" w14:paraId="630602D7" w14:textId="77777777">
        <w:trPr>
          <w:trHeight w:val="161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5E5DC" w14:textId="77777777" w:rsidR="00036DB3" w:rsidRDefault="00036DB3">
            <w:pPr>
              <w:spacing w:before="240" w:after="240" w:line="360" w:lineRule="auto"/>
              <w:jc w:val="both"/>
              <w:rPr>
                <w:rFonts w:ascii="Times New Roman" w:eastAsia="Times New Roman" w:hAnsi="Times New Roman" w:cs="Times New Roman"/>
                <w:sz w:val="24"/>
                <w:szCs w:val="24"/>
              </w:rPr>
            </w:pP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DFEA30"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Outbound Logistics</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7EEEE"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Vehicles are transported worldwide and increasing fuel prices and carbon acts impact logistics. Low-emission transport partners, optimized packaging and smart tracking system should be adapted by Lotus in order to enhance sustainability and delivery speed.</w:t>
            </w:r>
          </w:p>
        </w:tc>
      </w:tr>
      <w:tr w:rsidR="00036DB3" w14:paraId="7BAD6A7E" w14:textId="77777777">
        <w:trPr>
          <w:trHeight w:val="188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7DEE6" w14:textId="77777777" w:rsidR="00036DB3" w:rsidRDefault="00036DB3">
            <w:pPr>
              <w:spacing w:before="240" w:after="240" w:line="360" w:lineRule="auto"/>
              <w:jc w:val="both"/>
              <w:rPr>
                <w:rFonts w:ascii="Times New Roman" w:eastAsia="Times New Roman" w:hAnsi="Times New Roman" w:cs="Times New Roman"/>
                <w:sz w:val="24"/>
                <w:szCs w:val="24"/>
              </w:rPr>
            </w:pP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1F13DD"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&amp; Sales Service </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49FE4B"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Lotus is relying on heritage-based branding and n</w:t>
            </w:r>
            <w:r w:rsidR="002E3D59">
              <w:rPr>
                <w:rFonts w:ascii="Times New Roman" w:eastAsia="Times New Roman" w:hAnsi="Times New Roman" w:cs="Times New Roman"/>
                <w:sz w:val="24"/>
                <w:szCs w:val="24"/>
              </w:rPr>
              <w:t>iche positioning (Lotuscars.com</w:t>
            </w:r>
            <w:r>
              <w:rPr>
                <w:rFonts w:ascii="Times New Roman" w:eastAsia="Times New Roman" w:hAnsi="Times New Roman" w:cs="Times New Roman"/>
                <w:sz w:val="24"/>
                <w:szCs w:val="24"/>
              </w:rPr>
              <w:t>, 2025). A wider range of audiences will be offered by expanding the digital marketing, influencer partnerships and immersive virtual showrooms. The conversion rates can be improved with the help of data-driven campaigns and lifestyle branding.</w:t>
            </w:r>
          </w:p>
        </w:tc>
      </w:tr>
      <w:tr w:rsidR="00036DB3" w14:paraId="27CE289A" w14:textId="77777777">
        <w:trPr>
          <w:trHeight w:val="161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B6F84"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Support Activities</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1EBA6"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Firm Infrastructure</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A3132"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strategy and financial management are undergoing a change as part of the Lotus Technology Inc. ESG integration, digital governance and risk management frameworks need to be reinforced to enable global growth and investor trust.</w:t>
            </w:r>
          </w:p>
        </w:tc>
      </w:tr>
      <w:tr w:rsidR="00036DB3" w14:paraId="074C4D3B" w14:textId="77777777">
        <w:trPr>
          <w:trHeight w:val="161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862D4" w14:textId="77777777" w:rsidR="00036DB3" w:rsidRDefault="00036DB3">
            <w:pPr>
              <w:spacing w:before="240" w:after="240" w:line="360" w:lineRule="auto"/>
              <w:jc w:val="both"/>
              <w:rPr>
                <w:rFonts w:ascii="Times New Roman" w:eastAsia="Times New Roman" w:hAnsi="Times New Roman" w:cs="Times New Roman"/>
                <w:sz w:val="24"/>
                <w:szCs w:val="24"/>
              </w:rPr>
            </w:pP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4326A"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Management</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3EC65A"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Lotus is hiring in EV engineering, software development and sustainability. Flexible work models, diversity programs and upskilling programs are necessary to recruit and retain the best talents.</w:t>
            </w:r>
          </w:p>
        </w:tc>
      </w:tr>
      <w:tr w:rsidR="00036DB3" w14:paraId="73ACF859" w14:textId="77777777">
        <w:trPr>
          <w:trHeight w:val="2888"/>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3B7E71" w14:textId="77777777" w:rsidR="00036DB3" w:rsidRDefault="00036DB3">
            <w:pPr>
              <w:spacing w:before="240" w:after="240" w:line="360" w:lineRule="auto"/>
              <w:jc w:val="both"/>
              <w:rPr>
                <w:rFonts w:ascii="Times New Roman" w:eastAsia="Times New Roman" w:hAnsi="Times New Roman" w:cs="Times New Roman"/>
                <w:sz w:val="24"/>
                <w:szCs w:val="24"/>
              </w:rPr>
            </w:pP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6E7CC2"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Development</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4F1CB"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R&amp;D is aimed at the EV platform, aerodynamics and software integration. Innovation is supported by collaborations with </w:t>
            </w:r>
            <w:proofErr w:type="spellStart"/>
            <w:r>
              <w:rPr>
                <w:rFonts w:ascii="Times New Roman" w:eastAsia="Times New Roman" w:hAnsi="Times New Roman" w:cs="Times New Roman"/>
                <w:sz w:val="24"/>
                <w:szCs w:val="24"/>
              </w:rPr>
              <w:t>Geely</w:t>
            </w:r>
            <w:proofErr w:type="spellEnd"/>
            <w:r>
              <w:rPr>
                <w:rFonts w:ascii="Times New Roman" w:eastAsia="Times New Roman" w:hAnsi="Times New Roman" w:cs="Times New Roman"/>
                <w:sz w:val="24"/>
                <w:szCs w:val="24"/>
              </w:rPr>
              <w:t>, UK universities and technology companies. The competitiveness of the product will be improved through digital twin simulations and patent development.</w:t>
            </w:r>
          </w:p>
        </w:tc>
      </w:tr>
      <w:tr w:rsidR="00036DB3" w14:paraId="4521513A" w14:textId="77777777">
        <w:trPr>
          <w:trHeight w:val="1880"/>
        </w:trPr>
        <w:tc>
          <w:tcPr>
            <w:tcW w:w="1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C0550F" w14:textId="77777777" w:rsidR="00036DB3" w:rsidRDefault="00036DB3">
            <w:pPr>
              <w:spacing w:before="240" w:after="240" w:line="360" w:lineRule="auto"/>
              <w:jc w:val="both"/>
              <w:rPr>
                <w:rFonts w:ascii="Times New Roman" w:eastAsia="Times New Roman" w:hAnsi="Times New Roman" w:cs="Times New Roman"/>
                <w:sz w:val="24"/>
                <w:szCs w:val="24"/>
              </w:rPr>
            </w:pP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BFB7C"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Procurement</w:t>
            </w:r>
          </w:p>
        </w:tc>
        <w:tc>
          <w:tcPr>
            <w:tcW w:w="5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3BB87D"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Procurement entails the process of sourcing of essential inputs such as lithium, cobalt and composites. ESG compliance and supply chain stability are necessary in terms of ethical sourcing, supplier audit and </w:t>
            </w:r>
            <w:proofErr w:type="spellStart"/>
            <w:r>
              <w:rPr>
                <w:rFonts w:ascii="Times New Roman" w:eastAsia="Times New Roman" w:hAnsi="Times New Roman" w:cs="Times New Roman"/>
                <w:sz w:val="24"/>
                <w:szCs w:val="24"/>
              </w:rPr>
              <w:t>blockchain</w:t>
            </w:r>
            <w:proofErr w:type="spellEnd"/>
            <w:r>
              <w:rPr>
                <w:rFonts w:ascii="Times New Roman" w:eastAsia="Times New Roman" w:hAnsi="Times New Roman" w:cs="Times New Roman"/>
                <w:sz w:val="24"/>
                <w:szCs w:val="24"/>
              </w:rPr>
              <w:t>-based traceability tools.</w:t>
            </w:r>
          </w:p>
        </w:tc>
      </w:tr>
    </w:tbl>
    <w:p w14:paraId="2A35F24B" w14:textId="77777777" w:rsidR="00036DB3" w:rsidRDefault="00B10B85">
      <w:pPr>
        <w:pStyle w:val="Titlu3"/>
      </w:pPr>
      <w:bookmarkStart w:id="20" w:name="_4llapyfzqwak" w:colFirst="0" w:colLast="0"/>
      <w:bookmarkStart w:id="21" w:name="_Toc208529544"/>
      <w:bookmarkEnd w:id="20"/>
      <w:r>
        <w:t>2.2.2. VRIO Framework</w:t>
      </w:r>
      <w:bookmarkEnd w:id="21"/>
    </w:p>
    <w:tbl>
      <w:tblPr>
        <w:tblStyle w:val="a1"/>
        <w:tblW w:w="89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60"/>
        <w:gridCol w:w="1020"/>
        <w:gridCol w:w="660"/>
        <w:gridCol w:w="1170"/>
        <w:gridCol w:w="1185"/>
        <w:gridCol w:w="2490"/>
      </w:tblGrid>
      <w:tr w:rsidR="00036DB3" w14:paraId="3FC6C149" w14:textId="77777777">
        <w:trPr>
          <w:trHeight w:val="500"/>
        </w:trPr>
        <w:tc>
          <w:tcPr>
            <w:tcW w:w="2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9CE103" w14:textId="77777777" w:rsidR="00036DB3" w:rsidRDefault="00B10B8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Resource/Capability</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713205" w14:textId="77777777" w:rsidR="00036DB3" w:rsidRDefault="00B10B8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Valuable</w:t>
            </w:r>
          </w:p>
        </w:tc>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989BF2" w14:textId="77777777" w:rsidR="00036DB3" w:rsidRDefault="00B10B8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Rare</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35A3F" w14:textId="77777777" w:rsidR="00036DB3" w:rsidRDefault="00B10B8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Inimitable</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9F9BC" w14:textId="77777777" w:rsidR="00036DB3" w:rsidRDefault="00B10B8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Organized</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7E426B" w14:textId="77777777" w:rsidR="00036DB3" w:rsidRDefault="00B10B8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Strategic Implication</w:t>
            </w:r>
          </w:p>
        </w:tc>
      </w:tr>
      <w:tr w:rsidR="00036DB3" w14:paraId="23F3387B" w14:textId="77777777">
        <w:trPr>
          <w:trHeight w:val="785"/>
        </w:trPr>
        <w:tc>
          <w:tcPr>
            <w:tcW w:w="2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F1F31F"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Lightweight Engineering</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08D1CA"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510F2"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7D03B"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0C49BE"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5BD7D"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Competitive Advantage</w:t>
            </w:r>
          </w:p>
        </w:tc>
      </w:tr>
      <w:tr w:rsidR="00036DB3" w14:paraId="29630594" w14:textId="77777777">
        <w:trPr>
          <w:trHeight w:val="500"/>
        </w:trPr>
        <w:tc>
          <w:tcPr>
            <w:tcW w:w="2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A98E1"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 Heritage</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7D38B"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5B533C"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51989"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017676"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A509B"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Competitive Advantage</w:t>
            </w:r>
          </w:p>
        </w:tc>
      </w:tr>
      <w:tr w:rsidR="00036DB3" w14:paraId="4D84AFC9" w14:textId="77777777">
        <w:trPr>
          <w:trHeight w:val="785"/>
        </w:trPr>
        <w:tc>
          <w:tcPr>
            <w:tcW w:w="2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D9CC3E"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 R&amp;D Partnerships</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7D3951"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CCD9C"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8DD2B"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9B26E"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F10CF"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Temporary Advantage</w:t>
            </w:r>
          </w:p>
        </w:tc>
      </w:tr>
      <w:tr w:rsidR="00036DB3" w14:paraId="3C1437D4" w14:textId="77777777">
        <w:trPr>
          <w:trHeight w:val="500"/>
        </w:trPr>
        <w:tc>
          <w:tcPr>
            <w:tcW w:w="2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8A302"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Boutique Manufacturing</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7280A2"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BD98E5"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9F856C"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CE6037"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4E11F8"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Parity</w:t>
            </w:r>
          </w:p>
        </w:tc>
      </w:tr>
      <w:tr w:rsidR="00036DB3" w14:paraId="432E2A74" w14:textId="77777777">
        <w:trPr>
          <w:trHeight w:val="785"/>
        </w:trPr>
        <w:tc>
          <w:tcPr>
            <w:tcW w:w="24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E8698"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Software Capabilities</w:t>
            </w:r>
          </w:p>
        </w:tc>
        <w:tc>
          <w:tcPr>
            <w:tcW w:w="10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E7978"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6BB00"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0B0A4"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1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53B8D"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2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A6981" w14:textId="77777777" w:rsidR="00036DB3" w:rsidRDefault="00B10B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Disadvantage</w:t>
            </w:r>
          </w:p>
        </w:tc>
      </w:tr>
    </w:tbl>
    <w:p w14:paraId="5D1F8941" w14:textId="77777777" w:rsidR="00036DB3" w:rsidRDefault="00B10B85">
      <w:pPr>
        <w:spacing w:before="28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engineering and brand heritage of Lotus provides sustainable benefits. However, its software features and ESG should be enhanced to compete with competitors in the digital and regulatory landscape.</w:t>
      </w:r>
    </w:p>
    <w:p w14:paraId="1DE1746F" w14:textId="77777777" w:rsidR="00036DB3" w:rsidRDefault="00B10B85" w:rsidP="002E3D59">
      <w:pPr>
        <w:pStyle w:val="Titlu2"/>
      </w:pPr>
      <w:bookmarkStart w:id="22" w:name="_wi5yr07ohhn6" w:colFirst="0" w:colLast="0"/>
      <w:bookmarkStart w:id="23" w:name="_Toc208529545"/>
      <w:bookmarkEnd w:id="22"/>
      <w:r>
        <w:t>2.</w:t>
      </w:r>
      <w:r w:rsidR="002E3D59">
        <w:t>3</w:t>
      </w:r>
      <w:r>
        <w:t>. SWOT Analysis</w:t>
      </w:r>
      <w:bookmarkEnd w:id="23"/>
    </w:p>
    <w:p w14:paraId="6D3C766D" w14:textId="77777777" w:rsidR="00036DB3" w:rsidRDefault="00B10B85">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SWOT model consolidates both internal and external insights to determine strategic priorities and make decisions.</w:t>
      </w:r>
    </w:p>
    <w:p w14:paraId="439824F7"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Strengths:</w:t>
      </w:r>
      <w:r>
        <w:rPr>
          <w:rFonts w:ascii="Times New Roman" w:eastAsia="Times New Roman" w:hAnsi="Times New Roman" w:cs="Times New Roman"/>
          <w:sz w:val="24"/>
          <w:szCs w:val="24"/>
        </w:rPr>
        <w:t xml:space="preserve"> Lotus Cars has a unique brand personality based on British motor sport tradition, precision in engineering and design of lightwe</w:t>
      </w:r>
      <w:r w:rsidR="002E3D59">
        <w:rPr>
          <w:rFonts w:ascii="Times New Roman" w:eastAsia="Times New Roman" w:hAnsi="Times New Roman" w:cs="Times New Roman"/>
          <w:sz w:val="24"/>
          <w:szCs w:val="24"/>
        </w:rPr>
        <w:t>ight performance (Lotuscars.com,</w:t>
      </w:r>
      <w:r>
        <w:rPr>
          <w:rFonts w:ascii="Times New Roman" w:eastAsia="Times New Roman" w:hAnsi="Times New Roman" w:cs="Times New Roman"/>
          <w:sz w:val="24"/>
          <w:szCs w:val="24"/>
        </w:rPr>
        <w:t xml:space="preserve"> 2025). Its position as providing driver-oriented cars provides the company with a niche customer base and robust emotional brand equity. The company has acquired access to innovative EV platforms, global supply chains and financial capabilities under the ownership of </w:t>
      </w:r>
      <w:proofErr w:type="spellStart"/>
      <w:r>
        <w:rPr>
          <w:rFonts w:ascii="Times New Roman" w:eastAsia="Times New Roman" w:hAnsi="Times New Roman" w:cs="Times New Roman"/>
          <w:sz w:val="24"/>
          <w:szCs w:val="24"/>
        </w:rPr>
        <w:t>Geely</w:t>
      </w:r>
      <w:proofErr w:type="spellEnd"/>
      <w:r>
        <w:rPr>
          <w:rFonts w:ascii="Times New Roman" w:eastAsia="Times New Roman" w:hAnsi="Times New Roman" w:cs="Times New Roman"/>
          <w:sz w:val="24"/>
          <w:szCs w:val="24"/>
        </w:rPr>
        <w:t xml:space="preserve"> and Lotus Technology Inc., allowing it to increase innovation and access new markets. The </w:t>
      </w:r>
      <w:proofErr w:type="spellStart"/>
      <w:r>
        <w:rPr>
          <w:rFonts w:ascii="Times New Roman" w:eastAsia="Times New Roman" w:hAnsi="Times New Roman" w:cs="Times New Roman"/>
          <w:sz w:val="24"/>
          <w:szCs w:val="24"/>
        </w:rPr>
        <w:t>Hethel</w:t>
      </w:r>
      <w:proofErr w:type="spellEnd"/>
      <w:r>
        <w:rPr>
          <w:rFonts w:ascii="Times New Roman" w:eastAsia="Times New Roman" w:hAnsi="Times New Roman" w:cs="Times New Roman"/>
          <w:sz w:val="24"/>
          <w:szCs w:val="24"/>
        </w:rPr>
        <w:t xml:space="preserve"> production plant is small but reputed in terms of artisanship and quality assurance, an element that solidifies the premium status of Lotus.</w:t>
      </w:r>
    </w:p>
    <w:p w14:paraId="3ECEEAD4"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Weaknesses:</w:t>
      </w:r>
      <w:r>
        <w:rPr>
          <w:rFonts w:ascii="Times New Roman" w:eastAsia="Times New Roman" w:hAnsi="Times New Roman" w:cs="Times New Roman"/>
          <w:sz w:val="24"/>
          <w:szCs w:val="24"/>
        </w:rPr>
        <w:t xml:space="preserve"> Lotus has several internal weaknesses in spite of its strengths. The level of production is also limited relative to the world competitors, which limits the economies of scales and cost competitiveness. The digital infrastructure of the company, especially in software-defined vehicle functionalities, connected services is not developed and the company stands behind competitors, such as T</w:t>
      </w:r>
      <w:r w:rsidR="002E3D59">
        <w:rPr>
          <w:rFonts w:ascii="Times New Roman" w:eastAsia="Times New Roman" w:hAnsi="Times New Roman" w:cs="Times New Roman"/>
          <w:sz w:val="24"/>
          <w:szCs w:val="24"/>
        </w:rPr>
        <w:t>esla and Porsche (Lotuscars.com</w:t>
      </w:r>
      <w:r>
        <w:rPr>
          <w:rFonts w:ascii="Times New Roman" w:eastAsia="Times New Roman" w:hAnsi="Times New Roman" w:cs="Times New Roman"/>
          <w:sz w:val="24"/>
          <w:szCs w:val="24"/>
        </w:rPr>
        <w:t>, 2025). Lotus is also dependent on external suppliers of vital EV parts and is exposed to disruptions in the supply chain. It faces constraints on its ability to diversify revenue due to its small product line and lack of penetration in large segments.</w:t>
      </w:r>
    </w:p>
    <w:p w14:paraId="23138B5A"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Opportunities:</w:t>
      </w:r>
      <w:r>
        <w:rPr>
          <w:rFonts w:ascii="Times New Roman" w:eastAsia="Times New Roman" w:hAnsi="Times New Roman" w:cs="Times New Roman"/>
          <w:sz w:val="24"/>
          <w:szCs w:val="24"/>
        </w:rPr>
        <w:t xml:space="preserve"> Lotus can grow substantially by strategic expansion. China, India and Southeast Asia are new markets with a growing demand for premium electric cars. Lotus can extend its reach by focusing on localisation of production and optimising models to regional preferences. The electrification and green mobility trend coincides with the philosophy of lightweight engineering in Lotus and it can be applied to innovation in battery efficiency and aerodynamics (</w:t>
      </w:r>
      <w:proofErr w:type="spellStart"/>
      <w:r>
        <w:rPr>
          <w:rFonts w:ascii="Times New Roman" w:eastAsia="Times New Roman" w:hAnsi="Times New Roman" w:cs="Times New Roman"/>
          <w:sz w:val="24"/>
          <w:szCs w:val="24"/>
          <w:highlight w:val="white"/>
        </w:rPr>
        <w:t>Shinde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Partnerships with Universities and technology companies can speed up the R&amp;D and subscription ownership and lifestyle branding can appeal to younger, more urban consumers.</w:t>
      </w:r>
    </w:p>
    <w:p w14:paraId="3FD5C859" w14:textId="77777777" w:rsidR="00036DB3" w:rsidRDefault="00B10B85">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Threats:</w:t>
      </w:r>
      <w:r>
        <w:rPr>
          <w:rFonts w:ascii="Times New Roman" w:eastAsia="Times New Roman" w:hAnsi="Times New Roman" w:cs="Times New Roman"/>
          <w:sz w:val="24"/>
          <w:szCs w:val="24"/>
        </w:rPr>
        <w:t xml:space="preserve"> Lotus is under a lot of pressure due to the presence of legacy OEMs and agile EV </w:t>
      </w:r>
      <w:r w:rsidR="002E3D59">
        <w:rPr>
          <w:rFonts w:ascii="Times New Roman" w:eastAsia="Times New Roman" w:hAnsi="Times New Roman" w:cs="Times New Roman"/>
          <w:sz w:val="24"/>
          <w:szCs w:val="24"/>
        </w:rPr>
        <w:t>start-ups</w:t>
      </w:r>
      <w:r>
        <w:rPr>
          <w:rFonts w:ascii="Times New Roman" w:eastAsia="Times New Roman" w:hAnsi="Times New Roman" w:cs="Times New Roman"/>
          <w:sz w:val="24"/>
          <w:szCs w:val="24"/>
        </w:rPr>
        <w:t xml:space="preserve">. The existence of regulatory pressures in various jurisdictions necessitates a continuous compliance adjustment. The volatility of these supply chains (particularly semiconductors and battery materials) provides operation risks. The shift in consumer mobility choices including shared transport and </w:t>
      </w:r>
      <w:r w:rsidR="002E3D59">
        <w:rPr>
          <w:rFonts w:ascii="Times New Roman" w:eastAsia="Times New Roman" w:hAnsi="Times New Roman" w:cs="Times New Roman"/>
          <w:sz w:val="24"/>
          <w:szCs w:val="24"/>
        </w:rPr>
        <w:t>micro mobility</w:t>
      </w:r>
      <w:r>
        <w:rPr>
          <w:rFonts w:ascii="Times New Roman" w:eastAsia="Times New Roman" w:hAnsi="Times New Roman" w:cs="Times New Roman"/>
          <w:sz w:val="24"/>
          <w:szCs w:val="24"/>
        </w:rPr>
        <w:t xml:space="preserve"> could also decrease traditional ownership demand and Lotus will have to consider changes to its business model.</w:t>
      </w:r>
    </w:p>
    <w:p w14:paraId="0773D135" w14:textId="77777777" w:rsidR="00036DB3" w:rsidRDefault="00B10B85">
      <w:pPr>
        <w:pStyle w:val="Titlu1"/>
        <w:spacing w:before="240" w:after="240"/>
        <w:jc w:val="both"/>
      </w:pPr>
      <w:bookmarkStart w:id="24" w:name="_e0fasyifatot" w:colFirst="0" w:colLast="0"/>
      <w:bookmarkStart w:id="25" w:name="_Toc208529546"/>
      <w:bookmarkEnd w:id="24"/>
      <w:r>
        <w:t>3. Strategy Formulation</w:t>
      </w:r>
      <w:bookmarkEnd w:id="25"/>
    </w:p>
    <w:p w14:paraId="012D8DB0"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future of the automobile should be innovation-driven and include a radical approach based on its motorsport tradition and the acceptance of the future of electric mobility to assure long-term competitiveness and rebrand itself within the marketplace. The former strategic priority is to create an EV modular architecture with the ability to have a variety of body styles and performance levels (</w:t>
      </w:r>
      <w:proofErr w:type="spellStart"/>
      <w:r>
        <w:rPr>
          <w:rFonts w:ascii="Times New Roman" w:eastAsia="Times New Roman" w:hAnsi="Times New Roman" w:cs="Times New Roman"/>
          <w:sz w:val="24"/>
          <w:szCs w:val="24"/>
          <w:highlight w:val="white"/>
        </w:rPr>
        <w:t>Sali</w:t>
      </w:r>
      <w:proofErr w:type="spellEnd"/>
      <w:r>
        <w:rPr>
          <w:rFonts w:ascii="Times New Roman" w:eastAsia="Times New Roman" w:hAnsi="Times New Roman" w:cs="Times New Roman"/>
          <w:sz w:val="24"/>
          <w:szCs w:val="24"/>
          <w:highlight w:val="white"/>
        </w:rPr>
        <w:t>, 2024</w:t>
      </w:r>
      <w:r>
        <w:rPr>
          <w:rFonts w:ascii="Times New Roman" w:eastAsia="Times New Roman" w:hAnsi="Times New Roman" w:cs="Times New Roman"/>
          <w:sz w:val="24"/>
          <w:szCs w:val="24"/>
        </w:rPr>
        <w:t>). It will enable Lotus to mass-produce effectively, minimise its development expenses, and introduce customizable electric sports cars that support different markets around the world. The shared platform approach will also allow products to be developed quicker and easier integration of emerging technologies including autonomous driving and advanced- driver-assistance systems (ADAS).</w:t>
      </w:r>
    </w:p>
    <w:p w14:paraId="4BA14B97"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Lotus should invest in performance-as-a-service, a new form of ownership that enables customers to access high-performance vehicles on demand via track-day subscriptions, short-term leases or on digital platforms. It will be consistent with the changing consumer habits of not owning but experiencing mobility through experience among younger and urban consumers. It provides recurring revenue opportunities and it also enhances brand engagement by curating driving experiences.</w:t>
      </w:r>
    </w:p>
    <w:p w14:paraId="05DDB19B"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 the company needs to increase their experiential brand ecosystem. Lotus must also develop immersive brand environments, virtual driving simulation and motorsport-themed retail formats that support its identity and relate with customers emotionally. Tie-ups with other lifestyle brands, influencers and other motorsport communities will assist Lotus in establishing cultural relevance in other sectors other than the automotive industry. These experiences must be incorporated with the digital platform to form a smooth online-to-offline brand experience.</w:t>
      </w:r>
    </w:p>
    <w:p w14:paraId="24F34CC5" w14:textId="77777777" w:rsidR="00036DB3" w:rsidRDefault="00B10B85">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Fourth, it is necessary to have smart manufacturing and sustainability integration. Lotus needs to digitalise its </w:t>
      </w:r>
      <w:proofErr w:type="spellStart"/>
      <w:r>
        <w:rPr>
          <w:rFonts w:ascii="Times New Roman" w:eastAsia="Times New Roman" w:hAnsi="Times New Roman" w:cs="Times New Roman"/>
          <w:sz w:val="24"/>
          <w:szCs w:val="24"/>
        </w:rPr>
        <w:t>Hethel</w:t>
      </w:r>
      <w:proofErr w:type="spellEnd"/>
      <w:r>
        <w:rPr>
          <w:rFonts w:ascii="Times New Roman" w:eastAsia="Times New Roman" w:hAnsi="Times New Roman" w:cs="Times New Roman"/>
          <w:sz w:val="24"/>
          <w:szCs w:val="24"/>
        </w:rPr>
        <w:t xml:space="preserve"> plant through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robotics and AI to optimise production, waste reduction and energy efficiency (</w:t>
      </w:r>
      <w:proofErr w:type="spellStart"/>
      <w:r>
        <w:rPr>
          <w:rFonts w:ascii="Times New Roman" w:eastAsia="Times New Roman" w:hAnsi="Times New Roman" w:cs="Times New Roman"/>
          <w:sz w:val="24"/>
          <w:szCs w:val="24"/>
          <w:highlight w:val="white"/>
        </w:rPr>
        <w:t>Royan</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The application of the principles of circular design, including the design of vehicles that can be disassembled and re-used, and the use of low impact materials will aid the ESG objectives and regulatory regulations. The investor confidence and brand credibility will also be strengthened through transparent sustainability reporting.</w:t>
      </w:r>
    </w:p>
    <w:p w14:paraId="24D4E3A8"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Lotus needs to set up regional innovation hubs in Asia and Europe to localise R&amp;D, meet market-specific needs and speed-up product development cycles. These centres must be sensitive to battery innovations, lightweight materials and regional-oriented software development. Through decentralisation of innovation, Lotus will be able to stay flexible, competitive and globally relevant in accessing local talent and consumer insights.</w:t>
      </w:r>
    </w:p>
    <w:p w14:paraId="162E5F74" w14:textId="77777777" w:rsidR="00036DB3" w:rsidRDefault="00B10B85">
      <w:pPr>
        <w:pStyle w:val="Titlu1"/>
        <w:jc w:val="both"/>
      </w:pPr>
      <w:bookmarkStart w:id="26" w:name="_elxzwgnhduod" w:colFirst="0" w:colLast="0"/>
      <w:bookmarkStart w:id="27" w:name="_Toc208529547"/>
      <w:bookmarkEnd w:id="26"/>
      <w:r>
        <w:t>4. Conclusion and Recommendation</w:t>
      </w:r>
      <w:bookmarkEnd w:id="27"/>
    </w:p>
    <w:p w14:paraId="0C109A31"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Lotus Cars Limited is at a strategic crossroad. As the automotive industry moves towards electrification, digitalisation and experiential mobility, Lotus will need to transform itself into a niche sports car manufacturer into a globally competitive innovator. Strategic analysis indicates that even though Lotus has a strong brand legacy and engineering expertise, it has to address shortcomings of scale, digital infrastructure and market penetration to succeed in the premium EV market.</w:t>
      </w:r>
    </w:p>
    <w:p w14:paraId="73F8145A"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Lotus should focus on developing a modular platform of EVs that will cater to various vehicle formats and performance. It will facilitate scalable production, accelerated innovation and cost-effective customisation. Lotus has the opportunity to attract both the traditionalists and new-generation drivers by providing a variety of electric sports cars that share a common architecture.</w:t>
      </w:r>
      <w:r w:rsidR="002E3D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firm should also adopt performance-as-a-service involving a change in traditional ownership to adaptable access patterns. Track experiences, short-term lease and digital driving platforms on subscription basis will enable Lotus to monetise its brand and adjust to evolving consumer behaviour.</w:t>
      </w:r>
    </w:p>
    <w:p w14:paraId="0F31B6A3" w14:textId="77777777" w:rsidR="00036DB3" w:rsidRDefault="00B10B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expand the experiential brand ecosystem. Lotus should invest in the immersive retail experiences, motorsport-themed experiences and virtual engagement tools that enhance emotional attachment and brand loyalty. Lotus should utilize strategic alliances with lifestyle and technology brands to increase the cultural presence of the brand.</w:t>
      </w:r>
      <w:r w:rsidR="002E3D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Lotus operationally needs to digitalise its manufacturing and to institute sustainability throughout the value chain. The AI-driven and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-driven smart factory will optimise efficiency, whereas the circular design and ethical sourcing will increase the ESG performance and compliance with regulations.</w:t>
      </w:r>
      <w:r w:rsidR="002E3D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formation of regional innovation hubs will enable Lotus to localize R&amp;D, react to market-specific trends and speed up the product development process. These hubs will be drivers of agility and global relevance.</w:t>
      </w:r>
      <w:r>
        <w:br w:type="page"/>
      </w:r>
    </w:p>
    <w:p w14:paraId="01383AF3" w14:textId="77777777" w:rsidR="00036DB3" w:rsidRDefault="00B10B85">
      <w:pPr>
        <w:pStyle w:val="Titlu1"/>
        <w:spacing w:before="240" w:after="240"/>
        <w:jc w:val="both"/>
      </w:pPr>
      <w:bookmarkStart w:id="28" w:name="_ftfbxplk80nq" w:colFirst="0" w:colLast="0"/>
      <w:bookmarkStart w:id="29" w:name="_Toc208529548"/>
      <w:bookmarkEnd w:id="28"/>
      <w:r>
        <w:t>References</w:t>
      </w:r>
      <w:bookmarkEnd w:id="29"/>
    </w:p>
    <w:p w14:paraId="653A2470" w14:textId="77777777" w:rsidR="00C40CB3" w:rsidRDefault="00C40CB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Alharbi</w:t>
      </w:r>
      <w:proofErr w:type="spellEnd"/>
      <w:r>
        <w:rPr>
          <w:rFonts w:ascii="Times New Roman" w:eastAsia="Times New Roman" w:hAnsi="Times New Roman" w:cs="Times New Roman"/>
          <w:sz w:val="24"/>
          <w:szCs w:val="24"/>
          <w:highlight w:val="white"/>
        </w:rPr>
        <w:t xml:space="preserve">, I.B., 2024. Strategic management: A comprehensive review paper. </w:t>
      </w:r>
      <w:r>
        <w:rPr>
          <w:rFonts w:ascii="Times New Roman" w:eastAsia="Times New Roman" w:hAnsi="Times New Roman" w:cs="Times New Roman"/>
          <w:i/>
          <w:sz w:val="24"/>
          <w:szCs w:val="24"/>
        </w:rPr>
        <w:t xml:space="preserve">International Journal of Professional Business Review: Int. J. </w:t>
      </w:r>
      <w:proofErr w:type="spellStart"/>
      <w:r>
        <w:rPr>
          <w:rFonts w:ascii="Times New Roman" w:eastAsia="Times New Roman" w:hAnsi="Times New Roman" w:cs="Times New Roman"/>
          <w:i/>
          <w:sz w:val="24"/>
          <w:szCs w:val="24"/>
        </w:rPr>
        <w:t>Prof.</w:t>
      </w:r>
      <w:proofErr w:type="spellEnd"/>
      <w:r>
        <w:rPr>
          <w:rFonts w:ascii="Times New Roman" w:eastAsia="Times New Roman" w:hAnsi="Times New Roman" w:cs="Times New Roman"/>
          <w:i/>
          <w:sz w:val="24"/>
          <w:szCs w:val="24"/>
        </w:rPr>
        <w:t xml:space="preserve"> Bus. Rev.</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(3), p.8.</w:t>
      </w:r>
    </w:p>
    <w:p w14:paraId="0294C452" w14:textId="77777777" w:rsidR="00C40CB3" w:rsidRDefault="00C40CB3">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Berezina, P., 2024. The Electric Revolution from China: Impact of Chinese Electric vehicles on Logistics and Market in Europe.</w:t>
      </w:r>
    </w:p>
    <w:p w14:paraId="203C1E63" w14:textId="77777777" w:rsidR="00C40CB3" w:rsidRDefault="00C40CB3">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CHEN, J., 2023. Import-export regulations for electric vehicles: A comparative analysis between the EU and China.</w:t>
      </w:r>
    </w:p>
    <w:p w14:paraId="3D666FF8" w14:textId="77777777" w:rsidR="00C40CB3" w:rsidRDefault="00C40CB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Gimbert</w:t>
      </w:r>
      <w:proofErr w:type="spellEnd"/>
      <w:r>
        <w:rPr>
          <w:rFonts w:ascii="Times New Roman" w:eastAsia="Times New Roman" w:hAnsi="Times New Roman" w:cs="Times New Roman"/>
          <w:sz w:val="24"/>
          <w:szCs w:val="24"/>
          <w:highlight w:val="white"/>
        </w:rPr>
        <w:t xml:space="preserve">, Y. and Earl, T., 2021. Transport &amp; Environment. </w:t>
      </w:r>
      <w:r>
        <w:rPr>
          <w:rFonts w:ascii="Times New Roman" w:eastAsia="Times New Roman" w:hAnsi="Times New Roman" w:cs="Times New Roman"/>
          <w:i/>
          <w:sz w:val="24"/>
          <w:szCs w:val="24"/>
        </w:rPr>
        <w:t>The electric car boom is at risk</w:t>
      </w:r>
      <w:r>
        <w:rPr>
          <w:rFonts w:ascii="Times New Roman" w:eastAsia="Times New Roman" w:hAnsi="Times New Roman" w:cs="Times New Roman"/>
          <w:sz w:val="24"/>
          <w:szCs w:val="24"/>
        </w:rPr>
        <w:t>.</w:t>
      </w:r>
    </w:p>
    <w:p w14:paraId="1DE249D3" w14:textId="77777777" w:rsidR="00C40CB3" w:rsidRDefault="00C40C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Hamid, U.Z.A., 2024. </w:t>
      </w:r>
      <w:r>
        <w:rPr>
          <w:rFonts w:ascii="Times New Roman" w:eastAsia="Times New Roman" w:hAnsi="Times New Roman" w:cs="Times New Roman"/>
          <w:i/>
          <w:sz w:val="24"/>
          <w:szCs w:val="24"/>
        </w:rPr>
        <w:t>Product Governance and Management for Software-defined Battery Electric Vehicles</w:t>
      </w:r>
      <w:r>
        <w:rPr>
          <w:rFonts w:ascii="Times New Roman" w:eastAsia="Times New Roman" w:hAnsi="Times New Roman" w:cs="Times New Roman"/>
          <w:sz w:val="24"/>
          <w:szCs w:val="24"/>
        </w:rPr>
        <w:t>. SAE International.</w:t>
      </w:r>
    </w:p>
    <w:p w14:paraId="0D36D722" w14:textId="77777777" w:rsidR="00C40CB3" w:rsidRDefault="00C40C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Jenkins, M., Henry, N. and Angus, T., 2023. British motor sport and the rise of the </w:t>
      </w:r>
      <w:proofErr w:type="spellStart"/>
      <w:r>
        <w:rPr>
          <w:rFonts w:ascii="Times New Roman" w:eastAsia="Times New Roman" w:hAnsi="Times New Roman" w:cs="Times New Roman"/>
          <w:sz w:val="24"/>
          <w:szCs w:val="24"/>
          <w:highlight w:val="white"/>
        </w:rPr>
        <w:t>garagisti</w:t>
      </w:r>
      <w:proofErr w:type="spellEnd"/>
      <w:r>
        <w:rPr>
          <w:rFonts w:ascii="Times New Roman" w:eastAsia="Times New Roman" w:hAnsi="Times New Roman" w:cs="Times New Roman"/>
          <w:sz w:val="24"/>
          <w:szCs w:val="24"/>
          <w:highlight w:val="white"/>
        </w:rPr>
        <w:t xml:space="preserve">. In </w:t>
      </w:r>
      <w:r>
        <w:rPr>
          <w:rFonts w:ascii="Times New Roman" w:eastAsia="Times New Roman" w:hAnsi="Times New Roman" w:cs="Times New Roman"/>
          <w:i/>
          <w:sz w:val="24"/>
          <w:szCs w:val="24"/>
        </w:rPr>
        <w:t>The History and Politics of Motor Racing: Lives in the Fast Lane</w:t>
      </w:r>
      <w:r>
        <w:rPr>
          <w:rFonts w:ascii="Times New Roman" w:eastAsia="Times New Roman" w:hAnsi="Times New Roman" w:cs="Times New Roman"/>
          <w:sz w:val="24"/>
          <w:szCs w:val="24"/>
        </w:rPr>
        <w:t xml:space="preserve"> (pp. 201-219). Cham: Springer International Publishing.</w:t>
      </w:r>
    </w:p>
    <w:p w14:paraId="0BE7DEAA" w14:textId="77777777" w:rsidR="00C40CB3" w:rsidRDefault="00C40CB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Kandpal</w:t>
      </w:r>
      <w:proofErr w:type="spellEnd"/>
      <w:r>
        <w:rPr>
          <w:rFonts w:ascii="Times New Roman" w:eastAsia="Times New Roman" w:hAnsi="Times New Roman" w:cs="Times New Roman"/>
          <w:sz w:val="24"/>
          <w:szCs w:val="24"/>
          <w:highlight w:val="white"/>
        </w:rPr>
        <w:t xml:space="preserve">, V., </w:t>
      </w:r>
      <w:proofErr w:type="spellStart"/>
      <w:r>
        <w:rPr>
          <w:rFonts w:ascii="Times New Roman" w:eastAsia="Times New Roman" w:hAnsi="Times New Roman" w:cs="Times New Roman"/>
          <w:sz w:val="24"/>
          <w:szCs w:val="24"/>
          <w:highlight w:val="white"/>
        </w:rPr>
        <w:t>Jaswal</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Santibanez</w:t>
      </w:r>
      <w:proofErr w:type="spellEnd"/>
      <w:r>
        <w:rPr>
          <w:rFonts w:ascii="Times New Roman" w:eastAsia="Times New Roman" w:hAnsi="Times New Roman" w:cs="Times New Roman"/>
          <w:sz w:val="24"/>
          <w:szCs w:val="24"/>
          <w:highlight w:val="white"/>
        </w:rPr>
        <w:t xml:space="preserve"> Gonzalez, E.D. and Agarwal, N., 2024. Sustainable energy transition, circular economy, and ESG practices. In </w:t>
      </w:r>
      <w:r>
        <w:rPr>
          <w:rFonts w:ascii="Times New Roman" w:eastAsia="Times New Roman" w:hAnsi="Times New Roman" w:cs="Times New Roman"/>
          <w:i/>
          <w:sz w:val="24"/>
          <w:szCs w:val="24"/>
        </w:rPr>
        <w:t>Sustainable Energy Transition: Circular Economy and Sustainable Financing for Environmental, Social and Governance (ESG) Practices</w:t>
      </w:r>
      <w:r>
        <w:rPr>
          <w:rFonts w:ascii="Times New Roman" w:eastAsia="Times New Roman" w:hAnsi="Times New Roman" w:cs="Times New Roman"/>
          <w:sz w:val="24"/>
          <w:szCs w:val="24"/>
        </w:rPr>
        <w:t xml:space="preserve"> (pp. 1-51). Cham: Springer Nature Switzerland.</w:t>
      </w:r>
    </w:p>
    <w:p w14:paraId="5955D2C8" w14:textId="77777777" w:rsidR="00C40CB3" w:rsidRDefault="00C40CB3">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Lotuscars.com</w:t>
      </w:r>
      <w:r>
        <w:rPr>
          <w:rFonts w:ascii="Times New Roman" w:eastAsia="Times New Roman" w:hAnsi="Times New Roman" w:cs="Times New Roman"/>
          <w:color w:val="0A0A0A"/>
          <w:sz w:val="24"/>
          <w:szCs w:val="24"/>
        </w:rPr>
        <w:t xml:space="preserve">, 2025. Lotus launches powerful new brand film celebrating its rebellious spirit and racing soul </w:t>
      </w:r>
      <w:r>
        <w:rPr>
          <w:rFonts w:ascii="Times New Roman" w:eastAsia="Times New Roman" w:hAnsi="Times New Roman" w:cs="Times New Roman"/>
          <w:i/>
          <w:color w:val="0A0A0A"/>
          <w:sz w:val="24"/>
          <w:szCs w:val="24"/>
        </w:rPr>
        <w:t>[Online]</w:t>
      </w:r>
      <w:r>
        <w:rPr>
          <w:rFonts w:ascii="Times New Roman" w:eastAsia="Times New Roman" w:hAnsi="Times New Roman" w:cs="Times New Roman"/>
          <w:color w:val="0A0A0A"/>
          <w:sz w:val="24"/>
          <w:szCs w:val="24"/>
        </w:rPr>
        <w:t xml:space="preserve"> Available at: </w:t>
      </w:r>
      <w:hyperlink r:id="rId7">
        <w:r>
          <w:rPr>
            <w:rFonts w:ascii="Times New Roman" w:eastAsia="Times New Roman" w:hAnsi="Times New Roman" w:cs="Times New Roman"/>
            <w:color w:val="1155CC"/>
            <w:sz w:val="24"/>
            <w:szCs w:val="24"/>
            <w:u w:val="single"/>
          </w:rPr>
          <w:t>https://www.lotuscars.com/en/press/news/lotus-launches-powerful-new-brand-film</w:t>
        </w:r>
      </w:hyperlink>
      <w:r>
        <w:rPr>
          <w:rFonts w:ascii="Times New Roman" w:eastAsia="Times New Roman" w:hAnsi="Times New Roman" w:cs="Times New Roman"/>
          <w:sz w:val="24"/>
          <w:szCs w:val="24"/>
        </w:rPr>
        <w:t xml:space="preserve"> Accessed on: </w:t>
      </w:r>
      <w:r>
        <w:rPr>
          <w:rFonts w:ascii="Times New Roman" w:eastAsia="Times New Roman" w:hAnsi="Times New Roman" w:cs="Times New Roman"/>
          <w:sz w:val="24"/>
          <w:szCs w:val="24"/>
          <w:highlight w:val="white"/>
        </w:rPr>
        <w:t>12th September, 2025.</w:t>
      </w:r>
    </w:p>
    <w:p w14:paraId="4C84373F" w14:textId="77777777" w:rsidR="00C40CB3" w:rsidRDefault="00C40CB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Nikitas</w:t>
      </w:r>
      <w:proofErr w:type="spellEnd"/>
      <w:r>
        <w:rPr>
          <w:rFonts w:ascii="Times New Roman" w:eastAsia="Times New Roman" w:hAnsi="Times New Roman" w:cs="Times New Roman"/>
          <w:sz w:val="24"/>
          <w:szCs w:val="24"/>
          <w:highlight w:val="white"/>
        </w:rPr>
        <w:t xml:space="preserve">, A., 2024. </w:t>
      </w:r>
      <w:proofErr w:type="spellStart"/>
      <w:r>
        <w:rPr>
          <w:rFonts w:ascii="Times New Roman" w:eastAsia="Times New Roman" w:hAnsi="Times New Roman" w:cs="Times New Roman"/>
          <w:sz w:val="24"/>
          <w:szCs w:val="24"/>
          <w:highlight w:val="white"/>
        </w:rPr>
        <w:t>Micromobility</w:t>
      </w:r>
      <w:proofErr w:type="spellEnd"/>
      <w:r>
        <w:rPr>
          <w:rFonts w:ascii="Times New Roman" w:eastAsia="Times New Roman" w:hAnsi="Times New Roman" w:cs="Times New Roman"/>
          <w:sz w:val="24"/>
          <w:szCs w:val="24"/>
          <w:highlight w:val="white"/>
        </w:rPr>
        <w:t xml:space="preserve"> and shared mobility. In </w:t>
      </w:r>
      <w:r>
        <w:rPr>
          <w:rFonts w:ascii="Times New Roman" w:eastAsia="Times New Roman" w:hAnsi="Times New Roman" w:cs="Times New Roman"/>
          <w:i/>
          <w:sz w:val="24"/>
          <w:szCs w:val="24"/>
        </w:rPr>
        <w:t>Handbook of Travel Behaviour</w:t>
      </w:r>
      <w:r>
        <w:rPr>
          <w:rFonts w:ascii="Times New Roman" w:eastAsia="Times New Roman" w:hAnsi="Times New Roman" w:cs="Times New Roman"/>
          <w:sz w:val="24"/>
          <w:szCs w:val="24"/>
        </w:rPr>
        <w:t xml:space="preserve"> (pp. 320-338). Edward Elgar Publishing.</w:t>
      </w:r>
    </w:p>
    <w:p w14:paraId="074837A5" w14:textId="77777777" w:rsidR="00C40CB3" w:rsidRDefault="00C40CB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Noorani</w:t>
      </w:r>
      <w:proofErr w:type="spellEnd"/>
      <w:r>
        <w:rPr>
          <w:rFonts w:ascii="Times New Roman" w:eastAsia="Times New Roman" w:hAnsi="Times New Roman" w:cs="Times New Roman"/>
          <w:sz w:val="24"/>
          <w:szCs w:val="24"/>
          <w:highlight w:val="white"/>
        </w:rPr>
        <w:t xml:space="preserve">, G.M., Khan, M.T.A. and Khan, H.U., 2024. The Global Economic Consequences of the Russia-Ukraine War: Implications for Energy, Food Security, Post-COVID Recovery, and Regional Economic Stability. </w:t>
      </w:r>
      <w:r>
        <w:rPr>
          <w:rFonts w:ascii="Times New Roman" w:eastAsia="Times New Roman" w:hAnsi="Times New Roman" w:cs="Times New Roman"/>
          <w:i/>
          <w:sz w:val="24"/>
          <w:szCs w:val="24"/>
        </w:rPr>
        <w:t>Policy Res. J</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 pp.380-390.</w:t>
      </w:r>
    </w:p>
    <w:p w14:paraId="788B5A8D" w14:textId="77777777" w:rsidR="00C40CB3" w:rsidRDefault="00C40C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Philipp, B., 2025, July. Brexit consequences on supply chains: towards a risk management framework. In </w:t>
      </w:r>
      <w:r>
        <w:rPr>
          <w:rFonts w:ascii="Times New Roman" w:eastAsia="Times New Roman" w:hAnsi="Times New Roman" w:cs="Times New Roman"/>
          <w:i/>
          <w:sz w:val="24"/>
          <w:szCs w:val="24"/>
        </w:rPr>
        <w:t>Supply Chain Forum: An International Journal</w:t>
      </w:r>
      <w:r>
        <w:rPr>
          <w:rFonts w:ascii="Times New Roman" w:eastAsia="Times New Roman" w:hAnsi="Times New Roman" w:cs="Times New Roman"/>
          <w:sz w:val="24"/>
          <w:szCs w:val="24"/>
        </w:rPr>
        <w:t xml:space="preserve"> (Vol. 26, No. 3, pp. 345-357). Taylor &amp; Francis.</w:t>
      </w:r>
    </w:p>
    <w:p w14:paraId="151DDA79" w14:textId="77777777" w:rsidR="00C40CB3" w:rsidRDefault="00C40C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Pittman, M., </w:t>
      </w:r>
      <w:proofErr w:type="spellStart"/>
      <w:r>
        <w:rPr>
          <w:rFonts w:ascii="Times New Roman" w:eastAsia="Times New Roman" w:hAnsi="Times New Roman" w:cs="Times New Roman"/>
          <w:sz w:val="24"/>
          <w:szCs w:val="24"/>
          <w:highlight w:val="white"/>
        </w:rPr>
        <w:t>Oeldorf</w:t>
      </w:r>
      <w:proofErr w:type="spellEnd"/>
      <w:r>
        <w:rPr>
          <w:rFonts w:ascii="Times New Roman" w:eastAsia="Times New Roman" w:hAnsi="Times New Roman" w:cs="Times New Roman"/>
          <w:sz w:val="24"/>
          <w:szCs w:val="24"/>
          <w:highlight w:val="white"/>
        </w:rPr>
        <w:t xml:space="preserve">-Hirsch, A. and Brannan, A., 2022. Green advertising on social media: Brand authenticity mediates the effect of different appeals on purchase intent and digital engagement. </w:t>
      </w:r>
      <w:r>
        <w:rPr>
          <w:rFonts w:ascii="Times New Roman" w:eastAsia="Times New Roman" w:hAnsi="Times New Roman" w:cs="Times New Roman"/>
          <w:i/>
          <w:sz w:val="24"/>
          <w:szCs w:val="24"/>
        </w:rPr>
        <w:t>Journal of Current Issues &amp; Research in Advertising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(1), pp.106-121.</w:t>
      </w:r>
    </w:p>
    <w:p w14:paraId="35530230" w14:textId="77777777" w:rsidR="00C40CB3" w:rsidRDefault="00C40CB3">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Royan</w:t>
      </w:r>
      <w:proofErr w:type="spellEnd"/>
      <w:r>
        <w:rPr>
          <w:rFonts w:ascii="Times New Roman" w:eastAsia="Times New Roman" w:hAnsi="Times New Roman" w:cs="Times New Roman"/>
          <w:sz w:val="24"/>
          <w:szCs w:val="24"/>
          <w:highlight w:val="white"/>
        </w:rPr>
        <w:t xml:space="preserve">, F., 2021. Digital Sustainability: The Path to Net Zero for Design &amp; Manufacturing and Architecture, Engineering, &amp; Construction (AEC) Industries. </w:t>
      </w:r>
      <w:r>
        <w:rPr>
          <w:rFonts w:ascii="Times New Roman" w:eastAsia="Times New Roman" w:hAnsi="Times New Roman" w:cs="Times New Roman"/>
          <w:i/>
          <w:sz w:val="24"/>
          <w:szCs w:val="24"/>
          <w:highlight w:val="white"/>
        </w:rPr>
        <w:t>Analysis of the market in UK &amp; Ireland, Nordics and Benelux. Frost &amp; Sullivan, London, UK</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125</w:t>
      </w:r>
      <w:r>
        <w:rPr>
          <w:rFonts w:ascii="Times New Roman" w:eastAsia="Times New Roman" w:hAnsi="Times New Roman" w:cs="Times New Roman"/>
          <w:sz w:val="24"/>
          <w:szCs w:val="24"/>
          <w:highlight w:val="white"/>
        </w:rPr>
        <w:t>.</w:t>
      </w:r>
    </w:p>
    <w:p w14:paraId="4C87C80C" w14:textId="77777777" w:rsidR="00C40CB3" w:rsidRDefault="00C40CB3">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Sali</w:t>
      </w:r>
      <w:proofErr w:type="spellEnd"/>
      <w:r>
        <w:rPr>
          <w:rFonts w:ascii="Times New Roman" w:eastAsia="Times New Roman" w:hAnsi="Times New Roman" w:cs="Times New Roman"/>
          <w:sz w:val="24"/>
          <w:szCs w:val="24"/>
          <w:highlight w:val="white"/>
        </w:rPr>
        <w:t xml:space="preserve">, M., 2024. Designing an </w:t>
      </w:r>
      <w:proofErr w:type="spellStart"/>
      <w:r>
        <w:rPr>
          <w:rFonts w:ascii="Times New Roman" w:eastAsia="Times New Roman" w:hAnsi="Times New Roman" w:cs="Times New Roman"/>
          <w:sz w:val="24"/>
          <w:szCs w:val="24"/>
          <w:highlight w:val="white"/>
        </w:rPr>
        <w:t>Innovetive</w:t>
      </w:r>
      <w:proofErr w:type="spellEnd"/>
      <w:r>
        <w:rPr>
          <w:rFonts w:ascii="Times New Roman" w:eastAsia="Times New Roman" w:hAnsi="Times New Roman" w:cs="Times New Roman"/>
          <w:sz w:val="24"/>
          <w:szCs w:val="24"/>
          <w:highlight w:val="white"/>
        </w:rPr>
        <w:t xml:space="preserve"> Modular Platform for Sports Car Using the Generative Design Method.</w:t>
      </w:r>
    </w:p>
    <w:p w14:paraId="101261AF" w14:textId="77777777" w:rsidR="00C40CB3" w:rsidRDefault="00C40CB3">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Shinde</w:t>
      </w:r>
      <w:proofErr w:type="spellEnd"/>
      <w:r>
        <w:rPr>
          <w:rFonts w:ascii="Times New Roman" w:eastAsia="Times New Roman" w:hAnsi="Times New Roman" w:cs="Times New Roman"/>
          <w:sz w:val="24"/>
          <w:szCs w:val="24"/>
          <w:highlight w:val="white"/>
        </w:rPr>
        <w:t xml:space="preserve">, A., Swami, R.K. and </w:t>
      </w:r>
      <w:proofErr w:type="spellStart"/>
      <w:r>
        <w:rPr>
          <w:rFonts w:ascii="Times New Roman" w:eastAsia="Times New Roman" w:hAnsi="Times New Roman" w:cs="Times New Roman"/>
          <w:sz w:val="24"/>
          <w:szCs w:val="24"/>
          <w:highlight w:val="white"/>
        </w:rPr>
        <w:t>Nanivadekar</w:t>
      </w:r>
      <w:proofErr w:type="spellEnd"/>
      <w:r>
        <w:rPr>
          <w:rFonts w:ascii="Times New Roman" w:eastAsia="Times New Roman" w:hAnsi="Times New Roman" w:cs="Times New Roman"/>
          <w:sz w:val="24"/>
          <w:szCs w:val="24"/>
          <w:highlight w:val="white"/>
        </w:rPr>
        <w:t xml:space="preserve">, S., 2024, May. Advances and Innovations in Small Electric Vehicles Structural Design: A Review. In </w:t>
      </w:r>
      <w:r>
        <w:rPr>
          <w:rFonts w:ascii="Times New Roman" w:eastAsia="Times New Roman" w:hAnsi="Times New Roman" w:cs="Times New Roman"/>
          <w:i/>
          <w:sz w:val="24"/>
          <w:szCs w:val="24"/>
          <w:highlight w:val="white"/>
        </w:rPr>
        <w:t>International Conference on Electric Power and Renewable Energy</w:t>
      </w:r>
      <w:r>
        <w:rPr>
          <w:rFonts w:ascii="Times New Roman" w:eastAsia="Times New Roman" w:hAnsi="Times New Roman" w:cs="Times New Roman"/>
          <w:sz w:val="24"/>
          <w:szCs w:val="24"/>
          <w:highlight w:val="white"/>
        </w:rPr>
        <w:t xml:space="preserve"> (pp. 263-275). Singapore: Springer Nature Singapore.</w:t>
      </w:r>
    </w:p>
    <w:p w14:paraId="2C3A2A93" w14:textId="77777777" w:rsidR="00C40CB3" w:rsidRDefault="00C40CB3">
      <w:pPr>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Thumiger</w:t>
      </w:r>
      <w:proofErr w:type="spellEnd"/>
      <w:r>
        <w:rPr>
          <w:rFonts w:ascii="Times New Roman" w:eastAsia="Times New Roman" w:hAnsi="Times New Roman" w:cs="Times New Roman"/>
          <w:sz w:val="24"/>
          <w:szCs w:val="24"/>
          <w:highlight w:val="white"/>
        </w:rPr>
        <w:t>, B., 2021. The valuation of Tesla and BMW in a disrupted industry: a comparative analysis.</w:t>
      </w:r>
    </w:p>
    <w:p w14:paraId="4E80257D" w14:textId="77777777" w:rsidR="00C40CB3" w:rsidRDefault="00C40CB3">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Tor, M., 2025. Exchange Rate Fluctuations and Bank Performance.</w:t>
      </w:r>
    </w:p>
    <w:p w14:paraId="252B0F51" w14:textId="77777777" w:rsidR="00C40CB3" w:rsidRDefault="00C40C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Wang, H., </w:t>
      </w:r>
      <w:proofErr w:type="spellStart"/>
      <w:r>
        <w:rPr>
          <w:rFonts w:ascii="Times New Roman" w:eastAsia="Times New Roman" w:hAnsi="Times New Roman" w:cs="Times New Roman"/>
          <w:sz w:val="24"/>
          <w:szCs w:val="24"/>
          <w:highlight w:val="white"/>
        </w:rPr>
        <w:t>Balcet</w:t>
      </w:r>
      <w:proofErr w:type="spellEnd"/>
      <w:r>
        <w:rPr>
          <w:rFonts w:ascii="Times New Roman" w:eastAsia="Times New Roman" w:hAnsi="Times New Roman" w:cs="Times New Roman"/>
          <w:sz w:val="24"/>
          <w:szCs w:val="24"/>
          <w:highlight w:val="white"/>
        </w:rPr>
        <w:t xml:space="preserve">, G. and Zhang, W., 2021. </w:t>
      </w:r>
      <w:proofErr w:type="spellStart"/>
      <w:r>
        <w:rPr>
          <w:rFonts w:ascii="Times New Roman" w:eastAsia="Times New Roman" w:hAnsi="Times New Roman" w:cs="Times New Roman"/>
          <w:i/>
          <w:sz w:val="24"/>
          <w:szCs w:val="24"/>
        </w:rPr>
        <w:t>Geely</w:t>
      </w:r>
      <w:proofErr w:type="spellEnd"/>
      <w:r>
        <w:rPr>
          <w:rFonts w:ascii="Times New Roman" w:eastAsia="Times New Roman" w:hAnsi="Times New Roman" w:cs="Times New Roman"/>
          <w:i/>
          <w:sz w:val="24"/>
          <w:szCs w:val="24"/>
        </w:rPr>
        <w:t xml:space="preserve"> drives out: The rise of the new Chinese automaker in the global landscape</w:t>
      </w:r>
      <w:r>
        <w:rPr>
          <w:rFonts w:ascii="Times New Roman" w:eastAsia="Times New Roman" w:hAnsi="Times New Roman" w:cs="Times New Roman"/>
          <w:sz w:val="24"/>
          <w:szCs w:val="24"/>
        </w:rPr>
        <w:t>.</w:t>
      </w:r>
    </w:p>
    <w:p w14:paraId="7FF76745" w14:textId="77777777" w:rsidR="00C40CB3" w:rsidRDefault="00C40CB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Weber, J., 2022. Technological Trends: What Will the Vehicles of the Future Be Capable of?. In </w:t>
      </w:r>
      <w:r>
        <w:rPr>
          <w:rFonts w:ascii="Times New Roman" w:eastAsia="Times New Roman" w:hAnsi="Times New Roman" w:cs="Times New Roman"/>
          <w:i/>
          <w:sz w:val="24"/>
          <w:szCs w:val="24"/>
        </w:rPr>
        <w:t>Moving Times: Mobility of the future</w:t>
      </w:r>
      <w:r>
        <w:rPr>
          <w:rFonts w:ascii="Times New Roman" w:eastAsia="Times New Roman" w:hAnsi="Times New Roman" w:cs="Times New Roman"/>
          <w:sz w:val="24"/>
          <w:szCs w:val="24"/>
        </w:rPr>
        <w:t xml:space="preserve"> (pp. 27-159). Wiesbaden: Springer </w:t>
      </w:r>
      <w:proofErr w:type="spellStart"/>
      <w:r>
        <w:rPr>
          <w:rFonts w:ascii="Times New Roman" w:eastAsia="Times New Roman" w:hAnsi="Times New Roman" w:cs="Times New Roman"/>
          <w:sz w:val="24"/>
          <w:szCs w:val="24"/>
        </w:rPr>
        <w:t>Fachmedien</w:t>
      </w:r>
      <w:proofErr w:type="spellEnd"/>
      <w:r>
        <w:rPr>
          <w:rFonts w:ascii="Times New Roman" w:eastAsia="Times New Roman" w:hAnsi="Times New Roman" w:cs="Times New Roman"/>
          <w:sz w:val="24"/>
          <w:szCs w:val="24"/>
        </w:rPr>
        <w:t xml:space="preserve"> Wiesbaden.</w:t>
      </w:r>
    </w:p>
    <w:p w14:paraId="5141C1E5" w14:textId="77777777" w:rsidR="00C40CB3" w:rsidRDefault="00C40CB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Weggemans</w:t>
      </w:r>
      <w:proofErr w:type="spellEnd"/>
      <w:r>
        <w:rPr>
          <w:rFonts w:ascii="Times New Roman" w:eastAsia="Times New Roman" w:hAnsi="Times New Roman" w:cs="Times New Roman"/>
          <w:sz w:val="24"/>
          <w:szCs w:val="24"/>
          <w:highlight w:val="white"/>
        </w:rPr>
        <w:t xml:space="preserve">, B.R., 2021. </w:t>
      </w:r>
      <w:r>
        <w:rPr>
          <w:rFonts w:ascii="Times New Roman" w:eastAsia="Times New Roman" w:hAnsi="Times New Roman" w:cs="Times New Roman"/>
          <w:i/>
          <w:sz w:val="24"/>
          <w:szCs w:val="24"/>
        </w:rPr>
        <w:t>The Role of Electric Motorsport in the Sustainable Mobility Transition</w:t>
      </w:r>
      <w:r>
        <w:rPr>
          <w:rFonts w:ascii="Times New Roman" w:eastAsia="Times New Roman" w:hAnsi="Times New Roman" w:cs="Times New Roman"/>
          <w:sz w:val="24"/>
          <w:szCs w:val="24"/>
        </w:rPr>
        <w:t xml:space="preserve"> (Master's thesis).</w:t>
      </w:r>
    </w:p>
    <w:p w14:paraId="62B84362" w14:textId="77777777" w:rsidR="00036DB3" w:rsidRDefault="00036DB3">
      <w:pPr>
        <w:spacing w:before="240" w:after="240" w:line="360" w:lineRule="auto"/>
        <w:jc w:val="both"/>
        <w:rPr>
          <w:rFonts w:ascii="Times New Roman" w:eastAsia="Times New Roman" w:hAnsi="Times New Roman" w:cs="Times New Roman"/>
          <w:color w:val="0A0A0A"/>
          <w:sz w:val="24"/>
          <w:szCs w:val="24"/>
        </w:rPr>
      </w:pPr>
    </w:p>
    <w:p w14:paraId="51FDF498" w14:textId="77777777" w:rsidR="00036DB3" w:rsidRDefault="00036DB3">
      <w:pPr>
        <w:spacing w:line="360" w:lineRule="auto"/>
        <w:jc w:val="both"/>
        <w:rPr>
          <w:rFonts w:ascii="Times New Roman" w:eastAsia="Times New Roman" w:hAnsi="Times New Roman" w:cs="Times New Roman"/>
          <w:sz w:val="24"/>
          <w:szCs w:val="24"/>
        </w:rPr>
      </w:pPr>
    </w:p>
    <w:sectPr w:rsidR="00036DB3" w:rsidSect="002E3D59">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F29FE" w14:textId="77777777" w:rsidR="00B10B85" w:rsidRDefault="00B10B85" w:rsidP="002E3D59">
      <w:pPr>
        <w:spacing w:line="240" w:lineRule="auto"/>
      </w:pPr>
      <w:r>
        <w:separator/>
      </w:r>
    </w:p>
  </w:endnote>
  <w:endnote w:type="continuationSeparator" w:id="0">
    <w:p w14:paraId="44EBBF9C" w14:textId="77777777" w:rsidR="00B10B85" w:rsidRDefault="00B10B85" w:rsidP="002E3D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0954500"/>
      <w:docPartObj>
        <w:docPartGallery w:val="Page Numbers (Bottom of Page)"/>
        <w:docPartUnique/>
      </w:docPartObj>
    </w:sdtPr>
    <w:sdtEndPr>
      <w:rPr>
        <w:rFonts w:ascii="Times New Roman" w:hAnsi="Times New Roman" w:cs="Times New Roman"/>
        <w:color w:val="000000" w:themeColor="text1"/>
        <w:sz w:val="24"/>
        <w:szCs w:val="24"/>
      </w:rPr>
    </w:sdtEndPr>
    <w:sdtContent>
      <w:p w14:paraId="7F7D993A" w14:textId="77777777" w:rsidR="002E3D59" w:rsidRPr="002E3D59" w:rsidRDefault="002E3D59">
        <w:pPr>
          <w:pStyle w:val="Subsol"/>
          <w:jc w:val="right"/>
          <w:rPr>
            <w:rFonts w:ascii="Times New Roman" w:hAnsi="Times New Roman" w:cs="Times New Roman"/>
            <w:color w:val="000000" w:themeColor="text1"/>
            <w:sz w:val="24"/>
            <w:szCs w:val="24"/>
          </w:rPr>
        </w:pPr>
        <w:r w:rsidRPr="002E3D59">
          <w:rPr>
            <w:rFonts w:ascii="Times New Roman" w:hAnsi="Times New Roman" w:cs="Times New Roman"/>
            <w:color w:val="000000" w:themeColor="text1"/>
            <w:sz w:val="24"/>
            <w:szCs w:val="24"/>
          </w:rPr>
          <w:t xml:space="preserve">Page | </w:t>
        </w:r>
        <w:r w:rsidRPr="002E3D59">
          <w:rPr>
            <w:rFonts w:ascii="Times New Roman" w:hAnsi="Times New Roman" w:cs="Times New Roman"/>
            <w:color w:val="000000" w:themeColor="text1"/>
            <w:sz w:val="24"/>
            <w:szCs w:val="24"/>
          </w:rPr>
          <w:fldChar w:fldCharType="begin"/>
        </w:r>
        <w:r w:rsidRPr="002E3D59">
          <w:rPr>
            <w:rFonts w:ascii="Times New Roman" w:hAnsi="Times New Roman" w:cs="Times New Roman"/>
            <w:color w:val="000000" w:themeColor="text1"/>
            <w:sz w:val="24"/>
            <w:szCs w:val="24"/>
          </w:rPr>
          <w:instrText xml:space="preserve"> PAGE   \* MERGEFORMAT </w:instrText>
        </w:r>
        <w:r w:rsidRPr="002E3D59">
          <w:rPr>
            <w:rFonts w:ascii="Times New Roman" w:hAnsi="Times New Roman" w:cs="Times New Roman"/>
            <w:color w:val="000000" w:themeColor="text1"/>
            <w:sz w:val="24"/>
            <w:szCs w:val="24"/>
          </w:rPr>
          <w:fldChar w:fldCharType="separate"/>
        </w:r>
        <w:r w:rsidR="00C40CB3">
          <w:rPr>
            <w:rFonts w:ascii="Times New Roman" w:hAnsi="Times New Roman" w:cs="Times New Roman"/>
            <w:noProof/>
            <w:color w:val="000000" w:themeColor="text1"/>
            <w:sz w:val="24"/>
            <w:szCs w:val="24"/>
          </w:rPr>
          <w:t>14</w:t>
        </w:r>
        <w:r w:rsidRPr="002E3D59">
          <w:rPr>
            <w:rFonts w:ascii="Times New Roman" w:hAnsi="Times New Roman" w:cs="Times New Roman"/>
            <w:noProof/>
            <w:color w:val="000000" w:themeColor="text1"/>
            <w:sz w:val="24"/>
            <w:szCs w:val="24"/>
          </w:rPr>
          <w:fldChar w:fldCharType="end"/>
        </w:r>
        <w:r w:rsidRPr="002E3D59">
          <w:rPr>
            <w:rFonts w:ascii="Times New Roman" w:hAnsi="Times New Roman" w:cs="Times New Roman"/>
            <w:color w:val="000000" w:themeColor="text1"/>
            <w:sz w:val="24"/>
            <w:szCs w:val="24"/>
          </w:rPr>
          <w:t xml:space="preserve"> </w:t>
        </w:r>
      </w:p>
    </w:sdtContent>
  </w:sdt>
  <w:p w14:paraId="106C4839" w14:textId="77777777" w:rsidR="002E3D59" w:rsidRDefault="002E3D5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E2C5B" w14:textId="77777777" w:rsidR="00B10B85" w:rsidRDefault="00B10B85" w:rsidP="002E3D59">
      <w:pPr>
        <w:spacing w:line="240" w:lineRule="auto"/>
      </w:pPr>
      <w:r>
        <w:separator/>
      </w:r>
    </w:p>
  </w:footnote>
  <w:footnote w:type="continuationSeparator" w:id="0">
    <w:p w14:paraId="077A0774" w14:textId="77777777" w:rsidR="00B10B85" w:rsidRDefault="00B10B85" w:rsidP="002E3D5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DB3"/>
    <w:rsid w:val="00036DB3"/>
    <w:rsid w:val="002E3D59"/>
    <w:rsid w:val="00520013"/>
    <w:rsid w:val="00660616"/>
    <w:rsid w:val="0097594F"/>
    <w:rsid w:val="00B10B85"/>
    <w:rsid w:val="00C40CB3"/>
    <w:rsid w:val="00D74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E8C01"/>
  <w15:docId w15:val="{376C28B0-9A31-4402-9004-7C42F245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line="360" w:lineRule="auto"/>
      <w:outlineLvl w:val="0"/>
    </w:pPr>
    <w:rPr>
      <w:rFonts w:ascii="Times New Roman" w:eastAsia="Times New Roman" w:hAnsi="Times New Roman" w:cs="Times New Roman"/>
      <w:b/>
      <w:sz w:val="24"/>
      <w:szCs w:val="24"/>
    </w:rPr>
  </w:style>
  <w:style w:type="paragraph" w:styleId="Titlu2">
    <w:name w:val="heading 2"/>
    <w:basedOn w:val="Normal"/>
    <w:next w:val="Normal"/>
    <w:pPr>
      <w:keepNext/>
      <w:keepLines/>
      <w:spacing w:line="360" w:lineRule="auto"/>
      <w:jc w:val="both"/>
      <w:outlineLvl w:val="1"/>
    </w:pPr>
    <w:rPr>
      <w:rFonts w:ascii="Times New Roman" w:eastAsia="Times New Roman" w:hAnsi="Times New Roman" w:cs="Times New Roman"/>
      <w:b/>
      <w:sz w:val="24"/>
      <w:szCs w:val="24"/>
    </w:rPr>
  </w:style>
  <w:style w:type="paragraph" w:styleId="Titlu3">
    <w:name w:val="heading 3"/>
    <w:basedOn w:val="Normal"/>
    <w:next w:val="Normal"/>
    <w:pPr>
      <w:keepNext/>
      <w:keepLines/>
      <w:spacing w:before="240" w:after="240" w:line="360" w:lineRule="auto"/>
      <w:jc w:val="both"/>
      <w:outlineLvl w:val="2"/>
    </w:pPr>
    <w:rPr>
      <w:rFonts w:ascii="Times New Roman" w:eastAsia="Times New Roman" w:hAnsi="Times New Roman" w:cs="Times New Roman"/>
      <w:b/>
      <w:sz w:val="24"/>
      <w:szCs w:val="24"/>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Titlucuprins">
    <w:name w:val="TOC Heading"/>
    <w:basedOn w:val="Titlu1"/>
    <w:next w:val="Normal"/>
    <w:uiPriority w:val="39"/>
    <w:unhideWhenUsed/>
    <w:qFormat/>
    <w:rsid w:val="002E3D59"/>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2">
    <w:name w:val="toc 2"/>
    <w:basedOn w:val="Normal"/>
    <w:next w:val="Normal"/>
    <w:autoRedefine/>
    <w:uiPriority w:val="39"/>
    <w:unhideWhenUsed/>
    <w:rsid w:val="002E3D59"/>
    <w:pPr>
      <w:spacing w:after="100"/>
      <w:ind w:left="220"/>
    </w:pPr>
  </w:style>
  <w:style w:type="paragraph" w:styleId="Cuprins1">
    <w:name w:val="toc 1"/>
    <w:basedOn w:val="Normal"/>
    <w:next w:val="Normal"/>
    <w:autoRedefine/>
    <w:uiPriority w:val="39"/>
    <w:unhideWhenUsed/>
    <w:rsid w:val="002E3D59"/>
    <w:pPr>
      <w:spacing w:after="100"/>
    </w:pPr>
  </w:style>
  <w:style w:type="paragraph" w:styleId="Cuprins3">
    <w:name w:val="toc 3"/>
    <w:basedOn w:val="Normal"/>
    <w:next w:val="Normal"/>
    <w:autoRedefine/>
    <w:uiPriority w:val="39"/>
    <w:unhideWhenUsed/>
    <w:rsid w:val="002E3D59"/>
    <w:pPr>
      <w:spacing w:after="100"/>
      <w:ind w:left="440"/>
    </w:pPr>
  </w:style>
  <w:style w:type="character" w:styleId="Hyperlink">
    <w:name w:val="Hyperlink"/>
    <w:basedOn w:val="Fontdeparagrafimplicit"/>
    <w:uiPriority w:val="99"/>
    <w:unhideWhenUsed/>
    <w:rsid w:val="002E3D59"/>
    <w:rPr>
      <w:color w:val="0000FF" w:themeColor="hyperlink"/>
      <w:u w:val="single"/>
    </w:rPr>
  </w:style>
  <w:style w:type="paragraph" w:styleId="Antet">
    <w:name w:val="header"/>
    <w:basedOn w:val="Normal"/>
    <w:link w:val="AntetCaracter"/>
    <w:uiPriority w:val="99"/>
    <w:unhideWhenUsed/>
    <w:rsid w:val="002E3D59"/>
    <w:pPr>
      <w:tabs>
        <w:tab w:val="center" w:pos="4513"/>
        <w:tab w:val="right" w:pos="9026"/>
      </w:tabs>
      <w:spacing w:line="240" w:lineRule="auto"/>
    </w:pPr>
  </w:style>
  <w:style w:type="character" w:customStyle="1" w:styleId="AntetCaracter">
    <w:name w:val="Antet Caracter"/>
    <w:basedOn w:val="Fontdeparagrafimplicit"/>
    <w:link w:val="Antet"/>
    <w:uiPriority w:val="99"/>
    <w:rsid w:val="002E3D59"/>
  </w:style>
  <w:style w:type="paragraph" w:styleId="Subsol">
    <w:name w:val="footer"/>
    <w:basedOn w:val="Normal"/>
    <w:link w:val="SubsolCaracter"/>
    <w:uiPriority w:val="99"/>
    <w:unhideWhenUsed/>
    <w:rsid w:val="002E3D5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E3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www.lotuscars.com/en/press/news/lotus-launches-powerful-new-brand-film"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CA4FB-3A39-4DE6-A327-A85695F19B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3453</Words>
  <Characters>20034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USER</dc:creator>
  <cp:lastModifiedBy>Violeta Pacuraru</cp:lastModifiedBy>
  <cp:revision>2</cp:revision>
  <dcterms:created xsi:type="dcterms:W3CDTF">2025-10-08T19:24:00Z</dcterms:created>
  <dcterms:modified xsi:type="dcterms:W3CDTF">2025-10-08T19:24:00Z</dcterms:modified>
</cp:coreProperties>
</file>