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775CA" w14:textId="77777777" w:rsidR="00BF4F83" w:rsidRDefault="00BF4F83" w:rsidP="00661900">
      <w:pPr>
        <w:jc w:val="center"/>
      </w:pPr>
      <w:r>
        <w:rPr>
          <w:noProof/>
        </w:rPr>
        <w:drawing>
          <wp:inline distT="0" distB="0" distL="0" distR="0" wp14:anchorId="18CD6C6B" wp14:editId="47FD2B3F">
            <wp:extent cx="4738255" cy="1895302"/>
            <wp:effectExtent l="0" t="0" r="571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51468" cy="1900587"/>
                    </a:xfrm>
                    <a:prstGeom prst="rect">
                      <a:avLst/>
                    </a:prstGeom>
                    <a:noFill/>
                  </pic:spPr>
                </pic:pic>
              </a:graphicData>
            </a:graphic>
          </wp:inline>
        </w:drawing>
      </w:r>
    </w:p>
    <w:p w14:paraId="18335D8D" w14:textId="77777777" w:rsidR="00F61B26" w:rsidRDefault="00F61B26" w:rsidP="00DC0BA4">
      <w:pPr>
        <w:jc w:val="center"/>
        <w:rPr>
          <w:rFonts w:cs="Arial"/>
          <w:b/>
          <w:bCs/>
          <w:sz w:val="40"/>
          <w:szCs w:val="40"/>
        </w:rPr>
      </w:pPr>
    </w:p>
    <w:p w14:paraId="4A45B4F1" w14:textId="77777777" w:rsidR="00F61B26" w:rsidRDefault="00F61B26" w:rsidP="00DC0BA4">
      <w:pPr>
        <w:jc w:val="center"/>
        <w:rPr>
          <w:rFonts w:cs="Arial"/>
          <w:b/>
          <w:bCs/>
          <w:sz w:val="40"/>
          <w:szCs w:val="40"/>
        </w:rPr>
      </w:pPr>
    </w:p>
    <w:p w14:paraId="43EB20BB" w14:textId="05989982" w:rsidR="00661900" w:rsidRPr="00CD7BED" w:rsidRDefault="00BF4F83" w:rsidP="00EF1F81">
      <w:pPr>
        <w:spacing w:after="0"/>
        <w:jc w:val="center"/>
        <w:rPr>
          <w:rFonts w:cs="Arial"/>
          <w:b/>
          <w:bCs/>
          <w:sz w:val="40"/>
          <w:szCs w:val="40"/>
        </w:rPr>
      </w:pPr>
      <w:r w:rsidRPr="00CD7BED">
        <w:rPr>
          <w:rFonts w:cs="Arial"/>
          <w:b/>
          <w:bCs/>
          <w:sz w:val="40"/>
          <w:szCs w:val="40"/>
        </w:rPr>
        <w:t xml:space="preserve">Course Title: </w:t>
      </w:r>
      <w:r w:rsidRPr="00CD7BED">
        <w:rPr>
          <w:rFonts w:cs="Arial"/>
          <w:sz w:val="40"/>
          <w:szCs w:val="40"/>
        </w:rPr>
        <w:t>MBA - International Business</w:t>
      </w:r>
    </w:p>
    <w:p w14:paraId="123F7BD6" w14:textId="45B4CB61" w:rsidR="00BF4F83" w:rsidRDefault="00BF4F83" w:rsidP="00EF1F81">
      <w:pPr>
        <w:spacing w:after="0"/>
        <w:jc w:val="center"/>
        <w:rPr>
          <w:rFonts w:cs="Arial"/>
          <w:b/>
          <w:bCs/>
          <w:sz w:val="40"/>
          <w:szCs w:val="40"/>
        </w:rPr>
      </w:pPr>
      <w:r w:rsidRPr="00CD7BED">
        <w:rPr>
          <w:rFonts w:cs="Arial"/>
          <w:b/>
          <w:bCs/>
          <w:sz w:val="40"/>
          <w:szCs w:val="40"/>
        </w:rPr>
        <w:t>Term 1</w:t>
      </w:r>
    </w:p>
    <w:p w14:paraId="53339CBE" w14:textId="77777777" w:rsidR="00F61B26" w:rsidRDefault="00F61B26" w:rsidP="00DC0BA4">
      <w:pPr>
        <w:jc w:val="center"/>
        <w:rPr>
          <w:rFonts w:cs="Arial"/>
          <w:b/>
          <w:bCs/>
          <w:sz w:val="40"/>
          <w:szCs w:val="40"/>
        </w:rPr>
      </w:pPr>
    </w:p>
    <w:p w14:paraId="6BC0C4F5" w14:textId="77777777" w:rsidR="00F61B26" w:rsidRPr="00CD7BED" w:rsidRDefault="00F61B26" w:rsidP="00DC0BA4">
      <w:pPr>
        <w:jc w:val="center"/>
        <w:rPr>
          <w:rFonts w:cs="Arial"/>
          <w:b/>
          <w:bCs/>
          <w:sz w:val="40"/>
          <w:szCs w:val="40"/>
        </w:rPr>
      </w:pPr>
    </w:p>
    <w:p w14:paraId="7DF9031A" w14:textId="2867DC97" w:rsidR="00BF4F83" w:rsidRPr="00CD7BED" w:rsidRDefault="00BF4F83" w:rsidP="00EF1F81">
      <w:pPr>
        <w:spacing w:after="0"/>
        <w:jc w:val="center"/>
        <w:rPr>
          <w:rFonts w:cs="Arial"/>
          <w:b/>
          <w:bCs/>
          <w:sz w:val="40"/>
          <w:szCs w:val="40"/>
        </w:rPr>
      </w:pPr>
      <w:r w:rsidRPr="00CD7BED">
        <w:rPr>
          <w:rFonts w:cs="Arial"/>
          <w:b/>
          <w:bCs/>
          <w:sz w:val="40"/>
          <w:szCs w:val="40"/>
        </w:rPr>
        <w:t xml:space="preserve">Module Name: </w:t>
      </w:r>
      <w:r w:rsidR="005E1B4D" w:rsidRPr="005E1B4D">
        <w:rPr>
          <w:rFonts w:cs="Arial"/>
          <w:sz w:val="40"/>
          <w:szCs w:val="40"/>
        </w:rPr>
        <w:t>Marketing Management</w:t>
      </w:r>
    </w:p>
    <w:p w14:paraId="54F908C9" w14:textId="6491C8B9" w:rsidR="00BF4F83" w:rsidRDefault="00BF4F83" w:rsidP="00EF1F81">
      <w:pPr>
        <w:spacing w:after="0"/>
        <w:jc w:val="center"/>
        <w:rPr>
          <w:rFonts w:cs="Arial"/>
          <w:sz w:val="40"/>
          <w:szCs w:val="40"/>
        </w:rPr>
      </w:pPr>
      <w:r w:rsidRPr="00CD7BED">
        <w:rPr>
          <w:rFonts w:cs="Arial"/>
          <w:b/>
          <w:bCs/>
          <w:sz w:val="40"/>
          <w:szCs w:val="40"/>
        </w:rPr>
        <w:t xml:space="preserve">Module Code: </w:t>
      </w:r>
      <w:r w:rsidRPr="00CD7BED">
        <w:rPr>
          <w:rFonts w:cs="Arial"/>
          <w:sz w:val="40"/>
          <w:szCs w:val="40"/>
        </w:rPr>
        <w:t>LCMB702</w:t>
      </w:r>
      <w:r w:rsidR="009A48B3">
        <w:rPr>
          <w:rFonts w:cs="Arial"/>
          <w:sz w:val="40"/>
          <w:szCs w:val="40"/>
        </w:rPr>
        <w:t>4</w:t>
      </w:r>
    </w:p>
    <w:p w14:paraId="01374637" w14:textId="77777777" w:rsidR="00F61B26" w:rsidRDefault="00F61B26" w:rsidP="00DC0BA4">
      <w:pPr>
        <w:jc w:val="center"/>
        <w:rPr>
          <w:rFonts w:cs="Arial"/>
          <w:sz w:val="40"/>
          <w:szCs w:val="40"/>
        </w:rPr>
      </w:pPr>
    </w:p>
    <w:p w14:paraId="0C00ECC2" w14:textId="77777777" w:rsidR="00F61B26" w:rsidRPr="00CD7BED" w:rsidRDefault="00F61B26" w:rsidP="00DC0BA4">
      <w:pPr>
        <w:jc w:val="center"/>
        <w:rPr>
          <w:rFonts w:cs="Arial"/>
          <w:sz w:val="40"/>
          <w:szCs w:val="40"/>
        </w:rPr>
      </w:pPr>
    </w:p>
    <w:p w14:paraId="0DCF0596" w14:textId="77777777" w:rsidR="00BF4F83" w:rsidRPr="00CD7BED" w:rsidRDefault="00BF4F83" w:rsidP="00EF1F81">
      <w:pPr>
        <w:spacing w:after="0"/>
        <w:jc w:val="center"/>
        <w:rPr>
          <w:rFonts w:cs="Arial"/>
          <w:b/>
          <w:bCs/>
          <w:sz w:val="40"/>
          <w:szCs w:val="40"/>
        </w:rPr>
      </w:pPr>
      <w:r w:rsidRPr="00CD7BED">
        <w:rPr>
          <w:rFonts w:cs="Arial"/>
          <w:b/>
          <w:bCs/>
          <w:sz w:val="40"/>
          <w:szCs w:val="40"/>
        </w:rPr>
        <w:t xml:space="preserve">Student Name: </w:t>
      </w:r>
      <w:r w:rsidRPr="00CD7BED">
        <w:rPr>
          <w:rFonts w:cs="Arial"/>
          <w:sz w:val="40"/>
          <w:szCs w:val="40"/>
        </w:rPr>
        <w:t>Hitarth</w:t>
      </w:r>
      <w:r w:rsidRPr="00CD7BED">
        <w:rPr>
          <w:rFonts w:cs="Arial"/>
          <w:b/>
          <w:bCs/>
          <w:sz w:val="40"/>
          <w:szCs w:val="40"/>
        </w:rPr>
        <w:t xml:space="preserve"> </w:t>
      </w:r>
      <w:r w:rsidRPr="00CD7BED">
        <w:rPr>
          <w:rFonts w:cs="Arial"/>
          <w:sz w:val="40"/>
          <w:szCs w:val="40"/>
        </w:rPr>
        <w:t>Girishbhai</w:t>
      </w:r>
      <w:r w:rsidRPr="00CD7BED">
        <w:rPr>
          <w:rFonts w:cs="Arial"/>
          <w:b/>
          <w:bCs/>
          <w:sz w:val="40"/>
          <w:szCs w:val="40"/>
        </w:rPr>
        <w:t xml:space="preserve"> </w:t>
      </w:r>
      <w:r w:rsidRPr="00CD7BED">
        <w:rPr>
          <w:rFonts w:cs="Arial"/>
          <w:sz w:val="40"/>
          <w:szCs w:val="40"/>
        </w:rPr>
        <w:t>Sorathiya</w:t>
      </w:r>
    </w:p>
    <w:p w14:paraId="5A15F633" w14:textId="77777777" w:rsidR="00BF4F83" w:rsidRDefault="00BF4F83" w:rsidP="00EF1F81">
      <w:pPr>
        <w:spacing w:after="0"/>
        <w:jc w:val="center"/>
        <w:rPr>
          <w:rFonts w:cs="Arial"/>
          <w:sz w:val="40"/>
          <w:szCs w:val="40"/>
        </w:rPr>
      </w:pPr>
      <w:r w:rsidRPr="00CD7BED">
        <w:rPr>
          <w:rFonts w:cs="Arial"/>
          <w:b/>
          <w:bCs/>
          <w:sz w:val="40"/>
          <w:szCs w:val="40"/>
        </w:rPr>
        <w:t xml:space="preserve">Student ID: </w:t>
      </w:r>
      <w:r w:rsidRPr="00CD7BED">
        <w:rPr>
          <w:rFonts w:cs="Arial"/>
          <w:sz w:val="40"/>
          <w:szCs w:val="40"/>
        </w:rPr>
        <w:t>2506577</w:t>
      </w:r>
    </w:p>
    <w:p w14:paraId="598616D9" w14:textId="77777777" w:rsidR="00F61B26" w:rsidRDefault="00F61B26" w:rsidP="00DC0BA4">
      <w:pPr>
        <w:jc w:val="center"/>
        <w:rPr>
          <w:rFonts w:cs="Arial"/>
          <w:sz w:val="40"/>
          <w:szCs w:val="40"/>
        </w:rPr>
      </w:pPr>
    </w:p>
    <w:p w14:paraId="6C346076" w14:textId="77777777" w:rsidR="00F61B26" w:rsidRPr="00CD7BED" w:rsidRDefault="00F61B26" w:rsidP="00DC0BA4">
      <w:pPr>
        <w:jc w:val="center"/>
        <w:rPr>
          <w:rFonts w:cs="Arial"/>
          <w:sz w:val="40"/>
          <w:szCs w:val="40"/>
        </w:rPr>
      </w:pPr>
    </w:p>
    <w:p w14:paraId="0C544EB9" w14:textId="15F62EAA" w:rsidR="00BF4F83" w:rsidRPr="00CD7BED" w:rsidRDefault="00BF4F83" w:rsidP="00EF1F81">
      <w:pPr>
        <w:spacing w:after="0"/>
        <w:jc w:val="center"/>
        <w:rPr>
          <w:rFonts w:cs="Arial"/>
          <w:sz w:val="40"/>
          <w:szCs w:val="40"/>
        </w:rPr>
      </w:pPr>
      <w:r w:rsidRPr="00CD7BED">
        <w:rPr>
          <w:rFonts w:cs="Arial"/>
          <w:b/>
          <w:bCs/>
          <w:sz w:val="40"/>
          <w:szCs w:val="40"/>
        </w:rPr>
        <w:t xml:space="preserve">Lecturer’s Name: </w:t>
      </w:r>
      <w:r w:rsidR="005C515A" w:rsidRPr="005C515A">
        <w:rPr>
          <w:rFonts w:cs="Arial"/>
          <w:sz w:val="40"/>
          <w:szCs w:val="40"/>
        </w:rPr>
        <w:t>Dr</w:t>
      </w:r>
      <w:r w:rsidR="00D63031">
        <w:rPr>
          <w:rFonts w:cs="Arial"/>
          <w:sz w:val="40"/>
          <w:szCs w:val="40"/>
        </w:rPr>
        <w:t>.</w:t>
      </w:r>
      <w:r w:rsidR="005C515A" w:rsidRPr="005C515A">
        <w:rPr>
          <w:rFonts w:cs="Arial"/>
          <w:sz w:val="40"/>
          <w:szCs w:val="40"/>
        </w:rPr>
        <w:t xml:space="preserve"> Laila Maazouz</w:t>
      </w:r>
    </w:p>
    <w:p w14:paraId="195CD112" w14:textId="03740299" w:rsidR="00BF4F83" w:rsidRPr="00CD7BED" w:rsidRDefault="00BF4F83" w:rsidP="00EF1F81">
      <w:pPr>
        <w:spacing w:after="0"/>
        <w:jc w:val="center"/>
        <w:rPr>
          <w:rFonts w:cs="Arial"/>
          <w:sz w:val="40"/>
          <w:szCs w:val="40"/>
        </w:rPr>
      </w:pPr>
      <w:r w:rsidRPr="00CD7BED">
        <w:rPr>
          <w:rFonts w:cs="Arial"/>
          <w:b/>
          <w:bCs/>
          <w:sz w:val="40"/>
          <w:szCs w:val="40"/>
        </w:rPr>
        <w:t xml:space="preserve">Word Count: </w:t>
      </w:r>
      <w:r w:rsidRPr="00CD7BED">
        <w:rPr>
          <w:rFonts w:cs="Arial"/>
          <w:sz w:val="40"/>
          <w:szCs w:val="40"/>
        </w:rPr>
        <w:t>2</w:t>
      </w:r>
      <w:r w:rsidR="006E6BD7">
        <w:rPr>
          <w:rFonts w:cs="Arial"/>
          <w:sz w:val="40"/>
          <w:szCs w:val="40"/>
        </w:rPr>
        <w:t>65</w:t>
      </w:r>
      <w:r w:rsidRPr="00CD7BED">
        <w:rPr>
          <w:rFonts w:cs="Arial"/>
          <w:sz w:val="40"/>
          <w:szCs w:val="40"/>
        </w:rPr>
        <w:t>7/2500</w:t>
      </w:r>
    </w:p>
    <w:p w14:paraId="335C6BFC" w14:textId="77777777" w:rsidR="00BF4F83" w:rsidRPr="000D7E17" w:rsidRDefault="00BF4F83" w:rsidP="00E81158">
      <w:pPr>
        <w:spacing w:line="360" w:lineRule="auto"/>
        <w:jc w:val="both"/>
        <w:rPr>
          <w:rFonts w:ascii="Arial" w:hAnsi="Arial" w:cs="Arial"/>
          <w:b/>
          <w:bCs/>
          <w:sz w:val="24"/>
          <w:szCs w:val="24"/>
        </w:rPr>
      </w:pPr>
    </w:p>
    <w:p w14:paraId="150B9964" w14:textId="77777777" w:rsidR="00E81158" w:rsidRPr="000D7E17" w:rsidRDefault="00E81158" w:rsidP="00E81158">
      <w:pPr>
        <w:rPr>
          <w:rFonts w:ascii="Arial" w:hAnsi="Arial" w:cs="Arial"/>
          <w:b/>
          <w:bCs/>
          <w:sz w:val="24"/>
          <w:szCs w:val="24"/>
        </w:rPr>
      </w:pPr>
      <w:r w:rsidRPr="000D7E17">
        <w:rPr>
          <w:rFonts w:ascii="Arial" w:hAnsi="Arial" w:cs="Arial"/>
          <w:b/>
          <w:bCs/>
          <w:sz w:val="24"/>
          <w:szCs w:val="24"/>
        </w:rPr>
        <w:br w:type="page"/>
      </w:r>
    </w:p>
    <w:sdt>
      <w:sdtPr>
        <w:rPr>
          <w:rFonts w:ascii="Arial" w:eastAsiaTheme="minorHAnsi" w:hAnsi="Arial" w:cs="Arial"/>
          <w:b/>
          <w:bCs/>
          <w:color w:val="auto"/>
          <w:kern w:val="2"/>
          <w:sz w:val="24"/>
          <w:szCs w:val="24"/>
          <w:lang w:val="en-IN"/>
          <w14:ligatures w14:val="standardContextual"/>
        </w:rPr>
        <w:id w:val="-750431023"/>
        <w:docPartObj>
          <w:docPartGallery w:val="Table of Contents"/>
          <w:docPartUnique/>
        </w:docPartObj>
      </w:sdtPr>
      <w:sdtEndPr>
        <w:rPr>
          <w:noProof/>
        </w:rPr>
      </w:sdtEndPr>
      <w:sdtContent>
        <w:p w14:paraId="79084061" w14:textId="77777777" w:rsidR="00E81158" w:rsidRPr="000D7E17" w:rsidRDefault="00E81158" w:rsidP="00E81158">
          <w:pPr>
            <w:pStyle w:val="TOCHeading"/>
            <w:spacing w:line="360" w:lineRule="auto"/>
            <w:jc w:val="both"/>
            <w:rPr>
              <w:rFonts w:ascii="Arial" w:hAnsi="Arial" w:cs="Arial"/>
              <w:b/>
              <w:bCs/>
              <w:color w:val="auto"/>
              <w:sz w:val="24"/>
              <w:szCs w:val="24"/>
            </w:rPr>
          </w:pPr>
          <w:r w:rsidRPr="000D7E17">
            <w:rPr>
              <w:rFonts w:ascii="Arial" w:hAnsi="Arial" w:cs="Arial"/>
              <w:b/>
              <w:bCs/>
              <w:color w:val="auto"/>
              <w:sz w:val="24"/>
              <w:szCs w:val="24"/>
            </w:rPr>
            <w:t>Table of Contents</w:t>
          </w:r>
        </w:p>
        <w:p w14:paraId="45B5D063" w14:textId="045E6C2B" w:rsidR="00D52C22" w:rsidRDefault="00E81158">
          <w:pPr>
            <w:pStyle w:val="TOC1"/>
            <w:tabs>
              <w:tab w:val="right" w:leader="dot" w:pos="9016"/>
            </w:tabs>
            <w:rPr>
              <w:rFonts w:eastAsiaTheme="minorEastAsia"/>
              <w:noProof/>
              <w:sz w:val="24"/>
              <w:szCs w:val="24"/>
              <w:lang w:val="en-GB" w:eastAsia="en-GB"/>
            </w:rPr>
          </w:pPr>
          <w:r w:rsidRPr="000D7E17">
            <w:rPr>
              <w:rFonts w:ascii="Arial" w:hAnsi="Arial" w:cs="Arial"/>
              <w:sz w:val="24"/>
              <w:szCs w:val="24"/>
            </w:rPr>
            <w:fldChar w:fldCharType="begin"/>
          </w:r>
          <w:r w:rsidRPr="000D7E17">
            <w:rPr>
              <w:rFonts w:ascii="Arial" w:hAnsi="Arial" w:cs="Arial"/>
              <w:sz w:val="24"/>
              <w:szCs w:val="24"/>
            </w:rPr>
            <w:instrText xml:space="preserve"> TOC \o "1-3" \h \z \u </w:instrText>
          </w:r>
          <w:r w:rsidRPr="000D7E17">
            <w:rPr>
              <w:rFonts w:ascii="Arial" w:hAnsi="Arial" w:cs="Arial"/>
              <w:sz w:val="24"/>
              <w:szCs w:val="24"/>
            </w:rPr>
            <w:fldChar w:fldCharType="separate"/>
          </w:r>
          <w:hyperlink w:anchor="_Toc214457906" w:history="1">
            <w:r w:rsidR="00D52C22" w:rsidRPr="00CC0208">
              <w:rPr>
                <w:rStyle w:val="Hyperlink"/>
                <w:rFonts w:ascii="Arial" w:hAnsi="Arial" w:cs="Arial"/>
                <w:b/>
                <w:bCs/>
                <w:noProof/>
                <w:lang w:val="en-US" w:bidi="th-TH"/>
              </w:rPr>
              <w:t>1. Introduction</w:t>
            </w:r>
            <w:r w:rsidR="00D52C22">
              <w:rPr>
                <w:noProof/>
                <w:webHidden/>
              </w:rPr>
              <w:tab/>
            </w:r>
            <w:r w:rsidR="00D52C22">
              <w:rPr>
                <w:noProof/>
                <w:webHidden/>
              </w:rPr>
              <w:fldChar w:fldCharType="begin"/>
            </w:r>
            <w:r w:rsidR="00D52C22">
              <w:rPr>
                <w:noProof/>
                <w:webHidden/>
              </w:rPr>
              <w:instrText xml:space="preserve"> PAGEREF _Toc214457906 \h </w:instrText>
            </w:r>
            <w:r w:rsidR="00D52C22">
              <w:rPr>
                <w:noProof/>
                <w:webHidden/>
              </w:rPr>
            </w:r>
            <w:r w:rsidR="00D52C22">
              <w:rPr>
                <w:noProof/>
                <w:webHidden/>
              </w:rPr>
              <w:fldChar w:fldCharType="separate"/>
            </w:r>
            <w:r w:rsidR="00D52C22">
              <w:rPr>
                <w:noProof/>
                <w:webHidden/>
              </w:rPr>
              <w:t>3</w:t>
            </w:r>
            <w:r w:rsidR="00D52C22">
              <w:rPr>
                <w:noProof/>
                <w:webHidden/>
              </w:rPr>
              <w:fldChar w:fldCharType="end"/>
            </w:r>
          </w:hyperlink>
        </w:p>
        <w:p w14:paraId="6B082FEB" w14:textId="0255F741" w:rsidR="00D52C22" w:rsidRDefault="00D52C22">
          <w:pPr>
            <w:pStyle w:val="TOC1"/>
            <w:tabs>
              <w:tab w:val="right" w:leader="dot" w:pos="9016"/>
            </w:tabs>
            <w:rPr>
              <w:rFonts w:eastAsiaTheme="minorEastAsia"/>
              <w:noProof/>
              <w:sz w:val="24"/>
              <w:szCs w:val="24"/>
              <w:lang w:val="en-GB" w:eastAsia="en-GB"/>
            </w:rPr>
          </w:pPr>
          <w:hyperlink w:anchor="_Toc214457907" w:history="1">
            <w:r w:rsidRPr="00CC0208">
              <w:rPr>
                <w:rStyle w:val="Hyperlink"/>
                <w:rFonts w:ascii="Arial" w:hAnsi="Arial" w:cs="Arial"/>
                <w:b/>
                <w:bCs/>
                <w:noProof/>
                <w:lang w:bidi="th-TH"/>
              </w:rPr>
              <w:t>2. Task 1: Critical Analysis of the Macro Marketing Environment</w:t>
            </w:r>
            <w:r>
              <w:rPr>
                <w:noProof/>
                <w:webHidden/>
              </w:rPr>
              <w:tab/>
            </w:r>
            <w:r>
              <w:rPr>
                <w:noProof/>
                <w:webHidden/>
              </w:rPr>
              <w:fldChar w:fldCharType="begin"/>
            </w:r>
            <w:r>
              <w:rPr>
                <w:noProof/>
                <w:webHidden/>
              </w:rPr>
              <w:instrText xml:space="preserve"> PAGEREF _Toc214457907 \h </w:instrText>
            </w:r>
            <w:r>
              <w:rPr>
                <w:noProof/>
                <w:webHidden/>
              </w:rPr>
            </w:r>
            <w:r>
              <w:rPr>
                <w:noProof/>
                <w:webHidden/>
              </w:rPr>
              <w:fldChar w:fldCharType="separate"/>
            </w:r>
            <w:r>
              <w:rPr>
                <w:noProof/>
                <w:webHidden/>
              </w:rPr>
              <w:t>4</w:t>
            </w:r>
            <w:r>
              <w:rPr>
                <w:noProof/>
                <w:webHidden/>
              </w:rPr>
              <w:fldChar w:fldCharType="end"/>
            </w:r>
          </w:hyperlink>
        </w:p>
        <w:p w14:paraId="34232EED" w14:textId="5E8C2C5F" w:rsidR="00D52C22" w:rsidRDefault="00D52C22">
          <w:pPr>
            <w:pStyle w:val="TOC2"/>
            <w:tabs>
              <w:tab w:val="right" w:leader="dot" w:pos="9016"/>
            </w:tabs>
            <w:rPr>
              <w:rFonts w:eastAsiaTheme="minorEastAsia"/>
              <w:noProof/>
              <w:sz w:val="24"/>
              <w:szCs w:val="24"/>
              <w:lang w:val="en-GB" w:eastAsia="en-GB"/>
            </w:rPr>
          </w:pPr>
          <w:hyperlink w:anchor="_Toc214457908" w:history="1">
            <w:r w:rsidRPr="00CC0208">
              <w:rPr>
                <w:rStyle w:val="Hyperlink"/>
                <w:rFonts w:ascii="Arial" w:hAnsi="Arial" w:cs="Arial"/>
                <w:noProof/>
                <w:lang w:bidi="th-TH"/>
              </w:rPr>
              <w:t>2.1 Overview of the Macro Environment and Its Relevance to Marketing Strategy</w:t>
            </w:r>
            <w:r>
              <w:rPr>
                <w:noProof/>
                <w:webHidden/>
              </w:rPr>
              <w:tab/>
            </w:r>
            <w:r>
              <w:rPr>
                <w:noProof/>
                <w:webHidden/>
              </w:rPr>
              <w:fldChar w:fldCharType="begin"/>
            </w:r>
            <w:r>
              <w:rPr>
                <w:noProof/>
                <w:webHidden/>
              </w:rPr>
              <w:instrText xml:space="preserve"> PAGEREF _Toc214457908 \h </w:instrText>
            </w:r>
            <w:r>
              <w:rPr>
                <w:noProof/>
                <w:webHidden/>
              </w:rPr>
            </w:r>
            <w:r>
              <w:rPr>
                <w:noProof/>
                <w:webHidden/>
              </w:rPr>
              <w:fldChar w:fldCharType="separate"/>
            </w:r>
            <w:r>
              <w:rPr>
                <w:noProof/>
                <w:webHidden/>
              </w:rPr>
              <w:t>4</w:t>
            </w:r>
            <w:r>
              <w:rPr>
                <w:noProof/>
                <w:webHidden/>
              </w:rPr>
              <w:fldChar w:fldCharType="end"/>
            </w:r>
          </w:hyperlink>
        </w:p>
        <w:p w14:paraId="44CC0AF2" w14:textId="073E272C" w:rsidR="00D52C22" w:rsidRDefault="00D52C22">
          <w:pPr>
            <w:pStyle w:val="TOC2"/>
            <w:tabs>
              <w:tab w:val="right" w:leader="dot" w:pos="9016"/>
            </w:tabs>
            <w:rPr>
              <w:rFonts w:eastAsiaTheme="minorEastAsia"/>
              <w:noProof/>
              <w:sz w:val="24"/>
              <w:szCs w:val="24"/>
              <w:lang w:val="en-GB" w:eastAsia="en-GB"/>
            </w:rPr>
          </w:pPr>
          <w:hyperlink w:anchor="_Toc214457909" w:history="1">
            <w:r w:rsidRPr="00CC0208">
              <w:rPr>
                <w:rStyle w:val="Hyperlink"/>
                <w:rFonts w:ascii="Arial" w:hAnsi="Arial" w:cs="Arial"/>
                <w:noProof/>
                <w:lang w:bidi="th-TH"/>
              </w:rPr>
              <w:t>2.2 Selection of Two External Macro Marketing Actors</w:t>
            </w:r>
            <w:r>
              <w:rPr>
                <w:noProof/>
                <w:webHidden/>
              </w:rPr>
              <w:tab/>
            </w:r>
            <w:r>
              <w:rPr>
                <w:noProof/>
                <w:webHidden/>
              </w:rPr>
              <w:fldChar w:fldCharType="begin"/>
            </w:r>
            <w:r>
              <w:rPr>
                <w:noProof/>
                <w:webHidden/>
              </w:rPr>
              <w:instrText xml:space="preserve"> PAGEREF _Toc214457909 \h </w:instrText>
            </w:r>
            <w:r>
              <w:rPr>
                <w:noProof/>
                <w:webHidden/>
              </w:rPr>
            </w:r>
            <w:r>
              <w:rPr>
                <w:noProof/>
                <w:webHidden/>
              </w:rPr>
              <w:fldChar w:fldCharType="separate"/>
            </w:r>
            <w:r>
              <w:rPr>
                <w:noProof/>
                <w:webHidden/>
              </w:rPr>
              <w:t>5</w:t>
            </w:r>
            <w:r>
              <w:rPr>
                <w:noProof/>
                <w:webHidden/>
              </w:rPr>
              <w:fldChar w:fldCharType="end"/>
            </w:r>
          </w:hyperlink>
        </w:p>
        <w:p w14:paraId="62CCBF60" w14:textId="78229253" w:rsidR="00D52C22" w:rsidRDefault="00D52C22">
          <w:pPr>
            <w:pStyle w:val="TOC2"/>
            <w:tabs>
              <w:tab w:val="right" w:leader="dot" w:pos="9016"/>
            </w:tabs>
            <w:rPr>
              <w:rFonts w:eastAsiaTheme="minorEastAsia"/>
              <w:noProof/>
              <w:sz w:val="24"/>
              <w:szCs w:val="24"/>
              <w:lang w:val="en-GB" w:eastAsia="en-GB"/>
            </w:rPr>
          </w:pPr>
          <w:hyperlink w:anchor="_Toc214457910" w:history="1">
            <w:r w:rsidRPr="00CC0208">
              <w:rPr>
                <w:rStyle w:val="Hyperlink"/>
                <w:rFonts w:ascii="Arial" w:hAnsi="Arial" w:cs="Arial"/>
                <w:noProof/>
                <w:lang w:bidi="th-TH"/>
              </w:rPr>
              <w:t>2.3 Critical Analysis of Each Actor</w:t>
            </w:r>
            <w:r>
              <w:rPr>
                <w:noProof/>
                <w:webHidden/>
              </w:rPr>
              <w:tab/>
            </w:r>
            <w:r>
              <w:rPr>
                <w:noProof/>
                <w:webHidden/>
              </w:rPr>
              <w:fldChar w:fldCharType="begin"/>
            </w:r>
            <w:r>
              <w:rPr>
                <w:noProof/>
                <w:webHidden/>
              </w:rPr>
              <w:instrText xml:space="preserve"> PAGEREF _Toc214457910 \h </w:instrText>
            </w:r>
            <w:r>
              <w:rPr>
                <w:noProof/>
                <w:webHidden/>
              </w:rPr>
            </w:r>
            <w:r>
              <w:rPr>
                <w:noProof/>
                <w:webHidden/>
              </w:rPr>
              <w:fldChar w:fldCharType="separate"/>
            </w:r>
            <w:r>
              <w:rPr>
                <w:noProof/>
                <w:webHidden/>
              </w:rPr>
              <w:t>5</w:t>
            </w:r>
            <w:r>
              <w:rPr>
                <w:noProof/>
                <w:webHidden/>
              </w:rPr>
              <w:fldChar w:fldCharType="end"/>
            </w:r>
          </w:hyperlink>
        </w:p>
        <w:p w14:paraId="63D6C16E" w14:textId="7D99ACD3" w:rsidR="00D52C22" w:rsidRDefault="00D52C22">
          <w:pPr>
            <w:pStyle w:val="TOC3"/>
            <w:tabs>
              <w:tab w:val="right" w:leader="dot" w:pos="9016"/>
            </w:tabs>
            <w:rPr>
              <w:rFonts w:eastAsiaTheme="minorEastAsia"/>
              <w:noProof/>
              <w:sz w:val="24"/>
              <w:szCs w:val="24"/>
              <w:lang w:val="en-GB" w:eastAsia="en-GB"/>
            </w:rPr>
          </w:pPr>
          <w:hyperlink w:anchor="_Toc214457911" w:history="1">
            <w:r w:rsidRPr="00CC0208">
              <w:rPr>
                <w:rStyle w:val="Hyperlink"/>
                <w:rFonts w:ascii="Arial" w:hAnsi="Arial" w:cs="Arial"/>
                <w:noProof/>
                <w:lang w:bidi="th-TH"/>
              </w:rPr>
              <w:t>2.3.1 Technological Factors</w:t>
            </w:r>
            <w:r>
              <w:rPr>
                <w:noProof/>
                <w:webHidden/>
              </w:rPr>
              <w:tab/>
            </w:r>
            <w:r>
              <w:rPr>
                <w:noProof/>
                <w:webHidden/>
              </w:rPr>
              <w:fldChar w:fldCharType="begin"/>
            </w:r>
            <w:r>
              <w:rPr>
                <w:noProof/>
                <w:webHidden/>
              </w:rPr>
              <w:instrText xml:space="preserve"> PAGEREF _Toc214457911 \h </w:instrText>
            </w:r>
            <w:r>
              <w:rPr>
                <w:noProof/>
                <w:webHidden/>
              </w:rPr>
            </w:r>
            <w:r>
              <w:rPr>
                <w:noProof/>
                <w:webHidden/>
              </w:rPr>
              <w:fldChar w:fldCharType="separate"/>
            </w:r>
            <w:r>
              <w:rPr>
                <w:noProof/>
                <w:webHidden/>
              </w:rPr>
              <w:t>5</w:t>
            </w:r>
            <w:r>
              <w:rPr>
                <w:noProof/>
                <w:webHidden/>
              </w:rPr>
              <w:fldChar w:fldCharType="end"/>
            </w:r>
          </w:hyperlink>
        </w:p>
        <w:p w14:paraId="40C786F5" w14:textId="7E0E05A7" w:rsidR="00D52C22" w:rsidRDefault="00D52C22">
          <w:pPr>
            <w:pStyle w:val="TOC3"/>
            <w:tabs>
              <w:tab w:val="right" w:leader="dot" w:pos="9016"/>
            </w:tabs>
            <w:rPr>
              <w:rFonts w:eastAsiaTheme="minorEastAsia"/>
              <w:noProof/>
              <w:sz w:val="24"/>
              <w:szCs w:val="24"/>
              <w:lang w:val="en-GB" w:eastAsia="en-GB"/>
            </w:rPr>
          </w:pPr>
          <w:hyperlink w:anchor="_Toc214457912" w:history="1">
            <w:r w:rsidRPr="00CC0208">
              <w:rPr>
                <w:rStyle w:val="Hyperlink"/>
                <w:rFonts w:ascii="Arial" w:hAnsi="Arial" w:cs="Arial"/>
                <w:noProof/>
                <w:lang w:bidi="th-TH"/>
              </w:rPr>
              <w:t>2.3.2 Environmental Factors</w:t>
            </w:r>
            <w:r>
              <w:rPr>
                <w:noProof/>
                <w:webHidden/>
              </w:rPr>
              <w:tab/>
            </w:r>
            <w:r>
              <w:rPr>
                <w:noProof/>
                <w:webHidden/>
              </w:rPr>
              <w:fldChar w:fldCharType="begin"/>
            </w:r>
            <w:r>
              <w:rPr>
                <w:noProof/>
                <w:webHidden/>
              </w:rPr>
              <w:instrText xml:space="preserve"> PAGEREF _Toc214457912 \h </w:instrText>
            </w:r>
            <w:r>
              <w:rPr>
                <w:noProof/>
                <w:webHidden/>
              </w:rPr>
            </w:r>
            <w:r>
              <w:rPr>
                <w:noProof/>
                <w:webHidden/>
              </w:rPr>
              <w:fldChar w:fldCharType="separate"/>
            </w:r>
            <w:r>
              <w:rPr>
                <w:noProof/>
                <w:webHidden/>
              </w:rPr>
              <w:t>7</w:t>
            </w:r>
            <w:r>
              <w:rPr>
                <w:noProof/>
                <w:webHidden/>
              </w:rPr>
              <w:fldChar w:fldCharType="end"/>
            </w:r>
          </w:hyperlink>
        </w:p>
        <w:p w14:paraId="4191315B" w14:textId="28761047" w:rsidR="00D52C22" w:rsidRDefault="00D52C22">
          <w:pPr>
            <w:pStyle w:val="TOC1"/>
            <w:tabs>
              <w:tab w:val="right" w:leader="dot" w:pos="9016"/>
            </w:tabs>
            <w:rPr>
              <w:rFonts w:eastAsiaTheme="minorEastAsia"/>
              <w:noProof/>
              <w:sz w:val="24"/>
              <w:szCs w:val="24"/>
              <w:lang w:val="en-GB" w:eastAsia="en-GB"/>
            </w:rPr>
          </w:pPr>
          <w:hyperlink w:anchor="_Toc214457913" w:history="1">
            <w:r w:rsidRPr="00CC0208">
              <w:rPr>
                <w:rStyle w:val="Hyperlink"/>
                <w:rFonts w:ascii="Arial" w:hAnsi="Arial" w:cs="Arial"/>
                <w:b/>
                <w:bCs/>
                <w:noProof/>
                <w:lang w:bidi="th-TH"/>
              </w:rPr>
              <w:t>3. Task 2: Strategic Responses of Pioneering and Follower Organisations</w:t>
            </w:r>
            <w:r>
              <w:rPr>
                <w:noProof/>
                <w:webHidden/>
              </w:rPr>
              <w:tab/>
            </w:r>
            <w:r>
              <w:rPr>
                <w:noProof/>
                <w:webHidden/>
              </w:rPr>
              <w:fldChar w:fldCharType="begin"/>
            </w:r>
            <w:r>
              <w:rPr>
                <w:noProof/>
                <w:webHidden/>
              </w:rPr>
              <w:instrText xml:space="preserve"> PAGEREF _Toc214457913 \h </w:instrText>
            </w:r>
            <w:r>
              <w:rPr>
                <w:noProof/>
                <w:webHidden/>
              </w:rPr>
            </w:r>
            <w:r>
              <w:rPr>
                <w:noProof/>
                <w:webHidden/>
              </w:rPr>
              <w:fldChar w:fldCharType="separate"/>
            </w:r>
            <w:r>
              <w:rPr>
                <w:noProof/>
                <w:webHidden/>
              </w:rPr>
              <w:t>8</w:t>
            </w:r>
            <w:r>
              <w:rPr>
                <w:noProof/>
                <w:webHidden/>
              </w:rPr>
              <w:fldChar w:fldCharType="end"/>
            </w:r>
          </w:hyperlink>
        </w:p>
        <w:p w14:paraId="7A1F4D6B" w14:textId="4BC42849" w:rsidR="00D52C22" w:rsidRDefault="00D52C22">
          <w:pPr>
            <w:pStyle w:val="TOC2"/>
            <w:tabs>
              <w:tab w:val="right" w:leader="dot" w:pos="9016"/>
            </w:tabs>
            <w:rPr>
              <w:rFonts w:eastAsiaTheme="minorEastAsia"/>
              <w:noProof/>
              <w:sz w:val="24"/>
              <w:szCs w:val="24"/>
              <w:lang w:val="en-GB" w:eastAsia="en-GB"/>
            </w:rPr>
          </w:pPr>
          <w:hyperlink w:anchor="_Toc214457914" w:history="1">
            <w:r w:rsidRPr="00CC0208">
              <w:rPr>
                <w:rStyle w:val="Hyperlink"/>
                <w:rFonts w:ascii="Arial" w:hAnsi="Arial" w:cs="Arial"/>
                <w:noProof/>
                <w:lang w:bidi="th-TH"/>
              </w:rPr>
              <w:t>3.1 Pioneering Organisations’ Strategic Responses</w:t>
            </w:r>
            <w:r>
              <w:rPr>
                <w:noProof/>
                <w:webHidden/>
              </w:rPr>
              <w:tab/>
            </w:r>
            <w:r>
              <w:rPr>
                <w:noProof/>
                <w:webHidden/>
              </w:rPr>
              <w:fldChar w:fldCharType="begin"/>
            </w:r>
            <w:r>
              <w:rPr>
                <w:noProof/>
                <w:webHidden/>
              </w:rPr>
              <w:instrText xml:space="preserve"> PAGEREF _Toc214457914 \h </w:instrText>
            </w:r>
            <w:r>
              <w:rPr>
                <w:noProof/>
                <w:webHidden/>
              </w:rPr>
            </w:r>
            <w:r>
              <w:rPr>
                <w:noProof/>
                <w:webHidden/>
              </w:rPr>
              <w:fldChar w:fldCharType="separate"/>
            </w:r>
            <w:r>
              <w:rPr>
                <w:noProof/>
                <w:webHidden/>
              </w:rPr>
              <w:t>8</w:t>
            </w:r>
            <w:r>
              <w:rPr>
                <w:noProof/>
                <w:webHidden/>
              </w:rPr>
              <w:fldChar w:fldCharType="end"/>
            </w:r>
          </w:hyperlink>
        </w:p>
        <w:p w14:paraId="1DE9E827" w14:textId="20AB2C14" w:rsidR="00D52C22" w:rsidRDefault="00D52C22">
          <w:pPr>
            <w:pStyle w:val="TOC3"/>
            <w:tabs>
              <w:tab w:val="right" w:leader="dot" w:pos="9016"/>
            </w:tabs>
            <w:rPr>
              <w:rFonts w:eastAsiaTheme="minorEastAsia"/>
              <w:noProof/>
              <w:sz w:val="24"/>
              <w:szCs w:val="24"/>
              <w:lang w:val="en-GB" w:eastAsia="en-GB"/>
            </w:rPr>
          </w:pPr>
          <w:hyperlink w:anchor="_Toc214457915" w:history="1">
            <w:r w:rsidRPr="00CC0208">
              <w:rPr>
                <w:rStyle w:val="Hyperlink"/>
                <w:rFonts w:ascii="Arial" w:hAnsi="Arial" w:cs="Arial"/>
                <w:noProof/>
                <w:lang w:bidi="th-TH"/>
              </w:rPr>
              <w:t>3.1.1 Application of Ansoff’s Growth Matrix</w:t>
            </w:r>
            <w:r>
              <w:rPr>
                <w:noProof/>
                <w:webHidden/>
              </w:rPr>
              <w:tab/>
            </w:r>
            <w:r>
              <w:rPr>
                <w:noProof/>
                <w:webHidden/>
              </w:rPr>
              <w:fldChar w:fldCharType="begin"/>
            </w:r>
            <w:r>
              <w:rPr>
                <w:noProof/>
                <w:webHidden/>
              </w:rPr>
              <w:instrText xml:space="preserve"> PAGEREF _Toc214457915 \h </w:instrText>
            </w:r>
            <w:r>
              <w:rPr>
                <w:noProof/>
                <w:webHidden/>
              </w:rPr>
            </w:r>
            <w:r>
              <w:rPr>
                <w:noProof/>
                <w:webHidden/>
              </w:rPr>
              <w:fldChar w:fldCharType="separate"/>
            </w:r>
            <w:r>
              <w:rPr>
                <w:noProof/>
                <w:webHidden/>
              </w:rPr>
              <w:t>9</w:t>
            </w:r>
            <w:r>
              <w:rPr>
                <w:noProof/>
                <w:webHidden/>
              </w:rPr>
              <w:fldChar w:fldCharType="end"/>
            </w:r>
          </w:hyperlink>
        </w:p>
        <w:p w14:paraId="317BD166" w14:textId="22B3CC73" w:rsidR="00D52C22" w:rsidRDefault="00D52C22">
          <w:pPr>
            <w:pStyle w:val="TOC3"/>
            <w:tabs>
              <w:tab w:val="right" w:leader="dot" w:pos="9016"/>
            </w:tabs>
            <w:rPr>
              <w:rFonts w:eastAsiaTheme="minorEastAsia"/>
              <w:noProof/>
              <w:sz w:val="24"/>
              <w:szCs w:val="24"/>
              <w:lang w:val="en-GB" w:eastAsia="en-GB"/>
            </w:rPr>
          </w:pPr>
          <w:hyperlink w:anchor="_Toc214457916" w:history="1">
            <w:r w:rsidRPr="00CC0208">
              <w:rPr>
                <w:rStyle w:val="Hyperlink"/>
                <w:rFonts w:ascii="Arial" w:hAnsi="Arial" w:cs="Arial"/>
                <w:noProof/>
                <w:lang w:bidi="th-TH"/>
              </w:rPr>
              <w:t>3.1.2 Application of Porter’s Generic Strategies</w:t>
            </w:r>
            <w:r>
              <w:rPr>
                <w:noProof/>
                <w:webHidden/>
              </w:rPr>
              <w:tab/>
            </w:r>
            <w:r>
              <w:rPr>
                <w:noProof/>
                <w:webHidden/>
              </w:rPr>
              <w:fldChar w:fldCharType="begin"/>
            </w:r>
            <w:r>
              <w:rPr>
                <w:noProof/>
                <w:webHidden/>
              </w:rPr>
              <w:instrText xml:space="preserve"> PAGEREF _Toc214457916 \h </w:instrText>
            </w:r>
            <w:r>
              <w:rPr>
                <w:noProof/>
                <w:webHidden/>
              </w:rPr>
            </w:r>
            <w:r>
              <w:rPr>
                <w:noProof/>
                <w:webHidden/>
              </w:rPr>
              <w:fldChar w:fldCharType="separate"/>
            </w:r>
            <w:r>
              <w:rPr>
                <w:noProof/>
                <w:webHidden/>
              </w:rPr>
              <w:t>10</w:t>
            </w:r>
            <w:r>
              <w:rPr>
                <w:noProof/>
                <w:webHidden/>
              </w:rPr>
              <w:fldChar w:fldCharType="end"/>
            </w:r>
          </w:hyperlink>
        </w:p>
        <w:p w14:paraId="761CF67D" w14:textId="1A9BA73B" w:rsidR="00D52C22" w:rsidRDefault="00D52C22">
          <w:pPr>
            <w:pStyle w:val="TOC2"/>
            <w:tabs>
              <w:tab w:val="right" w:leader="dot" w:pos="9016"/>
            </w:tabs>
            <w:rPr>
              <w:rFonts w:eastAsiaTheme="minorEastAsia"/>
              <w:noProof/>
              <w:sz w:val="24"/>
              <w:szCs w:val="24"/>
              <w:lang w:val="en-GB" w:eastAsia="en-GB"/>
            </w:rPr>
          </w:pPr>
          <w:hyperlink w:anchor="_Toc214457917" w:history="1">
            <w:r w:rsidRPr="00CC0208">
              <w:rPr>
                <w:rStyle w:val="Hyperlink"/>
                <w:rFonts w:ascii="Arial" w:hAnsi="Arial" w:cs="Arial"/>
                <w:noProof/>
                <w:lang w:bidi="th-TH"/>
              </w:rPr>
              <w:t>3.2 Follower Organisations’ Strategic Responses</w:t>
            </w:r>
            <w:r>
              <w:rPr>
                <w:noProof/>
                <w:webHidden/>
              </w:rPr>
              <w:tab/>
            </w:r>
            <w:r>
              <w:rPr>
                <w:noProof/>
                <w:webHidden/>
              </w:rPr>
              <w:fldChar w:fldCharType="begin"/>
            </w:r>
            <w:r>
              <w:rPr>
                <w:noProof/>
                <w:webHidden/>
              </w:rPr>
              <w:instrText xml:space="preserve"> PAGEREF _Toc214457917 \h </w:instrText>
            </w:r>
            <w:r>
              <w:rPr>
                <w:noProof/>
                <w:webHidden/>
              </w:rPr>
            </w:r>
            <w:r>
              <w:rPr>
                <w:noProof/>
                <w:webHidden/>
              </w:rPr>
              <w:fldChar w:fldCharType="separate"/>
            </w:r>
            <w:r>
              <w:rPr>
                <w:noProof/>
                <w:webHidden/>
              </w:rPr>
              <w:t>10</w:t>
            </w:r>
            <w:r>
              <w:rPr>
                <w:noProof/>
                <w:webHidden/>
              </w:rPr>
              <w:fldChar w:fldCharType="end"/>
            </w:r>
          </w:hyperlink>
        </w:p>
        <w:p w14:paraId="502921B4" w14:textId="0F24D91C" w:rsidR="00D52C22" w:rsidRDefault="00D52C22">
          <w:pPr>
            <w:pStyle w:val="TOC3"/>
            <w:tabs>
              <w:tab w:val="right" w:leader="dot" w:pos="9016"/>
            </w:tabs>
            <w:rPr>
              <w:rFonts w:eastAsiaTheme="minorEastAsia"/>
              <w:noProof/>
              <w:sz w:val="24"/>
              <w:szCs w:val="24"/>
              <w:lang w:val="en-GB" w:eastAsia="en-GB"/>
            </w:rPr>
          </w:pPr>
          <w:hyperlink w:anchor="_Toc214457918" w:history="1">
            <w:r w:rsidRPr="00CC0208">
              <w:rPr>
                <w:rStyle w:val="Hyperlink"/>
                <w:rFonts w:ascii="Arial" w:hAnsi="Arial" w:cs="Arial"/>
                <w:noProof/>
                <w:lang w:bidi="th-TH"/>
              </w:rPr>
              <w:t>3.2.1 Application of Ansoff’s Growth Matrix</w:t>
            </w:r>
            <w:r>
              <w:rPr>
                <w:noProof/>
                <w:webHidden/>
              </w:rPr>
              <w:tab/>
            </w:r>
            <w:r>
              <w:rPr>
                <w:noProof/>
                <w:webHidden/>
              </w:rPr>
              <w:fldChar w:fldCharType="begin"/>
            </w:r>
            <w:r>
              <w:rPr>
                <w:noProof/>
                <w:webHidden/>
              </w:rPr>
              <w:instrText xml:space="preserve"> PAGEREF _Toc214457918 \h </w:instrText>
            </w:r>
            <w:r>
              <w:rPr>
                <w:noProof/>
                <w:webHidden/>
              </w:rPr>
            </w:r>
            <w:r>
              <w:rPr>
                <w:noProof/>
                <w:webHidden/>
              </w:rPr>
              <w:fldChar w:fldCharType="separate"/>
            </w:r>
            <w:r>
              <w:rPr>
                <w:noProof/>
                <w:webHidden/>
              </w:rPr>
              <w:t>11</w:t>
            </w:r>
            <w:r>
              <w:rPr>
                <w:noProof/>
                <w:webHidden/>
              </w:rPr>
              <w:fldChar w:fldCharType="end"/>
            </w:r>
          </w:hyperlink>
        </w:p>
        <w:p w14:paraId="54FEDFD0" w14:textId="70E609EC" w:rsidR="00D52C22" w:rsidRDefault="00D52C22">
          <w:pPr>
            <w:pStyle w:val="TOC3"/>
            <w:tabs>
              <w:tab w:val="right" w:leader="dot" w:pos="9016"/>
            </w:tabs>
            <w:rPr>
              <w:rFonts w:eastAsiaTheme="minorEastAsia"/>
              <w:noProof/>
              <w:sz w:val="24"/>
              <w:szCs w:val="24"/>
              <w:lang w:val="en-GB" w:eastAsia="en-GB"/>
            </w:rPr>
          </w:pPr>
          <w:hyperlink w:anchor="_Toc214457919" w:history="1">
            <w:r w:rsidRPr="00CC0208">
              <w:rPr>
                <w:rStyle w:val="Hyperlink"/>
                <w:rFonts w:ascii="Arial" w:hAnsi="Arial" w:cs="Arial"/>
                <w:noProof/>
                <w:lang w:bidi="th-TH"/>
              </w:rPr>
              <w:t>3.2.2 Application of Porter’s Generic Strategies</w:t>
            </w:r>
            <w:r>
              <w:rPr>
                <w:noProof/>
                <w:webHidden/>
              </w:rPr>
              <w:tab/>
            </w:r>
            <w:r>
              <w:rPr>
                <w:noProof/>
                <w:webHidden/>
              </w:rPr>
              <w:fldChar w:fldCharType="begin"/>
            </w:r>
            <w:r>
              <w:rPr>
                <w:noProof/>
                <w:webHidden/>
              </w:rPr>
              <w:instrText xml:space="preserve"> PAGEREF _Toc214457919 \h </w:instrText>
            </w:r>
            <w:r>
              <w:rPr>
                <w:noProof/>
                <w:webHidden/>
              </w:rPr>
            </w:r>
            <w:r>
              <w:rPr>
                <w:noProof/>
                <w:webHidden/>
              </w:rPr>
              <w:fldChar w:fldCharType="separate"/>
            </w:r>
            <w:r>
              <w:rPr>
                <w:noProof/>
                <w:webHidden/>
              </w:rPr>
              <w:t>11</w:t>
            </w:r>
            <w:r>
              <w:rPr>
                <w:noProof/>
                <w:webHidden/>
              </w:rPr>
              <w:fldChar w:fldCharType="end"/>
            </w:r>
          </w:hyperlink>
        </w:p>
        <w:p w14:paraId="50DD1E34" w14:textId="596B2797" w:rsidR="00D52C22" w:rsidRDefault="00D52C22">
          <w:pPr>
            <w:pStyle w:val="TOC1"/>
            <w:tabs>
              <w:tab w:val="right" w:leader="dot" w:pos="9016"/>
            </w:tabs>
            <w:rPr>
              <w:rFonts w:eastAsiaTheme="minorEastAsia"/>
              <w:noProof/>
              <w:sz w:val="24"/>
              <w:szCs w:val="24"/>
              <w:lang w:val="en-GB" w:eastAsia="en-GB"/>
            </w:rPr>
          </w:pPr>
          <w:hyperlink w:anchor="_Toc214457920" w:history="1">
            <w:r w:rsidRPr="00CC0208">
              <w:rPr>
                <w:rStyle w:val="Hyperlink"/>
                <w:rFonts w:ascii="Arial" w:hAnsi="Arial" w:cs="Arial"/>
                <w:b/>
                <w:bCs/>
                <w:noProof/>
                <w:lang w:bidi="th-TH"/>
              </w:rPr>
              <w:t>4. Conclusion</w:t>
            </w:r>
            <w:r>
              <w:rPr>
                <w:noProof/>
                <w:webHidden/>
              </w:rPr>
              <w:tab/>
            </w:r>
            <w:r>
              <w:rPr>
                <w:noProof/>
                <w:webHidden/>
              </w:rPr>
              <w:fldChar w:fldCharType="begin"/>
            </w:r>
            <w:r>
              <w:rPr>
                <w:noProof/>
                <w:webHidden/>
              </w:rPr>
              <w:instrText xml:space="preserve"> PAGEREF _Toc214457920 \h </w:instrText>
            </w:r>
            <w:r>
              <w:rPr>
                <w:noProof/>
                <w:webHidden/>
              </w:rPr>
            </w:r>
            <w:r>
              <w:rPr>
                <w:noProof/>
                <w:webHidden/>
              </w:rPr>
              <w:fldChar w:fldCharType="separate"/>
            </w:r>
            <w:r>
              <w:rPr>
                <w:noProof/>
                <w:webHidden/>
              </w:rPr>
              <w:t>12</w:t>
            </w:r>
            <w:r>
              <w:rPr>
                <w:noProof/>
                <w:webHidden/>
              </w:rPr>
              <w:fldChar w:fldCharType="end"/>
            </w:r>
          </w:hyperlink>
        </w:p>
        <w:p w14:paraId="4DDCA375" w14:textId="254A0CE1" w:rsidR="00D52C22" w:rsidRDefault="00D52C22">
          <w:pPr>
            <w:pStyle w:val="TOC1"/>
            <w:tabs>
              <w:tab w:val="right" w:leader="dot" w:pos="9016"/>
            </w:tabs>
            <w:rPr>
              <w:rFonts w:eastAsiaTheme="minorEastAsia"/>
              <w:noProof/>
              <w:sz w:val="24"/>
              <w:szCs w:val="24"/>
              <w:lang w:val="en-GB" w:eastAsia="en-GB"/>
            </w:rPr>
          </w:pPr>
          <w:hyperlink w:anchor="_Toc214457921" w:history="1">
            <w:r w:rsidRPr="00CC0208">
              <w:rPr>
                <w:rStyle w:val="Hyperlink"/>
                <w:rFonts w:ascii="Arial" w:hAnsi="Arial" w:cs="Arial"/>
                <w:b/>
                <w:bCs/>
                <w:noProof/>
                <w:lang w:bidi="th-TH"/>
              </w:rPr>
              <w:t>5. References</w:t>
            </w:r>
            <w:r>
              <w:rPr>
                <w:noProof/>
                <w:webHidden/>
              </w:rPr>
              <w:tab/>
            </w:r>
            <w:r>
              <w:rPr>
                <w:noProof/>
                <w:webHidden/>
              </w:rPr>
              <w:fldChar w:fldCharType="begin"/>
            </w:r>
            <w:r>
              <w:rPr>
                <w:noProof/>
                <w:webHidden/>
              </w:rPr>
              <w:instrText xml:space="preserve"> PAGEREF _Toc214457921 \h </w:instrText>
            </w:r>
            <w:r>
              <w:rPr>
                <w:noProof/>
                <w:webHidden/>
              </w:rPr>
            </w:r>
            <w:r>
              <w:rPr>
                <w:noProof/>
                <w:webHidden/>
              </w:rPr>
              <w:fldChar w:fldCharType="separate"/>
            </w:r>
            <w:r>
              <w:rPr>
                <w:noProof/>
                <w:webHidden/>
              </w:rPr>
              <w:t>13</w:t>
            </w:r>
            <w:r>
              <w:rPr>
                <w:noProof/>
                <w:webHidden/>
              </w:rPr>
              <w:fldChar w:fldCharType="end"/>
            </w:r>
          </w:hyperlink>
        </w:p>
        <w:p w14:paraId="2F240C1D" w14:textId="24778EEE" w:rsidR="00E81158" w:rsidRPr="000D7E17" w:rsidRDefault="00E81158" w:rsidP="00E81158">
          <w:pPr>
            <w:spacing w:line="360" w:lineRule="auto"/>
            <w:jc w:val="both"/>
            <w:rPr>
              <w:rFonts w:ascii="Arial" w:hAnsi="Arial" w:cs="Arial"/>
              <w:sz w:val="24"/>
              <w:szCs w:val="24"/>
            </w:rPr>
          </w:pPr>
          <w:r w:rsidRPr="000D7E17">
            <w:rPr>
              <w:rFonts w:ascii="Arial" w:hAnsi="Arial" w:cs="Arial"/>
              <w:b/>
              <w:bCs/>
              <w:noProof/>
              <w:sz w:val="24"/>
              <w:szCs w:val="24"/>
            </w:rPr>
            <w:fldChar w:fldCharType="end"/>
          </w:r>
        </w:p>
      </w:sdtContent>
    </w:sdt>
    <w:p w14:paraId="14F1732E" w14:textId="77777777" w:rsidR="00E81158" w:rsidRPr="000D7E17" w:rsidRDefault="00E81158" w:rsidP="00E81158">
      <w:pPr>
        <w:spacing w:line="360" w:lineRule="auto"/>
        <w:jc w:val="both"/>
        <w:rPr>
          <w:rFonts w:ascii="Arial" w:hAnsi="Arial" w:cs="Arial"/>
          <w:b/>
          <w:bCs/>
          <w:sz w:val="24"/>
          <w:szCs w:val="24"/>
        </w:rPr>
      </w:pPr>
      <w:r w:rsidRPr="000D7E17">
        <w:rPr>
          <w:rFonts w:ascii="Arial" w:hAnsi="Arial" w:cs="Arial"/>
          <w:b/>
          <w:bCs/>
          <w:sz w:val="24"/>
          <w:szCs w:val="24"/>
        </w:rPr>
        <w:br w:type="page"/>
      </w:r>
    </w:p>
    <w:p w14:paraId="0DDC597F" w14:textId="1270B000" w:rsidR="00E81158" w:rsidRDefault="00E81158" w:rsidP="00E81158">
      <w:pPr>
        <w:pStyle w:val="Heading1"/>
        <w:spacing w:line="360" w:lineRule="auto"/>
        <w:jc w:val="both"/>
        <w:rPr>
          <w:rFonts w:ascii="Arial" w:hAnsi="Arial" w:cs="Arial"/>
          <w:b/>
          <w:bCs/>
          <w:szCs w:val="40"/>
          <w:lang w:val="en-US"/>
        </w:rPr>
      </w:pPr>
      <w:bookmarkStart w:id="0" w:name="_Toc214457906"/>
      <w:r w:rsidRPr="00637E0E">
        <w:rPr>
          <w:rFonts w:ascii="Arial" w:hAnsi="Arial" w:cs="Arial"/>
          <w:b/>
          <w:bCs/>
          <w:szCs w:val="40"/>
          <w:lang w:val="en-US"/>
        </w:rPr>
        <w:lastRenderedPageBreak/>
        <w:t>1. Introduction</w:t>
      </w:r>
      <w:bookmarkEnd w:id="0"/>
      <w:r w:rsidRPr="00637E0E">
        <w:rPr>
          <w:rFonts w:ascii="Arial" w:hAnsi="Arial" w:cs="Arial"/>
          <w:b/>
          <w:bCs/>
          <w:szCs w:val="40"/>
          <w:lang w:val="en-US"/>
        </w:rPr>
        <w:t xml:space="preserve"> </w:t>
      </w:r>
    </w:p>
    <w:p w14:paraId="594D7C24" w14:textId="77777777" w:rsidR="0092611F" w:rsidRDefault="00E81158" w:rsidP="008A4D01">
      <w:pPr>
        <w:spacing w:after="0" w:line="360" w:lineRule="auto"/>
        <w:jc w:val="both"/>
        <w:rPr>
          <w:rFonts w:ascii="Arial" w:hAnsi="Arial" w:cs="Arial"/>
          <w:b/>
          <w:bCs/>
          <w:sz w:val="24"/>
          <w:szCs w:val="24"/>
        </w:rPr>
      </w:pPr>
      <w:r w:rsidRPr="000D7E17">
        <w:rPr>
          <w:rFonts w:ascii="Arial" w:hAnsi="Arial" w:cs="Arial"/>
          <w:b/>
          <w:bCs/>
          <w:sz w:val="24"/>
          <w:szCs w:val="24"/>
        </w:rPr>
        <w:t>Purpose and Focus of the Report</w:t>
      </w:r>
    </w:p>
    <w:p w14:paraId="220A49E0" w14:textId="296315F1" w:rsidR="00E81158" w:rsidRPr="00785569" w:rsidRDefault="00E81158" w:rsidP="008A4D01">
      <w:pPr>
        <w:spacing w:after="0" w:line="360" w:lineRule="auto"/>
        <w:jc w:val="both"/>
        <w:rPr>
          <w:rFonts w:ascii="Arial" w:hAnsi="Arial" w:cs="Arial"/>
          <w:b/>
          <w:bCs/>
          <w:sz w:val="24"/>
          <w:szCs w:val="24"/>
        </w:rPr>
      </w:pPr>
      <w:r w:rsidRPr="000D7E17">
        <w:rPr>
          <w:rFonts w:ascii="Arial" w:hAnsi="Arial" w:cs="Arial"/>
          <w:sz w:val="24"/>
          <w:szCs w:val="24"/>
        </w:rPr>
        <w:t xml:space="preserve">This report aims to critically analyse how the macro marketing environment impacts organisations that are in the global Electric Vehicle (EV) industry. With the constantly changing strategic marketing approaches, Tesla and BYD are two companies that need to adapt to evolving market boundaries with the help of sustainability, innovation and digital transformation processes (Anastasiadou and </w:t>
      </w:r>
      <w:proofErr w:type="spellStart"/>
      <w:r w:rsidRPr="000D7E17">
        <w:rPr>
          <w:rFonts w:ascii="Arial" w:hAnsi="Arial" w:cs="Arial"/>
          <w:sz w:val="24"/>
          <w:szCs w:val="24"/>
        </w:rPr>
        <w:t>Gavanas</w:t>
      </w:r>
      <w:proofErr w:type="spellEnd"/>
      <w:r w:rsidRPr="000D7E17">
        <w:rPr>
          <w:rFonts w:ascii="Arial" w:hAnsi="Arial" w:cs="Arial"/>
          <w:sz w:val="24"/>
          <w:szCs w:val="24"/>
        </w:rPr>
        <w:t xml:space="preserve">, 2022). The report reciprocates the tenets of strategic marketing management, which focuses on the active study of the external forces to determine opportunities, as well as reducing the risks that may influence competitive positioning and long-term development. </w:t>
      </w:r>
    </w:p>
    <w:p w14:paraId="5CF464B1" w14:textId="77777777" w:rsidR="008A4D01" w:rsidRDefault="008A4D01" w:rsidP="00E81158">
      <w:pPr>
        <w:spacing w:line="360" w:lineRule="auto"/>
        <w:jc w:val="both"/>
        <w:rPr>
          <w:rFonts w:ascii="Arial" w:hAnsi="Arial" w:cs="Arial"/>
          <w:b/>
          <w:bCs/>
          <w:sz w:val="24"/>
          <w:szCs w:val="24"/>
        </w:rPr>
      </w:pPr>
    </w:p>
    <w:p w14:paraId="7FC0C820" w14:textId="707F412E" w:rsidR="00E81158" w:rsidRPr="000D7E17" w:rsidRDefault="00E81158" w:rsidP="008A4D01">
      <w:pPr>
        <w:spacing w:after="0" w:line="360" w:lineRule="auto"/>
        <w:jc w:val="both"/>
        <w:rPr>
          <w:rFonts w:ascii="Arial" w:hAnsi="Arial" w:cs="Arial"/>
          <w:b/>
          <w:bCs/>
          <w:sz w:val="24"/>
          <w:szCs w:val="24"/>
        </w:rPr>
      </w:pPr>
      <w:r w:rsidRPr="000D7E17">
        <w:rPr>
          <w:rFonts w:ascii="Arial" w:hAnsi="Arial" w:cs="Arial"/>
          <w:b/>
          <w:bCs/>
          <w:sz w:val="24"/>
          <w:szCs w:val="24"/>
        </w:rPr>
        <w:t>Importance of Analysing the Macro Marketing Environment</w:t>
      </w:r>
    </w:p>
    <w:p w14:paraId="21CA64D8" w14:textId="77777777" w:rsidR="00E81158" w:rsidRDefault="00E81158" w:rsidP="008A4D01">
      <w:pPr>
        <w:spacing w:after="0" w:line="360" w:lineRule="auto"/>
        <w:jc w:val="both"/>
        <w:rPr>
          <w:rFonts w:ascii="Arial" w:hAnsi="Arial" w:cs="Arial"/>
          <w:sz w:val="24"/>
          <w:szCs w:val="24"/>
        </w:rPr>
      </w:pPr>
      <w:r w:rsidRPr="000D7E17">
        <w:rPr>
          <w:rFonts w:ascii="Arial" w:hAnsi="Arial" w:cs="Arial"/>
          <w:sz w:val="24"/>
          <w:szCs w:val="24"/>
        </w:rPr>
        <w:t>The macro marketing environment includes external forces that an organisation has no control over and that influence the market forces and decisions. These factors, which include technological, environmental, political, economic, social and legal, are important in understanding the marketing strategies in accordance with external realities (</w:t>
      </w:r>
      <w:proofErr w:type="spellStart"/>
      <w:r w:rsidRPr="000D7E17">
        <w:rPr>
          <w:rFonts w:ascii="Arial" w:hAnsi="Arial" w:cs="Arial"/>
          <w:sz w:val="24"/>
          <w:szCs w:val="24"/>
        </w:rPr>
        <w:t>Chernykhovskaya</w:t>
      </w:r>
      <w:proofErr w:type="spellEnd"/>
      <w:r w:rsidRPr="000D7E17">
        <w:rPr>
          <w:rFonts w:ascii="Arial" w:hAnsi="Arial" w:cs="Arial"/>
          <w:sz w:val="24"/>
          <w:szCs w:val="24"/>
        </w:rPr>
        <w:t xml:space="preserve">, 2024). In the case of EV manufacturers, such analysis offers information about the changes in consumer behaviour and regulatory forces, as well as innovative changes that re-establish mobility. </w:t>
      </w:r>
    </w:p>
    <w:p w14:paraId="6BCBE27F" w14:textId="77777777" w:rsidR="008A4D01" w:rsidRPr="000D7E17" w:rsidRDefault="008A4D01" w:rsidP="008A4D01">
      <w:pPr>
        <w:spacing w:after="0" w:line="360" w:lineRule="auto"/>
        <w:jc w:val="both"/>
        <w:rPr>
          <w:rFonts w:ascii="Arial" w:hAnsi="Arial" w:cs="Arial"/>
          <w:sz w:val="24"/>
          <w:szCs w:val="24"/>
        </w:rPr>
      </w:pPr>
    </w:p>
    <w:p w14:paraId="6C8B77A0" w14:textId="77777777" w:rsidR="00E81158" w:rsidRPr="000D7E17" w:rsidRDefault="00E81158" w:rsidP="008A4D01">
      <w:pPr>
        <w:spacing w:after="0" w:line="360" w:lineRule="auto"/>
        <w:jc w:val="both"/>
        <w:rPr>
          <w:rFonts w:ascii="Arial" w:hAnsi="Arial" w:cs="Arial"/>
          <w:b/>
          <w:bCs/>
          <w:sz w:val="24"/>
          <w:szCs w:val="24"/>
        </w:rPr>
      </w:pPr>
      <w:r w:rsidRPr="000D7E17">
        <w:rPr>
          <w:rFonts w:ascii="Arial" w:hAnsi="Arial" w:cs="Arial"/>
          <w:b/>
          <w:bCs/>
          <w:sz w:val="24"/>
          <w:szCs w:val="24"/>
        </w:rPr>
        <w:t>Structure and Scope of the Report</w:t>
      </w:r>
    </w:p>
    <w:p w14:paraId="3D792811" w14:textId="77777777" w:rsidR="00E81158" w:rsidRDefault="00E81158" w:rsidP="008A4D01">
      <w:pPr>
        <w:spacing w:after="0" w:line="360" w:lineRule="auto"/>
        <w:jc w:val="both"/>
        <w:rPr>
          <w:rFonts w:ascii="Arial" w:hAnsi="Arial" w:cs="Arial"/>
          <w:sz w:val="24"/>
          <w:szCs w:val="24"/>
        </w:rPr>
      </w:pPr>
      <w:r w:rsidRPr="000D7E17">
        <w:rPr>
          <w:rFonts w:ascii="Arial" w:hAnsi="Arial" w:cs="Arial"/>
          <w:sz w:val="24"/>
          <w:szCs w:val="24"/>
        </w:rPr>
        <w:t xml:space="preserve">The report will be organized into two overall analysis tasks. In Task 1, a critical assessment of the marketing macro environment applying PESTEL framework will be offered, where the special emphasis will be paid to technological and environmental aspects affecting the EV industry (Arribas-Ibar, Nylund and Brem, 2021). Task 2 analyses the reaction of the pioneer and follower organisations to these macro forces in a strategic manner. Tesla and BYD are the innovator and follow-on firm respectively. </w:t>
      </w:r>
    </w:p>
    <w:p w14:paraId="593BFFDD" w14:textId="77777777" w:rsidR="00A71BA1" w:rsidRDefault="00A71BA1" w:rsidP="008A4D01">
      <w:pPr>
        <w:spacing w:after="0" w:line="360" w:lineRule="auto"/>
        <w:jc w:val="both"/>
        <w:rPr>
          <w:rFonts w:ascii="Arial" w:hAnsi="Arial" w:cs="Arial"/>
          <w:sz w:val="24"/>
          <w:szCs w:val="24"/>
        </w:rPr>
      </w:pPr>
    </w:p>
    <w:p w14:paraId="7CA531EC" w14:textId="77777777" w:rsidR="00A71BA1" w:rsidRPr="000D7E17" w:rsidRDefault="00A71BA1" w:rsidP="008A4D01">
      <w:pPr>
        <w:spacing w:after="0" w:line="360" w:lineRule="auto"/>
        <w:jc w:val="both"/>
        <w:rPr>
          <w:rFonts w:ascii="Arial" w:hAnsi="Arial" w:cs="Arial"/>
          <w:sz w:val="24"/>
          <w:szCs w:val="24"/>
        </w:rPr>
      </w:pPr>
    </w:p>
    <w:p w14:paraId="5F159A5B" w14:textId="77777777" w:rsidR="00FB3CB0" w:rsidRDefault="00E81158" w:rsidP="00FB3CB0">
      <w:pPr>
        <w:pStyle w:val="Heading1"/>
        <w:rPr>
          <w:rFonts w:ascii="Arial" w:hAnsi="Arial" w:cs="Arial"/>
          <w:b/>
          <w:bCs/>
        </w:rPr>
      </w:pPr>
      <w:bookmarkStart w:id="1" w:name="_Toc214457907"/>
      <w:r w:rsidRPr="00637E0E">
        <w:rPr>
          <w:rFonts w:ascii="Arial" w:hAnsi="Arial" w:cs="Arial"/>
          <w:b/>
          <w:bCs/>
        </w:rPr>
        <w:lastRenderedPageBreak/>
        <w:t>2. Task 1: Critical Analysis of the Macro Marketing Environment</w:t>
      </w:r>
      <w:bookmarkEnd w:id="1"/>
    </w:p>
    <w:p w14:paraId="67979189" w14:textId="77777777" w:rsidR="00A71BA1" w:rsidRPr="00A71BA1" w:rsidRDefault="00A71BA1" w:rsidP="00A71BA1">
      <w:pPr>
        <w:rPr>
          <w:lang w:val="en-GB" w:bidi="th-TH"/>
        </w:rPr>
      </w:pPr>
    </w:p>
    <w:p w14:paraId="4560F8EC" w14:textId="7CABA7EF" w:rsidR="00E81158" w:rsidRDefault="00FB3CB0" w:rsidP="00C03A17">
      <w:pPr>
        <w:pStyle w:val="Heading2"/>
        <w:rPr>
          <w:rFonts w:ascii="Arial" w:hAnsi="Arial" w:cs="Arial"/>
        </w:rPr>
      </w:pPr>
      <w:bookmarkStart w:id="2" w:name="_Toc214457908"/>
      <w:r w:rsidRPr="00A92432">
        <w:rPr>
          <w:rFonts w:ascii="Arial" w:hAnsi="Arial" w:cs="Arial"/>
        </w:rPr>
        <w:t xml:space="preserve">2.1 </w:t>
      </w:r>
      <w:r w:rsidR="00E81158" w:rsidRPr="00A92432">
        <w:rPr>
          <w:rFonts w:ascii="Arial" w:hAnsi="Arial" w:cs="Arial"/>
        </w:rPr>
        <w:t>Overview of the Macro Environment and Its Relevance to Marketing Strategy</w:t>
      </w:r>
      <w:bookmarkEnd w:id="2"/>
    </w:p>
    <w:p w14:paraId="018EB006" w14:textId="77777777" w:rsidR="00A71BA1" w:rsidRPr="00A71BA1" w:rsidRDefault="00A71BA1" w:rsidP="00A71BA1">
      <w:pPr>
        <w:rPr>
          <w:lang w:val="en-GB" w:bidi="th-TH"/>
        </w:rPr>
      </w:pPr>
    </w:p>
    <w:p w14:paraId="343A4649" w14:textId="77777777" w:rsidR="00E81158" w:rsidRDefault="00E81158" w:rsidP="00E81158">
      <w:pPr>
        <w:spacing w:line="360" w:lineRule="auto"/>
        <w:jc w:val="both"/>
        <w:rPr>
          <w:rFonts w:ascii="Arial" w:hAnsi="Arial" w:cs="Arial"/>
          <w:sz w:val="24"/>
          <w:szCs w:val="24"/>
        </w:rPr>
      </w:pPr>
      <w:r w:rsidRPr="000D7E17">
        <w:rPr>
          <w:rFonts w:ascii="Arial" w:hAnsi="Arial" w:cs="Arial"/>
          <w:sz w:val="24"/>
          <w:szCs w:val="24"/>
        </w:rPr>
        <w:t xml:space="preserve">Macro marketing environment is composed of general external forces that affect every organisation in an industry that includes; political, economic, social, technological, environmental, and legal forces. These forces are the drivers of business opportunities and threats which are in most cases beyond the control of a firm (Anastasiadou and </w:t>
      </w:r>
      <w:proofErr w:type="spellStart"/>
      <w:r w:rsidRPr="000D7E17">
        <w:rPr>
          <w:rFonts w:ascii="Arial" w:hAnsi="Arial" w:cs="Arial"/>
          <w:sz w:val="24"/>
          <w:szCs w:val="24"/>
        </w:rPr>
        <w:t>Gavanas</w:t>
      </w:r>
      <w:proofErr w:type="spellEnd"/>
      <w:r w:rsidRPr="000D7E17">
        <w:rPr>
          <w:rFonts w:ascii="Arial" w:hAnsi="Arial" w:cs="Arial"/>
          <w:sz w:val="24"/>
          <w:szCs w:val="24"/>
        </w:rPr>
        <w:t xml:space="preserve">, 2022). An examination of these external factors allows the marketer to make a sound strategic decision and adjust to the dynamics. The macro environment is critical in the Electric Vehicle (EV) industry when it comes to setting marketing objectives in line with global sustainability objectives, consumer behaviour trends, and regulatory, enabling policies that facilitate clean energy and carbon reduction projects. </w:t>
      </w:r>
    </w:p>
    <w:p w14:paraId="543DA9C8" w14:textId="77777777" w:rsidR="00A71BA1" w:rsidRPr="000D7E17" w:rsidRDefault="00A71BA1" w:rsidP="00E81158">
      <w:pPr>
        <w:spacing w:line="360" w:lineRule="auto"/>
        <w:jc w:val="both"/>
        <w:rPr>
          <w:rFonts w:ascii="Arial" w:hAnsi="Arial" w:cs="Arial"/>
          <w:sz w:val="24"/>
          <w:szCs w:val="24"/>
        </w:rPr>
      </w:pPr>
    </w:p>
    <w:p w14:paraId="3AA71C1C" w14:textId="77777777" w:rsidR="00E81158" w:rsidRPr="000D7E17" w:rsidRDefault="00E81158" w:rsidP="00DA1192">
      <w:pPr>
        <w:spacing w:after="0" w:line="360" w:lineRule="auto"/>
        <w:jc w:val="both"/>
        <w:rPr>
          <w:rFonts w:ascii="Arial" w:hAnsi="Arial" w:cs="Arial"/>
          <w:sz w:val="24"/>
          <w:szCs w:val="24"/>
        </w:rPr>
      </w:pPr>
      <w:r w:rsidRPr="000D7E17">
        <w:rPr>
          <w:rFonts w:ascii="Arial" w:hAnsi="Arial" w:cs="Arial"/>
          <w:b/>
          <w:bCs/>
          <w:sz w:val="24"/>
          <w:szCs w:val="24"/>
        </w:rPr>
        <w:t>PESTEL Framework</w:t>
      </w:r>
    </w:p>
    <w:p w14:paraId="37EE43DA" w14:textId="26A2679A" w:rsidR="00E81158" w:rsidRPr="000D7E17" w:rsidRDefault="00E81158" w:rsidP="00DA1192">
      <w:pPr>
        <w:spacing w:after="0" w:line="360" w:lineRule="auto"/>
        <w:jc w:val="both"/>
        <w:rPr>
          <w:rFonts w:ascii="Arial" w:hAnsi="Arial" w:cs="Arial"/>
          <w:sz w:val="24"/>
          <w:szCs w:val="24"/>
        </w:rPr>
      </w:pPr>
      <w:r w:rsidRPr="000D7E17">
        <w:rPr>
          <w:rFonts w:ascii="Arial" w:hAnsi="Arial" w:cs="Arial"/>
          <w:sz w:val="24"/>
          <w:szCs w:val="24"/>
        </w:rPr>
        <w:t>PESTEL framework is a systematic analysis of the external macro environment that is divided into six dimensions, namely: Political, Economic, Social, Technological, Environmental, and Legal. It aids the marketers in determining the influence of global trends and other external forces on performance and strategy formulation in markets. The application of PESTEL allows firms to foresee upcoming challenges, analyse opportunities and integrate strategic intentions with the environmental realities (Arribas-Ibar, Nylund and Brem, 2021). The PESTEL model is priceless in the framework of the EV industry in terms of evaluating the extent to which the technological innovation, government incentives, environmental laws, and the social mindset regarding sustainability affect strategic marketing and positioning.</w:t>
      </w:r>
    </w:p>
    <w:p w14:paraId="5FB1F72D" w14:textId="77777777" w:rsidR="002A3884" w:rsidRPr="000D7E17" w:rsidRDefault="002A3884" w:rsidP="00E81158">
      <w:pPr>
        <w:spacing w:line="360" w:lineRule="auto"/>
        <w:jc w:val="both"/>
        <w:rPr>
          <w:rFonts w:ascii="Arial" w:hAnsi="Arial" w:cs="Arial"/>
          <w:sz w:val="24"/>
          <w:szCs w:val="24"/>
        </w:rPr>
      </w:pPr>
    </w:p>
    <w:p w14:paraId="4AADC854" w14:textId="77777777" w:rsidR="00E81158" w:rsidRPr="000D7E17" w:rsidRDefault="00E81158" w:rsidP="00E81158">
      <w:pPr>
        <w:pStyle w:val="Heading2"/>
        <w:spacing w:line="360" w:lineRule="auto"/>
        <w:jc w:val="both"/>
        <w:rPr>
          <w:rFonts w:ascii="Arial" w:hAnsi="Arial" w:cs="Arial"/>
          <w:b/>
          <w:szCs w:val="32"/>
        </w:rPr>
      </w:pPr>
      <w:bookmarkStart w:id="3" w:name="_Toc214457909"/>
      <w:r w:rsidRPr="000D7E17">
        <w:rPr>
          <w:rFonts w:ascii="Arial" w:hAnsi="Arial" w:cs="Arial"/>
          <w:szCs w:val="32"/>
        </w:rPr>
        <w:lastRenderedPageBreak/>
        <w:t>2.2 Selection of Two External Macro Marketing Actors</w:t>
      </w:r>
      <w:bookmarkEnd w:id="3"/>
    </w:p>
    <w:p w14:paraId="19672FD3" w14:textId="28F4E8D1" w:rsidR="002A3884" w:rsidRPr="000D7E17" w:rsidRDefault="00E81158" w:rsidP="00E81158">
      <w:pPr>
        <w:spacing w:line="360" w:lineRule="auto"/>
        <w:jc w:val="both"/>
        <w:rPr>
          <w:rFonts w:ascii="Arial" w:hAnsi="Arial" w:cs="Arial"/>
          <w:sz w:val="24"/>
          <w:szCs w:val="24"/>
        </w:rPr>
      </w:pPr>
      <w:r w:rsidRPr="000D7E17">
        <w:rPr>
          <w:rFonts w:ascii="Arial" w:hAnsi="Arial" w:cs="Arial"/>
          <w:sz w:val="24"/>
          <w:szCs w:val="24"/>
        </w:rPr>
        <w:t xml:space="preserve">In this analysis, two external macro marketing actors, namely Technological and Environmental factors have been chosen because of their considerable interdependence on the global EV industry. </w:t>
      </w:r>
    </w:p>
    <w:p w14:paraId="17AB7D91" w14:textId="77777777" w:rsidR="002A3884" w:rsidRPr="000D7E17" w:rsidRDefault="002A3884" w:rsidP="00E81158">
      <w:pPr>
        <w:spacing w:line="360" w:lineRule="auto"/>
        <w:jc w:val="both"/>
        <w:rPr>
          <w:rFonts w:ascii="Arial" w:hAnsi="Arial" w:cs="Arial"/>
          <w:sz w:val="24"/>
          <w:szCs w:val="24"/>
        </w:rPr>
      </w:pPr>
    </w:p>
    <w:p w14:paraId="61292BB2" w14:textId="77777777" w:rsidR="00E81158" w:rsidRPr="000D7E17" w:rsidRDefault="00E81158" w:rsidP="009C5140">
      <w:pPr>
        <w:spacing w:after="0" w:line="360" w:lineRule="auto"/>
        <w:jc w:val="both"/>
        <w:rPr>
          <w:rFonts w:ascii="Arial" w:hAnsi="Arial" w:cs="Arial"/>
          <w:b/>
          <w:bCs/>
          <w:sz w:val="24"/>
          <w:szCs w:val="24"/>
        </w:rPr>
      </w:pPr>
      <w:r w:rsidRPr="000D7E17">
        <w:rPr>
          <w:rFonts w:ascii="Arial" w:hAnsi="Arial" w:cs="Arial"/>
          <w:b/>
          <w:bCs/>
          <w:sz w:val="24"/>
          <w:szCs w:val="24"/>
        </w:rPr>
        <w:t>Technological Actor</w:t>
      </w:r>
    </w:p>
    <w:p w14:paraId="037E2A74" w14:textId="77777777" w:rsidR="00E81158" w:rsidRDefault="00E81158" w:rsidP="009C5140">
      <w:pPr>
        <w:spacing w:after="0" w:line="360" w:lineRule="auto"/>
        <w:jc w:val="both"/>
        <w:rPr>
          <w:rFonts w:ascii="Arial" w:hAnsi="Arial" w:cs="Arial"/>
          <w:sz w:val="24"/>
          <w:szCs w:val="24"/>
        </w:rPr>
      </w:pPr>
      <w:r w:rsidRPr="000D7E17">
        <w:rPr>
          <w:rFonts w:ascii="Arial" w:hAnsi="Arial" w:cs="Arial"/>
          <w:sz w:val="24"/>
          <w:szCs w:val="24"/>
        </w:rPr>
        <w:t xml:space="preserve">The EV revolution is based on technology. The automotive world is changing because of the development of new battery technologies, artificial intelligence (AI) penetration, and autonomous driving systems (Fedotov, 2022). EVs are innovation-driven and in this regard, the International Energy Agency reports that the world invested more than USD 480 billion in EV-related technology in 2023. In the case of manufacturers such as Tesla and BYD, market leadership, production efficiency, and possible differentiation all depend on technological capability. </w:t>
      </w:r>
    </w:p>
    <w:p w14:paraId="07FC7DBE" w14:textId="77777777" w:rsidR="009C5140" w:rsidRPr="000D7E17" w:rsidRDefault="009C5140" w:rsidP="00E81158">
      <w:pPr>
        <w:spacing w:line="360" w:lineRule="auto"/>
        <w:jc w:val="both"/>
        <w:rPr>
          <w:rFonts w:ascii="Arial" w:hAnsi="Arial" w:cs="Arial"/>
          <w:sz w:val="24"/>
          <w:szCs w:val="24"/>
        </w:rPr>
      </w:pPr>
    </w:p>
    <w:p w14:paraId="1A2F4F01" w14:textId="77777777" w:rsidR="00E81158" w:rsidRPr="000D7E17" w:rsidRDefault="00E81158" w:rsidP="009C5140">
      <w:pPr>
        <w:spacing w:after="0" w:line="360" w:lineRule="auto"/>
        <w:jc w:val="both"/>
        <w:rPr>
          <w:rFonts w:ascii="Arial" w:hAnsi="Arial" w:cs="Arial"/>
          <w:b/>
          <w:bCs/>
          <w:sz w:val="24"/>
          <w:szCs w:val="24"/>
        </w:rPr>
      </w:pPr>
      <w:r w:rsidRPr="000D7E17">
        <w:rPr>
          <w:rFonts w:ascii="Arial" w:hAnsi="Arial" w:cs="Arial"/>
          <w:b/>
          <w:bCs/>
          <w:sz w:val="24"/>
          <w:szCs w:val="24"/>
        </w:rPr>
        <w:t>Environmental Actor</w:t>
      </w:r>
    </w:p>
    <w:p w14:paraId="23F688F2" w14:textId="77777777" w:rsidR="00E81158" w:rsidRPr="000D7E17" w:rsidRDefault="00E81158" w:rsidP="009C5140">
      <w:pPr>
        <w:spacing w:after="0" w:line="360" w:lineRule="auto"/>
        <w:jc w:val="both"/>
        <w:rPr>
          <w:rFonts w:ascii="Arial" w:hAnsi="Arial" w:cs="Arial"/>
          <w:sz w:val="24"/>
          <w:szCs w:val="24"/>
        </w:rPr>
      </w:pPr>
      <w:r w:rsidRPr="000D7E17">
        <w:rPr>
          <w:rFonts w:ascii="Arial" w:hAnsi="Arial" w:cs="Arial"/>
          <w:sz w:val="24"/>
          <w:szCs w:val="24"/>
        </w:rPr>
        <w:t xml:space="preserve">The main motivation of EV adoption is environmental issues. The issues of climate change, air pollution, and natural resources depletion have put pressure on governments and consumers to embrace alternatives that are environmentally friendly. There have been regulatory efforts like the Paris Agreement and EU Green Deal that have expedited the process of switching to low-emission vehicles (Fedotov, 2022). Also, consumer environmental consciousness has increased pressures on the mobility solutions that should be sustainable. </w:t>
      </w:r>
    </w:p>
    <w:p w14:paraId="0AF2D583" w14:textId="77777777" w:rsidR="002A3884" w:rsidRPr="000D7E17" w:rsidRDefault="002A3884" w:rsidP="00E81158">
      <w:pPr>
        <w:spacing w:line="360" w:lineRule="auto"/>
        <w:jc w:val="both"/>
        <w:rPr>
          <w:rFonts w:ascii="Arial" w:hAnsi="Arial" w:cs="Arial"/>
          <w:sz w:val="24"/>
          <w:szCs w:val="24"/>
        </w:rPr>
      </w:pPr>
    </w:p>
    <w:p w14:paraId="43F06C81" w14:textId="77777777" w:rsidR="00E81158" w:rsidRPr="000D7E17" w:rsidRDefault="00E81158" w:rsidP="00E81158">
      <w:pPr>
        <w:pStyle w:val="Heading2"/>
        <w:spacing w:line="360" w:lineRule="auto"/>
        <w:jc w:val="both"/>
        <w:rPr>
          <w:rFonts w:ascii="Arial" w:hAnsi="Arial" w:cs="Arial"/>
          <w:b/>
          <w:szCs w:val="32"/>
        </w:rPr>
      </w:pPr>
      <w:bookmarkStart w:id="4" w:name="_Toc214457910"/>
      <w:r w:rsidRPr="000D7E17">
        <w:rPr>
          <w:rFonts w:ascii="Arial" w:hAnsi="Arial" w:cs="Arial"/>
          <w:szCs w:val="32"/>
        </w:rPr>
        <w:t>2.3 Critical Analysis of Each Actor</w:t>
      </w:r>
      <w:bookmarkEnd w:id="4"/>
    </w:p>
    <w:p w14:paraId="5B545B56" w14:textId="17F239E5" w:rsidR="009C5140" w:rsidRPr="00DF5AC9" w:rsidRDefault="002A3884" w:rsidP="00DF5AC9">
      <w:pPr>
        <w:pStyle w:val="Heading3"/>
        <w:spacing w:after="0"/>
        <w:rPr>
          <w:rFonts w:ascii="Arial" w:hAnsi="Arial" w:cs="Arial"/>
        </w:rPr>
      </w:pPr>
      <w:bookmarkStart w:id="5" w:name="_Toc214457911"/>
      <w:r w:rsidRPr="000D7E17">
        <w:rPr>
          <w:rFonts w:ascii="Arial" w:hAnsi="Arial" w:cs="Arial"/>
        </w:rPr>
        <w:t>2.3.</w:t>
      </w:r>
      <w:r w:rsidR="00E81158" w:rsidRPr="000D7E17">
        <w:rPr>
          <w:rFonts w:ascii="Arial" w:hAnsi="Arial" w:cs="Arial"/>
        </w:rPr>
        <w:t>1 Technological Factors</w:t>
      </w:r>
      <w:bookmarkEnd w:id="5"/>
    </w:p>
    <w:p w14:paraId="25BAA942" w14:textId="77777777" w:rsidR="00E81158" w:rsidRDefault="00E81158" w:rsidP="00DF5AC9">
      <w:pPr>
        <w:spacing w:after="0" w:line="360" w:lineRule="auto"/>
        <w:jc w:val="both"/>
        <w:rPr>
          <w:rFonts w:ascii="Arial" w:hAnsi="Arial" w:cs="Arial"/>
          <w:sz w:val="24"/>
          <w:szCs w:val="24"/>
        </w:rPr>
      </w:pPr>
      <w:r w:rsidRPr="000D7E17">
        <w:rPr>
          <w:rFonts w:ascii="Arial" w:hAnsi="Arial" w:cs="Arial"/>
          <w:sz w:val="24"/>
          <w:szCs w:val="24"/>
        </w:rPr>
        <w:t xml:space="preserve">The EV industry is characterised by technological innovation that presents opportunities and challenges to the pioneers and the followers. </w:t>
      </w:r>
    </w:p>
    <w:p w14:paraId="1871FAEC" w14:textId="77777777" w:rsidR="00DF5AC9" w:rsidRPr="000D7E17" w:rsidRDefault="00DF5AC9" w:rsidP="00DF5AC9">
      <w:pPr>
        <w:spacing w:after="0" w:line="360" w:lineRule="auto"/>
        <w:jc w:val="both"/>
        <w:rPr>
          <w:rFonts w:ascii="Arial" w:hAnsi="Arial" w:cs="Arial"/>
          <w:sz w:val="24"/>
          <w:szCs w:val="24"/>
        </w:rPr>
      </w:pPr>
    </w:p>
    <w:p w14:paraId="7090F6B1" w14:textId="77777777" w:rsidR="00A748A4" w:rsidRDefault="00E81158" w:rsidP="00E81158">
      <w:pPr>
        <w:spacing w:line="360" w:lineRule="auto"/>
        <w:jc w:val="both"/>
        <w:rPr>
          <w:rFonts w:ascii="Arial" w:hAnsi="Arial" w:cs="Arial"/>
          <w:sz w:val="24"/>
          <w:szCs w:val="24"/>
        </w:rPr>
      </w:pPr>
      <w:r w:rsidRPr="000D7E17">
        <w:rPr>
          <w:rFonts w:ascii="Arial" w:hAnsi="Arial" w:cs="Arial"/>
          <w:b/>
          <w:bCs/>
          <w:sz w:val="24"/>
          <w:szCs w:val="24"/>
        </w:rPr>
        <w:t>Impact on Tesla (Pioneer):</w:t>
      </w:r>
      <w:r w:rsidR="002A3884" w:rsidRPr="000D7E17">
        <w:rPr>
          <w:rFonts w:ascii="Arial" w:hAnsi="Arial" w:cs="Arial"/>
          <w:b/>
          <w:bCs/>
          <w:sz w:val="24"/>
          <w:szCs w:val="24"/>
        </w:rPr>
        <w:t xml:space="preserve"> </w:t>
      </w:r>
      <w:r w:rsidRPr="000D7E17">
        <w:rPr>
          <w:rFonts w:ascii="Arial" w:hAnsi="Arial" w:cs="Arial"/>
          <w:sz w:val="24"/>
          <w:szCs w:val="24"/>
        </w:rPr>
        <w:t xml:space="preserve">Tesla has established itself as the leading organisation in the technological disruption as the pioneering organisation. Its proprietary battery cells 4680, sophisticated software architecture and Autopilot AI systems are examples of </w:t>
      </w:r>
      <w:r w:rsidRPr="000D7E17">
        <w:rPr>
          <w:rFonts w:ascii="Arial" w:hAnsi="Arial" w:cs="Arial"/>
          <w:sz w:val="24"/>
          <w:szCs w:val="24"/>
        </w:rPr>
        <w:lastRenderedPageBreak/>
        <w:t xml:space="preserve">technological leadership (He and Hu, 2024). Through vertical integration and periodic updates via the air, Tesla keeps increasing product functions and customer satisfaction. The above capabilities enable Tesla to charge high prices and a well-established brand image of innovation. </w:t>
      </w:r>
    </w:p>
    <w:p w14:paraId="1DFCD595" w14:textId="77777777" w:rsidR="009C5140" w:rsidRPr="000D7E17" w:rsidRDefault="009C5140" w:rsidP="00E81158">
      <w:pPr>
        <w:spacing w:line="360" w:lineRule="auto"/>
        <w:jc w:val="both"/>
        <w:rPr>
          <w:rFonts w:ascii="Arial" w:hAnsi="Arial" w:cs="Arial"/>
          <w:sz w:val="24"/>
          <w:szCs w:val="24"/>
        </w:rPr>
      </w:pPr>
    </w:p>
    <w:p w14:paraId="2B9F1CBA" w14:textId="77777777" w:rsidR="009C5140" w:rsidRDefault="00E81158" w:rsidP="009C5140">
      <w:pPr>
        <w:spacing w:after="0" w:line="360" w:lineRule="auto"/>
        <w:jc w:val="both"/>
        <w:rPr>
          <w:rFonts w:ascii="Arial" w:hAnsi="Arial" w:cs="Arial"/>
          <w:b/>
          <w:bCs/>
          <w:sz w:val="24"/>
          <w:szCs w:val="24"/>
        </w:rPr>
      </w:pPr>
      <w:r w:rsidRPr="000D7E17">
        <w:rPr>
          <w:rFonts w:ascii="Arial" w:hAnsi="Arial" w:cs="Arial"/>
          <w:b/>
          <w:bCs/>
          <w:sz w:val="24"/>
          <w:szCs w:val="24"/>
        </w:rPr>
        <w:t>Impact on BYD (Follower):</w:t>
      </w:r>
      <w:r w:rsidR="00BB34BD" w:rsidRPr="000D7E17">
        <w:rPr>
          <w:rFonts w:ascii="Arial" w:hAnsi="Arial" w:cs="Arial"/>
          <w:b/>
          <w:bCs/>
          <w:sz w:val="24"/>
          <w:szCs w:val="24"/>
        </w:rPr>
        <w:t xml:space="preserve"> </w:t>
      </w:r>
    </w:p>
    <w:p w14:paraId="7DF0F40A" w14:textId="4E40EBB3" w:rsidR="00E81158" w:rsidRDefault="00E81158" w:rsidP="009C5140">
      <w:pPr>
        <w:spacing w:after="0" w:line="360" w:lineRule="auto"/>
        <w:jc w:val="both"/>
        <w:rPr>
          <w:rFonts w:ascii="Arial" w:hAnsi="Arial" w:cs="Arial"/>
          <w:sz w:val="24"/>
          <w:szCs w:val="24"/>
        </w:rPr>
      </w:pPr>
      <w:r w:rsidRPr="000D7E17">
        <w:rPr>
          <w:rFonts w:ascii="Arial" w:hAnsi="Arial" w:cs="Arial"/>
          <w:sz w:val="24"/>
          <w:szCs w:val="24"/>
        </w:rPr>
        <w:t xml:space="preserve">BYD is a follower, and it is thus a strategic adjustment to the trends set by the pioneers such as Tesla. Rather than pursuing radical innovation, BYD invests in cost-effective manufacturing and incremental innovation: for instance, its Blade Battery technology is more cost-effective and extends the range of safety and durability (He and Hu, 2024). The strategy will enable BYD to grasp price-sensitive markets especially in Asia and emerging economies. However, the reliance on the current technological standards and slower recognition of the brand across the entire world is challenging. </w:t>
      </w:r>
    </w:p>
    <w:p w14:paraId="5D32A005" w14:textId="77777777" w:rsidR="009C5140" w:rsidRPr="000D7E17" w:rsidRDefault="009C5140" w:rsidP="009C5140">
      <w:pPr>
        <w:spacing w:after="0" w:line="360" w:lineRule="auto"/>
        <w:jc w:val="both"/>
        <w:rPr>
          <w:rFonts w:ascii="Arial" w:hAnsi="Arial" w:cs="Arial"/>
          <w:sz w:val="24"/>
          <w:szCs w:val="24"/>
        </w:rPr>
      </w:pPr>
    </w:p>
    <w:p w14:paraId="61D72640" w14:textId="77777777" w:rsidR="009C5140" w:rsidRDefault="00E81158" w:rsidP="009C5140">
      <w:pPr>
        <w:spacing w:after="0" w:line="360" w:lineRule="auto"/>
        <w:jc w:val="both"/>
        <w:rPr>
          <w:rFonts w:ascii="Arial" w:hAnsi="Arial" w:cs="Arial"/>
          <w:b/>
          <w:bCs/>
          <w:sz w:val="24"/>
          <w:szCs w:val="24"/>
        </w:rPr>
      </w:pPr>
      <w:r w:rsidRPr="000D7E17">
        <w:rPr>
          <w:rFonts w:ascii="Arial" w:hAnsi="Arial" w:cs="Arial"/>
          <w:b/>
          <w:bCs/>
          <w:sz w:val="24"/>
          <w:szCs w:val="24"/>
        </w:rPr>
        <w:t>Opportunities and Threats:</w:t>
      </w:r>
      <w:r w:rsidR="00A748A4" w:rsidRPr="000D7E17">
        <w:rPr>
          <w:rFonts w:ascii="Arial" w:hAnsi="Arial" w:cs="Arial"/>
          <w:b/>
          <w:bCs/>
          <w:sz w:val="24"/>
          <w:szCs w:val="24"/>
        </w:rPr>
        <w:t xml:space="preserve"> </w:t>
      </w:r>
    </w:p>
    <w:p w14:paraId="18F87841" w14:textId="7A31C172" w:rsidR="00A748A4" w:rsidRDefault="00E81158" w:rsidP="009C5140">
      <w:pPr>
        <w:spacing w:after="0" w:line="360" w:lineRule="auto"/>
        <w:jc w:val="both"/>
        <w:rPr>
          <w:rFonts w:ascii="Arial" w:hAnsi="Arial" w:cs="Arial"/>
          <w:sz w:val="24"/>
          <w:szCs w:val="24"/>
        </w:rPr>
      </w:pPr>
      <w:r w:rsidRPr="000D7E17">
        <w:rPr>
          <w:rFonts w:ascii="Arial" w:hAnsi="Arial" w:cs="Arial"/>
          <w:sz w:val="24"/>
          <w:szCs w:val="24"/>
        </w:rPr>
        <w:t xml:space="preserve">The innovations in technologies provide both companies with a chance to create new models, grow their charging systems, and develop digital ecosystems. Nevertheless, they also cause the threat of new entrants like Rivian, Lucid Motors, and even conservative automobile manufacturers switching to EVs (He and Hu, 2024). Investment in innovation is necessary, and this should continue to keep the company relevant in the market. </w:t>
      </w:r>
    </w:p>
    <w:p w14:paraId="037A0602" w14:textId="77777777" w:rsidR="009C5140" w:rsidRPr="000D7E17" w:rsidRDefault="009C5140" w:rsidP="009C5140">
      <w:pPr>
        <w:spacing w:after="0" w:line="360" w:lineRule="auto"/>
        <w:jc w:val="both"/>
        <w:rPr>
          <w:rFonts w:ascii="Arial" w:hAnsi="Arial" w:cs="Arial"/>
          <w:sz w:val="24"/>
          <w:szCs w:val="24"/>
        </w:rPr>
      </w:pPr>
    </w:p>
    <w:p w14:paraId="1F98DCFB" w14:textId="77777777" w:rsidR="009C5140" w:rsidRDefault="00E81158" w:rsidP="009C5140">
      <w:pPr>
        <w:spacing w:after="0" w:line="360" w:lineRule="auto"/>
        <w:jc w:val="both"/>
        <w:rPr>
          <w:rFonts w:ascii="Arial" w:hAnsi="Arial" w:cs="Arial"/>
          <w:b/>
          <w:bCs/>
          <w:sz w:val="24"/>
          <w:szCs w:val="24"/>
        </w:rPr>
      </w:pPr>
      <w:r w:rsidRPr="000D7E17">
        <w:rPr>
          <w:rFonts w:ascii="Arial" w:hAnsi="Arial" w:cs="Arial"/>
          <w:b/>
          <w:bCs/>
          <w:sz w:val="24"/>
          <w:szCs w:val="24"/>
        </w:rPr>
        <w:t>Strategic Implications:</w:t>
      </w:r>
    </w:p>
    <w:p w14:paraId="14E24BFC" w14:textId="264426FF" w:rsidR="00E81158" w:rsidRDefault="00E81158" w:rsidP="009C5140">
      <w:pPr>
        <w:spacing w:after="0" w:line="360" w:lineRule="auto"/>
        <w:jc w:val="both"/>
        <w:rPr>
          <w:rFonts w:ascii="Arial" w:hAnsi="Arial" w:cs="Arial"/>
          <w:sz w:val="24"/>
          <w:szCs w:val="24"/>
        </w:rPr>
      </w:pPr>
      <w:r w:rsidRPr="000D7E17">
        <w:rPr>
          <w:rFonts w:ascii="Arial" w:hAnsi="Arial" w:cs="Arial"/>
          <w:sz w:val="24"/>
          <w:szCs w:val="24"/>
        </w:rPr>
        <w:t>To pioneers such as Tesla, technological superiority is a crucial aspect of differentiation and first-mover advantage. To followers such as BYD, scalability and competitiveness are guaranteed through the use of the adaptive innovation and cost leadership strategies (</w:t>
      </w:r>
      <w:proofErr w:type="spellStart"/>
      <w:r w:rsidRPr="000D7E17">
        <w:rPr>
          <w:rFonts w:ascii="Arial" w:hAnsi="Arial" w:cs="Arial"/>
          <w:sz w:val="24"/>
          <w:szCs w:val="24"/>
        </w:rPr>
        <w:t>Higueras</w:t>
      </w:r>
      <w:proofErr w:type="spellEnd"/>
      <w:r w:rsidRPr="000D7E17">
        <w:rPr>
          <w:rFonts w:ascii="Arial" w:hAnsi="Arial" w:cs="Arial"/>
          <w:sz w:val="24"/>
          <w:szCs w:val="24"/>
        </w:rPr>
        <w:t xml:space="preserve">-Castillo et al., 2023). Both have to match technological strategy and marketing communication to emphasize on value creation and sustainability benefits. </w:t>
      </w:r>
    </w:p>
    <w:p w14:paraId="2B7CD2CD" w14:textId="77777777" w:rsidR="00BC5758" w:rsidRPr="000D7E17" w:rsidRDefault="00BC5758" w:rsidP="00E81158">
      <w:pPr>
        <w:spacing w:line="360" w:lineRule="auto"/>
        <w:jc w:val="both"/>
        <w:rPr>
          <w:rFonts w:ascii="Arial" w:hAnsi="Arial" w:cs="Arial"/>
          <w:sz w:val="24"/>
          <w:szCs w:val="24"/>
        </w:rPr>
      </w:pPr>
    </w:p>
    <w:p w14:paraId="4889AEC1" w14:textId="3C0A2C62" w:rsidR="00E81158" w:rsidRPr="000D7E17" w:rsidRDefault="008B50FD" w:rsidP="008B50FD">
      <w:pPr>
        <w:pStyle w:val="Heading3"/>
        <w:rPr>
          <w:rFonts w:ascii="Arial" w:hAnsi="Arial" w:cs="Arial"/>
        </w:rPr>
      </w:pPr>
      <w:bookmarkStart w:id="6" w:name="_Toc214457912"/>
      <w:r w:rsidRPr="000D7E17">
        <w:rPr>
          <w:rFonts w:ascii="Arial" w:hAnsi="Arial" w:cs="Arial"/>
        </w:rPr>
        <w:lastRenderedPageBreak/>
        <w:t>2.3.</w:t>
      </w:r>
      <w:r w:rsidR="00E81158" w:rsidRPr="000D7E17">
        <w:rPr>
          <w:rFonts w:ascii="Arial" w:hAnsi="Arial" w:cs="Arial"/>
        </w:rPr>
        <w:t>2 Environmental Factors</w:t>
      </w:r>
      <w:bookmarkEnd w:id="6"/>
    </w:p>
    <w:p w14:paraId="65020DE5" w14:textId="77777777" w:rsidR="00E81158" w:rsidRPr="000D7E17" w:rsidRDefault="00E81158" w:rsidP="00E81158">
      <w:pPr>
        <w:spacing w:line="360" w:lineRule="auto"/>
        <w:jc w:val="both"/>
        <w:rPr>
          <w:rFonts w:ascii="Arial" w:hAnsi="Arial" w:cs="Arial"/>
          <w:sz w:val="24"/>
          <w:szCs w:val="24"/>
        </w:rPr>
      </w:pPr>
      <w:r w:rsidRPr="000D7E17">
        <w:rPr>
          <w:rFonts w:ascii="Arial" w:hAnsi="Arial" w:cs="Arial"/>
          <w:sz w:val="24"/>
          <w:szCs w:val="24"/>
        </w:rPr>
        <w:t xml:space="preserve">The consumer demand and the global policy are influenced by the environmental dynamics, especially the climate change and environmental sustainability, which have a direct impact on EV market strategies. </w:t>
      </w:r>
    </w:p>
    <w:p w14:paraId="7E4D13A6" w14:textId="77777777" w:rsidR="009C5140" w:rsidRDefault="00E81158" w:rsidP="009C5140">
      <w:pPr>
        <w:spacing w:after="0" w:line="360" w:lineRule="auto"/>
        <w:jc w:val="both"/>
        <w:rPr>
          <w:rFonts w:ascii="Arial" w:hAnsi="Arial" w:cs="Arial"/>
          <w:b/>
          <w:bCs/>
          <w:sz w:val="24"/>
          <w:szCs w:val="24"/>
        </w:rPr>
      </w:pPr>
      <w:r w:rsidRPr="000D7E17">
        <w:rPr>
          <w:rFonts w:ascii="Arial" w:hAnsi="Arial" w:cs="Arial"/>
          <w:b/>
          <w:bCs/>
          <w:sz w:val="24"/>
          <w:szCs w:val="24"/>
        </w:rPr>
        <w:t>Impact on Tesla (Pioneer):</w:t>
      </w:r>
      <w:r w:rsidR="0054356D" w:rsidRPr="000D7E17">
        <w:rPr>
          <w:rFonts w:ascii="Arial" w:hAnsi="Arial" w:cs="Arial"/>
          <w:b/>
          <w:bCs/>
          <w:sz w:val="24"/>
          <w:szCs w:val="24"/>
        </w:rPr>
        <w:t xml:space="preserve"> </w:t>
      </w:r>
    </w:p>
    <w:p w14:paraId="05540434" w14:textId="2E2FE410" w:rsidR="00E81158" w:rsidRDefault="00E81158" w:rsidP="009C5140">
      <w:pPr>
        <w:spacing w:after="0" w:line="360" w:lineRule="auto"/>
        <w:jc w:val="both"/>
        <w:rPr>
          <w:rFonts w:ascii="Arial" w:hAnsi="Arial" w:cs="Arial"/>
          <w:sz w:val="24"/>
          <w:szCs w:val="24"/>
        </w:rPr>
      </w:pPr>
      <w:r w:rsidRPr="000D7E17">
        <w:rPr>
          <w:rFonts w:ascii="Arial" w:hAnsi="Arial" w:cs="Arial"/>
          <w:sz w:val="24"/>
          <w:szCs w:val="24"/>
        </w:rPr>
        <w:t>The company has a mission statement, which is to hasten the process of the world switching to sustainable energy, and it depicts that Tesla is highly tied to environmental requirements. The increasing environmental awareness has helped the company to develop a brand that is associated with zero-emission creativity (</w:t>
      </w:r>
      <w:proofErr w:type="spellStart"/>
      <w:r w:rsidRPr="000D7E17">
        <w:rPr>
          <w:rFonts w:ascii="Arial" w:hAnsi="Arial" w:cs="Arial"/>
          <w:sz w:val="24"/>
          <w:szCs w:val="24"/>
        </w:rPr>
        <w:t>Higueras</w:t>
      </w:r>
      <w:proofErr w:type="spellEnd"/>
      <w:r w:rsidRPr="000D7E17">
        <w:rPr>
          <w:rFonts w:ascii="Arial" w:hAnsi="Arial" w:cs="Arial"/>
          <w:sz w:val="24"/>
          <w:szCs w:val="24"/>
        </w:rPr>
        <w:t>-Castillo et al., 2023). Gigafactories of Tesla use renewable energy and various programs of the circular economy, including battery recycling. This positioning by the environment boosts brand equity and helps Tesla to promote its marketing message of environmental care</w:t>
      </w:r>
    </w:p>
    <w:p w14:paraId="0B80E15A" w14:textId="77777777" w:rsidR="009C5140" w:rsidRPr="000D7E17" w:rsidRDefault="009C5140" w:rsidP="009C5140">
      <w:pPr>
        <w:spacing w:after="0" w:line="360" w:lineRule="auto"/>
        <w:jc w:val="both"/>
        <w:rPr>
          <w:rFonts w:ascii="Arial" w:hAnsi="Arial" w:cs="Arial"/>
          <w:sz w:val="24"/>
          <w:szCs w:val="24"/>
        </w:rPr>
      </w:pPr>
    </w:p>
    <w:p w14:paraId="664088EB" w14:textId="77777777" w:rsidR="009C5140" w:rsidRDefault="00E81158" w:rsidP="009C5140">
      <w:pPr>
        <w:spacing w:after="0" w:line="360" w:lineRule="auto"/>
        <w:jc w:val="both"/>
        <w:rPr>
          <w:rFonts w:ascii="Arial" w:hAnsi="Arial" w:cs="Arial"/>
          <w:b/>
          <w:bCs/>
          <w:sz w:val="24"/>
          <w:szCs w:val="24"/>
        </w:rPr>
      </w:pPr>
      <w:r w:rsidRPr="000D7E17">
        <w:rPr>
          <w:rFonts w:ascii="Arial" w:hAnsi="Arial" w:cs="Arial"/>
          <w:b/>
          <w:bCs/>
          <w:sz w:val="24"/>
          <w:szCs w:val="24"/>
        </w:rPr>
        <w:t>Impact on BYD (Follower):</w:t>
      </w:r>
      <w:r w:rsidR="0054356D" w:rsidRPr="000D7E17">
        <w:rPr>
          <w:rFonts w:ascii="Arial" w:hAnsi="Arial" w:cs="Arial"/>
          <w:b/>
          <w:bCs/>
          <w:sz w:val="24"/>
          <w:szCs w:val="24"/>
        </w:rPr>
        <w:t xml:space="preserve"> </w:t>
      </w:r>
    </w:p>
    <w:p w14:paraId="30F1D1E1" w14:textId="6A51FC14" w:rsidR="00E81158" w:rsidRDefault="00E81158" w:rsidP="009C5140">
      <w:pPr>
        <w:spacing w:after="0" w:line="360" w:lineRule="auto"/>
        <w:jc w:val="both"/>
        <w:rPr>
          <w:rFonts w:ascii="Arial" w:hAnsi="Arial" w:cs="Arial"/>
          <w:sz w:val="24"/>
          <w:szCs w:val="24"/>
        </w:rPr>
      </w:pPr>
      <w:r w:rsidRPr="000D7E17">
        <w:rPr>
          <w:rFonts w:ascii="Arial" w:hAnsi="Arial" w:cs="Arial"/>
          <w:sz w:val="24"/>
          <w:szCs w:val="24"/>
        </w:rPr>
        <w:t>BYD has also acted in response to environmental pressures by manufacturing electric buses in large quantities, as well as affordable passenger EVs, to appeals to mass markets with lower emissions per vehicle. Its combination of three aspects of battery supply chain and renewable energy generation (solar and storage systems) proves the holistic sustainability strategy (</w:t>
      </w:r>
      <w:proofErr w:type="spellStart"/>
      <w:r w:rsidRPr="000D7E17">
        <w:rPr>
          <w:rFonts w:ascii="Arial" w:hAnsi="Arial" w:cs="Arial"/>
          <w:sz w:val="24"/>
          <w:szCs w:val="24"/>
        </w:rPr>
        <w:t>Higueras</w:t>
      </w:r>
      <w:proofErr w:type="spellEnd"/>
      <w:r w:rsidRPr="000D7E17">
        <w:rPr>
          <w:rFonts w:ascii="Arial" w:hAnsi="Arial" w:cs="Arial"/>
          <w:sz w:val="24"/>
          <w:szCs w:val="24"/>
        </w:rPr>
        <w:t xml:space="preserve">-Castillo et al., 2023). However, BYD has to deal with environmental scrutiny in other parts of the world that are not that strict on environmental regulation and improve on global transparency to improve its environmental image. </w:t>
      </w:r>
    </w:p>
    <w:p w14:paraId="7ADAD470" w14:textId="77777777" w:rsidR="009C5140" w:rsidRPr="000D7E17" w:rsidRDefault="009C5140" w:rsidP="009C5140">
      <w:pPr>
        <w:spacing w:after="0" w:line="360" w:lineRule="auto"/>
        <w:jc w:val="both"/>
        <w:rPr>
          <w:rFonts w:ascii="Arial" w:hAnsi="Arial" w:cs="Arial"/>
          <w:sz w:val="24"/>
          <w:szCs w:val="24"/>
        </w:rPr>
      </w:pPr>
    </w:p>
    <w:p w14:paraId="0F502C3C" w14:textId="77777777" w:rsidR="009C5140" w:rsidRDefault="00E81158" w:rsidP="009C5140">
      <w:pPr>
        <w:spacing w:after="0" w:line="360" w:lineRule="auto"/>
        <w:jc w:val="both"/>
        <w:rPr>
          <w:rFonts w:ascii="Arial" w:hAnsi="Arial" w:cs="Arial"/>
          <w:b/>
          <w:bCs/>
          <w:sz w:val="24"/>
          <w:szCs w:val="24"/>
        </w:rPr>
      </w:pPr>
      <w:r w:rsidRPr="000D7E17">
        <w:rPr>
          <w:rFonts w:ascii="Arial" w:hAnsi="Arial" w:cs="Arial"/>
          <w:b/>
          <w:bCs/>
          <w:sz w:val="24"/>
          <w:szCs w:val="24"/>
        </w:rPr>
        <w:t>Opportunities and Threats:</w:t>
      </w:r>
      <w:r w:rsidR="0046321E" w:rsidRPr="000D7E17">
        <w:rPr>
          <w:rFonts w:ascii="Arial" w:hAnsi="Arial" w:cs="Arial"/>
          <w:b/>
          <w:bCs/>
          <w:sz w:val="24"/>
          <w:szCs w:val="24"/>
        </w:rPr>
        <w:t xml:space="preserve"> </w:t>
      </w:r>
    </w:p>
    <w:p w14:paraId="459BE086" w14:textId="3814C180" w:rsidR="00E81158" w:rsidRDefault="00E81158" w:rsidP="009C5140">
      <w:pPr>
        <w:spacing w:after="0" w:line="360" w:lineRule="auto"/>
        <w:jc w:val="both"/>
        <w:rPr>
          <w:rFonts w:ascii="Arial" w:hAnsi="Arial" w:cs="Arial"/>
          <w:sz w:val="24"/>
          <w:szCs w:val="24"/>
        </w:rPr>
      </w:pPr>
      <w:r w:rsidRPr="000D7E17">
        <w:rPr>
          <w:rFonts w:ascii="Arial" w:hAnsi="Arial" w:cs="Arial"/>
          <w:sz w:val="24"/>
          <w:szCs w:val="24"/>
        </w:rPr>
        <w:t xml:space="preserve">The international trend towards being carbon neutral presents immense expansion opportunities to EV manufacturers. Tax rebates, subsidies, and infrastructure investments are all offered by governments across the world to promote the use of EVs (Hull et al., 2024). Nevertheless, environmental policy is also a threat since companies have to adhere to the changing requirements on battery disposal, resource extraction, and lifecycle emissions. </w:t>
      </w:r>
    </w:p>
    <w:p w14:paraId="5B0B4300" w14:textId="77777777" w:rsidR="009C5140" w:rsidRDefault="009C5140" w:rsidP="009C5140">
      <w:pPr>
        <w:spacing w:after="0" w:line="360" w:lineRule="auto"/>
        <w:jc w:val="both"/>
        <w:rPr>
          <w:rFonts w:ascii="Arial" w:hAnsi="Arial" w:cs="Arial"/>
          <w:sz w:val="24"/>
          <w:szCs w:val="24"/>
        </w:rPr>
      </w:pPr>
    </w:p>
    <w:p w14:paraId="4442EE61" w14:textId="77777777" w:rsidR="009C5140" w:rsidRPr="000D7E17" w:rsidRDefault="009C5140" w:rsidP="009C5140">
      <w:pPr>
        <w:spacing w:after="0" w:line="360" w:lineRule="auto"/>
        <w:jc w:val="both"/>
        <w:rPr>
          <w:rFonts w:ascii="Arial" w:hAnsi="Arial" w:cs="Arial"/>
          <w:sz w:val="24"/>
          <w:szCs w:val="24"/>
        </w:rPr>
      </w:pPr>
    </w:p>
    <w:p w14:paraId="2527E28F" w14:textId="77777777" w:rsidR="009C5140" w:rsidRDefault="00E81158" w:rsidP="009C5140">
      <w:pPr>
        <w:spacing w:after="0" w:line="360" w:lineRule="auto"/>
        <w:jc w:val="both"/>
        <w:rPr>
          <w:rFonts w:ascii="Arial" w:hAnsi="Arial" w:cs="Arial"/>
          <w:b/>
          <w:bCs/>
          <w:sz w:val="24"/>
          <w:szCs w:val="24"/>
        </w:rPr>
      </w:pPr>
      <w:r w:rsidRPr="000D7E17">
        <w:rPr>
          <w:rFonts w:ascii="Arial" w:hAnsi="Arial" w:cs="Arial"/>
          <w:b/>
          <w:bCs/>
          <w:sz w:val="24"/>
          <w:szCs w:val="24"/>
        </w:rPr>
        <w:lastRenderedPageBreak/>
        <w:t>Strategic Implications:</w:t>
      </w:r>
      <w:r w:rsidR="00351E3A" w:rsidRPr="000D7E17">
        <w:rPr>
          <w:rFonts w:ascii="Arial" w:hAnsi="Arial" w:cs="Arial"/>
          <w:b/>
          <w:bCs/>
          <w:sz w:val="24"/>
          <w:szCs w:val="24"/>
        </w:rPr>
        <w:t xml:space="preserve"> </w:t>
      </w:r>
    </w:p>
    <w:p w14:paraId="3395E85B" w14:textId="5A1650D5" w:rsidR="00E81158" w:rsidRPr="000D7E17" w:rsidRDefault="00E81158" w:rsidP="009C5140">
      <w:pPr>
        <w:spacing w:after="0" w:line="360" w:lineRule="auto"/>
        <w:jc w:val="both"/>
        <w:rPr>
          <w:rFonts w:ascii="Arial" w:hAnsi="Arial" w:cs="Arial"/>
          <w:sz w:val="24"/>
          <w:szCs w:val="24"/>
        </w:rPr>
      </w:pPr>
      <w:r w:rsidRPr="000D7E17">
        <w:rPr>
          <w:rFonts w:ascii="Arial" w:hAnsi="Arial" w:cs="Arial"/>
          <w:sz w:val="24"/>
          <w:szCs w:val="24"/>
        </w:rPr>
        <w:t xml:space="preserve">In the case of Tesla, environmental leadership supplements premium positioning and influence of the global market. In the case of BYD, prioritising low prices and geographical sustainability projects contribute to the increase of volume and competitive stability (Hull et al., 2024). The two organisations need to incorporate environmental marketing in their strategic plans, which conforms to the trends of a green brand and consumer behaviour in the name of sustainability. </w:t>
      </w:r>
    </w:p>
    <w:p w14:paraId="18FFA7D4" w14:textId="77777777" w:rsidR="00E81158" w:rsidRPr="00C8173C" w:rsidRDefault="00E81158" w:rsidP="00E81158">
      <w:pPr>
        <w:pStyle w:val="Heading1"/>
        <w:spacing w:line="360" w:lineRule="auto"/>
        <w:jc w:val="both"/>
        <w:rPr>
          <w:rFonts w:ascii="Arial" w:hAnsi="Arial" w:cs="Arial"/>
          <w:b/>
          <w:bCs/>
          <w:szCs w:val="40"/>
        </w:rPr>
      </w:pPr>
      <w:bookmarkStart w:id="7" w:name="_Toc214457913"/>
      <w:r w:rsidRPr="00C8173C">
        <w:rPr>
          <w:rFonts w:ascii="Arial" w:hAnsi="Arial" w:cs="Arial"/>
          <w:b/>
          <w:bCs/>
          <w:szCs w:val="40"/>
        </w:rPr>
        <w:t>3. Task 2: Strategic Responses of Pioneering and Follower Organisations</w:t>
      </w:r>
      <w:bookmarkEnd w:id="7"/>
    </w:p>
    <w:p w14:paraId="22D62F68" w14:textId="77777777" w:rsidR="00E81158" w:rsidRPr="000D7E17" w:rsidRDefault="00E81158" w:rsidP="00E81158">
      <w:pPr>
        <w:spacing w:line="360" w:lineRule="auto"/>
        <w:jc w:val="both"/>
        <w:rPr>
          <w:rFonts w:ascii="Arial" w:hAnsi="Arial" w:cs="Arial"/>
          <w:sz w:val="24"/>
          <w:szCs w:val="24"/>
        </w:rPr>
      </w:pPr>
      <w:r w:rsidRPr="000D7E17">
        <w:rPr>
          <w:rFonts w:ascii="Arial" w:hAnsi="Arial" w:cs="Arial"/>
          <w:sz w:val="24"/>
          <w:szCs w:val="24"/>
        </w:rPr>
        <w:t xml:space="preserve">The Electric Vehicle (EV) market is marked with the fast pace of innovations, a high level of rivalry, and never-ending technical development. In this dynamic environment, organisations use various strategic strategies as pioneers or followers. Innovation Tesla is a pioneer introducing breakthrough innovation and sets the consumer expectations, and as the innovations are refined, other players, including BYD, become followers (Ivanova and Moreira, 2023). This is because with the help of models such as Ansoff Growth Matrix and Porters Generic Strategies, one can understand their strategic reactions in order to know how each of them has been able to stay competitive in the face of external threats and opportunities. </w:t>
      </w:r>
    </w:p>
    <w:p w14:paraId="0DE575E3" w14:textId="77777777" w:rsidR="00E81158" w:rsidRPr="000D7E17" w:rsidRDefault="00E81158" w:rsidP="00E81158">
      <w:pPr>
        <w:pStyle w:val="Heading2"/>
        <w:spacing w:line="360" w:lineRule="auto"/>
        <w:jc w:val="both"/>
        <w:rPr>
          <w:rFonts w:ascii="Arial" w:hAnsi="Arial" w:cs="Arial"/>
          <w:b/>
          <w:szCs w:val="32"/>
        </w:rPr>
      </w:pPr>
      <w:bookmarkStart w:id="8" w:name="_Toc214457914"/>
      <w:r w:rsidRPr="000D7E17">
        <w:rPr>
          <w:rFonts w:ascii="Arial" w:hAnsi="Arial" w:cs="Arial"/>
          <w:szCs w:val="32"/>
        </w:rPr>
        <w:t>3.1 Pioneering Organisations’ Strategic Responses</w:t>
      </w:r>
      <w:bookmarkEnd w:id="8"/>
    </w:p>
    <w:p w14:paraId="36E8356B" w14:textId="77777777" w:rsidR="00E81158" w:rsidRPr="000D7E17" w:rsidRDefault="00E81158" w:rsidP="00E81158">
      <w:pPr>
        <w:spacing w:line="360" w:lineRule="auto"/>
        <w:jc w:val="both"/>
        <w:rPr>
          <w:rFonts w:ascii="Arial" w:hAnsi="Arial" w:cs="Arial"/>
          <w:sz w:val="24"/>
          <w:szCs w:val="24"/>
        </w:rPr>
      </w:pPr>
      <w:r w:rsidRPr="000D7E17">
        <w:rPr>
          <w:rFonts w:ascii="Arial" w:hAnsi="Arial" w:cs="Arial"/>
          <w:sz w:val="24"/>
          <w:szCs w:val="24"/>
        </w:rPr>
        <w:t>Pioneering organisations refer to organisations that present innovations, technology or ideas that change the way things are done in industries and establish new competitive standards. Tesla is the quintessential company in the Electric Vehicle (EV) sector, which has transformed the world car markets by being innovative, a brand and a sustainability leader (Ivanova and Moreira, 2023).</w:t>
      </w:r>
    </w:p>
    <w:p w14:paraId="05562D4E" w14:textId="77777777" w:rsidR="00E81158" w:rsidRPr="000D7E17" w:rsidRDefault="00E81158" w:rsidP="00A43A5E">
      <w:pPr>
        <w:spacing w:after="0" w:line="360" w:lineRule="auto"/>
        <w:jc w:val="both"/>
        <w:rPr>
          <w:rFonts w:ascii="Arial" w:hAnsi="Arial" w:cs="Arial"/>
          <w:b/>
          <w:bCs/>
          <w:sz w:val="24"/>
          <w:szCs w:val="24"/>
        </w:rPr>
      </w:pPr>
      <w:r w:rsidRPr="000D7E17">
        <w:rPr>
          <w:rFonts w:ascii="Arial" w:hAnsi="Arial" w:cs="Arial"/>
          <w:b/>
          <w:bCs/>
          <w:sz w:val="24"/>
          <w:szCs w:val="24"/>
        </w:rPr>
        <w:t>Responding to External Challenges and Opportunities</w:t>
      </w:r>
    </w:p>
    <w:p w14:paraId="5614BE3C" w14:textId="77777777" w:rsidR="00E81158" w:rsidRDefault="00E81158" w:rsidP="00A43A5E">
      <w:pPr>
        <w:spacing w:after="0" w:line="360" w:lineRule="auto"/>
        <w:jc w:val="both"/>
        <w:rPr>
          <w:rFonts w:ascii="Arial" w:hAnsi="Arial" w:cs="Arial"/>
          <w:sz w:val="24"/>
          <w:szCs w:val="24"/>
        </w:rPr>
      </w:pPr>
      <w:r w:rsidRPr="000D7E17">
        <w:rPr>
          <w:rFonts w:ascii="Arial" w:hAnsi="Arial" w:cs="Arial"/>
          <w:sz w:val="24"/>
          <w:szCs w:val="24"/>
        </w:rPr>
        <w:t xml:space="preserve">Pioneers are exposed to serious outside pressures, among them technological uncertainty, heavy capital investment and changing regulations. Nevertheless, these challenges also offer the opportunities of innovations and differentiation (Ivanova and Moreira, 2023). The strategic reaction to such external pressures of Tesla, particularly to technological and environmental ones, was to market itself as a sustainable mobility </w:t>
      </w:r>
      <w:r w:rsidRPr="000D7E17">
        <w:rPr>
          <w:rFonts w:ascii="Arial" w:hAnsi="Arial" w:cs="Arial"/>
          <w:sz w:val="24"/>
          <w:szCs w:val="24"/>
        </w:rPr>
        <w:lastRenderedPageBreak/>
        <w:t>leader. It has ever-going research and development (R&amp;D) to create more efficient batteries, longer range cars, and lower manufacturing prices. Also, the international environmental policies that encourage carbon neutrality have given Tesla an advantage in the market (</w:t>
      </w:r>
      <w:proofErr w:type="spellStart"/>
      <w:r w:rsidRPr="000D7E17">
        <w:rPr>
          <w:rFonts w:ascii="Arial" w:hAnsi="Arial" w:cs="Arial"/>
          <w:sz w:val="24"/>
          <w:szCs w:val="24"/>
        </w:rPr>
        <w:t>Jagani</w:t>
      </w:r>
      <w:proofErr w:type="spellEnd"/>
      <w:r w:rsidRPr="000D7E17">
        <w:rPr>
          <w:rFonts w:ascii="Arial" w:hAnsi="Arial" w:cs="Arial"/>
          <w:sz w:val="24"/>
          <w:szCs w:val="24"/>
        </w:rPr>
        <w:t xml:space="preserve">, </w:t>
      </w:r>
      <w:proofErr w:type="spellStart"/>
      <w:r w:rsidRPr="000D7E17">
        <w:rPr>
          <w:rFonts w:ascii="Arial" w:hAnsi="Arial" w:cs="Arial"/>
          <w:sz w:val="24"/>
          <w:szCs w:val="24"/>
        </w:rPr>
        <w:t>Marsillac</w:t>
      </w:r>
      <w:proofErr w:type="spellEnd"/>
      <w:r w:rsidRPr="000D7E17">
        <w:rPr>
          <w:rFonts w:ascii="Arial" w:hAnsi="Arial" w:cs="Arial"/>
          <w:sz w:val="24"/>
          <w:szCs w:val="24"/>
        </w:rPr>
        <w:t xml:space="preserve"> and Hong, 2024). </w:t>
      </w:r>
    </w:p>
    <w:p w14:paraId="16BFBBF7" w14:textId="77777777" w:rsidR="00A43A5E" w:rsidRPr="000D7E17" w:rsidRDefault="00A43A5E" w:rsidP="00A43A5E">
      <w:pPr>
        <w:spacing w:after="0" w:line="360" w:lineRule="auto"/>
        <w:jc w:val="both"/>
        <w:rPr>
          <w:rFonts w:ascii="Arial" w:hAnsi="Arial" w:cs="Arial"/>
          <w:sz w:val="24"/>
          <w:szCs w:val="24"/>
        </w:rPr>
      </w:pPr>
    </w:p>
    <w:p w14:paraId="74D2E6C6" w14:textId="1ED9992C" w:rsidR="00E81158" w:rsidRPr="000D7E17" w:rsidRDefault="00A1435A" w:rsidP="00ED1D74">
      <w:pPr>
        <w:pStyle w:val="Heading3"/>
        <w:rPr>
          <w:rFonts w:ascii="Arial" w:hAnsi="Arial" w:cs="Arial"/>
        </w:rPr>
      </w:pPr>
      <w:bookmarkStart w:id="9" w:name="_Toc214457915"/>
      <w:r w:rsidRPr="000D7E17">
        <w:rPr>
          <w:rFonts w:ascii="Arial" w:hAnsi="Arial" w:cs="Arial"/>
        </w:rPr>
        <w:t xml:space="preserve">3.1.1 </w:t>
      </w:r>
      <w:r w:rsidR="00E81158" w:rsidRPr="000D7E17">
        <w:rPr>
          <w:rFonts w:ascii="Arial" w:hAnsi="Arial" w:cs="Arial"/>
        </w:rPr>
        <w:t>Application of Ansoff’s Growth Matrix</w:t>
      </w:r>
      <w:bookmarkEnd w:id="9"/>
    </w:p>
    <w:p w14:paraId="59EC381C" w14:textId="77777777" w:rsidR="00E81158" w:rsidRPr="000D7E17" w:rsidRDefault="00E81158" w:rsidP="00922990">
      <w:pPr>
        <w:spacing w:after="0" w:line="360" w:lineRule="auto"/>
        <w:jc w:val="center"/>
        <w:rPr>
          <w:rFonts w:ascii="Arial" w:hAnsi="Arial" w:cs="Arial"/>
          <w:sz w:val="24"/>
          <w:szCs w:val="24"/>
        </w:rPr>
      </w:pPr>
      <w:r w:rsidRPr="000D7E17">
        <w:rPr>
          <w:rFonts w:ascii="Arial" w:hAnsi="Arial" w:cs="Arial"/>
          <w:noProof/>
          <w:sz w:val="24"/>
          <w:szCs w:val="24"/>
        </w:rPr>
        <w:drawing>
          <wp:inline distT="0" distB="0" distL="0" distR="0" wp14:anchorId="3FFA7968" wp14:editId="690AE72F">
            <wp:extent cx="4951883" cy="3325091"/>
            <wp:effectExtent l="0" t="0" r="1270" b="8890"/>
            <wp:docPr id="1030847468" name="Picture 3" descr="What Is The Ansoff Matrix: Definition, Steps &amp;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hat Is The Ansoff Matrix: Definition, Steps &amp; Examples"/>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8433" r="8106" b="4288"/>
                    <a:stretch>
                      <a:fillRect/>
                    </a:stretch>
                  </pic:blipFill>
                  <pic:spPr bwMode="auto">
                    <a:xfrm>
                      <a:off x="0" y="0"/>
                      <a:ext cx="5071879" cy="3405666"/>
                    </a:xfrm>
                    <a:prstGeom prst="rect">
                      <a:avLst/>
                    </a:prstGeom>
                    <a:noFill/>
                    <a:ln>
                      <a:noFill/>
                    </a:ln>
                    <a:extLst>
                      <a:ext uri="{53640926-AAD7-44D8-BBD7-CCE9431645EC}">
                        <a14:shadowObscured xmlns:a14="http://schemas.microsoft.com/office/drawing/2010/main"/>
                      </a:ext>
                    </a:extLst>
                  </pic:spPr>
                </pic:pic>
              </a:graphicData>
            </a:graphic>
          </wp:inline>
        </w:drawing>
      </w:r>
    </w:p>
    <w:p w14:paraId="56315F84" w14:textId="77777777" w:rsidR="00E81158" w:rsidRPr="000D7E17" w:rsidRDefault="00E81158" w:rsidP="00922990">
      <w:pPr>
        <w:spacing w:after="0" w:line="360" w:lineRule="auto"/>
        <w:jc w:val="center"/>
        <w:rPr>
          <w:rFonts w:ascii="Arial" w:hAnsi="Arial" w:cs="Arial"/>
          <w:b/>
          <w:bCs/>
          <w:sz w:val="24"/>
          <w:szCs w:val="24"/>
        </w:rPr>
      </w:pPr>
      <w:r w:rsidRPr="000D7E17">
        <w:rPr>
          <w:rFonts w:ascii="Arial" w:hAnsi="Arial" w:cs="Arial"/>
          <w:b/>
          <w:bCs/>
          <w:sz w:val="24"/>
          <w:szCs w:val="24"/>
        </w:rPr>
        <w:t>Figure</w:t>
      </w:r>
      <w:r w:rsidRPr="000D7E17">
        <w:rPr>
          <w:rFonts w:ascii="Arial" w:hAnsi="Arial" w:cs="Arial"/>
          <w:sz w:val="24"/>
          <w:szCs w:val="24"/>
        </w:rPr>
        <w:t>: Application of Ansoff’s Growth Matrix</w:t>
      </w:r>
    </w:p>
    <w:p w14:paraId="3F2A2086" w14:textId="77777777" w:rsidR="00E81158" w:rsidRDefault="00E81158" w:rsidP="00922990">
      <w:pPr>
        <w:spacing w:after="0" w:line="360" w:lineRule="auto"/>
        <w:jc w:val="center"/>
        <w:rPr>
          <w:rFonts w:ascii="Arial" w:hAnsi="Arial" w:cs="Arial"/>
          <w:sz w:val="24"/>
          <w:szCs w:val="24"/>
        </w:rPr>
      </w:pPr>
      <w:r w:rsidRPr="000D7E17">
        <w:rPr>
          <w:rFonts w:ascii="Arial" w:hAnsi="Arial" w:cs="Arial"/>
          <w:b/>
          <w:bCs/>
          <w:sz w:val="24"/>
          <w:szCs w:val="24"/>
        </w:rPr>
        <w:t>Source</w:t>
      </w:r>
      <w:r w:rsidRPr="000D7E17">
        <w:rPr>
          <w:rFonts w:ascii="Arial" w:hAnsi="Arial" w:cs="Arial"/>
          <w:sz w:val="24"/>
          <w:szCs w:val="24"/>
        </w:rPr>
        <w:t>: (</w:t>
      </w:r>
      <w:proofErr w:type="spellStart"/>
      <w:r w:rsidRPr="000D7E17">
        <w:rPr>
          <w:rFonts w:ascii="Arial" w:hAnsi="Arial" w:cs="Arial"/>
          <w:sz w:val="24"/>
          <w:szCs w:val="24"/>
        </w:rPr>
        <w:t>Jagani</w:t>
      </w:r>
      <w:proofErr w:type="spellEnd"/>
      <w:r w:rsidRPr="000D7E17">
        <w:rPr>
          <w:rFonts w:ascii="Arial" w:hAnsi="Arial" w:cs="Arial"/>
          <w:sz w:val="24"/>
          <w:szCs w:val="24"/>
        </w:rPr>
        <w:t xml:space="preserve">, </w:t>
      </w:r>
      <w:proofErr w:type="spellStart"/>
      <w:r w:rsidRPr="000D7E17">
        <w:rPr>
          <w:rFonts w:ascii="Arial" w:hAnsi="Arial" w:cs="Arial"/>
          <w:sz w:val="24"/>
          <w:szCs w:val="24"/>
        </w:rPr>
        <w:t>Marsillac</w:t>
      </w:r>
      <w:proofErr w:type="spellEnd"/>
      <w:r w:rsidRPr="000D7E17">
        <w:rPr>
          <w:rFonts w:ascii="Arial" w:hAnsi="Arial" w:cs="Arial"/>
          <w:sz w:val="24"/>
          <w:szCs w:val="24"/>
        </w:rPr>
        <w:t xml:space="preserve"> and Hong, 2024)</w:t>
      </w:r>
    </w:p>
    <w:p w14:paraId="57192340" w14:textId="77777777" w:rsidR="003920C2" w:rsidRPr="000D7E17" w:rsidRDefault="003920C2" w:rsidP="00922990">
      <w:pPr>
        <w:spacing w:after="0" w:line="360" w:lineRule="auto"/>
        <w:jc w:val="center"/>
        <w:rPr>
          <w:rFonts w:ascii="Arial" w:hAnsi="Arial" w:cs="Arial"/>
          <w:sz w:val="24"/>
          <w:szCs w:val="24"/>
        </w:rPr>
      </w:pPr>
    </w:p>
    <w:p w14:paraId="4E2E78CA" w14:textId="6BAA8E29" w:rsidR="00E81158" w:rsidRPr="000D7E17" w:rsidRDefault="00E81158" w:rsidP="00E81158">
      <w:pPr>
        <w:spacing w:line="360" w:lineRule="auto"/>
        <w:jc w:val="both"/>
        <w:rPr>
          <w:rFonts w:ascii="Arial" w:hAnsi="Arial" w:cs="Arial"/>
          <w:sz w:val="24"/>
          <w:szCs w:val="24"/>
        </w:rPr>
      </w:pPr>
      <w:r w:rsidRPr="000D7E17">
        <w:rPr>
          <w:rFonts w:ascii="Arial" w:hAnsi="Arial" w:cs="Arial"/>
          <w:sz w:val="24"/>
          <w:szCs w:val="24"/>
        </w:rPr>
        <w:t xml:space="preserve">Based on the Growth Matrix of Ansoff, Tesla focuses mainly on product development and market development strategies. It is constantly innovating its EV models under product development, including luxury sedans (Model S), to mass-market </w:t>
      </w:r>
      <w:r w:rsidR="006023AD" w:rsidRPr="000D7E17">
        <w:rPr>
          <w:rFonts w:ascii="Arial" w:hAnsi="Arial" w:cs="Arial"/>
          <w:sz w:val="24"/>
          <w:szCs w:val="24"/>
        </w:rPr>
        <w:t xml:space="preserve">cars </w:t>
      </w:r>
      <w:r w:rsidR="006023AD">
        <w:rPr>
          <w:rFonts w:ascii="Arial" w:hAnsi="Arial" w:cs="Arial"/>
          <w:sz w:val="24"/>
          <w:szCs w:val="24"/>
        </w:rPr>
        <w:t>(</w:t>
      </w:r>
      <w:r w:rsidRPr="000D7E17">
        <w:rPr>
          <w:rFonts w:ascii="Arial" w:hAnsi="Arial" w:cs="Arial"/>
          <w:sz w:val="24"/>
          <w:szCs w:val="24"/>
        </w:rPr>
        <w:t xml:space="preserve">Model 3) and futuristic ones such as the </w:t>
      </w:r>
      <w:proofErr w:type="spellStart"/>
      <w:r w:rsidRPr="000D7E17">
        <w:rPr>
          <w:rFonts w:ascii="Arial" w:hAnsi="Arial" w:cs="Arial"/>
          <w:sz w:val="24"/>
          <w:szCs w:val="24"/>
        </w:rPr>
        <w:t>Cybertruck</w:t>
      </w:r>
      <w:proofErr w:type="spellEnd"/>
      <w:r w:rsidRPr="000D7E17">
        <w:rPr>
          <w:rFonts w:ascii="Arial" w:hAnsi="Arial" w:cs="Arial"/>
          <w:sz w:val="24"/>
          <w:szCs w:val="24"/>
        </w:rPr>
        <w:t xml:space="preserve"> (Jagani, </w:t>
      </w:r>
      <w:proofErr w:type="spellStart"/>
      <w:r w:rsidRPr="000D7E17">
        <w:rPr>
          <w:rFonts w:ascii="Arial" w:hAnsi="Arial" w:cs="Arial"/>
          <w:sz w:val="24"/>
          <w:szCs w:val="24"/>
        </w:rPr>
        <w:t>Marsillac</w:t>
      </w:r>
      <w:proofErr w:type="spellEnd"/>
      <w:r w:rsidRPr="000D7E17">
        <w:rPr>
          <w:rFonts w:ascii="Arial" w:hAnsi="Arial" w:cs="Arial"/>
          <w:sz w:val="24"/>
          <w:szCs w:val="24"/>
        </w:rPr>
        <w:t xml:space="preserve"> and Hong, 2024). Such innovations are backed by regular updates of software and self-driving capabilities that make user experience more enjoyable and develop the continuous customer involvement. </w:t>
      </w:r>
    </w:p>
    <w:p w14:paraId="36310D4C" w14:textId="21986EAC" w:rsidR="00A43A5E" w:rsidRPr="000D7E17" w:rsidRDefault="00E81158" w:rsidP="00E81158">
      <w:pPr>
        <w:spacing w:line="360" w:lineRule="auto"/>
        <w:jc w:val="both"/>
        <w:rPr>
          <w:rFonts w:ascii="Arial" w:hAnsi="Arial" w:cs="Arial"/>
          <w:sz w:val="24"/>
          <w:szCs w:val="24"/>
        </w:rPr>
      </w:pPr>
      <w:r w:rsidRPr="000D7E17">
        <w:rPr>
          <w:rFonts w:ascii="Arial" w:hAnsi="Arial" w:cs="Arial"/>
          <w:sz w:val="24"/>
          <w:szCs w:val="24"/>
        </w:rPr>
        <w:t xml:space="preserve">Regarding market development, Tesla is expanding geographically to emerging markets like China and India, harnessing rising government subsidies of electric mobility. It has Gigafactories on continents and this guarantees them efficient </w:t>
      </w:r>
      <w:r w:rsidRPr="000D7E17">
        <w:rPr>
          <w:rFonts w:ascii="Arial" w:hAnsi="Arial" w:cs="Arial"/>
          <w:sz w:val="24"/>
          <w:szCs w:val="24"/>
        </w:rPr>
        <w:lastRenderedPageBreak/>
        <w:t>management of supply chain, local production and responsiveness to the market (</w:t>
      </w:r>
      <w:proofErr w:type="spellStart"/>
      <w:r w:rsidRPr="000D7E17">
        <w:rPr>
          <w:rFonts w:ascii="Arial" w:hAnsi="Arial" w:cs="Arial"/>
          <w:sz w:val="24"/>
          <w:szCs w:val="24"/>
        </w:rPr>
        <w:t>Ryghaug</w:t>
      </w:r>
      <w:proofErr w:type="spellEnd"/>
      <w:r w:rsidRPr="000D7E17">
        <w:rPr>
          <w:rFonts w:ascii="Arial" w:hAnsi="Arial" w:cs="Arial"/>
          <w:sz w:val="24"/>
          <w:szCs w:val="24"/>
        </w:rPr>
        <w:t xml:space="preserve"> and Tomas Moe Skjølsvold, 2023). </w:t>
      </w:r>
    </w:p>
    <w:p w14:paraId="1A11B003" w14:textId="2EBCC403" w:rsidR="00E81158" w:rsidRPr="000D7E17" w:rsidRDefault="00ED1D74" w:rsidP="00AF384E">
      <w:pPr>
        <w:pStyle w:val="Heading3"/>
        <w:rPr>
          <w:rFonts w:ascii="Arial" w:hAnsi="Arial" w:cs="Arial"/>
        </w:rPr>
      </w:pPr>
      <w:bookmarkStart w:id="10" w:name="_Toc214457916"/>
      <w:r w:rsidRPr="000D7E17">
        <w:rPr>
          <w:rFonts w:ascii="Arial" w:hAnsi="Arial" w:cs="Arial"/>
        </w:rPr>
        <w:t xml:space="preserve">3.1.2 </w:t>
      </w:r>
      <w:r w:rsidR="00E81158" w:rsidRPr="000D7E17">
        <w:rPr>
          <w:rFonts w:ascii="Arial" w:hAnsi="Arial" w:cs="Arial"/>
        </w:rPr>
        <w:t>Application of Porter’s Generic Strategies</w:t>
      </w:r>
      <w:bookmarkEnd w:id="10"/>
    </w:p>
    <w:p w14:paraId="339A1166" w14:textId="77777777" w:rsidR="00E81158" w:rsidRPr="000D7E17" w:rsidRDefault="00E81158" w:rsidP="00E81158">
      <w:pPr>
        <w:spacing w:line="360" w:lineRule="auto"/>
        <w:jc w:val="both"/>
        <w:rPr>
          <w:rFonts w:ascii="Arial" w:hAnsi="Arial" w:cs="Arial"/>
          <w:sz w:val="24"/>
          <w:szCs w:val="24"/>
        </w:rPr>
      </w:pPr>
      <w:r w:rsidRPr="000D7E17">
        <w:rPr>
          <w:rFonts w:ascii="Arial" w:hAnsi="Arial" w:cs="Arial"/>
          <w:sz w:val="24"/>
          <w:szCs w:val="24"/>
        </w:rPr>
        <w:t>The approach of Tesla corresponds to the differentiation and focus models of Porter. Tesla stands out because through its high-quality innovation, advanced technology, and unique design, the vehicles stand out of the ordinary automakers (</w:t>
      </w:r>
      <w:proofErr w:type="spellStart"/>
      <w:r w:rsidRPr="000D7E17">
        <w:rPr>
          <w:rFonts w:ascii="Arial" w:hAnsi="Arial" w:cs="Arial"/>
          <w:sz w:val="24"/>
          <w:szCs w:val="24"/>
        </w:rPr>
        <w:t>Ryghaug</w:t>
      </w:r>
      <w:proofErr w:type="spellEnd"/>
      <w:r w:rsidRPr="000D7E17">
        <w:rPr>
          <w:rFonts w:ascii="Arial" w:hAnsi="Arial" w:cs="Arial"/>
          <w:sz w:val="24"/>
          <w:szCs w:val="24"/>
        </w:rPr>
        <w:t xml:space="preserve"> and Tomas Moe Skjølsvold, 2023). The battery manufacturing, software development and direct sales vertically integrated business model make it more quality-controlling and customer-experience-focused. </w:t>
      </w:r>
    </w:p>
    <w:p w14:paraId="112A7872" w14:textId="41BA4290" w:rsidR="00A43A5E" w:rsidRPr="000D7E17" w:rsidRDefault="00E81158" w:rsidP="00E81158">
      <w:pPr>
        <w:spacing w:line="360" w:lineRule="auto"/>
        <w:jc w:val="both"/>
        <w:rPr>
          <w:rFonts w:ascii="Arial" w:hAnsi="Arial" w:cs="Arial"/>
          <w:sz w:val="24"/>
          <w:szCs w:val="24"/>
        </w:rPr>
      </w:pPr>
      <w:r w:rsidRPr="000D7E17">
        <w:rPr>
          <w:rFonts w:ascii="Arial" w:hAnsi="Arial" w:cs="Arial"/>
          <w:sz w:val="24"/>
          <w:szCs w:val="24"/>
        </w:rPr>
        <w:t>Nevertheless, differentiation demands unremitting innovation and scalability. Tesla is under pressure as followers provide cheap alternatives in the ever-increasing competition (</w:t>
      </w:r>
      <w:proofErr w:type="spellStart"/>
      <w:r w:rsidRPr="000D7E17">
        <w:rPr>
          <w:rFonts w:ascii="Arial" w:hAnsi="Arial" w:cs="Arial"/>
          <w:sz w:val="24"/>
          <w:szCs w:val="24"/>
        </w:rPr>
        <w:t>Ryghaug</w:t>
      </w:r>
      <w:proofErr w:type="spellEnd"/>
      <w:r w:rsidRPr="000D7E17">
        <w:rPr>
          <w:rFonts w:ascii="Arial" w:hAnsi="Arial" w:cs="Arial"/>
          <w:sz w:val="24"/>
          <w:szCs w:val="24"/>
        </w:rPr>
        <w:t xml:space="preserve"> and Tomas Moe Skjølsvold, 2023). To maintain its innovative status, the company needs to proceed with the battery technology development, focusing on renewable energy ecosystems, and branding itself as a beacon of technological and environmental achievement. </w:t>
      </w:r>
    </w:p>
    <w:p w14:paraId="0EADC745" w14:textId="77777777" w:rsidR="00E81158" w:rsidRPr="000D7E17" w:rsidRDefault="00E81158" w:rsidP="00E81158">
      <w:pPr>
        <w:pStyle w:val="Heading2"/>
        <w:spacing w:line="360" w:lineRule="auto"/>
        <w:jc w:val="both"/>
        <w:rPr>
          <w:rFonts w:ascii="Arial" w:hAnsi="Arial" w:cs="Arial"/>
          <w:b/>
          <w:szCs w:val="32"/>
        </w:rPr>
      </w:pPr>
      <w:bookmarkStart w:id="11" w:name="_Toc214457917"/>
      <w:r w:rsidRPr="000D7E17">
        <w:rPr>
          <w:rFonts w:ascii="Arial" w:hAnsi="Arial" w:cs="Arial"/>
          <w:szCs w:val="32"/>
        </w:rPr>
        <w:t>3.2 Follower Organisations’ Strategic Responses</w:t>
      </w:r>
      <w:bookmarkEnd w:id="11"/>
    </w:p>
    <w:p w14:paraId="3BC25671" w14:textId="77777777" w:rsidR="00E81158" w:rsidRDefault="00E81158" w:rsidP="00E81158">
      <w:pPr>
        <w:spacing w:line="360" w:lineRule="auto"/>
        <w:jc w:val="both"/>
        <w:rPr>
          <w:rFonts w:ascii="Arial" w:hAnsi="Arial" w:cs="Arial"/>
          <w:sz w:val="24"/>
          <w:szCs w:val="24"/>
        </w:rPr>
      </w:pPr>
      <w:r w:rsidRPr="000D7E17">
        <w:rPr>
          <w:rFonts w:ascii="Arial" w:hAnsi="Arial" w:cs="Arial"/>
          <w:sz w:val="24"/>
          <w:szCs w:val="24"/>
        </w:rPr>
        <w:t xml:space="preserve">Follower organisations move to the market after pioneers have laid a ground, and they can learn through the initial innovations, reduce the risks and streamline operations. The companies that have been successful in following strategies include BYD, Hyundai and </w:t>
      </w:r>
      <w:proofErr w:type="spellStart"/>
      <w:r w:rsidRPr="000D7E17">
        <w:rPr>
          <w:rFonts w:ascii="Arial" w:hAnsi="Arial" w:cs="Arial"/>
          <w:sz w:val="24"/>
          <w:szCs w:val="24"/>
        </w:rPr>
        <w:t>Volkswgen</w:t>
      </w:r>
      <w:proofErr w:type="spellEnd"/>
      <w:r w:rsidRPr="000D7E17">
        <w:rPr>
          <w:rFonts w:ascii="Arial" w:hAnsi="Arial" w:cs="Arial"/>
          <w:sz w:val="24"/>
          <w:szCs w:val="24"/>
        </w:rPr>
        <w:t xml:space="preserve"> in the Electric Vehicle (EV) industry (</w:t>
      </w:r>
      <w:proofErr w:type="spellStart"/>
      <w:r w:rsidRPr="000D7E17">
        <w:rPr>
          <w:rFonts w:ascii="Arial" w:hAnsi="Arial" w:cs="Arial"/>
          <w:sz w:val="24"/>
          <w:szCs w:val="24"/>
        </w:rPr>
        <w:t>Ryghaug</w:t>
      </w:r>
      <w:proofErr w:type="spellEnd"/>
      <w:r w:rsidRPr="000D7E17">
        <w:rPr>
          <w:rFonts w:ascii="Arial" w:hAnsi="Arial" w:cs="Arial"/>
          <w:sz w:val="24"/>
          <w:szCs w:val="24"/>
        </w:rPr>
        <w:t xml:space="preserve"> and Tomas Moe Skjølsvold, 2023). These companies take advantage of market awareness, economies of scale, and technological customization to create scale and remain competitive despite similar innovators such as Tesla. </w:t>
      </w:r>
    </w:p>
    <w:p w14:paraId="297B059E" w14:textId="77777777" w:rsidR="00E81158" w:rsidRPr="000D7E17" w:rsidRDefault="00E81158" w:rsidP="00A43A5E">
      <w:pPr>
        <w:spacing w:after="0" w:line="360" w:lineRule="auto"/>
        <w:jc w:val="both"/>
        <w:rPr>
          <w:rFonts w:ascii="Arial" w:hAnsi="Arial" w:cs="Arial"/>
          <w:b/>
          <w:bCs/>
          <w:sz w:val="24"/>
          <w:szCs w:val="24"/>
        </w:rPr>
      </w:pPr>
      <w:r w:rsidRPr="000D7E17">
        <w:rPr>
          <w:rFonts w:ascii="Arial" w:hAnsi="Arial" w:cs="Arial"/>
          <w:b/>
          <w:bCs/>
          <w:sz w:val="24"/>
          <w:szCs w:val="24"/>
        </w:rPr>
        <w:t>Adapting to External Challenges and Opportunities</w:t>
      </w:r>
    </w:p>
    <w:p w14:paraId="6F934CB2" w14:textId="77777777" w:rsidR="00E81158" w:rsidRDefault="00E81158" w:rsidP="00A43A5E">
      <w:pPr>
        <w:spacing w:after="0" w:line="360" w:lineRule="auto"/>
        <w:jc w:val="both"/>
        <w:rPr>
          <w:rFonts w:ascii="Arial" w:hAnsi="Arial" w:cs="Arial"/>
          <w:sz w:val="24"/>
          <w:szCs w:val="24"/>
        </w:rPr>
      </w:pPr>
      <w:r w:rsidRPr="000D7E17">
        <w:rPr>
          <w:rFonts w:ascii="Arial" w:hAnsi="Arial" w:cs="Arial"/>
          <w:sz w:val="24"/>
          <w:szCs w:val="24"/>
        </w:rPr>
        <w:t xml:space="preserve">The followers work in a climate that has been influenced by technological changes, changing consumer tastes and preferences and strict environmental laws. Improving on the innovation and commercialisation of existing technologies to access wider market is the focus of followers as opposed to pioneers who incur the initial cost of innovation (Alotaibi, Omer and Su, 2022). An example is BYD a major Chinese electric vehicle manufacturer that takes advantage of government subsidies and strong demand of electric vehicles in the domestic market of cheap cars. Due to concentrating </w:t>
      </w:r>
      <w:r w:rsidRPr="000D7E17">
        <w:rPr>
          <w:rFonts w:ascii="Arial" w:hAnsi="Arial" w:cs="Arial"/>
          <w:sz w:val="24"/>
          <w:szCs w:val="24"/>
        </w:rPr>
        <w:lastRenderedPageBreak/>
        <w:t xml:space="preserve">on low-cost production and cooperation with strategic alliances, BYD has become one of the leading EV manufacturers in the world. Furthermore, the followers are advantaged by the experience of the pioneers, who have successes and failures that they can use to optimise designs, minimise production mistakes, and enhance marketing positioning (Alotaibi, Omer and Su, 2022).  </w:t>
      </w:r>
    </w:p>
    <w:p w14:paraId="439EFD49" w14:textId="5F363D22" w:rsidR="00A43A5E" w:rsidRPr="00A43A5E" w:rsidRDefault="00700F41" w:rsidP="00A43A5E">
      <w:pPr>
        <w:pStyle w:val="Heading3"/>
        <w:spacing w:line="480" w:lineRule="auto"/>
        <w:rPr>
          <w:rFonts w:ascii="Arial" w:hAnsi="Arial" w:cs="Arial"/>
        </w:rPr>
      </w:pPr>
      <w:bookmarkStart w:id="12" w:name="_Toc214457918"/>
      <w:r w:rsidRPr="000D7E17">
        <w:rPr>
          <w:rFonts w:ascii="Arial" w:hAnsi="Arial" w:cs="Arial"/>
        </w:rPr>
        <w:t xml:space="preserve">3.2.1 </w:t>
      </w:r>
      <w:r w:rsidR="00E81158" w:rsidRPr="000D7E17">
        <w:rPr>
          <w:rFonts w:ascii="Arial" w:hAnsi="Arial" w:cs="Arial"/>
        </w:rPr>
        <w:t>Application of Ansoff’s Growth Matri</w:t>
      </w:r>
      <w:r w:rsidR="00A268E5">
        <w:rPr>
          <w:rFonts w:ascii="Arial" w:hAnsi="Arial" w:cs="Arial"/>
        </w:rPr>
        <w:t>x</w:t>
      </w:r>
      <w:bookmarkEnd w:id="12"/>
    </w:p>
    <w:p w14:paraId="68D12A9B" w14:textId="77777777" w:rsidR="00E81158" w:rsidRPr="000D7E17" w:rsidRDefault="00E81158" w:rsidP="00E81158">
      <w:pPr>
        <w:spacing w:line="360" w:lineRule="auto"/>
        <w:jc w:val="both"/>
        <w:rPr>
          <w:rFonts w:ascii="Arial" w:hAnsi="Arial" w:cs="Arial"/>
          <w:sz w:val="24"/>
          <w:szCs w:val="24"/>
        </w:rPr>
      </w:pPr>
      <w:r w:rsidRPr="000D7E17">
        <w:rPr>
          <w:rFonts w:ascii="Arial" w:hAnsi="Arial" w:cs="Arial"/>
          <w:sz w:val="24"/>
          <w:szCs w:val="24"/>
        </w:rPr>
        <w:t>Using the Growth Matrix developed by Ansoff, such follower companies as BYD have their primary growth strategies as market penetration and diversification. Market penetration is an approach through which BYD enhances its share based on the competitively priced models and the development of distribution networks in China, Europe, and Latin America (</w:t>
      </w:r>
      <w:proofErr w:type="spellStart"/>
      <w:r w:rsidRPr="000D7E17">
        <w:rPr>
          <w:rFonts w:ascii="Arial" w:hAnsi="Arial" w:cs="Arial"/>
          <w:sz w:val="24"/>
          <w:szCs w:val="24"/>
        </w:rPr>
        <w:t>Yeğin</w:t>
      </w:r>
      <w:proofErr w:type="spellEnd"/>
      <w:r w:rsidRPr="000D7E17">
        <w:rPr>
          <w:rFonts w:ascii="Arial" w:hAnsi="Arial" w:cs="Arial"/>
          <w:sz w:val="24"/>
          <w:szCs w:val="24"/>
        </w:rPr>
        <w:t xml:space="preserve"> and Ikram, 2022). In the meantime, BYD works on the conversion of internal combustion engine (ICE) machines into EVs in its current markets as a part of its so-called ID series, thereby maintaining the loyalty of its customers and still attracting consumers concerned with the environment. </w:t>
      </w:r>
    </w:p>
    <w:p w14:paraId="3B5C5D91" w14:textId="0C770C7A" w:rsidR="00E81158" w:rsidRPr="000D7E17" w:rsidRDefault="00E81158" w:rsidP="00E81158">
      <w:pPr>
        <w:spacing w:line="360" w:lineRule="auto"/>
        <w:jc w:val="both"/>
        <w:rPr>
          <w:rFonts w:ascii="Arial" w:hAnsi="Arial" w:cs="Arial"/>
          <w:sz w:val="24"/>
          <w:szCs w:val="24"/>
        </w:rPr>
      </w:pPr>
      <w:r w:rsidRPr="000D7E17">
        <w:rPr>
          <w:rFonts w:ascii="Arial" w:hAnsi="Arial" w:cs="Arial"/>
          <w:sz w:val="24"/>
          <w:szCs w:val="24"/>
        </w:rPr>
        <w:t>Regarding the diversification, BYD also invests in the other related industries of battery manufacturing, electric buses, and energy storage that make the supply chain more efficient and allow the company to have stable revenues (</w:t>
      </w:r>
      <w:proofErr w:type="spellStart"/>
      <w:r w:rsidRPr="000D7E17">
        <w:rPr>
          <w:rFonts w:ascii="Arial" w:hAnsi="Arial" w:cs="Arial"/>
          <w:sz w:val="24"/>
          <w:szCs w:val="24"/>
        </w:rPr>
        <w:t>Yeğin</w:t>
      </w:r>
      <w:proofErr w:type="spellEnd"/>
      <w:r w:rsidRPr="000D7E17">
        <w:rPr>
          <w:rFonts w:ascii="Arial" w:hAnsi="Arial" w:cs="Arial"/>
          <w:sz w:val="24"/>
          <w:szCs w:val="24"/>
        </w:rPr>
        <w:t xml:space="preserve"> and Ikram, 2022). </w:t>
      </w:r>
    </w:p>
    <w:p w14:paraId="617E6023" w14:textId="0C770C7A" w:rsidR="00E81158" w:rsidRPr="000D7E17" w:rsidRDefault="00700F41" w:rsidP="00700F41">
      <w:pPr>
        <w:pStyle w:val="Heading3"/>
        <w:rPr>
          <w:rFonts w:ascii="Arial" w:hAnsi="Arial" w:cs="Arial"/>
        </w:rPr>
      </w:pPr>
      <w:bookmarkStart w:id="13" w:name="_Toc214457919"/>
      <w:r w:rsidRPr="000D7E17">
        <w:rPr>
          <w:rFonts w:ascii="Arial" w:hAnsi="Arial" w:cs="Arial"/>
        </w:rPr>
        <w:t xml:space="preserve">3.2.2 </w:t>
      </w:r>
      <w:r w:rsidR="00E81158" w:rsidRPr="000D7E17">
        <w:rPr>
          <w:rFonts w:ascii="Arial" w:hAnsi="Arial" w:cs="Arial"/>
        </w:rPr>
        <w:t>Application of Porter’s Generic Strategies</w:t>
      </w:r>
      <w:bookmarkEnd w:id="13"/>
    </w:p>
    <w:p w14:paraId="483AFE19" w14:textId="77777777" w:rsidR="00E81158" w:rsidRPr="000D7E17" w:rsidRDefault="00E81158" w:rsidP="004364BB">
      <w:pPr>
        <w:spacing w:line="360" w:lineRule="auto"/>
        <w:jc w:val="center"/>
        <w:rPr>
          <w:rFonts w:ascii="Arial" w:hAnsi="Arial" w:cs="Arial"/>
          <w:sz w:val="24"/>
          <w:szCs w:val="24"/>
        </w:rPr>
      </w:pPr>
      <w:r w:rsidRPr="000D7E17">
        <w:rPr>
          <w:rFonts w:ascii="Arial" w:hAnsi="Arial" w:cs="Arial"/>
          <w:noProof/>
          <w:sz w:val="24"/>
          <w:szCs w:val="24"/>
        </w:rPr>
        <w:drawing>
          <wp:inline distT="0" distB="0" distL="0" distR="0" wp14:anchorId="1D18E09B" wp14:editId="604EC4FA">
            <wp:extent cx="2153307" cy="2195946"/>
            <wp:effectExtent l="0" t="0" r="0" b="0"/>
            <wp:docPr id="11609623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8049" r="6358" b="12712"/>
                    <a:stretch>
                      <a:fillRect/>
                    </a:stretch>
                  </pic:blipFill>
                  <pic:spPr bwMode="auto">
                    <a:xfrm>
                      <a:off x="0" y="0"/>
                      <a:ext cx="2212035" cy="2255837"/>
                    </a:xfrm>
                    <a:prstGeom prst="rect">
                      <a:avLst/>
                    </a:prstGeom>
                    <a:noFill/>
                    <a:ln>
                      <a:noFill/>
                    </a:ln>
                    <a:extLst>
                      <a:ext uri="{53640926-AAD7-44D8-BBD7-CCE9431645EC}">
                        <a14:shadowObscured xmlns:a14="http://schemas.microsoft.com/office/drawing/2010/main"/>
                      </a:ext>
                    </a:extLst>
                  </pic:spPr>
                </pic:pic>
              </a:graphicData>
            </a:graphic>
          </wp:inline>
        </w:drawing>
      </w:r>
    </w:p>
    <w:p w14:paraId="1A32E7B1" w14:textId="77777777" w:rsidR="00E81158" w:rsidRPr="000D7E17" w:rsidRDefault="00E81158" w:rsidP="004E5201">
      <w:pPr>
        <w:spacing w:after="0" w:line="240" w:lineRule="auto"/>
        <w:jc w:val="center"/>
        <w:rPr>
          <w:rFonts w:ascii="Arial" w:hAnsi="Arial" w:cs="Arial"/>
          <w:b/>
          <w:bCs/>
          <w:sz w:val="24"/>
          <w:szCs w:val="24"/>
        </w:rPr>
      </w:pPr>
      <w:r w:rsidRPr="000D7E17">
        <w:rPr>
          <w:rFonts w:ascii="Arial" w:hAnsi="Arial" w:cs="Arial"/>
          <w:b/>
          <w:bCs/>
          <w:sz w:val="24"/>
          <w:szCs w:val="24"/>
        </w:rPr>
        <w:t xml:space="preserve">Figure: </w:t>
      </w:r>
      <w:r w:rsidRPr="000D7E17">
        <w:rPr>
          <w:rFonts w:ascii="Arial" w:hAnsi="Arial" w:cs="Arial"/>
          <w:sz w:val="24"/>
          <w:szCs w:val="24"/>
        </w:rPr>
        <w:t>Application of Porter’s Generic Strategies</w:t>
      </w:r>
    </w:p>
    <w:p w14:paraId="0AEEEEC4" w14:textId="2320846A" w:rsidR="004A4E74" w:rsidRPr="000D7E17" w:rsidRDefault="00E81158" w:rsidP="004E5201">
      <w:pPr>
        <w:spacing w:after="0" w:line="240" w:lineRule="auto"/>
        <w:jc w:val="center"/>
        <w:rPr>
          <w:rFonts w:ascii="Arial" w:hAnsi="Arial" w:cs="Arial"/>
          <w:sz w:val="24"/>
          <w:szCs w:val="24"/>
        </w:rPr>
      </w:pPr>
      <w:r w:rsidRPr="000D7E17">
        <w:rPr>
          <w:rFonts w:ascii="Arial" w:hAnsi="Arial" w:cs="Arial"/>
          <w:b/>
          <w:bCs/>
          <w:sz w:val="24"/>
          <w:szCs w:val="24"/>
        </w:rPr>
        <w:t xml:space="preserve">Source: </w:t>
      </w:r>
      <w:r w:rsidRPr="000D7E17">
        <w:rPr>
          <w:rFonts w:ascii="Arial" w:hAnsi="Arial" w:cs="Arial"/>
          <w:sz w:val="24"/>
          <w:szCs w:val="24"/>
        </w:rPr>
        <w:t>(Zaino et al., 2024)</w:t>
      </w:r>
    </w:p>
    <w:p w14:paraId="2A62F221" w14:textId="77777777" w:rsidR="00FF59A3" w:rsidRDefault="00FF59A3" w:rsidP="00E81158">
      <w:pPr>
        <w:spacing w:line="360" w:lineRule="auto"/>
        <w:jc w:val="both"/>
        <w:rPr>
          <w:rFonts w:ascii="Arial" w:hAnsi="Arial" w:cs="Arial"/>
          <w:sz w:val="24"/>
          <w:szCs w:val="24"/>
        </w:rPr>
      </w:pPr>
    </w:p>
    <w:p w14:paraId="4A9C3561" w14:textId="04B18C60" w:rsidR="00E81158" w:rsidRPr="000D7E17" w:rsidRDefault="00E81158" w:rsidP="00E81158">
      <w:pPr>
        <w:spacing w:line="360" w:lineRule="auto"/>
        <w:jc w:val="both"/>
        <w:rPr>
          <w:rFonts w:ascii="Arial" w:hAnsi="Arial" w:cs="Arial"/>
          <w:sz w:val="24"/>
          <w:szCs w:val="24"/>
        </w:rPr>
      </w:pPr>
      <w:r w:rsidRPr="000D7E17">
        <w:rPr>
          <w:rFonts w:ascii="Arial" w:hAnsi="Arial" w:cs="Arial"/>
          <w:sz w:val="24"/>
          <w:szCs w:val="24"/>
        </w:rPr>
        <w:t xml:space="preserve">Cost leadership and broad differentiation are common in follower organisations as per the generic strategies of Porter. BYD attains cost leadership by means of vertical </w:t>
      </w:r>
      <w:r w:rsidRPr="000D7E17">
        <w:rPr>
          <w:rFonts w:ascii="Arial" w:hAnsi="Arial" w:cs="Arial"/>
          <w:sz w:val="24"/>
          <w:szCs w:val="24"/>
        </w:rPr>
        <w:lastRenderedPageBreak/>
        <w:t xml:space="preserve">integration in producing its own batteries and electronic parts to reduce the level of dependency (Zaino et al., 2024). BYD, on the other hand pursues extensive differentiation with reliable and high-quality EVs which combine high-quality technology with low prices. </w:t>
      </w:r>
    </w:p>
    <w:p w14:paraId="65B89DEE" w14:textId="77777777" w:rsidR="00E81158" w:rsidRPr="000D7E17" w:rsidRDefault="00E81158" w:rsidP="00E81158">
      <w:pPr>
        <w:spacing w:line="360" w:lineRule="auto"/>
        <w:jc w:val="both"/>
        <w:rPr>
          <w:rFonts w:ascii="Arial" w:hAnsi="Arial" w:cs="Arial"/>
          <w:sz w:val="24"/>
          <w:szCs w:val="24"/>
        </w:rPr>
      </w:pPr>
      <w:r w:rsidRPr="000D7E17">
        <w:rPr>
          <w:rFonts w:ascii="Arial" w:hAnsi="Arial" w:cs="Arial"/>
          <w:sz w:val="24"/>
          <w:szCs w:val="24"/>
        </w:rPr>
        <w:t>These plans enable the followers to serve mass-market consumers instead of the attention of the pioneers to premium ones. Nevertheless, to be competitive, a constant investment in research, digitalization, and brand loyalty is necessary (Zaino et al., 2024).</w:t>
      </w:r>
    </w:p>
    <w:p w14:paraId="768FAF8A" w14:textId="77777777" w:rsidR="00E81158" w:rsidRPr="00F82A4E" w:rsidRDefault="00E81158" w:rsidP="00E81158">
      <w:pPr>
        <w:pStyle w:val="Heading1"/>
        <w:spacing w:line="360" w:lineRule="auto"/>
        <w:jc w:val="both"/>
        <w:rPr>
          <w:rFonts w:ascii="Arial" w:hAnsi="Arial" w:cs="Arial"/>
          <w:b/>
          <w:bCs/>
          <w:szCs w:val="40"/>
        </w:rPr>
      </w:pPr>
      <w:bookmarkStart w:id="14" w:name="_Toc214457920"/>
      <w:r w:rsidRPr="00F82A4E">
        <w:rPr>
          <w:rFonts w:ascii="Arial" w:hAnsi="Arial" w:cs="Arial"/>
          <w:b/>
          <w:bCs/>
          <w:szCs w:val="40"/>
        </w:rPr>
        <w:t>4. Conclusion</w:t>
      </w:r>
      <w:bookmarkEnd w:id="14"/>
    </w:p>
    <w:p w14:paraId="014E398C" w14:textId="77777777" w:rsidR="00E81158" w:rsidRPr="000D7E17" w:rsidRDefault="00E81158" w:rsidP="00E81158">
      <w:pPr>
        <w:spacing w:line="360" w:lineRule="auto"/>
        <w:jc w:val="both"/>
        <w:rPr>
          <w:rFonts w:ascii="Arial" w:hAnsi="Arial" w:cs="Arial"/>
          <w:sz w:val="24"/>
          <w:szCs w:val="24"/>
        </w:rPr>
      </w:pPr>
      <w:r w:rsidRPr="000D7E17">
        <w:rPr>
          <w:rFonts w:ascii="Arial" w:hAnsi="Arial" w:cs="Arial"/>
          <w:sz w:val="24"/>
          <w:szCs w:val="24"/>
        </w:rPr>
        <w:t xml:space="preserve">The report has critically examined competitive strategic marketing reactions of first-mover and followers organisations in the Electric Vehicle (EV) industry in terms of how macro-environmental forces, especially technological and environmental forces, influence competitive forces. The analysis indicated that environmental scanning that is steered by the PESTEL framework is critical in the identification of the external opportunities and threats that shape the long-term marketing strategies and organisational sustainability. Such innovative companies like Tesla are also pioneering, and they can show that innovation, differentiation, and active adaptation allow firms to achieve technological change and re-create the expectations of the market. Using the Growth Matrix created by Ansoff and the Generic Strategies created by Porter, Tesla approach identifies the need to be constantly developing its products, expanding its geography and technology development in order to keep up with the leadership on the market. On the other hand, the example of follower organisations such as BYD is how strategic imitation, cost leadership, and diversification can effectively turn innovation into solutions that can be applied at any scale to mass markets. The comparative analysis shows that both innovators and imitators have an impact on the development of the industry but in diverse strategic directions. Whereas pioneers cause chaos and introduce new standards of performance, followers refine innovations, make them cheaper, and more available in the market. Altogether, the research highlights the importance of strategic relevance of ongoing environmental scanning and responsive marketing in </w:t>
      </w:r>
      <w:proofErr w:type="spellStart"/>
      <w:r w:rsidRPr="000D7E17">
        <w:rPr>
          <w:rFonts w:ascii="Arial" w:hAnsi="Arial" w:cs="Arial"/>
          <w:sz w:val="24"/>
          <w:szCs w:val="24"/>
        </w:rPr>
        <w:t>maneuvers</w:t>
      </w:r>
      <w:proofErr w:type="spellEnd"/>
      <w:r w:rsidRPr="000D7E17">
        <w:rPr>
          <w:rFonts w:ascii="Arial" w:hAnsi="Arial" w:cs="Arial"/>
          <w:sz w:val="24"/>
          <w:szCs w:val="24"/>
        </w:rPr>
        <w:t xml:space="preserve"> within the fast-changing EV conditions.</w:t>
      </w:r>
    </w:p>
    <w:p w14:paraId="431432A4" w14:textId="4252025F" w:rsidR="00E81158" w:rsidRPr="00F82A4E" w:rsidRDefault="00E418CC" w:rsidP="00E81158">
      <w:pPr>
        <w:pStyle w:val="Heading1"/>
        <w:spacing w:line="360" w:lineRule="auto"/>
        <w:jc w:val="both"/>
        <w:rPr>
          <w:rFonts w:ascii="Arial" w:hAnsi="Arial" w:cs="Arial"/>
          <w:b/>
          <w:bCs/>
          <w:szCs w:val="40"/>
        </w:rPr>
      </w:pPr>
      <w:bookmarkStart w:id="15" w:name="_Toc214457921"/>
      <w:r w:rsidRPr="00F82A4E">
        <w:rPr>
          <w:rFonts w:ascii="Arial" w:hAnsi="Arial" w:cs="Arial"/>
          <w:b/>
          <w:bCs/>
          <w:szCs w:val="40"/>
        </w:rPr>
        <w:lastRenderedPageBreak/>
        <w:t xml:space="preserve">5. </w:t>
      </w:r>
      <w:r w:rsidR="00E81158" w:rsidRPr="00F82A4E">
        <w:rPr>
          <w:rFonts w:ascii="Arial" w:hAnsi="Arial" w:cs="Arial"/>
          <w:b/>
          <w:bCs/>
          <w:szCs w:val="40"/>
        </w:rPr>
        <w:t>References</w:t>
      </w:r>
      <w:bookmarkEnd w:id="15"/>
      <w:r w:rsidR="00E81158" w:rsidRPr="00F82A4E">
        <w:rPr>
          <w:rFonts w:ascii="Arial" w:hAnsi="Arial" w:cs="Arial"/>
          <w:b/>
          <w:bCs/>
          <w:szCs w:val="40"/>
        </w:rPr>
        <w:t xml:space="preserve"> </w:t>
      </w:r>
    </w:p>
    <w:p w14:paraId="78E79295" w14:textId="77777777" w:rsidR="00E81158" w:rsidRDefault="00E81158" w:rsidP="00E81158">
      <w:pPr>
        <w:spacing w:line="360" w:lineRule="auto"/>
        <w:jc w:val="both"/>
        <w:rPr>
          <w:rFonts w:ascii="Arial" w:hAnsi="Arial" w:cs="Arial"/>
          <w:sz w:val="24"/>
          <w:szCs w:val="24"/>
        </w:rPr>
      </w:pPr>
      <w:r w:rsidRPr="000D7E17">
        <w:rPr>
          <w:rFonts w:ascii="Arial" w:hAnsi="Arial" w:cs="Arial"/>
          <w:sz w:val="24"/>
          <w:szCs w:val="24"/>
        </w:rPr>
        <w:t xml:space="preserve">Alotaibi, S., Omer, S. and Su, Y. (2022). Identification of Potential Barriers to Electric Vehicle Adoption in Oil-Producing Nations—The Case of Saudi Arabia. </w:t>
      </w:r>
      <w:r w:rsidRPr="000D7E17">
        <w:rPr>
          <w:rFonts w:ascii="Arial" w:hAnsi="Arial" w:cs="Arial"/>
          <w:i/>
          <w:iCs/>
          <w:sz w:val="24"/>
          <w:szCs w:val="24"/>
        </w:rPr>
        <w:t>Electricity</w:t>
      </w:r>
      <w:r w:rsidRPr="000D7E17">
        <w:rPr>
          <w:rFonts w:ascii="Arial" w:hAnsi="Arial" w:cs="Arial"/>
          <w:sz w:val="24"/>
          <w:szCs w:val="24"/>
        </w:rPr>
        <w:t xml:space="preserve">, [online] 3(3), pp.365–395. </w:t>
      </w:r>
      <w:proofErr w:type="spellStart"/>
      <w:r w:rsidRPr="000D7E17">
        <w:rPr>
          <w:rFonts w:ascii="Arial" w:hAnsi="Arial" w:cs="Arial"/>
          <w:sz w:val="24"/>
          <w:szCs w:val="24"/>
        </w:rPr>
        <w:t>doi</w:t>
      </w:r>
      <w:proofErr w:type="spellEnd"/>
      <w:r w:rsidRPr="000D7E17">
        <w:rPr>
          <w:rFonts w:ascii="Arial" w:hAnsi="Arial" w:cs="Arial"/>
          <w:sz w:val="24"/>
          <w:szCs w:val="24"/>
        </w:rPr>
        <w:t xml:space="preserve">: </w:t>
      </w:r>
      <w:hyperlink r:id="rId7" w:history="1">
        <w:r w:rsidRPr="000D7E17">
          <w:rPr>
            <w:rStyle w:val="Hyperlink"/>
            <w:rFonts w:ascii="Arial" w:hAnsi="Arial" w:cs="Arial"/>
            <w:sz w:val="24"/>
            <w:szCs w:val="24"/>
          </w:rPr>
          <w:t>https://doi.org/10.3390/electricity3030020</w:t>
        </w:r>
      </w:hyperlink>
      <w:r w:rsidRPr="000D7E17">
        <w:rPr>
          <w:rFonts w:ascii="Arial" w:hAnsi="Arial" w:cs="Arial"/>
          <w:sz w:val="24"/>
          <w:szCs w:val="24"/>
        </w:rPr>
        <w:t xml:space="preserve">. </w:t>
      </w:r>
    </w:p>
    <w:p w14:paraId="6E27389E" w14:textId="77777777" w:rsidR="00DB3606" w:rsidRPr="000D7E17" w:rsidRDefault="00DB3606" w:rsidP="00E81158">
      <w:pPr>
        <w:spacing w:line="360" w:lineRule="auto"/>
        <w:jc w:val="both"/>
        <w:rPr>
          <w:rFonts w:ascii="Arial" w:hAnsi="Arial" w:cs="Arial"/>
          <w:sz w:val="24"/>
          <w:szCs w:val="24"/>
        </w:rPr>
      </w:pPr>
    </w:p>
    <w:p w14:paraId="66EF4DEB" w14:textId="77777777" w:rsidR="00E81158" w:rsidRDefault="00E81158" w:rsidP="00E81158">
      <w:pPr>
        <w:spacing w:line="360" w:lineRule="auto"/>
        <w:jc w:val="both"/>
        <w:rPr>
          <w:rFonts w:ascii="Arial" w:hAnsi="Arial" w:cs="Arial"/>
          <w:sz w:val="24"/>
          <w:szCs w:val="24"/>
        </w:rPr>
      </w:pPr>
      <w:r w:rsidRPr="000D7E17">
        <w:rPr>
          <w:rFonts w:ascii="Arial" w:hAnsi="Arial" w:cs="Arial"/>
          <w:sz w:val="24"/>
          <w:szCs w:val="24"/>
        </w:rPr>
        <w:t xml:space="preserve">Anastasiadou, K. and </w:t>
      </w:r>
      <w:proofErr w:type="spellStart"/>
      <w:r w:rsidRPr="000D7E17">
        <w:rPr>
          <w:rFonts w:ascii="Arial" w:hAnsi="Arial" w:cs="Arial"/>
          <w:sz w:val="24"/>
          <w:szCs w:val="24"/>
        </w:rPr>
        <w:t>Gavanas</w:t>
      </w:r>
      <w:proofErr w:type="spellEnd"/>
      <w:r w:rsidRPr="000D7E17">
        <w:rPr>
          <w:rFonts w:ascii="Arial" w:hAnsi="Arial" w:cs="Arial"/>
          <w:sz w:val="24"/>
          <w:szCs w:val="24"/>
        </w:rPr>
        <w:t xml:space="preserve">, N. (2022). State-of-the-Art Review of the Key Factors Affecting Electric Vehicle Adoption by Consumers. </w:t>
      </w:r>
      <w:r w:rsidRPr="000D7E17">
        <w:rPr>
          <w:rFonts w:ascii="Arial" w:hAnsi="Arial" w:cs="Arial"/>
          <w:i/>
          <w:iCs/>
          <w:sz w:val="24"/>
          <w:szCs w:val="24"/>
        </w:rPr>
        <w:t>Energies</w:t>
      </w:r>
      <w:r w:rsidRPr="000D7E17">
        <w:rPr>
          <w:rFonts w:ascii="Arial" w:hAnsi="Arial" w:cs="Arial"/>
          <w:sz w:val="24"/>
          <w:szCs w:val="24"/>
        </w:rPr>
        <w:t xml:space="preserve">, [online] 15(24), p.9409. </w:t>
      </w:r>
      <w:proofErr w:type="spellStart"/>
      <w:r w:rsidRPr="000D7E17">
        <w:rPr>
          <w:rFonts w:ascii="Arial" w:hAnsi="Arial" w:cs="Arial"/>
          <w:sz w:val="24"/>
          <w:szCs w:val="24"/>
        </w:rPr>
        <w:t>doi</w:t>
      </w:r>
      <w:proofErr w:type="spellEnd"/>
      <w:r w:rsidRPr="000D7E17">
        <w:rPr>
          <w:rFonts w:ascii="Arial" w:hAnsi="Arial" w:cs="Arial"/>
          <w:sz w:val="24"/>
          <w:szCs w:val="24"/>
        </w:rPr>
        <w:t xml:space="preserve">: </w:t>
      </w:r>
      <w:hyperlink r:id="rId8" w:history="1">
        <w:r w:rsidRPr="000D7E17">
          <w:rPr>
            <w:rStyle w:val="Hyperlink"/>
            <w:rFonts w:ascii="Arial" w:hAnsi="Arial" w:cs="Arial"/>
            <w:sz w:val="24"/>
            <w:szCs w:val="24"/>
          </w:rPr>
          <w:t>https://doi.org/10.3390/en15249409</w:t>
        </w:r>
      </w:hyperlink>
      <w:r w:rsidRPr="000D7E17">
        <w:rPr>
          <w:rFonts w:ascii="Arial" w:hAnsi="Arial" w:cs="Arial"/>
          <w:sz w:val="24"/>
          <w:szCs w:val="24"/>
        </w:rPr>
        <w:t xml:space="preserve">. </w:t>
      </w:r>
    </w:p>
    <w:p w14:paraId="1D7C4DD7" w14:textId="77777777" w:rsidR="00DB3606" w:rsidRPr="000D7E17" w:rsidRDefault="00DB3606" w:rsidP="00E81158">
      <w:pPr>
        <w:spacing w:line="360" w:lineRule="auto"/>
        <w:jc w:val="both"/>
        <w:rPr>
          <w:rFonts w:ascii="Arial" w:hAnsi="Arial" w:cs="Arial"/>
          <w:sz w:val="24"/>
          <w:szCs w:val="24"/>
        </w:rPr>
      </w:pPr>
    </w:p>
    <w:p w14:paraId="058D30E1" w14:textId="77777777" w:rsidR="00E81158" w:rsidRDefault="00E81158" w:rsidP="00E81158">
      <w:pPr>
        <w:spacing w:line="360" w:lineRule="auto"/>
        <w:jc w:val="both"/>
        <w:rPr>
          <w:rFonts w:ascii="Arial" w:hAnsi="Arial" w:cs="Arial"/>
          <w:sz w:val="24"/>
          <w:szCs w:val="24"/>
        </w:rPr>
      </w:pPr>
      <w:r w:rsidRPr="000D7E17">
        <w:rPr>
          <w:rFonts w:ascii="Arial" w:hAnsi="Arial" w:cs="Arial"/>
          <w:sz w:val="24"/>
          <w:szCs w:val="24"/>
        </w:rPr>
        <w:t xml:space="preserve">Arribas-Ibar, M., Nylund, P. and Brem, A. (2021). The Risk of Dissolution of Sustainable Innovation Ecosystems in Times of Crisis: The Electric Vehicle during the COVID-19 Pandemic. </w:t>
      </w:r>
      <w:r w:rsidRPr="000D7E17">
        <w:rPr>
          <w:rFonts w:ascii="Arial" w:hAnsi="Arial" w:cs="Arial"/>
          <w:i/>
          <w:iCs/>
          <w:sz w:val="24"/>
          <w:szCs w:val="24"/>
        </w:rPr>
        <w:t>Sustainability</w:t>
      </w:r>
      <w:r w:rsidRPr="000D7E17">
        <w:rPr>
          <w:rFonts w:ascii="Arial" w:hAnsi="Arial" w:cs="Arial"/>
          <w:sz w:val="24"/>
          <w:szCs w:val="24"/>
        </w:rPr>
        <w:t xml:space="preserve">, 13(3), p.1319. </w:t>
      </w:r>
      <w:proofErr w:type="spellStart"/>
      <w:r w:rsidRPr="000D7E17">
        <w:rPr>
          <w:rFonts w:ascii="Arial" w:hAnsi="Arial" w:cs="Arial"/>
          <w:sz w:val="24"/>
          <w:szCs w:val="24"/>
        </w:rPr>
        <w:t>doi</w:t>
      </w:r>
      <w:proofErr w:type="spellEnd"/>
      <w:r w:rsidRPr="000D7E17">
        <w:rPr>
          <w:rFonts w:ascii="Arial" w:hAnsi="Arial" w:cs="Arial"/>
          <w:sz w:val="24"/>
          <w:szCs w:val="24"/>
        </w:rPr>
        <w:t xml:space="preserve">: </w:t>
      </w:r>
      <w:hyperlink r:id="rId9" w:history="1">
        <w:r w:rsidRPr="000D7E17">
          <w:rPr>
            <w:rStyle w:val="Hyperlink"/>
            <w:rFonts w:ascii="Arial" w:hAnsi="Arial" w:cs="Arial"/>
            <w:sz w:val="24"/>
            <w:szCs w:val="24"/>
          </w:rPr>
          <w:t>https://doi.org/10.3390/su13031319</w:t>
        </w:r>
      </w:hyperlink>
      <w:r w:rsidRPr="000D7E17">
        <w:rPr>
          <w:rFonts w:ascii="Arial" w:hAnsi="Arial" w:cs="Arial"/>
          <w:sz w:val="24"/>
          <w:szCs w:val="24"/>
        </w:rPr>
        <w:t xml:space="preserve">. </w:t>
      </w:r>
    </w:p>
    <w:p w14:paraId="08B8C0E7" w14:textId="77777777" w:rsidR="00DB3606" w:rsidRPr="000D7E17" w:rsidRDefault="00DB3606" w:rsidP="00E81158">
      <w:pPr>
        <w:spacing w:line="360" w:lineRule="auto"/>
        <w:jc w:val="both"/>
        <w:rPr>
          <w:rFonts w:ascii="Arial" w:hAnsi="Arial" w:cs="Arial"/>
          <w:sz w:val="24"/>
          <w:szCs w:val="24"/>
        </w:rPr>
      </w:pPr>
    </w:p>
    <w:p w14:paraId="1498C88F" w14:textId="77777777" w:rsidR="00E81158" w:rsidRDefault="00E81158" w:rsidP="00E81158">
      <w:pPr>
        <w:spacing w:line="360" w:lineRule="auto"/>
        <w:jc w:val="both"/>
        <w:rPr>
          <w:rFonts w:ascii="Arial" w:hAnsi="Arial" w:cs="Arial"/>
          <w:sz w:val="24"/>
          <w:szCs w:val="24"/>
        </w:rPr>
      </w:pPr>
      <w:proofErr w:type="spellStart"/>
      <w:r w:rsidRPr="000D7E17">
        <w:rPr>
          <w:rFonts w:ascii="Arial" w:hAnsi="Arial" w:cs="Arial"/>
          <w:sz w:val="24"/>
          <w:szCs w:val="24"/>
        </w:rPr>
        <w:t>Chernykhovskaya</w:t>
      </w:r>
      <w:proofErr w:type="spellEnd"/>
      <w:r w:rsidRPr="000D7E17">
        <w:rPr>
          <w:rFonts w:ascii="Arial" w:hAnsi="Arial" w:cs="Arial"/>
          <w:sz w:val="24"/>
          <w:szCs w:val="24"/>
        </w:rPr>
        <w:t xml:space="preserve">, N. (2024). Theoretical Framework for Electric Vehicle Adoption: Strategic Market Entry. </w:t>
      </w:r>
      <w:r w:rsidRPr="000D7E17">
        <w:rPr>
          <w:rFonts w:ascii="Arial" w:hAnsi="Arial" w:cs="Arial"/>
          <w:i/>
          <w:iCs/>
          <w:sz w:val="24"/>
          <w:szCs w:val="24"/>
        </w:rPr>
        <w:t>Cineca.it</w:t>
      </w:r>
      <w:r w:rsidRPr="000D7E17">
        <w:rPr>
          <w:rFonts w:ascii="Arial" w:hAnsi="Arial" w:cs="Arial"/>
          <w:sz w:val="24"/>
          <w:szCs w:val="24"/>
        </w:rPr>
        <w:t xml:space="preserve">. [online] </w:t>
      </w:r>
      <w:proofErr w:type="spellStart"/>
      <w:r w:rsidRPr="000D7E17">
        <w:rPr>
          <w:rFonts w:ascii="Arial" w:hAnsi="Arial" w:cs="Arial"/>
          <w:sz w:val="24"/>
          <w:szCs w:val="24"/>
        </w:rPr>
        <w:t>doi</w:t>
      </w:r>
      <w:proofErr w:type="spellEnd"/>
      <w:r w:rsidRPr="000D7E17">
        <w:rPr>
          <w:rFonts w:ascii="Arial" w:hAnsi="Arial" w:cs="Arial"/>
          <w:sz w:val="24"/>
          <w:szCs w:val="24"/>
        </w:rPr>
        <w:t xml:space="preserve">: </w:t>
      </w:r>
      <w:hyperlink r:id="rId10" w:history="1">
        <w:r w:rsidRPr="000D7E17">
          <w:rPr>
            <w:rStyle w:val="Hyperlink"/>
            <w:rFonts w:ascii="Arial" w:hAnsi="Arial" w:cs="Arial"/>
            <w:sz w:val="24"/>
            <w:szCs w:val="24"/>
          </w:rPr>
          <w:t>https://hdl.handle.net/20.500.14247/23999</w:t>
        </w:r>
      </w:hyperlink>
      <w:r w:rsidRPr="000D7E17">
        <w:rPr>
          <w:rFonts w:ascii="Arial" w:hAnsi="Arial" w:cs="Arial"/>
          <w:sz w:val="24"/>
          <w:szCs w:val="24"/>
        </w:rPr>
        <w:t xml:space="preserve">. </w:t>
      </w:r>
    </w:p>
    <w:p w14:paraId="7E88F3B9" w14:textId="77777777" w:rsidR="00DB3606" w:rsidRPr="000D7E17" w:rsidRDefault="00DB3606" w:rsidP="00E81158">
      <w:pPr>
        <w:spacing w:line="360" w:lineRule="auto"/>
        <w:jc w:val="both"/>
        <w:rPr>
          <w:rFonts w:ascii="Arial" w:hAnsi="Arial" w:cs="Arial"/>
          <w:sz w:val="24"/>
          <w:szCs w:val="24"/>
        </w:rPr>
      </w:pPr>
    </w:p>
    <w:p w14:paraId="4452DEDB" w14:textId="77777777" w:rsidR="00E81158" w:rsidRDefault="00E81158" w:rsidP="00E81158">
      <w:pPr>
        <w:spacing w:line="360" w:lineRule="auto"/>
        <w:jc w:val="both"/>
        <w:rPr>
          <w:rFonts w:ascii="Arial" w:hAnsi="Arial" w:cs="Arial"/>
          <w:sz w:val="24"/>
          <w:szCs w:val="24"/>
        </w:rPr>
      </w:pPr>
      <w:r w:rsidRPr="000D7E17">
        <w:rPr>
          <w:rFonts w:ascii="Arial" w:hAnsi="Arial" w:cs="Arial"/>
          <w:sz w:val="24"/>
          <w:szCs w:val="24"/>
        </w:rPr>
        <w:t xml:space="preserve">Fedotov, P. (2022). Critical analysis of the electric vehicle industry. </w:t>
      </w:r>
      <w:r w:rsidRPr="000D7E17">
        <w:rPr>
          <w:rFonts w:ascii="Arial" w:hAnsi="Arial" w:cs="Arial"/>
          <w:i/>
          <w:iCs/>
          <w:sz w:val="24"/>
          <w:szCs w:val="24"/>
        </w:rPr>
        <w:t xml:space="preserve">Exchanges: </w:t>
      </w:r>
      <w:proofErr w:type="gramStart"/>
      <w:r w:rsidRPr="000D7E17">
        <w:rPr>
          <w:rFonts w:ascii="Arial" w:hAnsi="Arial" w:cs="Arial"/>
          <w:i/>
          <w:iCs/>
          <w:sz w:val="24"/>
          <w:szCs w:val="24"/>
        </w:rPr>
        <w:t>the</w:t>
      </w:r>
      <w:proofErr w:type="gramEnd"/>
      <w:r w:rsidRPr="000D7E17">
        <w:rPr>
          <w:rFonts w:ascii="Arial" w:hAnsi="Arial" w:cs="Arial"/>
          <w:i/>
          <w:iCs/>
          <w:sz w:val="24"/>
          <w:szCs w:val="24"/>
        </w:rPr>
        <w:t xml:space="preserve"> Interdisciplinary Research Journal</w:t>
      </w:r>
      <w:r w:rsidRPr="000D7E17">
        <w:rPr>
          <w:rFonts w:ascii="Arial" w:hAnsi="Arial" w:cs="Arial"/>
          <w:sz w:val="24"/>
          <w:szCs w:val="24"/>
        </w:rPr>
        <w:t xml:space="preserve">, [online] 10(1), pp.43–56. </w:t>
      </w:r>
      <w:proofErr w:type="spellStart"/>
      <w:r w:rsidRPr="000D7E17">
        <w:rPr>
          <w:rFonts w:ascii="Arial" w:hAnsi="Arial" w:cs="Arial"/>
          <w:sz w:val="24"/>
          <w:szCs w:val="24"/>
        </w:rPr>
        <w:t>doi</w:t>
      </w:r>
      <w:proofErr w:type="spellEnd"/>
      <w:r w:rsidRPr="000D7E17">
        <w:rPr>
          <w:rFonts w:ascii="Arial" w:hAnsi="Arial" w:cs="Arial"/>
          <w:sz w:val="24"/>
          <w:szCs w:val="24"/>
        </w:rPr>
        <w:t xml:space="preserve">: </w:t>
      </w:r>
      <w:hyperlink r:id="rId11" w:history="1">
        <w:r w:rsidRPr="000D7E17">
          <w:rPr>
            <w:rStyle w:val="Hyperlink"/>
            <w:rFonts w:ascii="Arial" w:hAnsi="Arial" w:cs="Arial"/>
            <w:sz w:val="24"/>
            <w:szCs w:val="24"/>
          </w:rPr>
          <w:t>https://doi.org/10.31273/eirj.v10i1.362</w:t>
        </w:r>
      </w:hyperlink>
      <w:r w:rsidRPr="000D7E17">
        <w:rPr>
          <w:rFonts w:ascii="Arial" w:hAnsi="Arial" w:cs="Arial"/>
          <w:sz w:val="24"/>
          <w:szCs w:val="24"/>
        </w:rPr>
        <w:t xml:space="preserve">. </w:t>
      </w:r>
    </w:p>
    <w:p w14:paraId="47AFFDDB" w14:textId="77777777" w:rsidR="00DB3606" w:rsidRPr="000D7E17" w:rsidRDefault="00DB3606" w:rsidP="00E81158">
      <w:pPr>
        <w:spacing w:line="360" w:lineRule="auto"/>
        <w:jc w:val="both"/>
        <w:rPr>
          <w:rFonts w:ascii="Arial" w:hAnsi="Arial" w:cs="Arial"/>
          <w:sz w:val="24"/>
          <w:szCs w:val="24"/>
        </w:rPr>
      </w:pPr>
    </w:p>
    <w:p w14:paraId="3A3C4748" w14:textId="77777777" w:rsidR="00E81158" w:rsidRDefault="00E81158" w:rsidP="00E81158">
      <w:pPr>
        <w:spacing w:line="360" w:lineRule="auto"/>
        <w:jc w:val="both"/>
        <w:rPr>
          <w:rFonts w:ascii="Arial" w:hAnsi="Arial" w:cs="Arial"/>
          <w:sz w:val="24"/>
          <w:szCs w:val="24"/>
        </w:rPr>
      </w:pPr>
      <w:r w:rsidRPr="000D7E17">
        <w:rPr>
          <w:rFonts w:ascii="Arial" w:hAnsi="Arial" w:cs="Arial"/>
          <w:sz w:val="24"/>
          <w:szCs w:val="24"/>
        </w:rPr>
        <w:t xml:space="preserve">He, X. and Hu, Y. (2024). The Decision-Making Processes for Consumer Electric Vehicle Adoption Based on a Goal-Directed </w:t>
      </w:r>
      <w:proofErr w:type="spellStart"/>
      <w:r w:rsidRPr="000D7E17">
        <w:rPr>
          <w:rFonts w:ascii="Arial" w:hAnsi="Arial" w:cs="Arial"/>
          <w:sz w:val="24"/>
          <w:szCs w:val="24"/>
        </w:rPr>
        <w:t>Behavior</w:t>
      </w:r>
      <w:proofErr w:type="spellEnd"/>
      <w:r w:rsidRPr="000D7E17">
        <w:rPr>
          <w:rFonts w:ascii="Arial" w:hAnsi="Arial" w:cs="Arial"/>
          <w:sz w:val="24"/>
          <w:szCs w:val="24"/>
        </w:rPr>
        <w:t xml:space="preserve"> Model. </w:t>
      </w:r>
      <w:r w:rsidRPr="000D7E17">
        <w:rPr>
          <w:rFonts w:ascii="Arial" w:hAnsi="Arial" w:cs="Arial"/>
          <w:i/>
          <w:iCs/>
          <w:sz w:val="24"/>
          <w:szCs w:val="24"/>
        </w:rPr>
        <w:t>World Electric Vehicle Journal</w:t>
      </w:r>
      <w:r w:rsidRPr="000D7E17">
        <w:rPr>
          <w:rFonts w:ascii="Arial" w:hAnsi="Arial" w:cs="Arial"/>
          <w:sz w:val="24"/>
          <w:szCs w:val="24"/>
        </w:rPr>
        <w:t xml:space="preserve">, 15(9), p.386. </w:t>
      </w:r>
      <w:proofErr w:type="spellStart"/>
      <w:r w:rsidRPr="000D7E17">
        <w:rPr>
          <w:rFonts w:ascii="Arial" w:hAnsi="Arial" w:cs="Arial"/>
          <w:sz w:val="24"/>
          <w:szCs w:val="24"/>
        </w:rPr>
        <w:t>doi</w:t>
      </w:r>
      <w:proofErr w:type="spellEnd"/>
      <w:r w:rsidRPr="000D7E17">
        <w:rPr>
          <w:rFonts w:ascii="Arial" w:hAnsi="Arial" w:cs="Arial"/>
          <w:sz w:val="24"/>
          <w:szCs w:val="24"/>
        </w:rPr>
        <w:t xml:space="preserve">: </w:t>
      </w:r>
      <w:hyperlink r:id="rId12" w:history="1">
        <w:r w:rsidRPr="000D7E17">
          <w:rPr>
            <w:rStyle w:val="Hyperlink"/>
            <w:rFonts w:ascii="Arial" w:hAnsi="Arial" w:cs="Arial"/>
            <w:sz w:val="24"/>
            <w:szCs w:val="24"/>
          </w:rPr>
          <w:t>https://doi.org/10.3390/wevj15090386</w:t>
        </w:r>
      </w:hyperlink>
      <w:r w:rsidRPr="000D7E17">
        <w:rPr>
          <w:rFonts w:ascii="Arial" w:hAnsi="Arial" w:cs="Arial"/>
          <w:sz w:val="24"/>
          <w:szCs w:val="24"/>
        </w:rPr>
        <w:t xml:space="preserve">. </w:t>
      </w:r>
    </w:p>
    <w:p w14:paraId="3B2E88AF" w14:textId="77777777" w:rsidR="00DB3606" w:rsidRPr="000D7E17" w:rsidRDefault="00DB3606" w:rsidP="00E81158">
      <w:pPr>
        <w:spacing w:line="360" w:lineRule="auto"/>
        <w:jc w:val="both"/>
        <w:rPr>
          <w:rFonts w:ascii="Arial" w:hAnsi="Arial" w:cs="Arial"/>
          <w:sz w:val="24"/>
          <w:szCs w:val="24"/>
        </w:rPr>
      </w:pPr>
    </w:p>
    <w:p w14:paraId="108FB1FC" w14:textId="73ABB88F" w:rsidR="00DB3606" w:rsidRPr="000D7E17" w:rsidRDefault="00E81158" w:rsidP="00E81158">
      <w:pPr>
        <w:spacing w:line="360" w:lineRule="auto"/>
        <w:jc w:val="both"/>
        <w:rPr>
          <w:rFonts w:ascii="Arial" w:hAnsi="Arial" w:cs="Arial"/>
          <w:sz w:val="24"/>
          <w:szCs w:val="24"/>
        </w:rPr>
      </w:pPr>
      <w:proofErr w:type="spellStart"/>
      <w:r w:rsidRPr="000D7E17">
        <w:rPr>
          <w:rFonts w:ascii="Arial" w:hAnsi="Arial" w:cs="Arial"/>
          <w:sz w:val="24"/>
          <w:szCs w:val="24"/>
        </w:rPr>
        <w:t>Higueras</w:t>
      </w:r>
      <w:proofErr w:type="spellEnd"/>
      <w:r w:rsidRPr="000D7E17">
        <w:rPr>
          <w:rFonts w:ascii="Arial" w:hAnsi="Arial" w:cs="Arial"/>
          <w:sz w:val="24"/>
          <w:szCs w:val="24"/>
        </w:rPr>
        <w:t>-Castillo, E., Singh, V., Singh, V. and Liébana</w:t>
      </w:r>
      <w:r w:rsidRPr="000D7E17">
        <w:rPr>
          <w:rFonts w:ascii="Cambria Math" w:hAnsi="Cambria Math" w:cs="Cambria Math"/>
          <w:sz w:val="24"/>
          <w:szCs w:val="24"/>
        </w:rPr>
        <w:t>‐</w:t>
      </w:r>
      <w:r w:rsidRPr="000D7E17">
        <w:rPr>
          <w:rFonts w:ascii="Arial" w:hAnsi="Arial" w:cs="Arial"/>
          <w:sz w:val="24"/>
          <w:szCs w:val="24"/>
        </w:rPr>
        <w:t xml:space="preserve">Cabanillas, F. (2023). Factors affecting adoption intention of electric vehicle: a cross-cultural study. </w:t>
      </w:r>
      <w:r w:rsidRPr="000D7E17">
        <w:rPr>
          <w:rFonts w:ascii="Arial" w:hAnsi="Arial" w:cs="Arial"/>
          <w:i/>
          <w:iCs/>
          <w:sz w:val="24"/>
          <w:szCs w:val="24"/>
        </w:rPr>
        <w:t>Environment, Development and Sustainability</w:t>
      </w:r>
      <w:r w:rsidRPr="000D7E17">
        <w:rPr>
          <w:rFonts w:ascii="Arial" w:hAnsi="Arial" w:cs="Arial"/>
          <w:sz w:val="24"/>
          <w:szCs w:val="24"/>
        </w:rPr>
        <w:t xml:space="preserve">, 26. </w:t>
      </w:r>
      <w:proofErr w:type="spellStart"/>
      <w:r w:rsidRPr="000D7E17">
        <w:rPr>
          <w:rFonts w:ascii="Arial" w:hAnsi="Arial" w:cs="Arial"/>
          <w:sz w:val="24"/>
          <w:szCs w:val="24"/>
        </w:rPr>
        <w:t>doi</w:t>
      </w:r>
      <w:proofErr w:type="spellEnd"/>
      <w:r w:rsidRPr="000D7E17">
        <w:rPr>
          <w:rFonts w:ascii="Arial" w:hAnsi="Arial" w:cs="Arial"/>
          <w:sz w:val="24"/>
          <w:szCs w:val="24"/>
        </w:rPr>
        <w:t xml:space="preserve">: </w:t>
      </w:r>
      <w:hyperlink r:id="rId13" w:history="1">
        <w:r w:rsidRPr="000D7E17">
          <w:rPr>
            <w:rStyle w:val="Hyperlink"/>
            <w:rFonts w:ascii="Arial" w:hAnsi="Arial" w:cs="Arial"/>
            <w:sz w:val="24"/>
            <w:szCs w:val="24"/>
          </w:rPr>
          <w:t>https://doi.org/10.1007/s10668-023-03865-y</w:t>
        </w:r>
      </w:hyperlink>
      <w:r w:rsidRPr="000D7E17">
        <w:rPr>
          <w:rFonts w:ascii="Arial" w:hAnsi="Arial" w:cs="Arial"/>
          <w:sz w:val="24"/>
          <w:szCs w:val="24"/>
        </w:rPr>
        <w:t xml:space="preserve">. </w:t>
      </w:r>
    </w:p>
    <w:p w14:paraId="2940ECB9" w14:textId="77777777" w:rsidR="00E81158" w:rsidRDefault="00E81158" w:rsidP="00E81158">
      <w:pPr>
        <w:spacing w:line="360" w:lineRule="auto"/>
        <w:jc w:val="both"/>
        <w:rPr>
          <w:rFonts w:ascii="Arial" w:hAnsi="Arial" w:cs="Arial"/>
          <w:sz w:val="24"/>
          <w:szCs w:val="24"/>
        </w:rPr>
      </w:pPr>
      <w:r w:rsidRPr="000D7E17">
        <w:rPr>
          <w:rFonts w:ascii="Arial" w:hAnsi="Arial" w:cs="Arial"/>
          <w:sz w:val="24"/>
          <w:szCs w:val="24"/>
        </w:rPr>
        <w:lastRenderedPageBreak/>
        <w:t xml:space="preserve">Hull, C., Giliomee, J.H., Visser, M. and Booysen, M.J. (2024). Electric vehicle adoption intention among paratransit owners and drivers in South Africa. </w:t>
      </w:r>
      <w:r w:rsidRPr="000D7E17">
        <w:rPr>
          <w:rFonts w:ascii="Arial" w:hAnsi="Arial" w:cs="Arial"/>
          <w:i/>
          <w:iCs/>
          <w:sz w:val="24"/>
          <w:szCs w:val="24"/>
        </w:rPr>
        <w:t>Transport Policy</w:t>
      </w:r>
      <w:r w:rsidRPr="000D7E17">
        <w:rPr>
          <w:rFonts w:ascii="Arial" w:hAnsi="Arial" w:cs="Arial"/>
          <w:sz w:val="24"/>
          <w:szCs w:val="24"/>
        </w:rPr>
        <w:t xml:space="preserve">, [online] 146, pp.137–149. </w:t>
      </w:r>
      <w:proofErr w:type="spellStart"/>
      <w:r w:rsidRPr="000D7E17">
        <w:rPr>
          <w:rFonts w:ascii="Arial" w:hAnsi="Arial" w:cs="Arial"/>
          <w:sz w:val="24"/>
          <w:szCs w:val="24"/>
        </w:rPr>
        <w:t>doi</w:t>
      </w:r>
      <w:proofErr w:type="spellEnd"/>
      <w:r w:rsidRPr="000D7E17">
        <w:rPr>
          <w:rFonts w:ascii="Arial" w:hAnsi="Arial" w:cs="Arial"/>
          <w:sz w:val="24"/>
          <w:szCs w:val="24"/>
        </w:rPr>
        <w:t xml:space="preserve">: </w:t>
      </w:r>
      <w:hyperlink r:id="rId14" w:history="1">
        <w:r w:rsidRPr="000D7E17">
          <w:rPr>
            <w:rStyle w:val="Hyperlink"/>
            <w:rFonts w:ascii="Arial" w:hAnsi="Arial" w:cs="Arial"/>
            <w:sz w:val="24"/>
            <w:szCs w:val="24"/>
          </w:rPr>
          <w:t>https://doi.org/10.1016/j.tranpol.2023.11.015</w:t>
        </w:r>
      </w:hyperlink>
      <w:r w:rsidRPr="000D7E17">
        <w:rPr>
          <w:rFonts w:ascii="Arial" w:hAnsi="Arial" w:cs="Arial"/>
          <w:sz w:val="24"/>
          <w:szCs w:val="24"/>
        </w:rPr>
        <w:t xml:space="preserve">. </w:t>
      </w:r>
    </w:p>
    <w:p w14:paraId="7141129C" w14:textId="77777777" w:rsidR="00DB3606" w:rsidRPr="000D7E17" w:rsidRDefault="00DB3606" w:rsidP="00E81158">
      <w:pPr>
        <w:spacing w:line="360" w:lineRule="auto"/>
        <w:jc w:val="both"/>
        <w:rPr>
          <w:rFonts w:ascii="Arial" w:hAnsi="Arial" w:cs="Arial"/>
          <w:sz w:val="24"/>
          <w:szCs w:val="24"/>
        </w:rPr>
      </w:pPr>
    </w:p>
    <w:p w14:paraId="3AC63738" w14:textId="77777777" w:rsidR="00E81158" w:rsidRDefault="00E81158" w:rsidP="00E81158">
      <w:pPr>
        <w:spacing w:line="360" w:lineRule="auto"/>
        <w:jc w:val="both"/>
        <w:rPr>
          <w:rFonts w:ascii="Arial" w:hAnsi="Arial" w:cs="Arial"/>
          <w:sz w:val="24"/>
          <w:szCs w:val="24"/>
        </w:rPr>
      </w:pPr>
      <w:r w:rsidRPr="000D7E17">
        <w:rPr>
          <w:rFonts w:ascii="Arial" w:hAnsi="Arial" w:cs="Arial"/>
          <w:sz w:val="24"/>
          <w:szCs w:val="24"/>
        </w:rPr>
        <w:t xml:space="preserve">Ivanova, G. and Moreira, A.C. (2023). Antecedents of Electric Vehicle Purchase Intention from the Consumer’s Perspective: A Systematic Literature Review. </w:t>
      </w:r>
      <w:r w:rsidRPr="000D7E17">
        <w:rPr>
          <w:rFonts w:ascii="Arial" w:hAnsi="Arial" w:cs="Arial"/>
          <w:i/>
          <w:iCs/>
          <w:sz w:val="24"/>
          <w:szCs w:val="24"/>
        </w:rPr>
        <w:t>Sustainability</w:t>
      </w:r>
      <w:r w:rsidRPr="000D7E17">
        <w:rPr>
          <w:rFonts w:ascii="Arial" w:hAnsi="Arial" w:cs="Arial"/>
          <w:sz w:val="24"/>
          <w:szCs w:val="24"/>
        </w:rPr>
        <w:t xml:space="preserve">, 15(4), p.2878. </w:t>
      </w:r>
      <w:proofErr w:type="spellStart"/>
      <w:r w:rsidRPr="000D7E17">
        <w:rPr>
          <w:rFonts w:ascii="Arial" w:hAnsi="Arial" w:cs="Arial"/>
          <w:sz w:val="24"/>
          <w:szCs w:val="24"/>
        </w:rPr>
        <w:t>doi</w:t>
      </w:r>
      <w:proofErr w:type="spellEnd"/>
      <w:r w:rsidRPr="000D7E17">
        <w:rPr>
          <w:rFonts w:ascii="Arial" w:hAnsi="Arial" w:cs="Arial"/>
          <w:sz w:val="24"/>
          <w:szCs w:val="24"/>
        </w:rPr>
        <w:t xml:space="preserve">: </w:t>
      </w:r>
      <w:hyperlink r:id="rId15" w:history="1">
        <w:r w:rsidRPr="000D7E17">
          <w:rPr>
            <w:rStyle w:val="Hyperlink"/>
            <w:rFonts w:ascii="Arial" w:hAnsi="Arial" w:cs="Arial"/>
            <w:sz w:val="24"/>
            <w:szCs w:val="24"/>
          </w:rPr>
          <w:t>https://doi.org/10.3390/su15042878</w:t>
        </w:r>
      </w:hyperlink>
      <w:r w:rsidRPr="000D7E17">
        <w:rPr>
          <w:rFonts w:ascii="Arial" w:hAnsi="Arial" w:cs="Arial"/>
          <w:sz w:val="24"/>
          <w:szCs w:val="24"/>
        </w:rPr>
        <w:t xml:space="preserve">. </w:t>
      </w:r>
    </w:p>
    <w:p w14:paraId="3D91388A" w14:textId="77777777" w:rsidR="00DB3606" w:rsidRPr="000D7E17" w:rsidRDefault="00DB3606" w:rsidP="00E81158">
      <w:pPr>
        <w:spacing w:line="360" w:lineRule="auto"/>
        <w:jc w:val="both"/>
        <w:rPr>
          <w:rFonts w:ascii="Arial" w:hAnsi="Arial" w:cs="Arial"/>
          <w:sz w:val="24"/>
          <w:szCs w:val="24"/>
        </w:rPr>
      </w:pPr>
    </w:p>
    <w:p w14:paraId="61413A28" w14:textId="77777777" w:rsidR="00E81158" w:rsidRDefault="00E81158" w:rsidP="00E81158">
      <w:pPr>
        <w:spacing w:line="360" w:lineRule="auto"/>
        <w:jc w:val="both"/>
        <w:rPr>
          <w:rFonts w:ascii="Arial" w:hAnsi="Arial" w:cs="Arial"/>
          <w:sz w:val="24"/>
          <w:szCs w:val="24"/>
        </w:rPr>
      </w:pPr>
      <w:proofErr w:type="spellStart"/>
      <w:r w:rsidRPr="000D7E17">
        <w:rPr>
          <w:rFonts w:ascii="Arial" w:hAnsi="Arial" w:cs="Arial"/>
          <w:sz w:val="24"/>
          <w:szCs w:val="24"/>
        </w:rPr>
        <w:t>Jagani</w:t>
      </w:r>
      <w:proofErr w:type="spellEnd"/>
      <w:r w:rsidRPr="000D7E17">
        <w:rPr>
          <w:rFonts w:ascii="Arial" w:hAnsi="Arial" w:cs="Arial"/>
          <w:sz w:val="24"/>
          <w:szCs w:val="24"/>
        </w:rPr>
        <w:t xml:space="preserve">, S., </w:t>
      </w:r>
      <w:proofErr w:type="spellStart"/>
      <w:r w:rsidRPr="000D7E17">
        <w:rPr>
          <w:rFonts w:ascii="Arial" w:hAnsi="Arial" w:cs="Arial"/>
          <w:sz w:val="24"/>
          <w:szCs w:val="24"/>
        </w:rPr>
        <w:t>Marsillac</w:t>
      </w:r>
      <w:proofErr w:type="spellEnd"/>
      <w:r w:rsidRPr="000D7E17">
        <w:rPr>
          <w:rFonts w:ascii="Arial" w:hAnsi="Arial" w:cs="Arial"/>
          <w:sz w:val="24"/>
          <w:szCs w:val="24"/>
        </w:rPr>
        <w:t xml:space="preserve">, E. and Hong, P. (2024). The Electric Vehicle Supply Chain Ecosystem: Changing Roles of Automotive Suppliers. </w:t>
      </w:r>
      <w:r w:rsidRPr="000D7E17">
        <w:rPr>
          <w:rFonts w:ascii="Arial" w:hAnsi="Arial" w:cs="Arial"/>
          <w:i/>
          <w:iCs/>
          <w:sz w:val="24"/>
          <w:szCs w:val="24"/>
        </w:rPr>
        <w:t>Sustainability</w:t>
      </w:r>
      <w:r w:rsidRPr="000D7E17">
        <w:rPr>
          <w:rFonts w:ascii="Arial" w:hAnsi="Arial" w:cs="Arial"/>
          <w:sz w:val="24"/>
          <w:szCs w:val="24"/>
        </w:rPr>
        <w:t xml:space="preserve">, [online] 16(4), p.1570. </w:t>
      </w:r>
      <w:proofErr w:type="spellStart"/>
      <w:r w:rsidRPr="000D7E17">
        <w:rPr>
          <w:rFonts w:ascii="Arial" w:hAnsi="Arial" w:cs="Arial"/>
          <w:sz w:val="24"/>
          <w:szCs w:val="24"/>
        </w:rPr>
        <w:t>doi</w:t>
      </w:r>
      <w:proofErr w:type="spellEnd"/>
      <w:r w:rsidRPr="000D7E17">
        <w:rPr>
          <w:rFonts w:ascii="Arial" w:hAnsi="Arial" w:cs="Arial"/>
          <w:sz w:val="24"/>
          <w:szCs w:val="24"/>
        </w:rPr>
        <w:t xml:space="preserve">: </w:t>
      </w:r>
      <w:hyperlink r:id="rId16" w:history="1">
        <w:r w:rsidRPr="000D7E17">
          <w:rPr>
            <w:rStyle w:val="Hyperlink"/>
            <w:rFonts w:ascii="Arial" w:hAnsi="Arial" w:cs="Arial"/>
            <w:sz w:val="24"/>
            <w:szCs w:val="24"/>
          </w:rPr>
          <w:t>https://doi.org/10.3390/su16041570</w:t>
        </w:r>
      </w:hyperlink>
      <w:r w:rsidRPr="000D7E17">
        <w:rPr>
          <w:rFonts w:ascii="Arial" w:hAnsi="Arial" w:cs="Arial"/>
          <w:sz w:val="24"/>
          <w:szCs w:val="24"/>
        </w:rPr>
        <w:t xml:space="preserve">. </w:t>
      </w:r>
    </w:p>
    <w:p w14:paraId="45C44542" w14:textId="77777777" w:rsidR="00DB3606" w:rsidRPr="000D7E17" w:rsidRDefault="00DB3606" w:rsidP="00E81158">
      <w:pPr>
        <w:spacing w:line="360" w:lineRule="auto"/>
        <w:jc w:val="both"/>
        <w:rPr>
          <w:rFonts w:ascii="Arial" w:hAnsi="Arial" w:cs="Arial"/>
          <w:sz w:val="24"/>
          <w:szCs w:val="24"/>
        </w:rPr>
      </w:pPr>
    </w:p>
    <w:p w14:paraId="1E60F011" w14:textId="77777777" w:rsidR="00E81158" w:rsidRDefault="00E81158" w:rsidP="00E81158">
      <w:pPr>
        <w:spacing w:line="360" w:lineRule="auto"/>
        <w:jc w:val="both"/>
        <w:rPr>
          <w:rFonts w:ascii="Arial" w:hAnsi="Arial" w:cs="Arial"/>
          <w:sz w:val="24"/>
          <w:szCs w:val="24"/>
        </w:rPr>
      </w:pPr>
      <w:proofErr w:type="spellStart"/>
      <w:r w:rsidRPr="000D7E17">
        <w:rPr>
          <w:rFonts w:ascii="Arial" w:hAnsi="Arial" w:cs="Arial"/>
          <w:sz w:val="24"/>
          <w:szCs w:val="24"/>
        </w:rPr>
        <w:t>Ryghaug</w:t>
      </w:r>
      <w:proofErr w:type="spellEnd"/>
      <w:r w:rsidRPr="000D7E17">
        <w:rPr>
          <w:rFonts w:ascii="Arial" w:hAnsi="Arial" w:cs="Arial"/>
          <w:sz w:val="24"/>
          <w:szCs w:val="24"/>
        </w:rPr>
        <w:t xml:space="preserve">, M. and Tomas Moe Skjølsvold (2023). How policies and actor strategies affect electric vehicle diffusion and wider sustainability transitions. </w:t>
      </w:r>
      <w:r w:rsidRPr="000D7E17">
        <w:rPr>
          <w:rFonts w:ascii="Arial" w:hAnsi="Arial" w:cs="Arial"/>
          <w:i/>
          <w:iCs/>
          <w:sz w:val="24"/>
          <w:szCs w:val="24"/>
        </w:rPr>
        <w:t>Proceedings of the National Academy of Sciences of the United States of America</w:t>
      </w:r>
      <w:r w:rsidRPr="000D7E17">
        <w:rPr>
          <w:rFonts w:ascii="Arial" w:hAnsi="Arial" w:cs="Arial"/>
          <w:sz w:val="24"/>
          <w:szCs w:val="24"/>
        </w:rPr>
        <w:t xml:space="preserve">, 120(47). </w:t>
      </w:r>
      <w:proofErr w:type="spellStart"/>
      <w:r w:rsidRPr="000D7E17">
        <w:rPr>
          <w:rFonts w:ascii="Arial" w:hAnsi="Arial" w:cs="Arial"/>
          <w:sz w:val="24"/>
          <w:szCs w:val="24"/>
        </w:rPr>
        <w:t>doi</w:t>
      </w:r>
      <w:proofErr w:type="spellEnd"/>
      <w:r w:rsidRPr="000D7E17">
        <w:rPr>
          <w:rFonts w:ascii="Arial" w:hAnsi="Arial" w:cs="Arial"/>
          <w:sz w:val="24"/>
          <w:szCs w:val="24"/>
        </w:rPr>
        <w:t xml:space="preserve">: </w:t>
      </w:r>
      <w:hyperlink r:id="rId17" w:history="1">
        <w:r w:rsidRPr="000D7E17">
          <w:rPr>
            <w:rStyle w:val="Hyperlink"/>
            <w:rFonts w:ascii="Arial" w:hAnsi="Arial" w:cs="Arial"/>
            <w:sz w:val="24"/>
            <w:szCs w:val="24"/>
          </w:rPr>
          <w:t>https://doi.org/10.1073/pnas.2207888119</w:t>
        </w:r>
      </w:hyperlink>
      <w:r w:rsidRPr="000D7E17">
        <w:rPr>
          <w:rFonts w:ascii="Arial" w:hAnsi="Arial" w:cs="Arial"/>
          <w:sz w:val="24"/>
          <w:szCs w:val="24"/>
        </w:rPr>
        <w:t xml:space="preserve">. </w:t>
      </w:r>
    </w:p>
    <w:p w14:paraId="7C14D342" w14:textId="77777777" w:rsidR="00DB3606" w:rsidRPr="000D7E17" w:rsidRDefault="00DB3606" w:rsidP="00E81158">
      <w:pPr>
        <w:spacing w:line="360" w:lineRule="auto"/>
        <w:jc w:val="both"/>
        <w:rPr>
          <w:rFonts w:ascii="Arial" w:hAnsi="Arial" w:cs="Arial"/>
          <w:sz w:val="24"/>
          <w:szCs w:val="24"/>
        </w:rPr>
      </w:pPr>
    </w:p>
    <w:p w14:paraId="07E6865C" w14:textId="77777777" w:rsidR="00E81158" w:rsidRDefault="00E81158" w:rsidP="00E81158">
      <w:pPr>
        <w:spacing w:line="360" w:lineRule="auto"/>
        <w:jc w:val="both"/>
        <w:rPr>
          <w:rFonts w:ascii="Arial" w:hAnsi="Arial" w:cs="Arial"/>
          <w:sz w:val="24"/>
          <w:szCs w:val="24"/>
        </w:rPr>
      </w:pPr>
      <w:proofErr w:type="spellStart"/>
      <w:r w:rsidRPr="000D7E17">
        <w:rPr>
          <w:rFonts w:ascii="Arial" w:hAnsi="Arial" w:cs="Arial"/>
          <w:sz w:val="24"/>
          <w:szCs w:val="24"/>
        </w:rPr>
        <w:t>Yeğin</w:t>
      </w:r>
      <w:proofErr w:type="spellEnd"/>
      <w:r w:rsidRPr="000D7E17">
        <w:rPr>
          <w:rFonts w:ascii="Arial" w:hAnsi="Arial" w:cs="Arial"/>
          <w:sz w:val="24"/>
          <w:szCs w:val="24"/>
        </w:rPr>
        <w:t xml:space="preserve">, T. and Ikram, M. (2022). Analysis of Consumers’ Electric Vehicle Purchase Intentions: An Expansion of the Theory of Planned </w:t>
      </w:r>
      <w:proofErr w:type="spellStart"/>
      <w:r w:rsidRPr="000D7E17">
        <w:rPr>
          <w:rFonts w:ascii="Arial" w:hAnsi="Arial" w:cs="Arial"/>
          <w:sz w:val="24"/>
          <w:szCs w:val="24"/>
        </w:rPr>
        <w:t>Behavior</w:t>
      </w:r>
      <w:proofErr w:type="spellEnd"/>
      <w:r w:rsidRPr="000D7E17">
        <w:rPr>
          <w:rFonts w:ascii="Arial" w:hAnsi="Arial" w:cs="Arial"/>
          <w:sz w:val="24"/>
          <w:szCs w:val="24"/>
        </w:rPr>
        <w:t xml:space="preserve">. </w:t>
      </w:r>
      <w:r w:rsidRPr="000D7E17">
        <w:rPr>
          <w:rFonts w:ascii="Arial" w:hAnsi="Arial" w:cs="Arial"/>
          <w:i/>
          <w:iCs/>
          <w:sz w:val="24"/>
          <w:szCs w:val="24"/>
        </w:rPr>
        <w:t>Sustainability</w:t>
      </w:r>
      <w:r w:rsidRPr="000D7E17">
        <w:rPr>
          <w:rFonts w:ascii="Arial" w:hAnsi="Arial" w:cs="Arial"/>
          <w:sz w:val="24"/>
          <w:szCs w:val="24"/>
        </w:rPr>
        <w:t xml:space="preserve">, 14(19), p.12091. </w:t>
      </w:r>
      <w:proofErr w:type="spellStart"/>
      <w:r w:rsidRPr="000D7E17">
        <w:rPr>
          <w:rFonts w:ascii="Arial" w:hAnsi="Arial" w:cs="Arial"/>
          <w:sz w:val="24"/>
          <w:szCs w:val="24"/>
        </w:rPr>
        <w:t>doi</w:t>
      </w:r>
      <w:proofErr w:type="spellEnd"/>
      <w:r w:rsidRPr="000D7E17">
        <w:rPr>
          <w:rFonts w:ascii="Arial" w:hAnsi="Arial" w:cs="Arial"/>
          <w:sz w:val="24"/>
          <w:szCs w:val="24"/>
        </w:rPr>
        <w:t xml:space="preserve">: </w:t>
      </w:r>
      <w:hyperlink r:id="rId18" w:history="1">
        <w:r w:rsidRPr="000D7E17">
          <w:rPr>
            <w:rStyle w:val="Hyperlink"/>
            <w:rFonts w:ascii="Arial" w:hAnsi="Arial" w:cs="Arial"/>
            <w:sz w:val="24"/>
            <w:szCs w:val="24"/>
          </w:rPr>
          <w:t>https://doi.org/10.3390/su141912091</w:t>
        </w:r>
      </w:hyperlink>
      <w:r w:rsidRPr="000D7E17">
        <w:rPr>
          <w:rFonts w:ascii="Arial" w:hAnsi="Arial" w:cs="Arial"/>
          <w:sz w:val="24"/>
          <w:szCs w:val="24"/>
        </w:rPr>
        <w:t xml:space="preserve">. </w:t>
      </w:r>
    </w:p>
    <w:p w14:paraId="0FC7E7C5" w14:textId="77777777" w:rsidR="00DB3606" w:rsidRPr="000D7E17" w:rsidRDefault="00DB3606" w:rsidP="00E81158">
      <w:pPr>
        <w:spacing w:line="360" w:lineRule="auto"/>
        <w:jc w:val="both"/>
        <w:rPr>
          <w:rFonts w:ascii="Arial" w:hAnsi="Arial" w:cs="Arial"/>
          <w:sz w:val="24"/>
          <w:szCs w:val="24"/>
        </w:rPr>
      </w:pPr>
    </w:p>
    <w:p w14:paraId="3C438BB0" w14:textId="54D072A2" w:rsidR="00F227C0" w:rsidRPr="00DB3606" w:rsidRDefault="00E81158" w:rsidP="00DB3606">
      <w:pPr>
        <w:spacing w:line="360" w:lineRule="auto"/>
        <w:jc w:val="both"/>
        <w:rPr>
          <w:rFonts w:ascii="Arial" w:hAnsi="Arial" w:cs="Arial"/>
          <w:sz w:val="24"/>
          <w:szCs w:val="24"/>
        </w:rPr>
      </w:pPr>
      <w:r w:rsidRPr="000D7E17">
        <w:rPr>
          <w:rFonts w:ascii="Arial" w:hAnsi="Arial" w:cs="Arial"/>
          <w:sz w:val="24"/>
          <w:szCs w:val="24"/>
        </w:rPr>
        <w:t xml:space="preserve">Zaino, R., Ahmed, V., Alhammadi, A.M. and </w:t>
      </w:r>
      <w:proofErr w:type="spellStart"/>
      <w:r w:rsidRPr="000D7E17">
        <w:rPr>
          <w:rFonts w:ascii="Arial" w:hAnsi="Arial" w:cs="Arial"/>
          <w:sz w:val="24"/>
          <w:szCs w:val="24"/>
        </w:rPr>
        <w:t>Alghoush</w:t>
      </w:r>
      <w:proofErr w:type="spellEnd"/>
      <w:r w:rsidRPr="000D7E17">
        <w:rPr>
          <w:rFonts w:ascii="Arial" w:hAnsi="Arial" w:cs="Arial"/>
          <w:sz w:val="24"/>
          <w:szCs w:val="24"/>
        </w:rPr>
        <w:t xml:space="preserve">, M. (2024). Electric Vehicle Adoption: A Comprehensive Systematic Review of Technological, Environmental, Organizational and Policy Impacts. </w:t>
      </w:r>
      <w:r w:rsidRPr="000D7E17">
        <w:rPr>
          <w:rFonts w:ascii="Arial" w:hAnsi="Arial" w:cs="Arial"/>
          <w:i/>
          <w:iCs/>
          <w:sz w:val="24"/>
          <w:szCs w:val="24"/>
        </w:rPr>
        <w:t>World Electric Vehicle Journal</w:t>
      </w:r>
      <w:r w:rsidRPr="000D7E17">
        <w:rPr>
          <w:rFonts w:ascii="Arial" w:hAnsi="Arial" w:cs="Arial"/>
          <w:sz w:val="24"/>
          <w:szCs w:val="24"/>
        </w:rPr>
        <w:t xml:space="preserve">, [online] 15(8), p.375. </w:t>
      </w:r>
      <w:proofErr w:type="spellStart"/>
      <w:r w:rsidRPr="000D7E17">
        <w:rPr>
          <w:rFonts w:ascii="Arial" w:hAnsi="Arial" w:cs="Arial"/>
          <w:sz w:val="24"/>
          <w:szCs w:val="24"/>
        </w:rPr>
        <w:t>doi</w:t>
      </w:r>
      <w:proofErr w:type="spellEnd"/>
      <w:r w:rsidRPr="000D7E17">
        <w:rPr>
          <w:rFonts w:ascii="Arial" w:hAnsi="Arial" w:cs="Arial"/>
          <w:sz w:val="24"/>
          <w:szCs w:val="24"/>
        </w:rPr>
        <w:t xml:space="preserve">: </w:t>
      </w:r>
      <w:hyperlink r:id="rId19" w:history="1">
        <w:r w:rsidRPr="000D7E17">
          <w:rPr>
            <w:rStyle w:val="Hyperlink"/>
            <w:rFonts w:ascii="Arial" w:hAnsi="Arial" w:cs="Arial"/>
            <w:sz w:val="24"/>
            <w:szCs w:val="24"/>
          </w:rPr>
          <w:t>https://doi.org/10.3390/wevj15080375</w:t>
        </w:r>
      </w:hyperlink>
      <w:r w:rsidRPr="000D7E17">
        <w:rPr>
          <w:rFonts w:ascii="Arial" w:hAnsi="Arial" w:cs="Arial"/>
          <w:sz w:val="24"/>
          <w:szCs w:val="24"/>
        </w:rPr>
        <w:t xml:space="preserve">. </w:t>
      </w:r>
    </w:p>
    <w:sectPr w:rsidR="00F227C0" w:rsidRPr="00DB36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E2E"/>
    <w:rsid w:val="000327A6"/>
    <w:rsid w:val="000D7E17"/>
    <w:rsid w:val="00136977"/>
    <w:rsid w:val="00192812"/>
    <w:rsid w:val="001C1726"/>
    <w:rsid w:val="00200059"/>
    <w:rsid w:val="00247576"/>
    <w:rsid w:val="00297DAA"/>
    <w:rsid w:val="002A3884"/>
    <w:rsid w:val="002B24E0"/>
    <w:rsid w:val="002D7394"/>
    <w:rsid w:val="0031422E"/>
    <w:rsid w:val="00351E3A"/>
    <w:rsid w:val="00356FC7"/>
    <w:rsid w:val="003920C2"/>
    <w:rsid w:val="003A7139"/>
    <w:rsid w:val="00424DFC"/>
    <w:rsid w:val="00435529"/>
    <w:rsid w:val="004364BB"/>
    <w:rsid w:val="0046321E"/>
    <w:rsid w:val="004A4E74"/>
    <w:rsid w:val="004E5201"/>
    <w:rsid w:val="00507D98"/>
    <w:rsid w:val="0051467F"/>
    <w:rsid w:val="00522E2E"/>
    <w:rsid w:val="005346B7"/>
    <w:rsid w:val="0054356D"/>
    <w:rsid w:val="0056613F"/>
    <w:rsid w:val="00596124"/>
    <w:rsid w:val="005C515A"/>
    <w:rsid w:val="005E1B4D"/>
    <w:rsid w:val="006023AD"/>
    <w:rsid w:val="00637E0E"/>
    <w:rsid w:val="00661900"/>
    <w:rsid w:val="00675CE5"/>
    <w:rsid w:val="006C0EF6"/>
    <w:rsid w:val="006E6BD7"/>
    <w:rsid w:val="00700F41"/>
    <w:rsid w:val="00713D8E"/>
    <w:rsid w:val="00785569"/>
    <w:rsid w:val="00792B7D"/>
    <w:rsid w:val="007B29BD"/>
    <w:rsid w:val="007C5BFB"/>
    <w:rsid w:val="007E496E"/>
    <w:rsid w:val="008A4D01"/>
    <w:rsid w:val="008B50FD"/>
    <w:rsid w:val="00922990"/>
    <w:rsid w:val="0092611F"/>
    <w:rsid w:val="00937EE0"/>
    <w:rsid w:val="009551F4"/>
    <w:rsid w:val="0095539D"/>
    <w:rsid w:val="009A48B3"/>
    <w:rsid w:val="009B4B26"/>
    <w:rsid w:val="009C5140"/>
    <w:rsid w:val="00A1435A"/>
    <w:rsid w:val="00A268E5"/>
    <w:rsid w:val="00A43A5E"/>
    <w:rsid w:val="00A71BA1"/>
    <w:rsid w:val="00A748A4"/>
    <w:rsid w:val="00A92432"/>
    <w:rsid w:val="00AF384E"/>
    <w:rsid w:val="00AF560D"/>
    <w:rsid w:val="00B74F9A"/>
    <w:rsid w:val="00BB34BD"/>
    <w:rsid w:val="00BC03AC"/>
    <w:rsid w:val="00BC5758"/>
    <w:rsid w:val="00BE16CC"/>
    <w:rsid w:val="00BF24C9"/>
    <w:rsid w:val="00BF4F83"/>
    <w:rsid w:val="00C03A17"/>
    <w:rsid w:val="00C31972"/>
    <w:rsid w:val="00C8173C"/>
    <w:rsid w:val="00CA050D"/>
    <w:rsid w:val="00CD1F1C"/>
    <w:rsid w:val="00CD7BED"/>
    <w:rsid w:val="00D206F3"/>
    <w:rsid w:val="00D2222C"/>
    <w:rsid w:val="00D278C2"/>
    <w:rsid w:val="00D3395E"/>
    <w:rsid w:val="00D52C22"/>
    <w:rsid w:val="00D63031"/>
    <w:rsid w:val="00DA1192"/>
    <w:rsid w:val="00DA12B1"/>
    <w:rsid w:val="00DB3606"/>
    <w:rsid w:val="00DC0BA4"/>
    <w:rsid w:val="00DC1F83"/>
    <w:rsid w:val="00DE7421"/>
    <w:rsid w:val="00DF5AC9"/>
    <w:rsid w:val="00E22912"/>
    <w:rsid w:val="00E418CC"/>
    <w:rsid w:val="00E64EAA"/>
    <w:rsid w:val="00E719F4"/>
    <w:rsid w:val="00E81158"/>
    <w:rsid w:val="00EC60C2"/>
    <w:rsid w:val="00ED1D74"/>
    <w:rsid w:val="00EF1F81"/>
    <w:rsid w:val="00F227C0"/>
    <w:rsid w:val="00F451C7"/>
    <w:rsid w:val="00F47797"/>
    <w:rsid w:val="00F61B26"/>
    <w:rsid w:val="00F77D56"/>
    <w:rsid w:val="00F82A4E"/>
    <w:rsid w:val="00F853E5"/>
    <w:rsid w:val="00F8798B"/>
    <w:rsid w:val="00FB30B6"/>
    <w:rsid w:val="00FB3CB0"/>
    <w:rsid w:val="00FE490D"/>
    <w:rsid w:val="00FE4AC3"/>
    <w:rsid w:val="00FF59A3"/>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34F81"/>
  <w15:chartTrackingRefBased/>
  <w15:docId w15:val="{B0522375-2EE4-4A1A-9637-3AA57BFC2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GB"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158"/>
    <w:rPr>
      <w:szCs w:val="22"/>
      <w:lang w:val="en-IN" w:bidi="ar-SA"/>
    </w:rPr>
  </w:style>
  <w:style w:type="paragraph" w:styleId="Heading1">
    <w:name w:val="heading 1"/>
    <w:basedOn w:val="Normal"/>
    <w:next w:val="Normal"/>
    <w:link w:val="Heading1Char"/>
    <w:uiPriority w:val="9"/>
    <w:qFormat/>
    <w:rsid w:val="00522E2E"/>
    <w:pPr>
      <w:keepNext/>
      <w:keepLines/>
      <w:spacing w:before="360" w:after="80"/>
      <w:outlineLvl w:val="0"/>
    </w:pPr>
    <w:rPr>
      <w:rFonts w:asciiTheme="majorHAnsi" w:eastAsiaTheme="majorEastAsia" w:hAnsiTheme="majorHAnsi" w:cstheme="majorBidi"/>
      <w:color w:val="2F5496" w:themeColor="accent1" w:themeShade="BF"/>
      <w:sz w:val="40"/>
      <w:szCs w:val="50"/>
      <w:lang w:val="en-GB" w:bidi="th-TH"/>
    </w:rPr>
  </w:style>
  <w:style w:type="paragraph" w:styleId="Heading2">
    <w:name w:val="heading 2"/>
    <w:basedOn w:val="Normal"/>
    <w:next w:val="Normal"/>
    <w:link w:val="Heading2Char"/>
    <w:uiPriority w:val="9"/>
    <w:unhideWhenUsed/>
    <w:qFormat/>
    <w:rsid w:val="00522E2E"/>
    <w:pPr>
      <w:keepNext/>
      <w:keepLines/>
      <w:spacing w:before="160" w:after="80"/>
      <w:outlineLvl w:val="1"/>
    </w:pPr>
    <w:rPr>
      <w:rFonts w:asciiTheme="majorHAnsi" w:eastAsiaTheme="majorEastAsia" w:hAnsiTheme="majorHAnsi" w:cstheme="majorBidi"/>
      <w:color w:val="2F5496" w:themeColor="accent1" w:themeShade="BF"/>
      <w:sz w:val="32"/>
      <w:szCs w:val="40"/>
      <w:lang w:val="en-GB" w:bidi="th-TH"/>
    </w:rPr>
  </w:style>
  <w:style w:type="paragraph" w:styleId="Heading3">
    <w:name w:val="heading 3"/>
    <w:basedOn w:val="Normal"/>
    <w:next w:val="Normal"/>
    <w:link w:val="Heading3Char"/>
    <w:uiPriority w:val="9"/>
    <w:unhideWhenUsed/>
    <w:qFormat/>
    <w:rsid w:val="00522E2E"/>
    <w:pPr>
      <w:keepNext/>
      <w:keepLines/>
      <w:spacing w:before="160" w:after="80"/>
      <w:outlineLvl w:val="2"/>
    </w:pPr>
    <w:rPr>
      <w:rFonts w:eastAsiaTheme="majorEastAsia" w:cstheme="majorBidi"/>
      <w:color w:val="2F5496" w:themeColor="accent1" w:themeShade="BF"/>
      <w:sz w:val="28"/>
      <w:szCs w:val="35"/>
      <w:lang w:val="en-GB" w:bidi="th-TH"/>
    </w:rPr>
  </w:style>
  <w:style w:type="paragraph" w:styleId="Heading4">
    <w:name w:val="heading 4"/>
    <w:basedOn w:val="Normal"/>
    <w:next w:val="Normal"/>
    <w:link w:val="Heading4Char"/>
    <w:uiPriority w:val="9"/>
    <w:semiHidden/>
    <w:unhideWhenUsed/>
    <w:qFormat/>
    <w:rsid w:val="00522E2E"/>
    <w:pPr>
      <w:keepNext/>
      <w:keepLines/>
      <w:spacing w:before="80" w:after="40"/>
      <w:outlineLvl w:val="3"/>
    </w:pPr>
    <w:rPr>
      <w:rFonts w:eastAsiaTheme="majorEastAsia" w:cstheme="majorBidi"/>
      <w:i/>
      <w:iCs/>
      <w:color w:val="2F5496" w:themeColor="accent1" w:themeShade="BF"/>
      <w:szCs w:val="28"/>
      <w:lang w:val="en-GB" w:bidi="th-TH"/>
    </w:rPr>
  </w:style>
  <w:style w:type="paragraph" w:styleId="Heading5">
    <w:name w:val="heading 5"/>
    <w:basedOn w:val="Normal"/>
    <w:next w:val="Normal"/>
    <w:link w:val="Heading5Char"/>
    <w:uiPriority w:val="9"/>
    <w:semiHidden/>
    <w:unhideWhenUsed/>
    <w:qFormat/>
    <w:rsid w:val="00522E2E"/>
    <w:pPr>
      <w:keepNext/>
      <w:keepLines/>
      <w:spacing w:before="80" w:after="40"/>
      <w:outlineLvl w:val="4"/>
    </w:pPr>
    <w:rPr>
      <w:rFonts w:eastAsiaTheme="majorEastAsia" w:cstheme="majorBidi"/>
      <w:color w:val="2F5496" w:themeColor="accent1" w:themeShade="BF"/>
      <w:szCs w:val="28"/>
      <w:lang w:val="en-GB" w:bidi="th-TH"/>
    </w:rPr>
  </w:style>
  <w:style w:type="paragraph" w:styleId="Heading6">
    <w:name w:val="heading 6"/>
    <w:basedOn w:val="Normal"/>
    <w:next w:val="Normal"/>
    <w:link w:val="Heading6Char"/>
    <w:uiPriority w:val="9"/>
    <w:semiHidden/>
    <w:unhideWhenUsed/>
    <w:qFormat/>
    <w:rsid w:val="00522E2E"/>
    <w:pPr>
      <w:keepNext/>
      <w:keepLines/>
      <w:spacing w:before="40" w:after="0"/>
      <w:outlineLvl w:val="5"/>
    </w:pPr>
    <w:rPr>
      <w:rFonts w:eastAsiaTheme="majorEastAsia" w:cstheme="majorBidi"/>
      <w:i/>
      <w:iCs/>
      <w:color w:val="595959" w:themeColor="text1" w:themeTint="A6"/>
      <w:szCs w:val="28"/>
      <w:lang w:val="en-GB" w:bidi="th-TH"/>
    </w:rPr>
  </w:style>
  <w:style w:type="paragraph" w:styleId="Heading7">
    <w:name w:val="heading 7"/>
    <w:basedOn w:val="Normal"/>
    <w:next w:val="Normal"/>
    <w:link w:val="Heading7Char"/>
    <w:uiPriority w:val="9"/>
    <w:semiHidden/>
    <w:unhideWhenUsed/>
    <w:qFormat/>
    <w:rsid w:val="00522E2E"/>
    <w:pPr>
      <w:keepNext/>
      <w:keepLines/>
      <w:spacing w:before="40" w:after="0"/>
      <w:outlineLvl w:val="6"/>
    </w:pPr>
    <w:rPr>
      <w:rFonts w:eastAsiaTheme="majorEastAsia" w:cstheme="majorBidi"/>
      <w:color w:val="595959" w:themeColor="text1" w:themeTint="A6"/>
      <w:szCs w:val="28"/>
      <w:lang w:val="en-GB" w:bidi="th-TH"/>
    </w:rPr>
  </w:style>
  <w:style w:type="paragraph" w:styleId="Heading8">
    <w:name w:val="heading 8"/>
    <w:basedOn w:val="Normal"/>
    <w:next w:val="Normal"/>
    <w:link w:val="Heading8Char"/>
    <w:uiPriority w:val="9"/>
    <w:semiHidden/>
    <w:unhideWhenUsed/>
    <w:qFormat/>
    <w:rsid w:val="00522E2E"/>
    <w:pPr>
      <w:keepNext/>
      <w:keepLines/>
      <w:spacing w:after="0"/>
      <w:outlineLvl w:val="7"/>
    </w:pPr>
    <w:rPr>
      <w:rFonts w:eastAsiaTheme="majorEastAsia" w:cstheme="majorBidi"/>
      <w:i/>
      <w:iCs/>
      <w:color w:val="272727" w:themeColor="text1" w:themeTint="D8"/>
      <w:szCs w:val="28"/>
      <w:lang w:val="en-GB" w:bidi="th-TH"/>
    </w:rPr>
  </w:style>
  <w:style w:type="paragraph" w:styleId="Heading9">
    <w:name w:val="heading 9"/>
    <w:basedOn w:val="Normal"/>
    <w:next w:val="Normal"/>
    <w:link w:val="Heading9Char"/>
    <w:uiPriority w:val="9"/>
    <w:semiHidden/>
    <w:unhideWhenUsed/>
    <w:qFormat/>
    <w:rsid w:val="00522E2E"/>
    <w:pPr>
      <w:keepNext/>
      <w:keepLines/>
      <w:spacing w:after="0"/>
      <w:outlineLvl w:val="8"/>
    </w:pPr>
    <w:rPr>
      <w:rFonts w:eastAsiaTheme="majorEastAsia" w:cstheme="majorBidi"/>
      <w:color w:val="272727" w:themeColor="text1" w:themeTint="D8"/>
      <w:szCs w:val="28"/>
      <w:lang w:val="en-GB" w:bidi="th-T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E2E"/>
    <w:rPr>
      <w:rFonts w:asciiTheme="majorHAnsi" w:eastAsiaTheme="majorEastAsia" w:hAnsiTheme="majorHAnsi" w:cstheme="majorBidi"/>
      <w:color w:val="2F5496" w:themeColor="accent1" w:themeShade="BF"/>
      <w:sz w:val="40"/>
      <w:szCs w:val="50"/>
    </w:rPr>
  </w:style>
  <w:style w:type="character" w:customStyle="1" w:styleId="Heading2Char">
    <w:name w:val="Heading 2 Char"/>
    <w:basedOn w:val="DefaultParagraphFont"/>
    <w:link w:val="Heading2"/>
    <w:uiPriority w:val="9"/>
    <w:rsid w:val="00522E2E"/>
    <w:rPr>
      <w:rFonts w:asciiTheme="majorHAnsi" w:eastAsiaTheme="majorEastAsia" w:hAnsiTheme="majorHAnsi" w:cstheme="majorBidi"/>
      <w:color w:val="2F5496" w:themeColor="accent1" w:themeShade="BF"/>
      <w:sz w:val="32"/>
      <w:szCs w:val="40"/>
    </w:rPr>
  </w:style>
  <w:style w:type="character" w:customStyle="1" w:styleId="Heading3Char">
    <w:name w:val="Heading 3 Char"/>
    <w:basedOn w:val="DefaultParagraphFont"/>
    <w:link w:val="Heading3"/>
    <w:uiPriority w:val="9"/>
    <w:rsid w:val="00522E2E"/>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522E2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22E2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22E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2E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2E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2E2E"/>
    <w:rPr>
      <w:rFonts w:eastAsiaTheme="majorEastAsia" w:cstheme="majorBidi"/>
      <w:color w:val="272727" w:themeColor="text1" w:themeTint="D8"/>
    </w:rPr>
  </w:style>
  <w:style w:type="paragraph" w:styleId="Title">
    <w:name w:val="Title"/>
    <w:basedOn w:val="Normal"/>
    <w:next w:val="Normal"/>
    <w:link w:val="TitleChar"/>
    <w:uiPriority w:val="10"/>
    <w:qFormat/>
    <w:rsid w:val="00522E2E"/>
    <w:pPr>
      <w:spacing w:after="80" w:line="240" w:lineRule="auto"/>
      <w:contextualSpacing/>
    </w:pPr>
    <w:rPr>
      <w:rFonts w:asciiTheme="majorHAnsi" w:eastAsiaTheme="majorEastAsia" w:hAnsiTheme="majorHAnsi" w:cstheme="majorBidi"/>
      <w:spacing w:val="-10"/>
      <w:kern w:val="28"/>
      <w:sz w:val="56"/>
      <w:szCs w:val="71"/>
      <w:lang w:val="en-GB" w:bidi="th-TH"/>
    </w:rPr>
  </w:style>
  <w:style w:type="character" w:customStyle="1" w:styleId="TitleChar">
    <w:name w:val="Title Char"/>
    <w:basedOn w:val="DefaultParagraphFont"/>
    <w:link w:val="Title"/>
    <w:uiPriority w:val="10"/>
    <w:rsid w:val="00522E2E"/>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522E2E"/>
    <w:pPr>
      <w:numPr>
        <w:ilvl w:val="1"/>
      </w:numPr>
    </w:pPr>
    <w:rPr>
      <w:rFonts w:eastAsiaTheme="majorEastAsia" w:cstheme="majorBidi"/>
      <w:color w:val="595959" w:themeColor="text1" w:themeTint="A6"/>
      <w:spacing w:val="15"/>
      <w:sz w:val="28"/>
      <w:szCs w:val="35"/>
      <w:lang w:val="en-GB" w:bidi="th-TH"/>
    </w:rPr>
  </w:style>
  <w:style w:type="character" w:customStyle="1" w:styleId="SubtitleChar">
    <w:name w:val="Subtitle Char"/>
    <w:basedOn w:val="DefaultParagraphFont"/>
    <w:link w:val="Subtitle"/>
    <w:uiPriority w:val="11"/>
    <w:rsid w:val="00522E2E"/>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522E2E"/>
    <w:pPr>
      <w:spacing w:before="160"/>
      <w:jc w:val="center"/>
    </w:pPr>
    <w:rPr>
      <w:i/>
      <w:iCs/>
      <w:color w:val="404040" w:themeColor="text1" w:themeTint="BF"/>
      <w:szCs w:val="28"/>
      <w:lang w:val="en-GB" w:bidi="th-TH"/>
    </w:rPr>
  </w:style>
  <w:style w:type="character" w:customStyle="1" w:styleId="QuoteChar">
    <w:name w:val="Quote Char"/>
    <w:basedOn w:val="DefaultParagraphFont"/>
    <w:link w:val="Quote"/>
    <w:uiPriority w:val="29"/>
    <w:rsid w:val="00522E2E"/>
    <w:rPr>
      <w:i/>
      <w:iCs/>
      <w:color w:val="404040" w:themeColor="text1" w:themeTint="BF"/>
    </w:rPr>
  </w:style>
  <w:style w:type="paragraph" w:styleId="ListParagraph">
    <w:name w:val="List Paragraph"/>
    <w:basedOn w:val="Normal"/>
    <w:uiPriority w:val="34"/>
    <w:qFormat/>
    <w:rsid w:val="00522E2E"/>
    <w:pPr>
      <w:ind w:left="720"/>
      <w:contextualSpacing/>
    </w:pPr>
    <w:rPr>
      <w:szCs w:val="28"/>
      <w:lang w:val="en-GB" w:bidi="th-TH"/>
    </w:rPr>
  </w:style>
  <w:style w:type="character" w:styleId="IntenseEmphasis">
    <w:name w:val="Intense Emphasis"/>
    <w:basedOn w:val="DefaultParagraphFont"/>
    <w:uiPriority w:val="21"/>
    <w:qFormat/>
    <w:rsid w:val="00522E2E"/>
    <w:rPr>
      <w:i/>
      <w:iCs/>
      <w:color w:val="2F5496" w:themeColor="accent1" w:themeShade="BF"/>
    </w:rPr>
  </w:style>
  <w:style w:type="paragraph" w:styleId="IntenseQuote">
    <w:name w:val="Intense Quote"/>
    <w:basedOn w:val="Normal"/>
    <w:next w:val="Normal"/>
    <w:link w:val="IntenseQuoteChar"/>
    <w:uiPriority w:val="30"/>
    <w:qFormat/>
    <w:rsid w:val="00522E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szCs w:val="28"/>
      <w:lang w:val="en-GB" w:bidi="th-TH"/>
    </w:rPr>
  </w:style>
  <w:style w:type="character" w:customStyle="1" w:styleId="IntenseQuoteChar">
    <w:name w:val="Intense Quote Char"/>
    <w:basedOn w:val="DefaultParagraphFont"/>
    <w:link w:val="IntenseQuote"/>
    <w:uiPriority w:val="30"/>
    <w:rsid w:val="00522E2E"/>
    <w:rPr>
      <w:i/>
      <w:iCs/>
      <w:color w:val="2F5496" w:themeColor="accent1" w:themeShade="BF"/>
    </w:rPr>
  </w:style>
  <w:style w:type="character" w:styleId="IntenseReference">
    <w:name w:val="Intense Reference"/>
    <w:basedOn w:val="DefaultParagraphFont"/>
    <w:uiPriority w:val="32"/>
    <w:qFormat/>
    <w:rsid w:val="00522E2E"/>
    <w:rPr>
      <w:b/>
      <w:bCs/>
      <w:smallCaps/>
      <w:color w:val="2F5496" w:themeColor="accent1" w:themeShade="BF"/>
      <w:spacing w:val="5"/>
    </w:rPr>
  </w:style>
  <w:style w:type="character" w:styleId="Hyperlink">
    <w:name w:val="Hyperlink"/>
    <w:basedOn w:val="DefaultParagraphFont"/>
    <w:uiPriority w:val="99"/>
    <w:unhideWhenUsed/>
    <w:rsid w:val="00E81158"/>
    <w:rPr>
      <w:color w:val="0563C1" w:themeColor="hyperlink"/>
      <w:u w:val="single"/>
    </w:rPr>
  </w:style>
  <w:style w:type="paragraph" w:styleId="TOCHeading">
    <w:name w:val="TOC Heading"/>
    <w:basedOn w:val="Heading1"/>
    <w:next w:val="Normal"/>
    <w:uiPriority w:val="39"/>
    <w:unhideWhenUsed/>
    <w:qFormat/>
    <w:rsid w:val="00E81158"/>
    <w:pPr>
      <w:spacing w:before="240" w:after="0"/>
      <w:outlineLvl w:val="9"/>
    </w:pPr>
    <w:rPr>
      <w:kern w:val="0"/>
      <w:sz w:val="32"/>
      <w:szCs w:val="32"/>
      <w:lang w:val="en-US" w:bidi="ar-SA"/>
      <w14:ligatures w14:val="none"/>
    </w:rPr>
  </w:style>
  <w:style w:type="paragraph" w:styleId="TOC1">
    <w:name w:val="toc 1"/>
    <w:basedOn w:val="Normal"/>
    <w:next w:val="Normal"/>
    <w:autoRedefine/>
    <w:uiPriority w:val="39"/>
    <w:unhideWhenUsed/>
    <w:rsid w:val="00E81158"/>
    <w:pPr>
      <w:spacing w:after="100"/>
    </w:pPr>
  </w:style>
  <w:style w:type="paragraph" w:styleId="TOC2">
    <w:name w:val="toc 2"/>
    <w:basedOn w:val="Normal"/>
    <w:next w:val="Normal"/>
    <w:autoRedefine/>
    <w:uiPriority w:val="39"/>
    <w:unhideWhenUsed/>
    <w:rsid w:val="00E81158"/>
    <w:pPr>
      <w:spacing w:after="100"/>
      <w:ind w:left="220"/>
    </w:pPr>
  </w:style>
  <w:style w:type="paragraph" w:styleId="TOC3">
    <w:name w:val="toc 3"/>
    <w:basedOn w:val="Normal"/>
    <w:next w:val="Normal"/>
    <w:autoRedefine/>
    <w:uiPriority w:val="39"/>
    <w:unhideWhenUsed/>
    <w:rsid w:val="0019281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en15249409" TargetMode="External"/><Relationship Id="rId13" Type="http://schemas.openxmlformats.org/officeDocument/2006/relationships/hyperlink" Target="https://doi.org/10.1007/s10668-023-03865-y" TargetMode="External"/><Relationship Id="rId18" Type="http://schemas.openxmlformats.org/officeDocument/2006/relationships/hyperlink" Target="https://doi.org/10.3390/su141912091"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doi.org/10.3390/electricity3030020" TargetMode="External"/><Relationship Id="rId12" Type="http://schemas.openxmlformats.org/officeDocument/2006/relationships/hyperlink" Target="https://doi.org/10.3390/wevj15090386" TargetMode="External"/><Relationship Id="rId17" Type="http://schemas.openxmlformats.org/officeDocument/2006/relationships/hyperlink" Target="https://doi.org/10.1073/pnas.2207888119" TargetMode="External"/><Relationship Id="rId2" Type="http://schemas.openxmlformats.org/officeDocument/2006/relationships/settings" Target="settings.xml"/><Relationship Id="rId16" Type="http://schemas.openxmlformats.org/officeDocument/2006/relationships/hyperlink" Target="https://doi.org/10.3390/su16041570"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doi.org/10.31273/eirj.v10i1.362" TargetMode="External"/><Relationship Id="rId5" Type="http://schemas.openxmlformats.org/officeDocument/2006/relationships/image" Target="media/image2.png"/><Relationship Id="rId15" Type="http://schemas.openxmlformats.org/officeDocument/2006/relationships/hyperlink" Target="https://doi.org/10.3390/su15042878" TargetMode="External"/><Relationship Id="rId10" Type="http://schemas.openxmlformats.org/officeDocument/2006/relationships/hyperlink" Target="https://hdl.handle.net/20.500.14247/23999" TargetMode="External"/><Relationship Id="rId19" Type="http://schemas.openxmlformats.org/officeDocument/2006/relationships/hyperlink" Target="https://doi.org/10.3390/wevj15080375" TargetMode="External"/><Relationship Id="rId4" Type="http://schemas.openxmlformats.org/officeDocument/2006/relationships/image" Target="media/image1.png"/><Relationship Id="rId9" Type="http://schemas.openxmlformats.org/officeDocument/2006/relationships/hyperlink" Target="https://doi.org/10.3390/su13031319" TargetMode="External"/><Relationship Id="rId14" Type="http://schemas.openxmlformats.org/officeDocument/2006/relationships/hyperlink" Target="https://doi.org/10.1016/j.tranpol.2023.11.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14</Pages>
  <Words>3680</Words>
  <Characters>20978</Characters>
  <Application>Microsoft Office Word</Application>
  <DocSecurity>0</DocSecurity>
  <Lines>174</Lines>
  <Paragraphs>49</Paragraphs>
  <ScaleCrop>false</ScaleCrop>
  <Company/>
  <LinksUpToDate>false</LinksUpToDate>
  <CharactersWithSpaces>24609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Hitarth Girishbhai Sorathiya (2506577)</dc:creator>
  <cp:keywords/>
  <dc:description/>
  <cp:lastModifiedBy>Hitarth Girishbhai Sorathiya (2506577)</cp:lastModifiedBy>
  <cp:revision>422</cp:revision>
  <dcterms:created xsi:type="dcterms:W3CDTF">2025-11-19T14:44:00Z</dcterms:created>
  <dcterms:modified xsi:type="dcterms:W3CDTF">2025-11-19T15:18:00Z</dcterms:modified>
</cp:coreProperties>
</file>