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C2407A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51539C">
              <w:rPr>
                <w:b/>
                <w:color w:val="auto"/>
                <w:sz w:val="32"/>
              </w:rPr>
              <w:t xml:space="preserve"> Glen Piper</w:t>
            </w:r>
            <w:r>
              <w:rPr>
                <w:b/>
                <w:color w:val="auto"/>
                <w:sz w:val="32"/>
              </w:rPr>
              <w:t xml:space="preserve">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60725667" w14:textId="2BC4225B" w:rsidR="00575A8F" w:rsidRPr="008F22BD" w:rsidRDefault="0051539C" w:rsidP="0051539C">
            <w:pPr>
              <w:overflowPunct/>
              <w:autoSpaceDE/>
              <w:autoSpaceDN/>
              <w:adjustRightInd/>
              <w:ind w:right="107"/>
              <w:textAlignment w:val="auto"/>
              <w:rPr>
                <w:b/>
                <w:color w:val="auto"/>
                <w:sz w:val="32"/>
              </w:rPr>
            </w:pPr>
            <w:r>
              <w:rPr>
                <w:b/>
                <w:color w:val="auto"/>
                <w:sz w:val="32"/>
              </w:rPr>
              <w:t>2125120</w:t>
            </w: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7331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9FBAC4F" w14:textId="2424EBB4" w:rsidR="00FF7784" w:rsidRPr="0051539C" w:rsidRDefault="0051539C" w:rsidP="00E6298B">
      <w:pPr>
        <w:ind w:right="107"/>
        <w:jc w:val="both"/>
        <w:rPr>
          <w:rFonts w:asciiTheme="minorHAnsi" w:hAnsiTheme="minorHAnsi" w:cstheme="minorHAnsi"/>
          <w:sz w:val="32"/>
          <w:szCs w:val="32"/>
        </w:rPr>
      </w:pPr>
      <w:r w:rsidRPr="0051539C">
        <w:rPr>
          <w:rFonts w:asciiTheme="minorHAnsi" w:hAnsiTheme="minorHAnsi" w:cstheme="minorHAnsi"/>
          <w:sz w:val="24"/>
          <w:szCs w:val="24"/>
        </w:rPr>
        <w:t>There have been numerous studies on the effects of stress on humans, and yet there is no agreed definition. The Oxford dictionary defines stress as: “</w:t>
      </w:r>
      <w:r w:rsidRPr="0051539C">
        <w:rPr>
          <w:rFonts w:asciiTheme="minorHAnsi" w:hAnsiTheme="minorHAnsi" w:cstheme="minorHAnsi"/>
          <w:color w:val="202124"/>
          <w:sz w:val="24"/>
          <w:szCs w:val="24"/>
          <w:shd w:val="clear" w:color="auto" w:fill="FFFFFF"/>
        </w:rPr>
        <w:t xml:space="preserve">pressure or worry caused by problems in somebody's life or by having too much to do” (Oxford Learner’s Dictionaries, 2022) however I prefer a summary given by Jeremy </w:t>
      </w:r>
      <w:proofErr w:type="spellStart"/>
      <w:r w:rsidRPr="0051539C">
        <w:rPr>
          <w:rFonts w:asciiTheme="minorHAnsi" w:hAnsiTheme="minorHAnsi" w:cstheme="minorHAnsi"/>
          <w:color w:val="202124"/>
          <w:sz w:val="24"/>
          <w:szCs w:val="24"/>
          <w:shd w:val="clear" w:color="auto" w:fill="FFFFFF"/>
        </w:rPr>
        <w:t>Stranks</w:t>
      </w:r>
      <w:proofErr w:type="spellEnd"/>
      <w:r w:rsidRPr="0051539C">
        <w:rPr>
          <w:rFonts w:asciiTheme="minorHAnsi" w:hAnsiTheme="minorHAnsi" w:cstheme="minorHAnsi"/>
          <w:color w:val="202124"/>
          <w:sz w:val="24"/>
          <w:szCs w:val="24"/>
          <w:shd w:val="clear" w:color="auto" w:fill="FFFFFF"/>
        </w:rPr>
        <w:t xml:space="preserve"> – “some taxation of the body’s resources in order to respond to some environmental circumstance” (</w:t>
      </w:r>
      <w:proofErr w:type="spellStart"/>
      <w:r w:rsidRPr="0051539C">
        <w:rPr>
          <w:rFonts w:asciiTheme="minorHAnsi" w:hAnsiTheme="minorHAnsi" w:cstheme="minorHAnsi"/>
          <w:color w:val="202124"/>
          <w:sz w:val="24"/>
          <w:szCs w:val="24"/>
          <w:shd w:val="clear" w:color="auto" w:fill="FFFFFF"/>
        </w:rPr>
        <w:t>Stranks</w:t>
      </w:r>
      <w:proofErr w:type="spellEnd"/>
      <w:r w:rsidRPr="0051539C">
        <w:rPr>
          <w:rFonts w:asciiTheme="minorHAnsi" w:hAnsiTheme="minorHAnsi" w:cstheme="minorHAnsi"/>
          <w:color w:val="202124"/>
          <w:sz w:val="24"/>
          <w:szCs w:val="24"/>
          <w:shd w:val="clear" w:color="auto" w:fill="FFFFFF"/>
        </w:rPr>
        <w:t>, 2005). With regards to ‘resilience’, the following definition is apt “psychological resilience is defined as the capacity to adapt successfully in the presence of risk and adversity” (Rand, 2011).</w:t>
      </w:r>
      <w:r w:rsidRPr="0051539C">
        <w:rPr>
          <w:rFonts w:asciiTheme="minorHAnsi" w:hAnsiTheme="minorHAnsi" w:cstheme="minorHAnsi"/>
          <w:color w:val="202124"/>
          <w:sz w:val="24"/>
          <w:szCs w:val="24"/>
          <w:shd w:val="clear" w:color="auto" w:fill="FFFFFF"/>
        </w:rPr>
        <w:br/>
      </w:r>
      <w:r w:rsidRPr="0051539C">
        <w:rPr>
          <w:rFonts w:asciiTheme="minorHAnsi" w:hAnsiTheme="minorHAnsi" w:cstheme="minorHAnsi"/>
          <w:color w:val="202124"/>
          <w:sz w:val="24"/>
          <w:szCs w:val="24"/>
          <w:shd w:val="clear" w:color="auto" w:fill="FFFFFF"/>
        </w:rPr>
        <w:br/>
        <w:t xml:space="preserve">To understand how to cope with stress and develop resilience it is necessary to understand what causes stress. There is a vast amount of varying language for this – for the purposes of this answer I will be using the word ‘stressors’. I define a ‘stressor’ as a factor which can cause or amplify stress to an individual. For example, a ‘stressor’ could be the breakdown of a relationship, a lack of sleep or an upcoming exam.  Something which is a ‘stressor’ for one person might have no impact on another, therefore it’s crucial to identify one’s own ‘stressors’ to remedy these. During my time in training school, I identified two main ‘stressors’. The first was sitting exams, the second was having to perform in practical exercises. To cope with these ‘stressors’ I employed a range of strategies that can be split into two different categories – active and passive.  The first of my ‘active’ strategies was to create art in my free time. Researching the relationship between art creation and stress levels I found several studies suggesting this activity had a positive impact on mental health. A study by </w:t>
      </w:r>
      <w:proofErr w:type="spellStart"/>
      <w:r w:rsidRPr="0051539C">
        <w:rPr>
          <w:rFonts w:asciiTheme="minorHAnsi" w:hAnsiTheme="minorHAnsi" w:cstheme="minorHAnsi"/>
          <w:color w:val="202124"/>
          <w:sz w:val="24"/>
          <w:szCs w:val="24"/>
          <w:shd w:val="clear" w:color="auto" w:fill="FFFFFF"/>
        </w:rPr>
        <w:t>Kaimal</w:t>
      </w:r>
      <w:proofErr w:type="spellEnd"/>
      <w:r w:rsidRPr="0051539C">
        <w:rPr>
          <w:rFonts w:asciiTheme="minorHAnsi" w:hAnsiTheme="minorHAnsi" w:cstheme="minorHAnsi"/>
          <w:color w:val="202124"/>
          <w:sz w:val="24"/>
          <w:szCs w:val="24"/>
          <w:shd w:val="clear" w:color="auto" w:fill="FFFFFF"/>
        </w:rPr>
        <w:t>, Ray and Muniz found that “art making resulted in statistically significant lowering of cortisol levels” (</w:t>
      </w:r>
      <w:proofErr w:type="spellStart"/>
      <w:r w:rsidRPr="0051539C">
        <w:rPr>
          <w:rFonts w:asciiTheme="minorHAnsi" w:hAnsiTheme="minorHAnsi" w:cstheme="minorHAnsi"/>
          <w:color w:val="202124"/>
          <w:sz w:val="24"/>
          <w:szCs w:val="24"/>
          <w:shd w:val="clear" w:color="auto" w:fill="FFFFFF"/>
        </w:rPr>
        <w:t>Kaimal</w:t>
      </w:r>
      <w:proofErr w:type="spellEnd"/>
      <w:r w:rsidRPr="0051539C">
        <w:rPr>
          <w:rFonts w:asciiTheme="minorHAnsi" w:hAnsiTheme="minorHAnsi" w:cstheme="minorHAnsi"/>
          <w:color w:val="202124"/>
          <w:sz w:val="24"/>
          <w:szCs w:val="24"/>
          <w:shd w:val="clear" w:color="auto" w:fill="FFFFFF"/>
        </w:rPr>
        <w:t xml:space="preserve"> et al., 2016) (cortisol is a hormone often linked to stress and the ‘fight or flight’ response in humans). Whilst this research is encouraging, I found that art making became a ‘stressor’ to me, and further depleted what mental energy I had. I developed a habit of investing a disproportionate amount of effort and time into art and became frustrated when my results didn’t match my expectations. To improve I subscribed to an online drawing course, and this resulted in homework being required each month on top of my studies for policing. What started as a hobby for relaxation began to </w:t>
      </w:r>
      <w:proofErr w:type="spellStart"/>
      <w:r w:rsidRPr="0051539C">
        <w:rPr>
          <w:rFonts w:asciiTheme="minorHAnsi" w:hAnsiTheme="minorHAnsi" w:cstheme="minorHAnsi"/>
          <w:color w:val="202124"/>
          <w:sz w:val="24"/>
          <w:szCs w:val="24"/>
          <w:shd w:val="clear" w:color="auto" w:fill="FFFFFF"/>
        </w:rPr>
        <w:t>to</w:t>
      </w:r>
      <w:proofErr w:type="spellEnd"/>
      <w:r w:rsidRPr="0051539C">
        <w:rPr>
          <w:rFonts w:asciiTheme="minorHAnsi" w:hAnsiTheme="minorHAnsi" w:cstheme="minorHAnsi"/>
          <w:color w:val="202124"/>
          <w:sz w:val="24"/>
          <w:szCs w:val="24"/>
          <w:shd w:val="clear" w:color="auto" w:fill="FFFFFF"/>
        </w:rPr>
        <w:t xml:space="preserve"> increase my stress level. I began to reach the point of mental ‘burn out’. The term ‘burn out’ has several definitions – according to mentalhealth.org it’s “a state of physical and emotional exhaustion” (MentalHealth-uk.org, 2022) it can also be “conceptualized in terms of three interrelated components: emotional exhaustion, depersonalization, and reduced person accomplishment.” (</w:t>
      </w:r>
      <w:proofErr w:type="spellStart"/>
      <w:r w:rsidRPr="0051539C">
        <w:rPr>
          <w:rFonts w:asciiTheme="minorHAnsi" w:hAnsiTheme="minorHAnsi" w:cstheme="minorHAnsi"/>
          <w:color w:val="202124"/>
          <w:sz w:val="24"/>
          <w:szCs w:val="24"/>
          <w:shd w:val="clear" w:color="auto" w:fill="FFFFFF"/>
        </w:rPr>
        <w:t>Vandenberghe</w:t>
      </w:r>
      <w:proofErr w:type="spellEnd"/>
      <w:r w:rsidRPr="0051539C">
        <w:rPr>
          <w:rFonts w:asciiTheme="minorHAnsi" w:hAnsiTheme="minorHAnsi" w:cstheme="minorHAnsi"/>
          <w:color w:val="202124"/>
          <w:sz w:val="24"/>
          <w:szCs w:val="24"/>
          <w:shd w:val="clear" w:color="auto" w:fill="FFFFFF"/>
        </w:rPr>
        <w:t xml:space="preserve">, 1999). Certainly, I was starting to feel totally mentally exhausted, frustrated, and have a sense of reduced accomplishment. It was time to try another </w:t>
      </w:r>
      <w:r w:rsidRPr="0051539C">
        <w:rPr>
          <w:rFonts w:asciiTheme="minorHAnsi" w:hAnsiTheme="minorHAnsi" w:cstheme="minorHAnsi"/>
          <w:color w:val="202124"/>
          <w:sz w:val="24"/>
          <w:szCs w:val="24"/>
          <w:shd w:val="clear" w:color="auto" w:fill="FFFFFF"/>
        </w:rPr>
        <w:lastRenderedPageBreak/>
        <w:t>method.</w:t>
      </w:r>
      <w:r w:rsidRPr="0051539C">
        <w:rPr>
          <w:rFonts w:asciiTheme="minorHAnsi" w:hAnsiTheme="minorHAnsi" w:cstheme="minorHAnsi"/>
          <w:color w:val="202124"/>
          <w:sz w:val="24"/>
          <w:szCs w:val="24"/>
          <w:shd w:val="clear" w:color="auto" w:fill="FFFFFF"/>
        </w:rPr>
        <w:br/>
      </w:r>
      <w:r w:rsidRPr="0051539C">
        <w:rPr>
          <w:rFonts w:asciiTheme="minorHAnsi" w:hAnsiTheme="minorHAnsi" w:cstheme="minorHAnsi"/>
          <w:color w:val="202124"/>
          <w:sz w:val="24"/>
          <w:szCs w:val="24"/>
          <w:shd w:val="clear" w:color="auto" w:fill="FFFFFF"/>
        </w:rPr>
        <w:br/>
        <w:t xml:space="preserve">The second of my ‘active’ strategies for coping with stress was to begin exercising regularly. I started attending CrossFit sessions four to six times a week. These sessions had a positive impact on my mental health, physical fitness, confidence, sense of self and discipline. On researching this topic, I found an overwhelming number of studies that seemed to concur with my own findings – for example Physical Exercise Interventions for Mental health states “physical exercise, both aerobic and non-aerobic forms exercise, may exert an acute anxiolytic effect” (Lam et al., 2016). That said, there are so many variables in this area it is difficult to state precisely the effect exercise has on the mind and, moreover, what type of exercise is best for each group of people and circumstances. I also noted a warning given that seemed of relevance: “in physical training of sports, high intensity exercise may lead to physiological response simulating anxiety, and in the pursuit of perfection and competition in sports, physical exercise may precipitate or perpetuate the development of anxiety symptoms.” (Lam et al., 2016). Whilst I recognise in myself the potential for ‘pursuit of perfection’, CrossFit has not had this adverse effect. I believe this is due to a few reasons – firstly, when I started attending CrossFit sessions, I did so with no expectation of performing to a high level. I was not putting myself under pressure – in fact, I expected to perform badly. This relieved psychological pressure and allowed me to enjoy the experience. Secondly, I did not have to ‘actively’ think or problem-solve during CrossFit sessions. The sessions are monitored, compromising of simple movements which are demonstrated by experts. Once a session begins it’s a case of ‘going through the motions’. I found this of benefit as it was a distraction from any stressors with regards to policing. </w:t>
      </w:r>
      <w:r w:rsidRPr="0051539C">
        <w:rPr>
          <w:rFonts w:asciiTheme="minorHAnsi" w:hAnsiTheme="minorHAnsi" w:cstheme="minorHAnsi"/>
          <w:color w:val="202124"/>
          <w:sz w:val="24"/>
          <w:szCs w:val="24"/>
          <w:shd w:val="clear" w:color="auto" w:fill="FFFFFF"/>
        </w:rPr>
        <w:br/>
      </w:r>
      <w:r w:rsidRPr="0051539C">
        <w:rPr>
          <w:rFonts w:asciiTheme="minorHAnsi" w:hAnsiTheme="minorHAnsi" w:cstheme="minorHAnsi"/>
          <w:color w:val="202124"/>
          <w:sz w:val="24"/>
          <w:szCs w:val="24"/>
          <w:shd w:val="clear" w:color="auto" w:fill="FFFFFF"/>
        </w:rPr>
        <w:br/>
        <w:t>When it comes to ‘passive’ measures to cope with stress and develop resilience I was made efforts to get eight to nine hours of sleep each night and to eat a healthy diet. These actions went together with my CrossFit training so I could see this was beginning to have a positive ‘compound’ impact on my life. Along with these steps I considered mindfulness wherever possible – described as “</w:t>
      </w:r>
      <w:r w:rsidRPr="0051539C">
        <w:rPr>
          <w:rFonts w:asciiTheme="minorHAnsi" w:hAnsiTheme="minorHAnsi" w:cstheme="minorHAnsi"/>
          <w:sz w:val="24"/>
          <w:szCs w:val="24"/>
          <w:shd w:val="clear" w:color="auto" w:fill="FFFFFF"/>
        </w:rPr>
        <w:t>the awareness that emerges through paying attention on purpose, in the present moment, and nonjudgmentally to the unfolding of experience moment by moment” (Kabat-Zinn, 2015)</w:t>
      </w:r>
      <w:r w:rsidRPr="0051539C">
        <w:rPr>
          <w:rFonts w:asciiTheme="minorHAnsi" w:hAnsiTheme="minorHAnsi" w:cstheme="minorHAnsi"/>
          <w:color w:val="202124"/>
          <w:sz w:val="24"/>
          <w:szCs w:val="24"/>
          <w:shd w:val="clear" w:color="auto" w:fill="FFFFFF"/>
        </w:rPr>
        <w:t xml:space="preserve"> and to focus on a ‘positive thinking’ approach to stress. </w:t>
      </w:r>
      <w:r w:rsidRPr="0051539C">
        <w:rPr>
          <w:rFonts w:asciiTheme="minorHAnsi" w:hAnsiTheme="minorHAnsi" w:cstheme="minorHAnsi"/>
          <w:color w:val="202124"/>
          <w:sz w:val="24"/>
          <w:szCs w:val="24"/>
          <w:shd w:val="clear" w:color="auto" w:fill="FFFFFF"/>
        </w:rPr>
        <w:br/>
      </w:r>
      <w:r w:rsidRPr="0051539C">
        <w:rPr>
          <w:rFonts w:asciiTheme="minorHAnsi" w:hAnsiTheme="minorHAnsi" w:cstheme="minorHAnsi"/>
          <w:color w:val="202124"/>
          <w:sz w:val="24"/>
          <w:szCs w:val="24"/>
          <w:shd w:val="clear" w:color="auto" w:fill="FFFFFF"/>
        </w:rPr>
        <w:br/>
        <w:t xml:space="preserve">In summary, whilst exercise and mindfulness/positive thinking have been of benefit it’s important to consider that </w:t>
      </w:r>
      <w:r w:rsidRPr="0051539C">
        <w:rPr>
          <w:rFonts w:asciiTheme="minorHAnsi" w:hAnsiTheme="minorHAnsi" w:cstheme="minorHAnsi"/>
          <w:i/>
          <w:iCs/>
          <w:color w:val="202124"/>
          <w:sz w:val="24"/>
          <w:szCs w:val="24"/>
          <w:shd w:val="clear" w:color="auto" w:fill="FFFFFF"/>
        </w:rPr>
        <w:t>some</w:t>
      </w:r>
      <w:r w:rsidRPr="0051539C">
        <w:rPr>
          <w:rFonts w:asciiTheme="minorHAnsi" w:hAnsiTheme="minorHAnsi" w:cstheme="minorHAnsi"/>
          <w:color w:val="202124"/>
          <w:sz w:val="24"/>
          <w:szCs w:val="24"/>
          <w:shd w:val="clear" w:color="auto" w:fill="FFFFFF"/>
        </w:rPr>
        <w:t xml:space="preserve"> level of stress can be a positive influence. For example the </w:t>
      </w:r>
      <w:r w:rsidRPr="0051539C">
        <w:rPr>
          <w:rFonts w:asciiTheme="minorHAnsi" w:hAnsiTheme="minorHAnsi" w:cstheme="minorHAnsi"/>
          <w:sz w:val="24"/>
          <w:szCs w:val="24"/>
        </w:rPr>
        <w:t xml:space="preserve">Yerkes Dodson curve, which is, according to The Oxford Dictionary of Sports Science and Medicine, “an inverted U-shaped curve showing a proposed relationship between arousal and performance. One end of the curve indicates an unaroused condition, such as sleep, while the other end shows overarousal. The curve suggests that there is an optimum level of arousal between the two extremes which maximizes performance” (Kent, 2006). This shows that to perform at the highest level we should not expect to remove all stressors, that we should </w:t>
      </w:r>
      <w:r w:rsidRPr="0051539C">
        <w:rPr>
          <w:rFonts w:asciiTheme="minorHAnsi" w:hAnsiTheme="minorHAnsi" w:cstheme="minorHAnsi"/>
          <w:i/>
          <w:iCs/>
          <w:sz w:val="24"/>
          <w:szCs w:val="24"/>
        </w:rPr>
        <w:t xml:space="preserve">embrace </w:t>
      </w:r>
      <w:r w:rsidRPr="0051539C">
        <w:rPr>
          <w:rFonts w:asciiTheme="minorHAnsi" w:hAnsiTheme="minorHAnsi" w:cstheme="minorHAnsi"/>
          <w:sz w:val="24"/>
          <w:szCs w:val="24"/>
        </w:rPr>
        <w:t>some of them. We can use this pressure to our advantage, allowing it to push us to focus more deeply and work harder than we would in otherwise ‘quiet’ circumstances. Whilst it’s important to cope with stress we should never expect to remove it entirely. Building resilience is about cultivating an environment where we not only cope but learn to thrive in environments where stress is ever present. I have nurtured this mindset utilizing the above methods of physical exercise, mindfulness and positive thinking.</w:t>
      </w:r>
      <w:r w:rsidRPr="0051539C">
        <w:rPr>
          <w:rFonts w:asciiTheme="minorHAnsi" w:hAnsiTheme="minorHAnsi" w:cstheme="minorHAnsi"/>
          <w:sz w:val="24"/>
          <w:szCs w:val="24"/>
        </w:rPr>
        <w:br/>
      </w:r>
      <w:r>
        <w:rPr>
          <w:rFonts w:asciiTheme="minorHAnsi" w:hAnsiTheme="minorHAnsi" w:cstheme="minorHAnsi"/>
          <w:sz w:val="24"/>
          <w:szCs w:val="24"/>
        </w:rPr>
        <w:br/>
      </w:r>
      <w:r>
        <w:rPr>
          <w:rFonts w:asciiTheme="minorHAnsi" w:hAnsiTheme="minorHAnsi" w:cstheme="minorHAnsi"/>
          <w:sz w:val="24"/>
          <w:szCs w:val="24"/>
        </w:rPr>
        <w:br/>
      </w:r>
      <w:r w:rsidRPr="0051539C">
        <w:rPr>
          <w:rFonts w:asciiTheme="minorHAnsi" w:hAnsiTheme="minorHAnsi" w:cstheme="minorHAnsi"/>
          <w:sz w:val="24"/>
          <w:szCs w:val="24"/>
        </w:rPr>
        <w:t>Words: 1088</w:t>
      </w:r>
      <w:r>
        <w:rPr>
          <w:rFonts w:asciiTheme="minorHAnsi" w:hAnsiTheme="minorHAnsi" w:cstheme="minorHAnsi"/>
          <w:sz w:val="24"/>
          <w:szCs w:val="24"/>
        </w:rPr>
        <w:br/>
      </w:r>
      <w:r>
        <w:rPr>
          <w:rFonts w:asciiTheme="minorHAnsi" w:hAnsiTheme="minorHAnsi" w:cstheme="minorHAnsi"/>
          <w:sz w:val="24"/>
          <w:szCs w:val="24"/>
        </w:rPr>
        <w:lastRenderedPageBreak/>
        <w:br/>
      </w:r>
    </w:p>
    <w:p w14:paraId="670E1FB9" w14:textId="77777777" w:rsidR="00FF7784" w:rsidRPr="0051539C" w:rsidRDefault="00FF7784" w:rsidP="00E6298B">
      <w:pPr>
        <w:ind w:right="107"/>
        <w:jc w:val="both"/>
        <w:rPr>
          <w:rFonts w:asciiTheme="minorHAnsi" w:hAnsiTheme="minorHAnsi" w:cstheme="minorHAnsi"/>
          <w:sz w:val="32"/>
          <w:szCs w:val="32"/>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57F46F89" w:rsidR="00AA666E" w:rsidRPr="00270EEB" w:rsidRDefault="0051539C" w:rsidP="00E6298B">
      <w:pPr>
        <w:ind w:right="107"/>
        <w:jc w:val="both"/>
        <w:rPr>
          <w:sz w:val="24"/>
          <w:szCs w:val="24"/>
        </w:rPr>
      </w:pPr>
      <w:r>
        <w:rPr>
          <w:sz w:val="24"/>
          <w:szCs w:val="24"/>
        </w:rPr>
        <w:br/>
      </w:r>
      <w:r w:rsidRPr="0051539C">
        <w:rPr>
          <w:rFonts w:asciiTheme="minorHAnsi" w:hAnsiTheme="minorHAnsi" w:cstheme="minorHAnsi"/>
          <w:sz w:val="24"/>
          <w:szCs w:val="24"/>
        </w:rPr>
        <w:t>“Given that police officers and staff are often the gateway to appropriate care — whether of a criminal justice or healthcare nature — it is essential that people with mental ill health or learning disabilities are recognised and assisted by officers from the very first point of contact.” (NPCC, 2022) In this essay I will discuss an incident that involved conflict with a subject who was severely autistic. I will include my own thoughts and strategies at the time of attendance and will also explain my reflections retrospectively. I will discuss my thoughts and actions based on the legislative context of this incident.</w:t>
      </w:r>
      <w:r w:rsidRPr="0051539C">
        <w:rPr>
          <w:rFonts w:asciiTheme="minorHAnsi" w:hAnsiTheme="minorHAnsi" w:cstheme="minorHAnsi"/>
          <w:sz w:val="24"/>
          <w:szCs w:val="24"/>
        </w:rPr>
        <w:br/>
      </w:r>
      <w:r w:rsidRPr="0051539C">
        <w:rPr>
          <w:rFonts w:asciiTheme="minorHAnsi" w:hAnsiTheme="minorHAnsi" w:cstheme="minorHAnsi"/>
          <w:sz w:val="24"/>
          <w:szCs w:val="24"/>
        </w:rPr>
        <w:br/>
        <w:t>I attended a care residence as an occupant had become aggressive and staff could not control him. The subject was fourteen years old and lived in a secluded, gated building on a full-time, five-to-one care basis. Whilst enroute to the call I was advised that the child had learning difficulties, including severe autism, and he was non-verbal. Upon attendance the subject was standing outside of the property holding a large branch.</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Given the circumstances, conflict seemed likely. I considered what tool I could use to aid decision making and to manage risk. The college of policing states “the national decision model (NDM) is suitable for all decisions and should be used by everyone in policing” (College of Policing, 2014). The NDM is ideal for use as a conflict model and I elected to use this, and to ‘spin’ (go through the different stages) of the NDM, which I will discuss in detail.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The information and intelligence I had been passed was that the child had severe learning difficulties and had previously been violent to police. Knowing that the subject had an intellectual/learning disability also increased the risk of potential anger or violence – “many factors combine to make it particularly difficult for people with intellectual disabilities to control their anger, including impairments of social cognition and communication and exposure negative experiences such as stigmatization and bullying” [Fernandez, 2013]. My tutor also advised me he was known to suddenly grab at PAVA spray from officer’s tactical vests. My own observations were although only fourteen </w:t>
      </w:r>
      <w:r w:rsidRPr="0051539C">
        <w:rPr>
          <w:rFonts w:asciiTheme="minorHAnsi" w:hAnsiTheme="minorHAnsi" w:cstheme="minorHAnsi"/>
          <w:sz w:val="24"/>
          <w:szCs w:val="24"/>
        </w:rPr>
        <w:lastRenderedPageBreak/>
        <w:t xml:space="preserve">years of age, the child was of considerable size and could foreseeably be difficult to manage if he became aggressive. On top of this, he was brandishing a large branch which could cause injury to officers. Based on these factors I established the threat was the subject causing injury to officers, staff or himself, and the risk of that occurring was high. My strategy was to approach the subject, engage him in conversation, and get him to relinquish the branch. I then considered the powers and policies available. Being new to Gwent Police I did not have a full understanding of what all the relevant force policies would be, that said I was able to consider the ‘use of force’ powers available. Most relevant was Section 3 of the Criminal Law Act 1967, specifically the section which states “a person may use such force as is reasonable in the circumstances in the prevention of crime” (Legislation.gov, 2022) and common law powers –the use of force to protect yourself or others from unlawful harm. Next, I considered any options or contingencies – I decided that if speaking to the child in question did not work then some use of force may be required, although giving him more space and time was preferable. Having gone through the NDM it was time to act. I approached the subject and asked him to drop the branch he was holding. He approached me and did as he was asked. This was crucial as it told me two things: one, I was able to successfully ‘encode’ a message (verbally) to the subject “encoding is the process of taking your message and transferring it into a format that can be shared with another party…It has to be sent in a format that the other party will has the ability to decode or the message will not be delivered” (MTD Training, 2010). Secondly, the subject was able to effectively ‘decode’ my message. This displayed to me that there was a partially open channel of communication between us.  After he had relinquished the branch, the subject backed away from us and began cutting his hand with a piece of glass he had produced from his pocket. Given this change of circumstances I had to ‘re-spin’ the NDM. I decided this time some force was required in order to safeguard the subject and others present. We approached the subject and removed the glass and placed him in handcuffs in order to safely search him. I observed the ‘JPLANE’ (Justified, Proportionate, Lawful, Necessary, Ethical) principles when doing this, and was satisfied these were all met, and that the level of force used was the lowest possible in the circumstances.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After the subject was handcuffed, first aid was then administered. From this point on I realised I did not know how to further communicate with him. As I was with him for a long period of time, I wanted to make him comfortable however I had no idea how to do this. In normal circumstances, I would make conversation with the usual tools of active listening, open questions or TED (tell, explain, describe) questions but I suspected the subject was not capable of responding to these. I have since done research into how to communicate with children on the autistic spectrum, and whilst there is no simple answer, I have found some general principles including “using simpler words and phrases with extra clues to explain something, negotiate with or direct the child, can often help him to feel more confident and secure, and can even be the solution to what seemed to be a ‘behaviour problem’” (Kingsley, 2009). Furthering reading into this, it is vital to consider that language itself is often not enough in these circumstances, and that the use of repetition and physical ‘clues’ (for example pointing, indicating where you would like them to go/what you want them to do) can be very helpful. On reflection I will remember this next time I interact with someone on the spectrum to attempt to build a rapport.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Finally, we led the subject back inside and were ready to remove his handcuffs. In order to do this, we ideally needed the subject seated between two police officers for safety. When we asked the subject to move to a position where this was possible, he refused to move. We asked the subject to move several times and he grew increasingly frustrated and remained in place. We had entered a </w:t>
      </w:r>
      <w:r w:rsidRPr="0051539C">
        <w:rPr>
          <w:rFonts w:asciiTheme="minorHAnsi" w:hAnsiTheme="minorHAnsi" w:cstheme="minorHAnsi"/>
          <w:sz w:val="24"/>
          <w:szCs w:val="24"/>
        </w:rPr>
        <w:lastRenderedPageBreak/>
        <w:t xml:space="preserve">second area of conflict and negotiation was required.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The term ‘negotiation’ seems strange here, but I argue that most conflict situations revolve around negotiation in some way – even where the subject can’t communicate verbally. We as the police have an agenda, the subject has their own desires, and an understanding needs to be reached whereby the subject complies with police, but also feels respected and understands </w:t>
      </w:r>
      <w:r w:rsidRPr="0051539C">
        <w:rPr>
          <w:rFonts w:asciiTheme="minorHAnsi" w:hAnsiTheme="minorHAnsi" w:cstheme="minorHAnsi"/>
          <w:i/>
          <w:iCs/>
          <w:sz w:val="24"/>
          <w:szCs w:val="24"/>
        </w:rPr>
        <w:t>why</w:t>
      </w:r>
      <w:r w:rsidRPr="0051539C">
        <w:rPr>
          <w:rFonts w:asciiTheme="minorHAnsi" w:hAnsiTheme="minorHAnsi" w:cstheme="minorHAnsi"/>
          <w:sz w:val="24"/>
          <w:szCs w:val="24"/>
        </w:rPr>
        <w:t xml:space="preserve"> this is the case – preferably this should be done without the use of force, and through the medium of communication. We repeatedly asked the subject to do as he was told and this was not at all effective, as such the situation continued for another thirty minutes. On reflection I have researched the topic of negotiation and have decided in future I will apply the model of ‘principled negotiation’. This can be used to “decide issues on their merits rather than through a haggling process focused on what each side says it will and won’t do. It suggests that you look for mutual gains whenever possible, and that where your interests conflict, you should insist that the result be based on some fair standards independent of the will of either side” (</w:t>
      </w:r>
      <w:proofErr w:type="spellStart"/>
      <w:r w:rsidRPr="0051539C">
        <w:rPr>
          <w:rFonts w:asciiTheme="minorHAnsi" w:hAnsiTheme="minorHAnsi" w:cstheme="minorHAnsi"/>
          <w:sz w:val="24"/>
          <w:szCs w:val="24"/>
        </w:rPr>
        <w:t>Ury</w:t>
      </w:r>
      <w:proofErr w:type="spellEnd"/>
      <w:r w:rsidRPr="0051539C">
        <w:rPr>
          <w:rFonts w:asciiTheme="minorHAnsi" w:hAnsiTheme="minorHAnsi" w:cstheme="minorHAnsi"/>
          <w:sz w:val="24"/>
          <w:szCs w:val="24"/>
        </w:rPr>
        <w:t xml:space="preserve"> and Patton, 2012).Had I applied the model of ‘principled negotiation’, I would have considered anywhere we could have moved to sit with the subject which he would have preferred – or tried to find out why he was uncomfortable, and how to alleviate this. This negotiation would have been complicated by the fact that the subject lacked the ability to verbally communicate, however I refer to my earlier research on speaking to children with autism and using clear visual clues. Despite my sub-optimal approach to negotiation, the subject eventually allowed us to remove his handcuffs and we resumed from the scene.</w:t>
      </w:r>
      <w:r w:rsidRPr="0051539C">
        <w:rPr>
          <w:rFonts w:asciiTheme="minorHAnsi" w:hAnsiTheme="minorHAnsi" w:cstheme="minorHAnsi"/>
          <w:sz w:val="24"/>
          <w:szCs w:val="24"/>
        </w:rPr>
        <w:br/>
      </w:r>
      <w:r w:rsidRPr="0051539C">
        <w:rPr>
          <w:rFonts w:asciiTheme="minorHAnsi" w:hAnsiTheme="minorHAnsi" w:cstheme="minorHAnsi"/>
          <w:sz w:val="24"/>
          <w:szCs w:val="24"/>
        </w:rPr>
        <w:br/>
        <w:t>Reviewing this incident from a legislative context the subject had committed criminal damage as he had “damaged property belonging to another…being reckless as to whether any such property would be destroyed or damage” (legislation.gov.uk, 2022) and had committed assault as he had “intentionally or recklessly caused another to suffer or apprehend immediate unlawful violence” [Crown Prosecution Service, 2022). Although the crimes were recorded, I did not believe it appropriate to pursue formal action against the subject. One of the barriers to prosecution is whether it would be in the public interest to do so: “a prosecution will usually take place unless the prosecutor is sure that there are public interest factors tending against prosecution which outweigh those tending in favour. . .’ (CPS,2018) Given the subject was fourteen years of age, under full time, five-to-one care and severely autistic I did not consider it in the public interest that he be taken to court or prosecuted. I did not believe his accommodation was in any way appropriate – there was almost nothing available for his mental stimulation and, from what I could tell, he was given little to no contact with the outside world. I was not surprised he was becoming aggressive. Further to this, I would suggest his treatment was so poor as to breach article 3 of the European convention of Human Rights “no one shall be subjected to torture or to inhuman or degrading treatment or punishment” [European Convention on Human Rights, 2022). Given these factors a referral was made to social services following the incident in the hope that the subject could be moved to a more suitable location as soon as possible.</w:t>
      </w:r>
      <w:r w:rsidRPr="0051539C">
        <w:rPr>
          <w:rFonts w:asciiTheme="minorHAnsi" w:hAnsiTheme="minorHAnsi" w:cstheme="minorHAnsi"/>
          <w:sz w:val="24"/>
          <w:szCs w:val="24"/>
        </w:rPr>
        <w:br/>
      </w:r>
      <w:r w:rsidRPr="0051539C">
        <w:rPr>
          <w:rFonts w:asciiTheme="minorHAnsi" w:hAnsiTheme="minorHAnsi" w:cstheme="minorHAnsi"/>
          <w:sz w:val="24"/>
          <w:szCs w:val="24"/>
        </w:rPr>
        <w:br/>
        <w:t>Seeking to reflect on the entirety of this incident I have since identified another conflict model that could be used in addition to the NDM – the ‘IMPACT’ model. This model has six distinct stages – ‘identify and manage emotions, master the story, promote positive behaviour, achieve rapport, control your response, take perspective’ and focusses on interpersonal communication - “</w:t>
      </w:r>
      <w:r w:rsidRPr="0051539C">
        <w:rPr>
          <w:rFonts w:asciiTheme="minorHAnsi" w:hAnsiTheme="minorHAnsi" w:cstheme="minorHAnsi"/>
          <w:color w:val="2E2E2E"/>
          <w:sz w:val="24"/>
          <w:szCs w:val="24"/>
          <w:shd w:val="clear" w:color="auto" w:fill="FFFFFF"/>
        </w:rPr>
        <w:t xml:space="preserve">the abilities to communicate and to connect with others have meaningful impacts on virtually every aspect of law enforcement. For those officers who are willing to invest the time and effort, better interpersonal effectiveness offers several advantages, including improved officer safety, heightened </w:t>
      </w:r>
      <w:r w:rsidRPr="0051539C">
        <w:rPr>
          <w:rFonts w:asciiTheme="minorHAnsi" w:hAnsiTheme="minorHAnsi" w:cstheme="minorHAnsi"/>
          <w:color w:val="2E2E2E"/>
          <w:sz w:val="24"/>
          <w:szCs w:val="24"/>
          <w:shd w:val="clear" w:color="auto" w:fill="FFFFFF"/>
        </w:rPr>
        <w:lastRenderedPageBreak/>
        <w:t xml:space="preserve">investigative awareness, fewer complaints and lawsuits, career advancement and recognition, better relationships (both on and off the job), and decreased stress and anxiety” (Fitch, 2016). </w:t>
      </w:r>
      <w:r w:rsidRPr="0051539C">
        <w:rPr>
          <w:rFonts w:asciiTheme="minorHAnsi" w:hAnsiTheme="minorHAnsi" w:cstheme="minorHAnsi"/>
          <w:sz w:val="24"/>
          <w:szCs w:val="24"/>
        </w:rPr>
        <w:t xml:space="preserve">Although this model originated in North America, I believe the parallels between policing the United States the United Kingdom are numerous enough that it’s of relevance. The ‘OSARA’ model and </w:t>
      </w:r>
      <w:proofErr w:type="spellStart"/>
      <w:r w:rsidRPr="0051539C">
        <w:rPr>
          <w:rFonts w:asciiTheme="minorHAnsi" w:hAnsiTheme="minorHAnsi" w:cstheme="minorHAnsi"/>
          <w:sz w:val="24"/>
          <w:szCs w:val="24"/>
        </w:rPr>
        <w:t>Betari’s</w:t>
      </w:r>
      <w:proofErr w:type="spellEnd"/>
      <w:r w:rsidRPr="0051539C">
        <w:rPr>
          <w:rFonts w:asciiTheme="minorHAnsi" w:hAnsiTheme="minorHAnsi" w:cstheme="minorHAnsi"/>
          <w:sz w:val="24"/>
          <w:szCs w:val="24"/>
        </w:rPr>
        <w:t xml:space="preserve"> Box could also be considered.</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Finally, I will discuss </w:t>
      </w:r>
      <w:r w:rsidRPr="0051539C">
        <w:rPr>
          <w:rFonts w:asciiTheme="minorHAnsi" w:hAnsiTheme="minorHAnsi" w:cstheme="minorHAnsi"/>
          <w:i/>
          <w:iCs/>
          <w:sz w:val="24"/>
          <w:szCs w:val="24"/>
        </w:rPr>
        <w:t>how</w:t>
      </w:r>
      <w:r w:rsidRPr="0051539C">
        <w:rPr>
          <w:rFonts w:asciiTheme="minorHAnsi" w:hAnsiTheme="minorHAnsi" w:cstheme="minorHAnsi"/>
          <w:sz w:val="24"/>
          <w:szCs w:val="24"/>
        </w:rPr>
        <w:t xml:space="preserve"> I reflected on this incident. There are numerous different models of reflection, but I have found that ‘Kolb’s experiential learning cycle’ of most use. Kolb states this model “pursues a framework for examining and strengthening the critical linkages among education, work, and personal development…It offers a system of competencies for describing job demands and corresponding educational objectives, and it emphasizes the critical linkages that can be developed between the classroom and the “real world” with experiential learning methods” (Kolb, 1984). This is a cyclical model consisting of four stages – ‘concrete’ experience, reflective observation, abstract conceptualisation and active experimentation. For example, applying this model to this incident the ‘concrete experience’ was the incident itself. Next, I moved to the ‘reflective observation’ stage – this is simply thinking about the incident - it is important to note that reflective observation consists of not only reflecting ‘on’ action retrospectively, but also reflecting ‘in’ action (at the time of the incident.) The abstract conceptualisation stage refers to “the process by which we start to make sense of the experience. We do this by thinking about the knowledge that we already have and reshaping it in order to include our experiences from the recent event. We can then form a new theory about the situation” (Copley, 2011). On this occasion that refers to my thoughts on the incident, specifically realising I was not effective at communicating or negotiating with the subject and seeking to remedy this by learning new strategies – in this case ‘principled negotiation’. Finally, we come to ‘active experimentation’. Next time I attend an incident with similar circumstances I will experiment by using ‘principled negotiation’ and will consider the other reading I have done as result of this incident – I hope this will lead to a better, safer experience for myself and members of the public and I will continue to use reflection to improve on my performance throughout my career.</w:t>
      </w:r>
      <w:r w:rsidRPr="00DA71A3">
        <w:rPr>
          <w:rFonts w:cstheme="minorHAnsi"/>
        </w:rPr>
        <w:br/>
      </w:r>
      <w:r>
        <w:rPr>
          <w:sz w:val="24"/>
          <w:szCs w:val="24"/>
        </w:rPr>
        <w:br/>
        <w:t>Words: 2154</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54E6485F" w:rsidR="00025650" w:rsidRPr="0051539C" w:rsidRDefault="0051539C" w:rsidP="00E6298B">
      <w:pPr>
        <w:ind w:right="107"/>
        <w:jc w:val="both"/>
        <w:rPr>
          <w:rFonts w:asciiTheme="minorHAnsi" w:hAnsiTheme="minorHAnsi" w:cstheme="minorHAnsi"/>
          <w:sz w:val="24"/>
          <w:szCs w:val="24"/>
        </w:rPr>
      </w:pPr>
      <w:r w:rsidRPr="0051539C">
        <w:rPr>
          <w:rFonts w:asciiTheme="minorHAnsi" w:hAnsiTheme="minorHAnsi" w:cstheme="minorHAnsi"/>
          <w:color w:val="202124"/>
          <w:sz w:val="24"/>
          <w:szCs w:val="24"/>
          <w:shd w:val="clear" w:color="auto" w:fill="FFFFFF"/>
        </w:rPr>
        <w:t xml:space="preserve">Within this essay I will be recounting a policing incident I attended and critically exploring my actions and how they related to my understanding of policing, social/cultural issues, and ethical practice within policing. I will describe this incident chronologically and explore relevant issues or legislation when appropriate. This will include exploration of legislation, policing professional practice, responsibilities of police and other emergency services, culturally sensitive practice, human rights and dealing with those with severe mental illness. </w:t>
      </w:r>
      <w:r w:rsidRPr="0051539C">
        <w:rPr>
          <w:rFonts w:asciiTheme="minorHAnsi" w:hAnsiTheme="minorHAnsi" w:cstheme="minorHAnsi"/>
          <w:color w:val="202124"/>
          <w:sz w:val="24"/>
          <w:szCs w:val="24"/>
          <w:shd w:val="clear" w:color="auto" w:fill="FFFFFF"/>
        </w:rPr>
        <w:br/>
      </w:r>
      <w:r w:rsidRPr="0051539C">
        <w:rPr>
          <w:rFonts w:asciiTheme="minorHAnsi" w:hAnsiTheme="minorHAnsi" w:cstheme="minorHAnsi"/>
          <w:color w:val="202124"/>
          <w:sz w:val="24"/>
          <w:szCs w:val="24"/>
          <w:shd w:val="clear" w:color="auto" w:fill="FFFFFF"/>
        </w:rPr>
        <w:br/>
        <w:t>I attended an incident at a hotel whereby a resident, an elderly woman, had asked reception to call emergency services. She advised her husband, who was suffering from advanced dementia, had become aggressive and she needed assistance. The ambulance service had been called initially, but they called police – asking for us to attend in the first instance as they would not arrive at the scene for some time.</w:t>
      </w:r>
      <w:r w:rsidRPr="0051539C">
        <w:rPr>
          <w:rFonts w:asciiTheme="minorHAnsi" w:hAnsiTheme="minorHAnsi" w:cstheme="minorHAnsi"/>
          <w:color w:val="202124"/>
          <w:sz w:val="24"/>
          <w:szCs w:val="24"/>
          <w:shd w:val="clear" w:color="auto" w:fill="FFFFFF"/>
        </w:rPr>
        <w:br/>
      </w:r>
      <w:r w:rsidRPr="0051539C">
        <w:rPr>
          <w:rFonts w:asciiTheme="minorHAnsi" w:hAnsiTheme="minorHAnsi" w:cstheme="minorHAnsi"/>
          <w:color w:val="202124"/>
          <w:sz w:val="24"/>
          <w:szCs w:val="24"/>
          <w:shd w:val="clear" w:color="auto" w:fill="FFFFFF"/>
        </w:rPr>
        <w:br/>
        <w:t xml:space="preserve">This brings me to the first social issue – which emergency service should this incident belong to? This appeared to be a medical issue from the outset, was it appropriate for police to attend at all? On reflecting on this issue I think it appropriate to consider the National Police Chief’s’ Council (NPCC) Policing Vision for 2025, which encourages police to work closely with partner agencies and states “knowing which service (or services), and when to provide them, is not always immediately apparent, for example when responding to those with mental health needs, and will require a range of partners to work seamlessly together to provide assessment, wrap around support and care.” (NPCC, 2022). The use of the word ‘seamlessly’ here is significant and implies a desire for police to work with other services without numerous back-and-forth calls squabbling over which service may be more appropriate. In addition to this, there is further precedent to encourage collaboration between police and ambulance services in the form of the Policing and Crime Act 2017 which </w:t>
      </w:r>
      <w:r w:rsidRPr="0051539C">
        <w:rPr>
          <w:rFonts w:asciiTheme="minorHAnsi" w:hAnsiTheme="minorHAnsi" w:cstheme="minorHAnsi"/>
          <w:color w:val="202124"/>
          <w:sz w:val="24"/>
          <w:szCs w:val="24"/>
          <w:shd w:val="clear" w:color="auto" w:fill="FFFFFF"/>
        </w:rPr>
        <w:lastRenderedPageBreak/>
        <w:t>“place(s) a duty on police, fire and ambulance services to work together” (legislation.gov, 2022) and, more locally, the Well-being of Future Generations (Wales) Act 2015, which gives guidance to public bodies to “think more about the long term, work better with people and communities and each other, look to prevent problems and take a more joined-up approach.” (Future Generations Wales, 2022). Despite this guidance, it could be argued that police officers are not the best equipped to deal with severe mental illness, such as dementia, and should not routinely be responding to these types of incidents. The report ‘Policing and Mental Health: Picking Up the Pieces’ addresses this by stating: “other services need to stop relying in the 24/7 availability of the police” and “</w:t>
      </w:r>
      <w:r w:rsidRPr="0051539C">
        <w:rPr>
          <w:rFonts w:asciiTheme="minorHAnsi" w:hAnsiTheme="minorHAnsi" w:cstheme="minorHAnsi"/>
          <w:sz w:val="24"/>
          <w:szCs w:val="24"/>
        </w:rPr>
        <w:t>We have grave concerns about whether the police should be involved in responding to mental health problems to the degree they are…They often don’t have the skills they need to support people with mental health problems. And, too often, they find themselves responsible for the safety and welfare of people that other professionals would be better placed to deal with” (HMICFRS, 2018).</w:t>
      </w:r>
      <w:r w:rsidRPr="0051539C">
        <w:rPr>
          <w:rFonts w:asciiTheme="minorHAnsi" w:hAnsiTheme="minorHAnsi" w:cstheme="minorHAnsi"/>
          <w:color w:val="202124"/>
          <w:sz w:val="24"/>
          <w:szCs w:val="24"/>
          <w:shd w:val="clear" w:color="auto" w:fill="FFFFFF"/>
        </w:rPr>
        <w:t xml:space="preserve"> However, the Independent Commission on Mental Health and Policing Report from 2013 gives clear guidance and states mental health is “core business and needs to be reflected in all policy, guidance and operating procedures” (Independent Commission on Mental Health and Policing, 2013). Given this unambiguous statement, I believe it was correct that we attended this incident initially. There is no longer an argument that mental health and policing are not linked and, given the above pieces of literature and legislation, we had a moral and legal obligation to attend. </w:t>
      </w:r>
      <w:r w:rsidRPr="0051539C">
        <w:rPr>
          <w:rFonts w:asciiTheme="minorHAnsi" w:hAnsiTheme="minorHAnsi" w:cstheme="minorHAnsi"/>
          <w:color w:val="202124"/>
          <w:sz w:val="24"/>
          <w:szCs w:val="24"/>
          <w:shd w:val="clear" w:color="auto" w:fill="FFFFFF"/>
        </w:rPr>
        <w:br/>
      </w:r>
      <w:r w:rsidRPr="0051539C">
        <w:rPr>
          <w:rFonts w:asciiTheme="minorHAnsi" w:hAnsiTheme="minorHAnsi" w:cstheme="minorHAnsi"/>
          <w:color w:val="202124"/>
          <w:sz w:val="24"/>
          <w:szCs w:val="24"/>
          <w:shd w:val="clear" w:color="auto" w:fill="FFFFFF"/>
        </w:rPr>
        <w:br/>
        <w:t>On attendance I spoke with the elderly woman and noted a significant issue – she did not speak English, nor did her husband. Staff made me aware that the hotel was being used as a place of residence for refugees from Ukraine, and that she had fled Kyiv with her husband following the Russian invasion. There is clear guidance on spoken language when it comes to victims of crime – this is set out in ‘Right 1’ of the Code of Practice for Victims of Crime in England and Wales “</w:t>
      </w:r>
      <w:r w:rsidRPr="0051539C">
        <w:rPr>
          <w:rFonts w:asciiTheme="minorHAnsi" w:hAnsiTheme="minorHAnsi" w:cstheme="minorHAnsi"/>
          <w:sz w:val="24"/>
          <w:szCs w:val="24"/>
        </w:rPr>
        <w:t>you have the Right to be given information in a way that is easy to understand and to be provided with help to be understood, including, where necessary, access to interpretation and translation services.” (gov.uk, 2022). At this point I had not confirmed whether the woman had been the victim of crime, that said I believe the victim’s code sets out a philosophy of how members of the public should be dealt with by services such as the police. In addition to this, I considered the policing standards of professional behaviour – specifically ‘authority, respect and courtesy’. I believe it a sign of courtesy for police to make attempts to speak to someone in their own language. Having investigated this issue post-incident, I noted research has been carried out in numerous countries regarding language barriers between the public and emergency services, for example this study from the ambulance in service in Australia states “communication problems due to language barriers can mean that non-fluent English speakers become reluctant to use emergency medical services”. (</w:t>
      </w:r>
      <w:proofErr w:type="spellStart"/>
      <w:r w:rsidRPr="0051539C">
        <w:rPr>
          <w:rFonts w:asciiTheme="minorHAnsi" w:hAnsiTheme="minorHAnsi" w:cstheme="minorHAnsi"/>
          <w:sz w:val="24"/>
          <w:szCs w:val="24"/>
        </w:rPr>
        <w:t>Perera</w:t>
      </w:r>
      <w:proofErr w:type="spellEnd"/>
      <w:r w:rsidRPr="0051539C">
        <w:rPr>
          <w:rFonts w:asciiTheme="minorHAnsi" w:hAnsiTheme="minorHAnsi" w:cstheme="minorHAnsi"/>
          <w:sz w:val="24"/>
          <w:szCs w:val="24"/>
        </w:rPr>
        <w:t xml:space="preserve"> et al., 2021) It’s imperative to keep this in mind in conjunction with the Policing Code of Ethics principle of selflessness – which the college of policing defines as acting in the public interest. As such, in future I will make attempts to engage members of the public in their own language to encourage their engagement with police. Initially, I spoke to the woman via google translate, which I could tell was not entirely accurate, before finding a neighbour of hers who spoke English and Ukrainian and was able to translate.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After my initial conversation I accompanied the female party to her room to speak with her husband. It was evident he was suffering with advanced dementia – he advised, as best he could, his head was ‘spinning’, and at several moments believed me to be the romantic partner of his wife. We then left the male in the room (he appeared bed-bound) and I spoke to the female outside. She indicated she was afraid of him lashing out and stated that he had done this already and scratched her. This </w:t>
      </w:r>
      <w:r w:rsidRPr="0051539C">
        <w:rPr>
          <w:rFonts w:asciiTheme="minorHAnsi" w:hAnsiTheme="minorHAnsi" w:cstheme="minorHAnsi"/>
          <w:sz w:val="24"/>
          <w:szCs w:val="24"/>
        </w:rPr>
        <w:lastRenderedPageBreak/>
        <w:t>raised a significant issue of criminal responsibility and public interest.  Strictly speaking the male had committed common assault, which is defined as “</w:t>
      </w:r>
      <w:r w:rsidRPr="0051539C">
        <w:rPr>
          <w:rFonts w:asciiTheme="minorHAnsi" w:hAnsiTheme="minorHAnsi" w:cstheme="minorHAnsi"/>
          <w:sz w:val="24"/>
          <w:szCs w:val="24"/>
          <w:shd w:val="clear" w:color="auto" w:fill="FFFFFF"/>
        </w:rPr>
        <w:t>any act (and not mere omission to act) by which a person intentionally or recklessly causes another to suffer or apprehend immediate unlawful violence.</w:t>
      </w:r>
      <w:r w:rsidRPr="0051539C">
        <w:rPr>
          <w:rFonts w:asciiTheme="minorHAnsi" w:hAnsiTheme="minorHAnsi" w:cstheme="minorHAnsi"/>
          <w:sz w:val="24"/>
          <w:szCs w:val="24"/>
        </w:rPr>
        <w:t>” (CPS.gov, 2022) However, clearly, he did not have the mental capacity to understand what was happening or what he had done. Volumes of research has been carried out with regards to dementia, policing and criminal responsibility and this remains a highly complex area. The NPCC have outlined this, saying “It remains a difficult matter of public policy to contemplate when it is appropriate for the police to arrest a vulnerable person for an offence following behaviour which might be regarded as a consequence of a mental health condition” but also give guidance that “Whether someone should be prosecuted is a different matter - all cases should be assessed on their individual merits” (NPCC, 2020). CPS (Crown Prosecution Service) advice seems to concur with this “</w:t>
      </w:r>
      <w:r w:rsidRPr="0051539C">
        <w:rPr>
          <w:rFonts w:asciiTheme="minorHAnsi" w:hAnsiTheme="minorHAnsi" w:cstheme="minorHAnsi"/>
          <w:color w:val="444444"/>
          <w:sz w:val="24"/>
          <w:szCs w:val="24"/>
          <w:shd w:val="clear" w:color="auto" w:fill="FFFFFF"/>
        </w:rPr>
        <w:t xml:space="preserve">The suspect’s mental health condition or </w:t>
      </w:r>
      <w:r w:rsidRPr="0051539C">
        <w:rPr>
          <w:rFonts w:asciiTheme="minorHAnsi" w:hAnsiTheme="minorHAnsi" w:cstheme="minorHAnsi"/>
          <w:sz w:val="24"/>
          <w:szCs w:val="24"/>
          <w:shd w:val="clear" w:color="auto" w:fill="FFFFFF"/>
        </w:rPr>
        <w:t>disorder may be a highly relevant factor in some charging decisions” [CPS.gov, 2022). Having referred to both resources I believe my decision to use my discretion and not to pursue any charges was correct. Whilst I appreciate that to consider all those suffering from severe mental illness to be outside of scrutiny under the criminal justice system would be incorrect, on this occasion the male was clearly vulnerable, bed-bound and had such advanced dementia that I was highly doubtful he had to capacity to form the required ‘</w:t>
      </w:r>
      <w:proofErr w:type="spellStart"/>
      <w:r w:rsidRPr="0051539C">
        <w:rPr>
          <w:rFonts w:asciiTheme="minorHAnsi" w:hAnsiTheme="minorHAnsi" w:cstheme="minorHAnsi"/>
          <w:sz w:val="24"/>
          <w:szCs w:val="24"/>
          <w:shd w:val="clear" w:color="auto" w:fill="FFFFFF"/>
        </w:rPr>
        <w:t>mens</w:t>
      </w:r>
      <w:proofErr w:type="spellEnd"/>
      <w:r w:rsidRPr="0051539C">
        <w:rPr>
          <w:rFonts w:asciiTheme="minorHAnsi" w:hAnsiTheme="minorHAnsi" w:cstheme="minorHAnsi"/>
          <w:sz w:val="24"/>
          <w:szCs w:val="24"/>
          <w:shd w:val="clear" w:color="auto" w:fill="FFFFFF"/>
        </w:rPr>
        <w:t xml:space="preserve"> rea’ for any offence. </w:t>
      </w:r>
      <w:r w:rsidRPr="0051539C">
        <w:rPr>
          <w:rFonts w:asciiTheme="minorHAnsi" w:hAnsiTheme="minorHAnsi" w:cstheme="minorHAnsi"/>
          <w:sz w:val="24"/>
          <w:szCs w:val="24"/>
          <w:shd w:val="clear" w:color="auto" w:fill="FFFFFF"/>
        </w:rPr>
        <w:br/>
      </w:r>
      <w:r w:rsidRPr="0051539C">
        <w:rPr>
          <w:rFonts w:asciiTheme="minorHAnsi" w:hAnsiTheme="minorHAnsi" w:cstheme="minorHAnsi"/>
          <w:color w:val="444444"/>
          <w:sz w:val="24"/>
          <w:szCs w:val="24"/>
          <w:shd w:val="clear" w:color="auto" w:fill="FFFFFF"/>
        </w:rPr>
        <w:br/>
      </w:r>
      <w:r w:rsidRPr="0051539C">
        <w:rPr>
          <w:rFonts w:asciiTheme="minorHAnsi" w:hAnsiTheme="minorHAnsi" w:cstheme="minorHAnsi"/>
          <w:sz w:val="24"/>
          <w:szCs w:val="24"/>
          <w:shd w:val="clear" w:color="auto" w:fill="FFFFFF"/>
        </w:rPr>
        <w:t>In addition to the above considerations regarding mental capacity I also had to consider the issues of discrimination and human rights. Police have a responsibility to take measures to prevent discrimination, this is set out in the Stephen Lawrence enquiry “</w:t>
      </w:r>
      <w:r w:rsidRPr="0051539C">
        <w:rPr>
          <w:rFonts w:asciiTheme="minorHAnsi" w:hAnsiTheme="minorHAnsi" w:cstheme="minorHAnsi"/>
          <w:sz w:val="24"/>
          <w:szCs w:val="24"/>
        </w:rPr>
        <w:t xml:space="preserve">It is incumbent upon every institution to examine their policies and the outcome of their policies and practices to guard against disadvantaging any section of our communities.” (Macpherson, 1999). This is further enshrined in the Equality Act 2010 which prohibits discrimination based on protected characteristics – one of which is disability. Some might not consider mental illness as a disability, but this is clear within the Equality Act, which defines a disability as “physical or mental impairment [that] has a substantial and long-term adverse effect on [someone’s] ability to carry out normal day-to-day activities” (gov.uk, 2022). The policing standards of professional behaviour also address this “I will not discriminate unlawfully or unfairly” (College of Policing, 2022).  To punish this man based on his severe mental illness would be, in my opinion, to go against the above legislation. To further support this, article 14 of the European Convention on Human Rights, protection from discrimination, can be considered.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Finally, we led the female back to the reception area where we reassured her that staff were aware of the situation and an ambulance was on the way. When dealing with this incident I wanted to be able to show respect for her cultural background however, having no knowledge in this area, I found myself out of my depth. Equality and diversity are one of the professional standards of behaviour – but I’d suggest these can only be met when police forces are truly representative of their communities. Due to the war in Ukraine, there are now many refugees in the United Kingdom – I believe police should make targeted attempts to recruit members of these groups – my hope being in situations such as these, one of the officers attending could be someone from that specific community who would be able to form a stronger connection with those requesting help. As Tony Burnett of West Midlands Police wrote “the bottom line is that we can’t be effective if we are not representative” (Burnett, 2020) Chief Constable Ian Hopkins shared a similar view, posing the question “how can we maintain our legitimacy if we don’t represent the communities we serve?” (Hopkins, 2020). This notion of police forces not being proportionally representative is backed up </w:t>
      </w:r>
      <w:r w:rsidRPr="0051539C">
        <w:rPr>
          <w:rFonts w:asciiTheme="minorHAnsi" w:hAnsiTheme="minorHAnsi" w:cstheme="minorHAnsi"/>
          <w:sz w:val="24"/>
          <w:szCs w:val="24"/>
        </w:rPr>
        <w:lastRenderedPageBreak/>
        <w:t xml:space="preserve">with empirical data – for example a 2019 report from the Home Office showed that those from black and minority ethnic groups were largely under-represented in police forces in England and Wales “As at 31 March 2019, 8,329 (7% of all officers) identified as Black and Minority Ethnic (BME)… such groups remain under-represented as 14% of the population in England and Wales are BME.” (Home Office, 2019). Clearly this is an area of policing that requires more action, and new strategies will have to be considered as communities continue to diversify across the U.K.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After leaving this incident I considered what further action I could take to assist long-term. Due to their age, isolation and language difficulties, as well as severe mental illness, I considered both the male and female party to be vulnerable and I had serious concerns about their living conditions. I noted their room smelled un-hygienic, was uncomfortably warm and was so small I could barely move. I noted also that the male party could not get up from the bed when he tried. There didn’t appear to be any furniture in place to assist his mobility. Given these factors, I considered the European Convention on Human rights (ECHR) and the Human Rights Act 1998. Specifically, article 3 of the ECHR which states “no one shall be subjected to torture or to inhuman or degrading treatment or punishment.” (European Convention on Human Rights, 2022). There is no argument that this couple was being punished or tortured, however under the Human Rights Act public authorities must not inflict ‘degrading or inhuman’ treatment on anyone under their care – in this case, an argument for this occurring could be made. The way this couple had been housed was inadequate and, as a result, they were unable to live comfortably. Although I could not do anything about this immediately, I made a report to social services. This was a situation that required a multi-agency approach to solve, and change was required both in medical attention and accommodation for this couple. Following my report, I was pleased to find the male party had been referred to a dementia service – this represented a small step forward.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In conclusion, attending this incident was enlightening. The requirement for more diversity from within my own police force was stark, as was the requirement for a more joined up approach from emergency services. Since attending I have noted that the National Health Service (NHS) are aware of issues when it comes to responding to calls related to mental health, and their long-term plan states “Comprehensive crisis pathways will be developed to ensure 100% coverage of 24/7 age-appropriate crisis-care, via NHS 111, by 2023/24” (Long term </w:t>
      </w:r>
      <w:proofErr w:type="spellStart"/>
      <w:r w:rsidRPr="0051539C">
        <w:rPr>
          <w:rFonts w:asciiTheme="minorHAnsi" w:hAnsiTheme="minorHAnsi" w:cstheme="minorHAnsi"/>
          <w:sz w:val="24"/>
          <w:szCs w:val="24"/>
        </w:rPr>
        <w:t>plan.nhs</w:t>
      </w:r>
      <w:proofErr w:type="spellEnd"/>
      <w:r w:rsidRPr="0051539C">
        <w:rPr>
          <w:rFonts w:asciiTheme="minorHAnsi" w:hAnsiTheme="minorHAnsi" w:cstheme="minorHAnsi"/>
          <w:sz w:val="24"/>
          <w:szCs w:val="24"/>
        </w:rPr>
        <w:t>, 2022) I will continue to engage in similar incidents, and consider if I can have any impact on my forces engagement with our communities, especially when it comes to those that are most vulnerable and isolated.</w:t>
      </w:r>
      <w:r w:rsidRPr="0051539C">
        <w:rPr>
          <w:rFonts w:asciiTheme="minorHAnsi" w:hAnsiTheme="minorHAnsi" w:cstheme="minorHAnsi"/>
        </w:rPr>
        <w:br/>
      </w:r>
      <w:r>
        <w:rPr>
          <w:rFonts w:asciiTheme="minorHAnsi" w:hAnsiTheme="minorHAnsi" w:cstheme="minorHAnsi"/>
          <w:sz w:val="24"/>
          <w:szCs w:val="24"/>
        </w:rPr>
        <w:br/>
      </w:r>
      <w:r>
        <w:rPr>
          <w:rFonts w:asciiTheme="minorHAnsi" w:hAnsiTheme="minorHAnsi" w:cstheme="minorHAnsi"/>
          <w:sz w:val="24"/>
          <w:szCs w:val="24"/>
        </w:rPr>
        <w:br/>
        <w:t>Words: 2188</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0FEEFB0E" w14:textId="3BC6655C" w:rsidR="00025650" w:rsidRPr="00270EEB" w:rsidRDefault="0051539C" w:rsidP="00E6298B">
      <w:pPr>
        <w:ind w:right="107"/>
        <w:jc w:val="both"/>
        <w:rPr>
          <w:sz w:val="24"/>
          <w:szCs w:val="24"/>
        </w:rPr>
      </w:pPr>
      <w:r w:rsidRPr="0051539C">
        <w:rPr>
          <w:rFonts w:asciiTheme="minorHAnsi" w:hAnsiTheme="minorHAnsi" w:cstheme="minorHAnsi"/>
          <w:sz w:val="24"/>
          <w:szCs w:val="24"/>
        </w:rPr>
        <w:t>During this essay I will describe an incident I attended and use it as a vehicle to discuss my step-by-step use of the NDM (National Decision Model), the policing code of ethics and discretion. I will also reflect upon my performance and how this impacted the outcome of the incident. I will do this by going through the incident retrospectively and examining each section as and when it becomes relevant.</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Before starting to discuss this incident I will investigate the NDM in further detail. There are many conflict and risk management models available to police, for example the IMPACT model from the United States, </w:t>
      </w:r>
      <w:proofErr w:type="spellStart"/>
      <w:r w:rsidRPr="0051539C">
        <w:rPr>
          <w:rFonts w:asciiTheme="minorHAnsi" w:hAnsiTheme="minorHAnsi" w:cstheme="minorHAnsi"/>
          <w:sz w:val="24"/>
          <w:szCs w:val="24"/>
        </w:rPr>
        <w:t>Betari’s</w:t>
      </w:r>
      <w:proofErr w:type="spellEnd"/>
      <w:r w:rsidRPr="0051539C">
        <w:rPr>
          <w:rFonts w:asciiTheme="minorHAnsi" w:hAnsiTheme="minorHAnsi" w:cstheme="minorHAnsi"/>
          <w:sz w:val="24"/>
          <w:szCs w:val="24"/>
        </w:rPr>
        <w:t xml:space="preserve"> Box and the SARA/OSARA model, so why use the NDM and what is it? In basic terms the NDM is a cyclical risk assessment model that can be used by police for any decision, in any incident. The college of policing website describes the model as the “primary decision model for the police service” and states it should and can be used to  “help everyone in policing make decisions” and, importantly, the model “reduces risk aversion” (College of Policing, 2022). This is significant, as often in policing difficult decisions will have to be made with very limited information – it’s imperative that officers feel empowered to make these as opposed to becoming frozen and choosing not to act out of fear. Despite these assertations I believe it important to note there is very little qualitative or quantitative research available on the use of the NDM and how successful or unsuccessful it has been within policing. In addition to this, although the NDM may be considered a useful tool when it comes to spontaneous or stand-alone decisions, some have questioned the NDM’s utility when it comes to investigations “examples regarding use of NDM relate to single decisions rather than the multiplicity of decisions taken within criminal investigations” (O’Neill, 2018).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When using tools such as the NDM to aid decision making, it must be remembered there is no one answer for the huge variety of incidents police officers are called to deal with, and professional </w:t>
      </w:r>
      <w:r w:rsidRPr="0051539C">
        <w:rPr>
          <w:rFonts w:asciiTheme="minorHAnsi" w:hAnsiTheme="minorHAnsi" w:cstheme="minorHAnsi"/>
          <w:sz w:val="24"/>
          <w:szCs w:val="24"/>
        </w:rPr>
        <w:lastRenderedPageBreak/>
        <w:t xml:space="preserve">judgement must still be used. This is a sentiment given by John </w:t>
      </w:r>
      <w:proofErr w:type="spellStart"/>
      <w:r w:rsidRPr="0051539C">
        <w:rPr>
          <w:rFonts w:asciiTheme="minorHAnsi" w:hAnsiTheme="minorHAnsi" w:cstheme="minorHAnsi"/>
          <w:sz w:val="24"/>
          <w:szCs w:val="24"/>
        </w:rPr>
        <w:t>Beggs</w:t>
      </w:r>
      <w:proofErr w:type="spellEnd"/>
      <w:r w:rsidRPr="0051539C">
        <w:rPr>
          <w:rFonts w:asciiTheme="minorHAnsi" w:hAnsiTheme="minorHAnsi" w:cstheme="minorHAnsi"/>
          <w:sz w:val="24"/>
          <w:szCs w:val="24"/>
        </w:rPr>
        <w:t xml:space="preserve"> in 2010 “I consider that the model will withstand legal and judicial scrutiny – provided, of course, it is never relied upon rigidly or robotically.” (</w:t>
      </w:r>
      <w:proofErr w:type="spellStart"/>
      <w:r w:rsidRPr="0051539C">
        <w:rPr>
          <w:rFonts w:asciiTheme="minorHAnsi" w:hAnsiTheme="minorHAnsi" w:cstheme="minorHAnsi"/>
          <w:sz w:val="24"/>
          <w:szCs w:val="24"/>
        </w:rPr>
        <w:t>Beggs</w:t>
      </w:r>
      <w:proofErr w:type="spellEnd"/>
      <w:r w:rsidRPr="0051539C">
        <w:rPr>
          <w:rFonts w:asciiTheme="minorHAnsi" w:hAnsiTheme="minorHAnsi" w:cstheme="minorHAnsi"/>
          <w:sz w:val="24"/>
          <w:szCs w:val="24"/>
        </w:rPr>
        <w:t>, 2010) When talking about professional judgement within policing the word ‘discretion’ is often used. The Oxford dictionary defines discretion as “the freedom to decide what should be done in a particular situation” (</w:t>
      </w:r>
      <w:r w:rsidRPr="0051539C">
        <w:rPr>
          <w:rFonts w:asciiTheme="minorHAnsi" w:hAnsiTheme="minorHAnsi" w:cstheme="minorHAnsi"/>
          <w:color w:val="202124"/>
          <w:sz w:val="24"/>
          <w:szCs w:val="24"/>
          <w:shd w:val="clear" w:color="auto" w:fill="FFFFFF"/>
        </w:rPr>
        <w:t xml:space="preserve">Oxford Learner’s Dictionaries, 2022). </w:t>
      </w:r>
      <w:r w:rsidRPr="0051539C">
        <w:rPr>
          <w:rFonts w:asciiTheme="minorHAnsi" w:hAnsiTheme="minorHAnsi" w:cstheme="minorHAnsi"/>
          <w:sz w:val="24"/>
          <w:szCs w:val="24"/>
        </w:rPr>
        <w:t>To understand discretion specifically within policing this definition should be considered alongside the policing principles of leadership, objectivity, fairness and accountability – arguably accountability most of all. For officers to use their discretion effectively they must feel empowered to act without fear of reprisal, even when taking these principles into account. Advice has been given on this issue as far back as 2008 “Police officers and police staff will have to use greater professional judgement, take greater risks in their decision making, and to use their discretion in order to achieve the highest levels of trust and confidence in policing.” (Flanigan, 2008). Flanigan also highlighted the requirement for accountability when exercising this power “Strengthening accountability is not only key to rebuilding public confidence; it is also a necessary precursor to any initiatives to reinstate professional discretion.” (Flanigan, 2008).</w:t>
      </w:r>
      <w:r w:rsidRPr="0051539C">
        <w:rPr>
          <w:rFonts w:asciiTheme="minorHAnsi" w:hAnsiTheme="minorHAnsi" w:cstheme="minorHAnsi"/>
          <w:sz w:val="24"/>
          <w:szCs w:val="24"/>
        </w:rPr>
        <w:br/>
      </w:r>
      <w:r w:rsidRPr="0051539C">
        <w:rPr>
          <w:rFonts w:asciiTheme="minorHAnsi" w:hAnsiTheme="minorHAnsi" w:cstheme="minorHAnsi"/>
          <w:sz w:val="24"/>
          <w:szCs w:val="24"/>
        </w:rPr>
        <w:br/>
        <w:t>Having discussed the NDM and discretion I will now explore my use of these throughout a policing incident. I was asked to attend a pre-booked appointment with a female who had reported her ex-partner was sending her threating messages via social media.</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 Even before speaking with the female, I began to use the NDM – specifically the first stage of gathering information and intelligence. I researched both parties involved on policing systems available and asked officers I worked with if they had knowledge of them. I became aware that the victim had previously made a huge number of false reports to police, and the offender was also known to have an extensive criminal record. Despite misgivings following this information I considered the procedural justice approach to investigation. This model focusses on fair treatment to members of the public to enhance their trust in policing and is based around four key principles of voice, neutrality, respect and trustworthy motives. Specifically, I considered the ‘voice’ principle which states “people need to have the chance to tell their side of the story and to feel that authority figures will listen and sincerely consider this before making a decision.” [justice inspectorates.gov, 2022). The National Crime Recording Standard 2022 also supports this “A victim focused approach is the standard to be applied based on a presumption that the victim should be believed.” (gov.uk, 2022)</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Before moving onto the second stage of the NDM I deliberated the investigation itself. My first consideration were the ‘golden hour’ principles. The college of policing defines this as “the period after an offence has been committed, when material is readily available in high volumes to the police.” (College of Policing, 2022). The golden hour should always be considered for any criminal investigation however on this occasion I found it irrelevant – the offence has occurred several weeks ago and over several months. Although there was also no ‘scene’ before attending I asked the victim to retain any messages sent by the offender for evidential purposes. Secondly, I thought it relevant to consider the ‘investigative mindset’ which is often recommended in modern policing. This mindset can be explained as follows “this approach encourages officers to be thorough and thoughtful about the material they have obtained…investigators must examine it with a critical eye, assuming nothing, believing nobody, and checking everything.” (Bryant, 2021). Whilst I took this approach into account, I noted the friction between this and the home office counting rules/procedural justice approach. On one side I was encouraged to believe the victim at the first </w:t>
      </w:r>
      <w:r w:rsidRPr="0051539C">
        <w:rPr>
          <w:rFonts w:asciiTheme="minorHAnsi" w:hAnsiTheme="minorHAnsi" w:cstheme="minorHAnsi"/>
          <w:sz w:val="24"/>
          <w:szCs w:val="24"/>
        </w:rPr>
        <w:lastRenderedPageBreak/>
        <w:t xml:space="preserve">point of contact, and on the other I was instructed to be critical, suspicious even, of all evidence and material put forward. This was another reminder of the importance of professional discretion when there are so many viewpoints in policing, some of which appearing contradictory. Blackstone’s Handbook also points out the dissonance between the use of the NDM and the requirements of a criminal investigation “most examples of using the NDM relate to circumstances where a one-off decision is required rather than the multiple decisions required in the course of even the most straightforward criminal investigations.” (Bryant, 2021). A further reminder that the NDM was not a single answer for all actions in policing. </w:t>
      </w:r>
      <w:r w:rsidRPr="0051539C">
        <w:rPr>
          <w:rFonts w:asciiTheme="minorHAnsi" w:hAnsiTheme="minorHAnsi" w:cstheme="minorHAnsi"/>
          <w:sz w:val="24"/>
          <w:szCs w:val="24"/>
        </w:rPr>
        <w:br/>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Next, I spoke to the victim in person and, with the information given, moved onto the next stages of the NDM. She was able to show me the messages on her phone and the offender had made clear threats to kill her. I also observed the offender lived a 30-second walk away from the victim. When asked the victim said she in no way believed the offender would, or could, carry out this threat and was reporting only as she wanted the messages to stop. He had also, after sending threats, sent her a further message apologising. At this point I was at the second stage of the NDM – assessing the threat and risk and developing a working strategy. There has been a large volume of literature of risk in policing, but in in this circumstance I referred to the College Of Policing’s 10 risk principles, specifically principle two “maintaining or achieving the safety, security and wellbeing of individuals and communities is a primary consideration in risk decision making.” (College of Policing, 2022) I was also able to use a prescribed risk management tool available in the form of a DASH (domestic abuse, stalking and harassment) form I completed with the victim. On reflection I considered this a particularly effective step to take as it ensured that, if required, the victim would get support not only from police but from other relevant agencies.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Next, I developed a working strategy for this incident. I decided to take all available information from the victim, including having her send me evidence of the crime committed in the form of screenshots, and to take more primary evidence in the form of a witness account from her. Following this I considered the powers and policies available to me. My primary consideration the power of arrest. In terms of policies, due to the domestic element of this incident, I knew I would be expected to take ‘positive-action’ which further supported an arrest being made immediately. This caused a problem – on the one hand I considered this policy, and certainly many would have arrested the offender at this point, however I also considered that there was outstanding evidence. The victim had mentioned her uncle had also been receiving threats from the same offender and I wanted more time to get hold of this information so when an arrest was made, I would have more evidence to be used in interview. The decision to arrest or, or not arrest, at this stage was a significant risk assessment in of itself. Much has been written on this specific decision – for example “if it is felt that investigations should continue to gather material, ask yourself if it is appropriate or indeed safe to leave an identified suspect in the community. Will they interfere with evidence/witnesses, flee or commit further offences? Risk, resources and logistics should all also be considered.” (Stainton, 2022). Given all the information I decided to use my professional discretion and not to arrest the suspect at that time. The victim did not believe he posed any actual risk and I wanted to ensure I could achieve the best evidence possibly prior to, and during, interview. Ultimately, I wanted to ensure any conviction of the offender had the biggest chance of success possible, in retrospect I believe this was also in line with the views of the Policing Vision 2025, specifically “investigating crime and bringing offenders to justice” (NPCC, 2022). This is an area I continue to reflect on. I found a conflict between the needs of an investigation and force policy – I </w:t>
      </w:r>
      <w:r w:rsidRPr="0051539C">
        <w:rPr>
          <w:rFonts w:asciiTheme="minorHAnsi" w:hAnsiTheme="minorHAnsi" w:cstheme="minorHAnsi"/>
          <w:sz w:val="24"/>
          <w:szCs w:val="24"/>
        </w:rPr>
        <w:lastRenderedPageBreak/>
        <w:t xml:space="preserve">now think this is exactly why I am, as police officer, empowered to use my professional discretion and to strive for the best outcome for the victim. </w:t>
      </w:r>
      <w:r w:rsidRPr="0051539C">
        <w:rPr>
          <w:rFonts w:asciiTheme="minorHAnsi" w:hAnsiTheme="minorHAnsi" w:cstheme="minorHAnsi"/>
          <w:sz w:val="24"/>
          <w:szCs w:val="24"/>
        </w:rPr>
        <w:br/>
      </w:r>
      <w:r w:rsidRPr="0051539C">
        <w:rPr>
          <w:rFonts w:asciiTheme="minorHAnsi" w:hAnsiTheme="minorHAnsi" w:cstheme="minorHAnsi"/>
          <w:sz w:val="24"/>
          <w:szCs w:val="24"/>
        </w:rPr>
        <w:br/>
        <w:t>Once I had left the victim, with the appropriate safety advice, I spoke to her uncle, gathered as much evidence as possible then moved to the last stage of the NDM – action and review. Approximately a week after my first meeting with the victim I arrested the suspect and conveyed him to custody. I noted he appeared frail and needed a walking stick. Whilst we were travelling to custody, he also disclosed he suffered with several epileptic seizures every day. This being the case, he was denied detention within custody on medical grounds, and I had to return him to his home address.</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On reflection I realise I committed several errors here. One, I should have initially sought guidance from custody staff regarding the arrest of this offender. Two – I realised (albeit too late) I had skipped a crucial stage of the NDM – the penultimate stage of identifying options and contingencies. I had no back-up plan for if detention was refused at custody. Fortunately, the suspect consented to having his phone examined for evidential purposes which I then sent for data extraction – therefore my attendance wasn’t entirely without success. In future I will ensure to have another plan in place to avoid a similar situation. At present I am seeking to interview the suspect via a voluntary attender (‘V.A’) interview and am still in frequent contact with the victim. </w:t>
      </w:r>
      <w:r w:rsidRPr="0051539C">
        <w:rPr>
          <w:rFonts w:asciiTheme="minorHAnsi" w:hAnsiTheme="minorHAnsi" w:cstheme="minorHAnsi"/>
          <w:sz w:val="24"/>
          <w:szCs w:val="24"/>
        </w:rPr>
        <w:br/>
      </w:r>
      <w:r w:rsidRPr="0051539C">
        <w:rPr>
          <w:rFonts w:asciiTheme="minorHAnsi" w:hAnsiTheme="minorHAnsi" w:cstheme="minorHAnsi"/>
          <w:sz w:val="24"/>
          <w:szCs w:val="24"/>
        </w:rPr>
        <w:br/>
        <w:t xml:space="preserve">In conclusion, I did not achieve the best possible level of evidence for this incident. On reflection, this was a result of my failure to adequately plan around the arrest, and therefore interview, of the suspect. In retrospect I believe this guidance from the CPS (Crown Prosecution Service), although relating to witnesses and victims, should be referred to “the importance of planning cannot be overstated. The success of an interview and, thus, an investigation could hinge on it. Even if the circumstances necessitate an early interview, an appropriate planning session that takes account of all the information available about the witness at the time and identifies the key issues and objectives is required. Time spent anticipating and covering issues early in the criminal investigation will be rewarded with an improved interview later.” (CPS.gov, 2022). In future I will ensure to gain more information on any suspect prior to making an arrest and will have a back-up in place should this fail. For a criminal investigation to be successful the NDM alone is not always enough to rely on, nor is the ‘investigate mindset’. Police officers must consider all approaches available, all risk assessment tools, local knowledge, case law, CPS advice and any other relevant factors, as well as applying their own experience and decision making. It is only when all these things are combined, along with a confident use of one’s own discretion, can the best outcomes be achieved. </w:t>
      </w:r>
      <w:r w:rsidRPr="00DA71A3">
        <w:rPr>
          <w:rFonts w:asciiTheme="minorHAnsi" w:hAnsiTheme="minorHAnsi" w:cstheme="minorHAnsi"/>
          <w:sz w:val="22"/>
          <w:szCs w:val="22"/>
        </w:rPr>
        <w:br/>
      </w:r>
      <w:r w:rsidRPr="00DA71A3">
        <w:rPr>
          <w:rFonts w:asciiTheme="minorHAnsi" w:hAnsiTheme="minorHAnsi" w:cstheme="minorHAnsi"/>
          <w:sz w:val="22"/>
          <w:szCs w:val="22"/>
        </w:rPr>
        <w:br/>
      </w:r>
      <w:r>
        <w:rPr>
          <w:sz w:val="24"/>
          <w:szCs w:val="24"/>
        </w:rPr>
        <w:t>Words: 2184</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5DEBC175" w:rsidR="00575A8F" w:rsidRPr="00270EEB" w:rsidRDefault="0051539C" w:rsidP="00E6298B">
            <w:pPr>
              <w:ind w:right="107"/>
              <w:jc w:val="both"/>
              <w:rPr>
                <w:sz w:val="24"/>
                <w:szCs w:val="24"/>
              </w:rPr>
            </w:pPr>
            <w:r>
              <w:rPr>
                <w:sz w:val="24"/>
                <w:szCs w:val="24"/>
              </w:rPr>
              <w:t>Learning the geography of my policing area</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AD29E32" w:rsidR="00575A8F" w:rsidRPr="00270EEB" w:rsidRDefault="00F73311" w:rsidP="00E6298B">
            <w:pPr>
              <w:ind w:right="107"/>
              <w:jc w:val="both"/>
              <w:rPr>
                <w:sz w:val="24"/>
                <w:szCs w:val="24"/>
              </w:rPr>
            </w:pPr>
            <w:r>
              <w:rPr>
                <w:sz w:val="24"/>
                <w:szCs w:val="24"/>
              </w:rPr>
              <w:t>Learning the name of 2 roads and committing them to memory each day, starting from my assigned police station and branching further outwards from there.</w:t>
            </w:r>
          </w:p>
        </w:tc>
        <w:tc>
          <w:tcPr>
            <w:tcW w:w="2426" w:type="dxa"/>
            <w:shd w:val="clear" w:color="auto" w:fill="auto"/>
          </w:tcPr>
          <w:p w14:paraId="6F2EF39C" w14:textId="07C7FD77" w:rsidR="00575A8F" w:rsidRPr="00270EEB" w:rsidRDefault="00F73311" w:rsidP="00E6298B">
            <w:pPr>
              <w:ind w:right="107"/>
              <w:jc w:val="both"/>
              <w:rPr>
                <w:sz w:val="24"/>
                <w:szCs w:val="24"/>
              </w:rPr>
            </w:pPr>
            <w:r>
              <w:rPr>
                <w:sz w:val="24"/>
                <w:szCs w:val="24"/>
              </w:rPr>
              <w:t>Support can be gained from officers at my station who are longer in service than myself, and by using applications such as google maps.</w:t>
            </w:r>
          </w:p>
        </w:tc>
        <w:tc>
          <w:tcPr>
            <w:tcW w:w="2426" w:type="dxa"/>
            <w:shd w:val="clear" w:color="auto" w:fill="auto"/>
          </w:tcPr>
          <w:p w14:paraId="3851D535" w14:textId="758F0F8F" w:rsidR="28A9B94D" w:rsidRDefault="0051539C" w:rsidP="28A9B94D">
            <w:pPr>
              <w:jc w:val="both"/>
              <w:rPr>
                <w:sz w:val="24"/>
                <w:szCs w:val="24"/>
              </w:rPr>
            </w:pPr>
            <w:r>
              <w:rPr>
                <w:sz w:val="24"/>
                <w:szCs w:val="24"/>
              </w:rPr>
              <w:t>6-12 months</w:t>
            </w:r>
          </w:p>
        </w:tc>
      </w:tr>
      <w:tr w:rsidR="00575A8F" w:rsidRPr="00270EEB" w14:paraId="67CEB11A" w14:textId="77777777" w:rsidTr="28A9B94D">
        <w:tc>
          <w:tcPr>
            <w:tcW w:w="2462" w:type="dxa"/>
            <w:shd w:val="clear" w:color="auto" w:fill="auto"/>
          </w:tcPr>
          <w:p w14:paraId="1C2EB90F" w14:textId="2BC7F72F" w:rsidR="00575A8F" w:rsidRPr="00270EEB" w:rsidRDefault="00F73311" w:rsidP="00E6298B">
            <w:pPr>
              <w:ind w:right="107"/>
              <w:jc w:val="both"/>
              <w:rPr>
                <w:sz w:val="24"/>
                <w:szCs w:val="24"/>
              </w:rPr>
            </w:pPr>
            <w:r>
              <w:rPr>
                <w:sz w:val="24"/>
                <w:szCs w:val="24"/>
              </w:rPr>
              <w:t>Learning to understand the process of building a case file following initial investigation into a crime/incident</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1DAED024" w:rsidR="00575A8F" w:rsidRPr="00270EEB" w:rsidRDefault="00F73311" w:rsidP="00E6298B">
            <w:pPr>
              <w:ind w:right="107"/>
              <w:jc w:val="both"/>
              <w:rPr>
                <w:sz w:val="24"/>
                <w:szCs w:val="24"/>
              </w:rPr>
            </w:pPr>
            <w:r>
              <w:rPr>
                <w:sz w:val="24"/>
                <w:szCs w:val="24"/>
              </w:rPr>
              <w:t xml:space="preserve">Using materials provided to myself during training school of what is needed as part of a case file. </w:t>
            </w:r>
            <w:r>
              <w:rPr>
                <w:sz w:val="24"/>
                <w:szCs w:val="24"/>
              </w:rPr>
              <w:br/>
            </w:r>
            <w:r>
              <w:rPr>
                <w:sz w:val="24"/>
                <w:szCs w:val="24"/>
              </w:rPr>
              <w:br/>
              <w:t>Reviewing ‘successful’ (accepted) case files submitted by others and checking what has been included in these</w:t>
            </w:r>
          </w:p>
        </w:tc>
        <w:tc>
          <w:tcPr>
            <w:tcW w:w="2426" w:type="dxa"/>
            <w:shd w:val="clear" w:color="auto" w:fill="auto"/>
          </w:tcPr>
          <w:p w14:paraId="7A4C9A77" w14:textId="2F72A7B3" w:rsidR="00575A8F" w:rsidRPr="00270EEB" w:rsidRDefault="00F73311" w:rsidP="00E6298B">
            <w:pPr>
              <w:ind w:right="107"/>
              <w:jc w:val="both"/>
              <w:rPr>
                <w:sz w:val="24"/>
                <w:szCs w:val="24"/>
              </w:rPr>
            </w:pPr>
            <w:r>
              <w:rPr>
                <w:sz w:val="24"/>
                <w:szCs w:val="24"/>
              </w:rPr>
              <w:t>Officers with longer service that myself.</w:t>
            </w:r>
            <w:r>
              <w:rPr>
                <w:sz w:val="24"/>
                <w:szCs w:val="24"/>
              </w:rPr>
              <w:br/>
            </w:r>
            <w:r>
              <w:rPr>
                <w:sz w:val="24"/>
                <w:szCs w:val="24"/>
              </w:rPr>
              <w:br/>
              <w:t>Case file building team.</w:t>
            </w:r>
            <w:r>
              <w:rPr>
                <w:sz w:val="24"/>
                <w:szCs w:val="24"/>
              </w:rPr>
              <w:br/>
            </w:r>
            <w:r>
              <w:rPr>
                <w:sz w:val="24"/>
                <w:szCs w:val="24"/>
              </w:rPr>
              <w:br/>
              <w:t>College of policing website.</w:t>
            </w:r>
          </w:p>
        </w:tc>
        <w:tc>
          <w:tcPr>
            <w:tcW w:w="2426" w:type="dxa"/>
            <w:shd w:val="clear" w:color="auto" w:fill="auto"/>
          </w:tcPr>
          <w:p w14:paraId="003BC03B" w14:textId="5012AC26" w:rsidR="28A9B94D" w:rsidRDefault="00F73311" w:rsidP="28A9B94D">
            <w:pPr>
              <w:jc w:val="both"/>
              <w:rPr>
                <w:sz w:val="24"/>
                <w:szCs w:val="24"/>
              </w:rPr>
            </w:pPr>
            <w:r>
              <w:rPr>
                <w:sz w:val="24"/>
                <w:szCs w:val="24"/>
              </w:rPr>
              <w:t>6</w:t>
            </w:r>
            <w:r w:rsidR="0051539C">
              <w:rPr>
                <w:sz w:val="24"/>
                <w:szCs w:val="24"/>
              </w:rPr>
              <w:t>-</w:t>
            </w:r>
            <w:r>
              <w:rPr>
                <w:sz w:val="24"/>
                <w:szCs w:val="24"/>
              </w:rPr>
              <w:t>12</w:t>
            </w:r>
            <w:r w:rsidR="0051539C">
              <w:rPr>
                <w:sz w:val="24"/>
                <w:szCs w:val="24"/>
              </w:rPr>
              <w:t xml:space="preserve">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3E86EB90" w:rsidR="00575A8F" w:rsidRPr="00270EEB" w:rsidRDefault="00F73311" w:rsidP="00E6298B">
            <w:pPr>
              <w:ind w:right="107"/>
              <w:jc w:val="both"/>
              <w:rPr>
                <w:sz w:val="24"/>
                <w:szCs w:val="24"/>
              </w:rPr>
            </w:pPr>
            <w:r>
              <w:rPr>
                <w:sz w:val="24"/>
                <w:szCs w:val="24"/>
              </w:rPr>
              <w:t>Deeper understanding of the bail system following arrest</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0CC6889" w:rsidR="00575A8F" w:rsidRPr="00270EEB" w:rsidRDefault="00F73311" w:rsidP="00E6298B">
            <w:pPr>
              <w:ind w:right="107"/>
              <w:jc w:val="both"/>
              <w:rPr>
                <w:sz w:val="24"/>
                <w:szCs w:val="24"/>
              </w:rPr>
            </w:pPr>
            <w:r>
              <w:rPr>
                <w:sz w:val="24"/>
                <w:szCs w:val="24"/>
              </w:rPr>
              <w:lastRenderedPageBreak/>
              <w:t>Using Blackstone’s policing handbook and similar resources to review the process of bail and what, exactly, it means from the point a suspect is bailed.</w:t>
            </w:r>
          </w:p>
        </w:tc>
        <w:tc>
          <w:tcPr>
            <w:tcW w:w="2426" w:type="dxa"/>
            <w:shd w:val="clear" w:color="auto" w:fill="auto"/>
          </w:tcPr>
          <w:p w14:paraId="76B2A824" w14:textId="557DAD6C" w:rsidR="00575A8F" w:rsidRPr="00270EEB" w:rsidRDefault="00F73311" w:rsidP="00E6298B">
            <w:pPr>
              <w:ind w:right="107"/>
              <w:jc w:val="both"/>
              <w:rPr>
                <w:sz w:val="24"/>
                <w:szCs w:val="24"/>
              </w:rPr>
            </w:pPr>
            <w:r>
              <w:rPr>
                <w:sz w:val="24"/>
                <w:szCs w:val="24"/>
              </w:rPr>
              <w:t>Blackstone’s handbook for Policing students</w:t>
            </w:r>
            <w:r>
              <w:rPr>
                <w:sz w:val="24"/>
                <w:szCs w:val="24"/>
              </w:rPr>
              <w:br/>
            </w:r>
            <w:r>
              <w:rPr>
                <w:sz w:val="24"/>
                <w:szCs w:val="24"/>
              </w:rPr>
              <w:br/>
              <w:t>College of policing website</w:t>
            </w:r>
            <w:r>
              <w:rPr>
                <w:sz w:val="24"/>
                <w:szCs w:val="24"/>
              </w:rPr>
              <w:br/>
            </w:r>
            <w:r>
              <w:rPr>
                <w:sz w:val="24"/>
                <w:szCs w:val="24"/>
              </w:rPr>
              <w:br/>
              <w:t>Crown Prosecution service articles</w:t>
            </w:r>
            <w:r>
              <w:rPr>
                <w:sz w:val="24"/>
                <w:szCs w:val="24"/>
              </w:rPr>
              <w:br/>
            </w:r>
            <w:r>
              <w:rPr>
                <w:sz w:val="24"/>
                <w:szCs w:val="24"/>
              </w:rPr>
              <w:lastRenderedPageBreak/>
              <w:br/>
              <w:t>Custody sergeants and members of staff</w:t>
            </w:r>
          </w:p>
        </w:tc>
        <w:tc>
          <w:tcPr>
            <w:tcW w:w="2426" w:type="dxa"/>
            <w:shd w:val="clear" w:color="auto" w:fill="auto"/>
          </w:tcPr>
          <w:p w14:paraId="185B2EE5" w14:textId="2AF65B42" w:rsidR="28A9B94D" w:rsidRDefault="0051539C" w:rsidP="28A9B94D">
            <w:pPr>
              <w:jc w:val="both"/>
              <w:rPr>
                <w:sz w:val="24"/>
                <w:szCs w:val="24"/>
              </w:rPr>
            </w:pPr>
            <w:r>
              <w:rPr>
                <w:sz w:val="24"/>
                <w:szCs w:val="24"/>
              </w:rPr>
              <w:lastRenderedPageBreak/>
              <w:t xml:space="preserve">6 – 12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A138E18"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Pr>
          <w:b/>
        </w:rPr>
        <w:br/>
      </w:r>
      <w:r>
        <w:rPr>
          <w:b/>
        </w:rPr>
        <w:br/>
      </w:r>
      <w:r w:rsidRPr="00DA71A3">
        <w:rPr>
          <w:rFonts w:asciiTheme="minorHAnsi" w:hAnsiTheme="minorHAnsi" w:cstheme="minorHAnsi"/>
          <w:sz w:val="22"/>
          <w:szCs w:val="22"/>
        </w:rPr>
        <w:t xml:space="preserve">Bryant, R. and Bryant, S. (2021). </w:t>
      </w:r>
      <w:r w:rsidRPr="00DA71A3">
        <w:rPr>
          <w:rFonts w:asciiTheme="minorHAnsi" w:hAnsiTheme="minorHAnsi" w:cstheme="minorHAnsi"/>
          <w:i/>
          <w:iCs/>
          <w:sz w:val="22"/>
          <w:szCs w:val="22"/>
        </w:rPr>
        <w:t>Blackstone’s Handbook For Policing Students 2021.</w:t>
      </w:r>
      <w:r w:rsidRPr="00DA71A3">
        <w:rPr>
          <w:rFonts w:asciiTheme="minorHAnsi" w:hAnsiTheme="minorHAnsi" w:cstheme="minorHAnsi"/>
          <w:sz w:val="22"/>
          <w:szCs w:val="22"/>
        </w:rPr>
        <w:t xml:space="preserve"> S.L.: Oxford </w:t>
      </w:r>
      <w:proofErr w:type="spellStart"/>
      <w:r w:rsidRPr="00DA71A3">
        <w:rPr>
          <w:rFonts w:asciiTheme="minorHAnsi" w:hAnsiTheme="minorHAnsi" w:cstheme="minorHAnsi"/>
          <w:sz w:val="22"/>
          <w:szCs w:val="22"/>
        </w:rPr>
        <w:t>Univ</w:t>
      </w:r>
      <w:proofErr w:type="spellEnd"/>
      <w:r w:rsidRPr="00DA71A3">
        <w:rPr>
          <w:rFonts w:asciiTheme="minorHAnsi" w:hAnsiTheme="minorHAnsi" w:cstheme="minorHAnsi"/>
          <w:sz w:val="22"/>
          <w:szCs w:val="22"/>
        </w:rPr>
        <w:t xml:space="preserve"> Press.</w:t>
      </w:r>
    </w:p>
    <w:p w14:paraId="1B3F06FD"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Christie, P. (2009). </w:t>
      </w:r>
      <w:r w:rsidRPr="00DA71A3">
        <w:rPr>
          <w:rFonts w:asciiTheme="minorHAnsi" w:hAnsiTheme="minorHAnsi" w:cstheme="minorHAnsi"/>
          <w:i/>
          <w:iCs/>
          <w:sz w:val="22"/>
          <w:szCs w:val="22"/>
        </w:rPr>
        <w:t>First steps in intervention with your child with autism : frameworks for communication</w:t>
      </w:r>
      <w:r w:rsidRPr="00DA71A3">
        <w:rPr>
          <w:rFonts w:asciiTheme="minorHAnsi" w:hAnsiTheme="minorHAnsi" w:cstheme="minorHAnsi"/>
          <w:sz w:val="22"/>
          <w:szCs w:val="22"/>
        </w:rPr>
        <w:t>. London: Jessica Kingsley Publishers, pp.96–100.</w:t>
      </w:r>
    </w:p>
    <w:p w14:paraId="5BFBCA56"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College Of Policing (2014). </w:t>
      </w:r>
      <w:r w:rsidRPr="00DA71A3">
        <w:rPr>
          <w:rFonts w:asciiTheme="minorHAnsi" w:hAnsiTheme="minorHAnsi" w:cstheme="minorHAnsi"/>
          <w:i/>
          <w:iCs/>
          <w:sz w:val="22"/>
          <w:szCs w:val="22"/>
        </w:rPr>
        <w:t>National decision model</w:t>
      </w:r>
      <w:r w:rsidRPr="00DA71A3">
        <w:rPr>
          <w:rFonts w:asciiTheme="minorHAnsi" w:hAnsiTheme="minorHAnsi" w:cstheme="minorHAnsi"/>
          <w:sz w:val="22"/>
          <w:szCs w:val="22"/>
        </w:rPr>
        <w:t>. [online] College of Policing. Available at: https://www.college.police.uk/app/national-decision-model/national-decision-model [Accessed 21 Sep. 2022].</w:t>
      </w:r>
    </w:p>
    <w:p w14:paraId="658E2872"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Copley, S. (2011). </w:t>
      </w:r>
      <w:r w:rsidRPr="00DA71A3">
        <w:rPr>
          <w:rFonts w:asciiTheme="minorHAnsi" w:hAnsiTheme="minorHAnsi" w:cstheme="minorHAnsi"/>
          <w:i/>
          <w:iCs/>
          <w:sz w:val="22"/>
          <w:szCs w:val="22"/>
        </w:rPr>
        <w:t>Reflective Practice for Policing Students</w:t>
      </w:r>
      <w:r w:rsidRPr="00DA71A3">
        <w:rPr>
          <w:rFonts w:asciiTheme="minorHAnsi" w:hAnsiTheme="minorHAnsi" w:cstheme="minorHAnsi"/>
          <w:sz w:val="22"/>
          <w:szCs w:val="22"/>
        </w:rPr>
        <w:t>. Exeter: Learning Matters.</w:t>
      </w:r>
    </w:p>
    <w:p w14:paraId="19B28A23"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CSP (n.d.). </w:t>
      </w:r>
      <w:r w:rsidRPr="00DA71A3">
        <w:rPr>
          <w:rFonts w:asciiTheme="minorHAnsi" w:hAnsiTheme="minorHAnsi" w:cstheme="minorHAnsi"/>
          <w:i/>
          <w:iCs/>
          <w:sz w:val="22"/>
          <w:szCs w:val="22"/>
        </w:rPr>
        <w:t>Criminal Damage | The Crown Prosecution Service</w:t>
      </w:r>
      <w:r w:rsidRPr="00DA71A3">
        <w:rPr>
          <w:rFonts w:asciiTheme="minorHAnsi" w:hAnsiTheme="minorHAnsi" w:cstheme="minorHAnsi"/>
          <w:sz w:val="22"/>
          <w:szCs w:val="22"/>
        </w:rPr>
        <w:t>. [online] www.cps.gov.uk. Available at: https://www.cps.gov.uk/legal-guidance/criminal-damage#:~:text=Section%201(1)%20CDA%201971 [Accessed 21 Sep. 2022].</w:t>
      </w:r>
    </w:p>
    <w:p w14:paraId="716A29B1"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et al., P. (2021). ‘I’m sorry, my English not very good’: Tracking differences between Language-Barrier and Non-Language-Barrier emergency ambulance calls for Out-of-Hospital Cardiac Arrest.</w:t>
      </w:r>
    </w:p>
    <w:p w14:paraId="10CE685C"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European Court of Human Rights (1950). </w:t>
      </w:r>
      <w:r w:rsidRPr="00DA71A3">
        <w:rPr>
          <w:rFonts w:asciiTheme="minorHAnsi" w:hAnsiTheme="minorHAnsi" w:cstheme="minorHAnsi"/>
          <w:i/>
          <w:iCs/>
          <w:sz w:val="22"/>
          <w:szCs w:val="22"/>
        </w:rPr>
        <w:t>European Convention on Human Rights</w:t>
      </w:r>
      <w:r w:rsidRPr="00DA71A3">
        <w:rPr>
          <w:rFonts w:asciiTheme="minorHAnsi" w:hAnsiTheme="minorHAnsi" w:cstheme="minorHAnsi"/>
          <w:sz w:val="22"/>
          <w:szCs w:val="22"/>
        </w:rPr>
        <w:t xml:space="preserve">. [online] </w:t>
      </w:r>
      <w:r w:rsidRPr="00DA71A3">
        <w:rPr>
          <w:rFonts w:asciiTheme="minorHAnsi" w:hAnsiTheme="minorHAnsi" w:cstheme="minorHAnsi"/>
          <w:i/>
          <w:iCs/>
          <w:sz w:val="22"/>
          <w:szCs w:val="22"/>
        </w:rPr>
        <w:t>European Convention on Human Rights</w:t>
      </w:r>
      <w:r w:rsidRPr="00DA71A3">
        <w:rPr>
          <w:rFonts w:asciiTheme="minorHAnsi" w:hAnsiTheme="minorHAnsi" w:cstheme="minorHAnsi"/>
          <w:sz w:val="22"/>
          <w:szCs w:val="22"/>
        </w:rPr>
        <w:t>. Available at: https://www.echr.coe.int/Documents/Convention_ENG.pdf [Accessed 21 Sep. 2022].</w:t>
      </w:r>
    </w:p>
    <w:p w14:paraId="59864B0A"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Fernandez, E. (2013). </w:t>
      </w:r>
      <w:r w:rsidRPr="00DA71A3">
        <w:rPr>
          <w:rFonts w:asciiTheme="minorHAnsi" w:hAnsiTheme="minorHAnsi" w:cstheme="minorHAnsi"/>
          <w:i/>
          <w:iCs/>
          <w:sz w:val="22"/>
          <w:szCs w:val="22"/>
        </w:rPr>
        <w:t>Treatments for Anger in Specific Populations: Theory, Application, and Outcome Treatments for Anger in Specific Populations: Theory, Application, and Outcome</w:t>
      </w:r>
      <w:r w:rsidRPr="00DA71A3">
        <w:rPr>
          <w:rFonts w:asciiTheme="minorHAnsi" w:hAnsiTheme="minorHAnsi" w:cstheme="minorHAnsi"/>
          <w:sz w:val="22"/>
          <w:szCs w:val="22"/>
        </w:rPr>
        <w:t>. 1st ed. Oxford University Press, pp.92–113.</w:t>
      </w:r>
    </w:p>
    <w:p w14:paraId="0FF9B2A0"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Fisher, R. and </w:t>
      </w:r>
      <w:proofErr w:type="spellStart"/>
      <w:r w:rsidRPr="00DA71A3">
        <w:rPr>
          <w:rFonts w:asciiTheme="minorHAnsi" w:hAnsiTheme="minorHAnsi" w:cstheme="minorHAnsi"/>
          <w:sz w:val="22"/>
          <w:szCs w:val="22"/>
        </w:rPr>
        <w:t>Ury</w:t>
      </w:r>
      <w:proofErr w:type="spellEnd"/>
      <w:r w:rsidRPr="00DA71A3">
        <w:rPr>
          <w:rFonts w:asciiTheme="minorHAnsi" w:hAnsiTheme="minorHAnsi" w:cstheme="minorHAnsi"/>
          <w:sz w:val="22"/>
          <w:szCs w:val="22"/>
        </w:rPr>
        <w:t xml:space="preserve">, W. (2012). </w:t>
      </w:r>
      <w:r w:rsidRPr="00DA71A3">
        <w:rPr>
          <w:rFonts w:asciiTheme="minorHAnsi" w:hAnsiTheme="minorHAnsi" w:cstheme="minorHAnsi"/>
          <w:i/>
          <w:iCs/>
          <w:sz w:val="22"/>
          <w:szCs w:val="22"/>
        </w:rPr>
        <w:t>Getting To Yes: Negotiating An Agreement Without Giving In</w:t>
      </w:r>
      <w:r w:rsidRPr="00DA71A3">
        <w:rPr>
          <w:rFonts w:asciiTheme="minorHAnsi" w:hAnsiTheme="minorHAnsi" w:cstheme="minorHAnsi"/>
          <w:sz w:val="22"/>
          <w:szCs w:val="22"/>
        </w:rPr>
        <w:t>. London, UK: Random House Business Books, p.12.</w:t>
      </w:r>
    </w:p>
    <w:p w14:paraId="79465E7E"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Fitch, B.D. (2016). </w:t>
      </w:r>
      <w:r w:rsidRPr="00DA71A3">
        <w:rPr>
          <w:rFonts w:asciiTheme="minorHAnsi" w:hAnsiTheme="minorHAnsi" w:cstheme="minorHAnsi"/>
          <w:i/>
          <w:iCs/>
          <w:sz w:val="22"/>
          <w:szCs w:val="22"/>
        </w:rPr>
        <w:t>Law enforcement interpersonal communication and conflict management : the IMPACT model</w:t>
      </w:r>
      <w:r w:rsidRPr="00DA71A3">
        <w:rPr>
          <w:rFonts w:asciiTheme="minorHAnsi" w:hAnsiTheme="minorHAnsi" w:cstheme="minorHAnsi"/>
          <w:sz w:val="22"/>
          <w:szCs w:val="22"/>
        </w:rPr>
        <w:t>. Los Angeles, CA: SAGE Publications, Inc.</w:t>
      </w:r>
    </w:p>
    <w:p w14:paraId="1BA3F4B9"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lastRenderedPageBreak/>
        <w:t xml:space="preserve">Flanagan, R. (2008). </w:t>
      </w:r>
      <w:r w:rsidRPr="00DA71A3">
        <w:rPr>
          <w:rFonts w:asciiTheme="minorHAnsi" w:hAnsiTheme="minorHAnsi" w:cstheme="minorHAnsi"/>
          <w:i/>
          <w:iCs/>
          <w:sz w:val="22"/>
          <w:szCs w:val="22"/>
        </w:rPr>
        <w:t>Policing final Report The Review</w:t>
      </w:r>
      <w:r w:rsidRPr="00DA71A3">
        <w:rPr>
          <w:rFonts w:asciiTheme="minorHAnsi" w:hAnsiTheme="minorHAnsi" w:cstheme="minorHAnsi"/>
          <w:sz w:val="22"/>
          <w:szCs w:val="22"/>
        </w:rPr>
        <w:t>. [online] Available at: https://www.justiceinspectorates.gov.uk/hmicfrs/media/flanagan-review-of-policing-20080201.pdf [Accessed 21 Sep. 2022].</w:t>
      </w:r>
    </w:p>
    <w:p w14:paraId="7BF014E0"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Future Generations Commissioner for Wales (2015). </w:t>
      </w:r>
      <w:r w:rsidRPr="00DA71A3">
        <w:rPr>
          <w:rFonts w:asciiTheme="minorHAnsi" w:hAnsiTheme="minorHAnsi" w:cstheme="minorHAnsi"/>
          <w:i/>
          <w:iCs/>
          <w:sz w:val="22"/>
          <w:szCs w:val="22"/>
        </w:rPr>
        <w:t>Well-being of Future Generations (Wales) Act 2015 – The Future Generations Commissioner for Wales</w:t>
      </w:r>
      <w:r w:rsidRPr="00DA71A3">
        <w:rPr>
          <w:rFonts w:asciiTheme="minorHAnsi" w:hAnsiTheme="minorHAnsi" w:cstheme="minorHAnsi"/>
          <w:sz w:val="22"/>
          <w:szCs w:val="22"/>
        </w:rPr>
        <w:t>. [online] www.futuregenerations.wales. Available at: https://www.futuregenerations.wales/about-us/future-generations-act/ [Accessed 21 Sep. 2022].</w:t>
      </w:r>
    </w:p>
    <w:p w14:paraId="445DD401"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HMICFRS (2018). Policing and Mental Health Picking Up the Pieces.</w:t>
      </w:r>
    </w:p>
    <w:p w14:paraId="5E9B034D"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Home office (2019). Police Workforce, England and Wales, 31 March 2019 second edition.</w:t>
      </w:r>
    </w:p>
    <w:p w14:paraId="7BDA921C"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Independent Commission on Mental Health and Policing, L.V.A.C.C., Independent Commission on Mental Health and Policing (2012). Independent Commission on Mental Health and Policing Report.</w:t>
      </w:r>
    </w:p>
    <w:p w14:paraId="0B244704"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Justice Inspectorates (n.d.). </w:t>
      </w:r>
      <w:r w:rsidRPr="00DA71A3">
        <w:rPr>
          <w:rFonts w:asciiTheme="minorHAnsi" w:hAnsiTheme="minorHAnsi" w:cstheme="minorHAnsi"/>
          <w:i/>
          <w:iCs/>
          <w:sz w:val="22"/>
          <w:szCs w:val="22"/>
        </w:rPr>
        <w:t>Criminal Justice Inspectorates - Home</w:t>
      </w:r>
      <w:r w:rsidRPr="00DA71A3">
        <w:rPr>
          <w:rFonts w:asciiTheme="minorHAnsi" w:hAnsiTheme="minorHAnsi" w:cstheme="minorHAnsi"/>
          <w:sz w:val="22"/>
          <w:szCs w:val="22"/>
        </w:rPr>
        <w:t>. [online] www.justiceinspectorates.gov.uk. Available at: https://www.justiceinspectorates.gov.uk/ [Accessed 21 Sep. 2022].</w:t>
      </w:r>
    </w:p>
    <w:p w14:paraId="09C52E43"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Kabat-Zinn, J. (2015). Mindfulness. </w:t>
      </w:r>
      <w:r w:rsidRPr="00DA71A3">
        <w:rPr>
          <w:rFonts w:asciiTheme="minorHAnsi" w:hAnsiTheme="minorHAnsi" w:cstheme="minorHAnsi"/>
          <w:i/>
          <w:iCs/>
          <w:sz w:val="22"/>
          <w:szCs w:val="22"/>
        </w:rPr>
        <w:t>Mindfulness</w:t>
      </w:r>
      <w:r w:rsidRPr="00DA71A3">
        <w:rPr>
          <w:rFonts w:asciiTheme="minorHAnsi" w:hAnsiTheme="minorHAnsi" w:cstheme="minorHAnsi"/>
          <w:sz w:val="22"/>
          <w:szCs w:val="22"/>
        </w:rPr>
        <w:t>, 6(6), pp.1481–1483. doi:10.1007/s12671-015-0456-x.</w:t>
      </w:r>
    </w:p>
    <w:p w14:paraId="6C8C7097"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proofErr w:type="spellStart"/>
      <w:r w:rsidRPr="00DA71A3">
        <w:rPr>
          <w:rFonts w:asciiTheme="minorHAnsi" w:hAnsiTheme="minorHAnsi" w:cstheme="minorHAnsi"/>
          <w:sz w:val="22"/>
          <w:szCs w:val="22"/>
        </w:rPr>
        <w:t>Kaimal</w:t>
      </w:r>
      <w:proofErr w:type="spellEnd"/>
      <w:r w:rsidRPr="00DA71A3">
        <w:rPr>
          <w:rFonts w:asciiTheme="minorHAnsi" w:hAnsiTheme="minorHAnsi" w:cstheme="minorHAnsi"/>
          <w:sz w:val="22"/>
          <w:szCs w:val="22"/>
        </w:rPr>
        <w:t xml:space="preserve">, G., Ray, K. and Muniz, J. (2016). Reduction of Cortisol Levels and Participants’ Responses Following Art Making. </w:t>
      </w:r>
      <w:r w:rsidRPr="00DA71A3">
        <w:rPr>
          <w:rFonts w:asciiTheme="minorHAnsi" w:hAnsiTheme="minorHAnsi" w:cstheme="minorHAnsi"/>
          <w:i/>
          <w:iCs/>
          <w:sz w:val="22"/>
          <w:szCs w:val="22"/>
        </w:rPr>
        <w:t>Art Therapy</w:t>
      </w:r>
      <w:r w:rsidRPr="00DA71A3">
        <w:rPr>
          <w:rFonts w:asciiTheme="minorHAnsi" w:hAnsiTheme="minorHAnsi" w:cstheme="minorHAnsi"/>
          <w:sz w:val="22"/>
          <w:szCs w:val="22"/>
        </w:rPr>
        <w:t>, 33(2), pp.74–80. doi:10.1080/07421656.2016.1166832.</w:t>
      </w:r>
    </w:p>
    <w:p w14:paraId="62C85028"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Kent, M. (2006). </w:t>
      </w:r>
      <w:r w:rsidRPr="00DA71A3">
        <w:rPr>
          <w:rFonts w:asciiTheme="minorHAnsi" w:hAnsiTheme="minorHAnsi" w:cstheme="minorHAnsi"/>
          <w:i/>
          <w:iCs/>
          <w:sz w:val="22"/>
          <w:szCs w:val="22"/>
        </w:rPr>
        <w:t>The Oxford dictionary of sports science &amp; medicine</w:t>
      </w:r>
      <w:r w:rsidRPr="00DA71A3">
        <w:rPr>
          <w:rFonts w:asciiTheme="minorHAnsi" w:hAnsiTheme="minorHAnsi" w:cstheme="minorHAnsi"/>
          <w:sz w:val="22"/>
          <w:szCs w:val="22"/>
        </w:rPr>
        <w:t>. 3rd ed. Oxford ; New York: Oxford University Press.</w:t>
      </w:r>
    </w:p>
    <w:p w14:paraId="39B7FFC0"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Kolb, D.A. (1984). </w:t>
      </w:r>
      <w:r w:rsidRPr="00DA71A3">
        <w:rPr>
          <w:rFonts w:asciiTheme="minorHAnsi" w:hAnsiTheme="minorHAnsi" w:cstheme="minorHAnsi"/>
          <w:i/>
          <w:iCs/>
          <w:sz w:val="22"/>
          <w:szCs w:val="22"/>
        </w:rPr>
        <w:t>Experiential Learning: Experience as the Source of Learning and Development</w:t>
      </w:r>
      <w:r w:rsidRPr="00DA71A3">
        <w:rPr>
          <w:rFonts w:asciiTheme="minorHAnsi" w:hAnsiTheme="minorHAnsi" w:cstheme="minorHAnsi"/>
          <w:sz w:val="22"/>
          <w:szCs w:val="22"/>
        </w:rPr>
        <w:t>. 2nd ed. Upper Saddle River, New Jersey: Pearson Education, Inc.</w:t>
      </w:r>
    </w:p>
    <w:p w14:paraId="62DB2DD5"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Lam, L.C.W. and </w:t>
      </w:r>
      <w:proofErr w:type="spellStart"/>
      <w:r w:rsidRPr="00DA71A3">
        <w:rPr>
          <w:rFonts w:asciiTheme="minorHAnsi" w:hAnsiTheme="minorHAnsi" w:cstheme="minorHAnsi"/>
          <w:sz w:val="22"/>
          <w:szCs w:val="22"/>
        </w:rPr>
        <w:t>Riba</w:t>
      </w:r>
      <w:proofErr w:type="spellEnd"/>
      <w:r w:rsidRPr="00DA71A3">
        <w:rPr>
          <w:rFonts w:asciiTheme="minorHAnsi" w:hAnsiTheme="minorHAnsi" w:cstheme="minorHAnsi"/>
          <w:sz w:val="22"/>
          <w:szCs w:val="22"/>
        </w:rPr>
        <w:t xml:space="preserve">, M.B. (2016). </w:t>
      </w:r>
      <w:r w:rsidRPr="00DA71A3">
        <w:rPr>
          <w:rFonts w:asciiTheme="minorHAnsi" w:hAnsiTheme="minorHAnsi" w:cstheme="minorHAnsi"/>
          <w:i/>
          <w:iCs/>
          <w:sz w:val="22"/>
          <w:szCs w:val="22"/>
        </w:rPr>
        <w:t>Physical exercise interventions for mental health</w:t>
      </w:r>
      <w:r w:rsidRPr="00DA71A3">
        <w:rPr>
          <w:rFonts w:asciiTheme="minorHAnsi" w:hAnsiTheme="minorHAnsi" w:cstheme="minorHAnsi"/>
          <w:sz w:val="22"/>
          <w:szCs w:val="22"/>
        </w:rPr>
        <w:t>. Cambridge, United Kingdom ; New York: Cambridge University Press, pp.79–95.</w:t>
      </w:r>
    </w:p>
    <w:p w14:paraId="0D7A305B"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legislation.gov.uk (2011). </w:t>
      </w:r>
      <w:r w:rsidRPr="00DA71A3">
        <w:rPr>
          <w:rFonts w:asciiTheme="minorHAnsi" w:hAnsiTheme="minorHAnsi" w:cstheme="minorHAnsi"/>
          <w:i/>
          <w:iCs/>
          <w:sz w:val="22"/>
          <w:szCs w:val="22"/>
        </w:rPr>
        <w:t>Criminal Law Act 1967</w:t>
      </w:r>
      <w:r w:rsidRPr="00DA71A3">
        <w:rPr>
          <w:rFonts w:asciiTheme="minorHAnsi" w:hAnsiTheme="minorHAnsi" w:cstheme="minorHAnsi"/>
          <w:sz w:val="22"/>
          <w:szCs w:val="22"/>
        </w:rPr>
        <w:t>. [online] Legislation.gov.uk. Available at: https://www.legislation.gov.uk/ukpga/1967/58/section/3 [Accessed 21 Sep. 2022].</w:t>
      </w:r>
    </w:p>
    <w:p w14:paraId="239DBCB9"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MACPHERSON, W. (1999). THE STEPHEN LAWRENCE INQUIRY REPORT OF AN INQUIRY BY SIR WILLIAM MACPHERSON OF CLUNY.</w:t>
      </w:r>
    </w:p>
    <w:p w14:paraId="755DB861"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Mental Health UK (2021). </w:t>
      </w:r>
      <w:r w:rsidRPr="00DA71A3">
        <w:rPr>
          <w:rFonts w:asciiTheme="minorHAnsi" w:hAnsiTheme="minorHAnsi" w:cstheme="minorHAnsi"/>
          <w:i/>
          <w:iCs/>
          <w:sz w:val="22"/>
          <w:szCs w:val="22"/>
        </w:rPr>
        <w:t>Burnout</w:t>
      </w:r>
      <w:r w:rsidRPr="00DA71A3">
        <w:rPr>
          <w:rFonts w:asciiTheme="minorHAnsi" w:hAnsiTheme="minorHAnsi" w:cstheme="minorHAnsi"/>
          <w:sz w:val="22"/>
          <w:szCs w:val="22"/>
        </w:rPr>
        <w:t>. [online] Mental Health UK. Available at: https://mentalhealth-uk.org/burnout/ [Accessed 21 Sep. 2022].</w:t>
      </w:r>
    </w:p>
    <w:p w14:paraId="277763C4"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lastRenderedPageBreak/>
        <w:t xml:space="preserve">Ministry of Justice (2005). </w:t>
      </w:r>
      <w:r w:rsidRPr="00DA71A3">
        <w:rPr>
          <w:rFonts w:asciiTheme="minorHAnsi" w:hAnsiTheme="minorHAnsi" w:cstheme="minorHAnsi"/>
          <w:i/>
          <w:iCs/>
          <w:sz w:val="22"/>
          <w:szCs w:val="22"/>
        </w:rPr>
        <w:t>The code of practice for victims of crime and supporting public information materials</w:t>
      </w:r>
      <w:r w:rsidRPr="00DA71A3">
        <w:rPr>
          <w:rFonts w:asciiTheme="minorHAnsi" w:hAnsiTheme="minorHAnsi" w:cstheme="minorHAnsi"/>
          <w:sz w:val="22"/>
          <w:szCs w:val="22"/>
        </w:rPr>
        <w:t>. [online] GOV.UK. Available at: https://www.gov.uk/government/publications/the-code-of-practice-for-victims-of-crime [Accessed 21 Sep. 2022].</w:t>
      </w:r>
    </w:p>
    <w:p w14:paraId="2A3B19DD"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MTD Training (2010). </w:t>
      </w:r>
      <w:r w:rsidRPr="00DA71A3">
        <w:rPr>
          <w:rFonts w:asciiTheme="minorHAnsi" w:hAnsiTheme="minorHAnsi" w:cstheme="minorHAnsi"/>
          <w:i/>
          <w:iCs/>
          <w:sz w:val="22"/>
          <w:szCs w:val="22"/>
        </w:rPr>
        <w:t>Effective communication skills</w:t>
      </w:r>
      <w:r w:rsidRPr="00DA71A3">
        <w:rPr>
          <w:rFonts w:asciiTheme="minorHAnsi" w:hAnsiTheme="minorHAnsi" w:cstheme="minorHAnsi"/>
          <w:sz w:val="22"/>
          <w:szCs w:val="22"/>
        </w:rPr>
        <w:t xml:space="preserve">. </w:t>
      </w:r>
      <w:proofErr w:type="spellStart"/>
      <w:r w:rsidRPr="00DA71A3">
        <w:rPr>
          <w:rFonts w:asciiTheme="minorHAnsi" w:hAnsiTheme="minorHAnsi" w:cstheme="minorHAnsi"/>
          <w:sz w:val="22"/>
          <w:szCs w:val="22"/>
        </w:rPr>
        <w:t>Ventus</w:t>
      </w:r>
      <w:proofErr w:type="spellEnd"/>
      <w:r w:rsidRPr="00DA71A3">
        <w:rPr>
          <w:rFonts w:asciiTheme="minorHAnsi" w:hAnsiTheme="minorHAnsi" w:cstheme="minorHAnsi"/>
          <w:sz w:val="22"/>
          <w:szCs w:val="22"/>
        </w:rPr>
        <w:t xml:space="preserve"> Publishing Aps, p.14.</w:t>
      </w:r>
    </w:p>
    <w:p w14:paraId="385C0DF3"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NHS England (2019). </w:t>
      </w:r>
      <w:r w:rsidRPr="00DA71A3">
        <w:rPr>
          <w:rFonts w:asciiTheme="minorHAnsi" w:hAnsiTheme="minorHAnsi" w:cstheme="minorHAnsi"/>
          <w:i/>
          <w:iCs/>
          <w:sz w:val="22"/>
          <w:szCs w:val="22"/>
        </w:rPr>
        <w:t>NHS Long Term Plan</w:t>
      </w:r>
      <w:r w:rsidRPr="00DA71A3">
        <w:rPr>
          <w:rFonts w:asciiTheme="minorHAnsi" w:hAnsiTheme="minorHAnsi" w:cstheme="minorHAnsi"/>
          <w:sz w:val="22"/>
          <w:szCs w:val="22"/>
        </w:rPr>
        <w:t>. [online] NHS Long Term Plan. Available at: https://www.longtermplan.nhs.uk/ [Accessed 21 Sep. 2022].</w:t>
      </w:r>
    </w:p>
    <w:p w14:paraId="3E8FF4E0"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NPCC (2016). </w:t>
      </w:r>
      <w:r w:rsidRPr="00DA71A3">
        <w:rPr>
          <w:rFonts w:asciiTheme="minorHAnsi" w:hAnsiTheme="minorHAnsi" w:cstheme="minorHAnsi"/>
          <w:i/>
          <w:iCs/>
          <w:sz w:val="22"/>
          <w:szCs w:val="22"/>
        </w:rPr>
        <w:t>Policing Vision 2025</w:t>
      </w:r>
      <w:r w:rsidRPr="00DA71A3">
        <w:rPr>
          <w:rFonts w:asciiTheme="minorHAnsi" w:hAnsiTheme="minorHAnsi" w:cstheme="minorHAnsi"/>
          <w:sz w:val="22"/>
          <w:szCs w:val="22"/>
        </w:rPr>
        <w:t>. [online] NPCC. Available at: https://www.npcc.police.uk/documents/Policing%20Vision.pdf [Accessed 21 Sep. 2022].</w:t>
      </w:r>
    </w:p>
    <w:p w14:paraId="33B207CC"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NPCC (2020). </w:t>
      </w:r>
      <w:r w:rsidRPr="00DA71A3">
        <w:rPr>
          <w:rFonts w:asciiTheme="minorHAnsi" w:hAnsiTheme="minorHAnsi" w:cstheme="minorHAnsi"/>
          <w:i/>
          <w:iCs/>
          <w:sz w:val="22"/>
          <w:szCs w:val="22"/>
        </w:rPr>
        <w:t>National Strategy on Policing and Mental Health</w:t>
      </w:r>
      <w:r w:rsidRPr="00DA71A3">
        <w:rPr>
          <w:rFonts w:asciiTheme="minorHAnsi" w:hAnsiTheme="minorHAnsi" w:cstheme="minorHAnsi"/>
          <w:sz w:val="22"/>
          <w:szCs w:val="22"/>
        </w:rPr>
        <w:t>. [online] NPCC. Available at: https://www.npcc.police.uk/Mental%20Health/Nat%20Strat%20Final%20v2%2026%20Feb%202020.pdf.</w:t>
      </w:r>
    </w:p>
    <w:p w14:paraId="4FE1EF74"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NPIA (2019). </w:t>
      </w:r>
      <w:r w:rsidRPr="00DA71A3">
        <w:rPr>
          <w:rFonts w:asciiTheme="minorHAnsi" w:hAnsiTheme="minorHAnsi" w:cstheme="minorHAnsi"/>
          <w:i/>
          <w:iCs/>
          <w:sz w:val="22"/>
          <w:szCs w:val="22"/>
        </w:rPr>
        <w:t>The National Police Chiefs Council (NPCC)</w:t>
      </w:r>
      <w:r w:rsidRPr="00DA71A3">
        <w:rPr>
          <w:rFonts w:asciiTheme="minorHAnsi" w:hAnsiTheme="minorHAnsi" w:cstheme="minorHAnsi"/>
          <w:sz w:val="22"/>
          <w:szCs w:val="22"/>
        </w:rPr>
        <w:t>. [online] Police.uk. Available at: https://www.npcc.police.uk/ [Accessed 21 Sep. 2022].</w:t>
      </w:r>
    </w:p>
    <w:p w14:paraId="29AC26E2"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proofErr w:type="spellStart"/>
      <w:r w:rsidRPr="00DA71A3">
        <w:rPr>
          <w:rFonts w:asciiTheme="minorHAnsi" w:hAnsiTheme="minorHAnsi" w:cstheme="minorHAnsi"/>
          <w:sz w:val="22"/>
          <w:szCs w:val="22"/>
        </w:rPr>
        <w:t>O’neill</w:t>
      </w:r>
      <w:proofErr w:type="spellEnd"/>
      <w:r w:rsidRPr="00DA71A3">
        <w:rPr>
          <w:rFonts w:asciiTheme="minorHAnsi" w:hAnsiTheme="minorHAnsi" w:cstheme="minorHAnsi"/>
          <w:sz w:val="22"/>
          <w:szCs w:val="22"/>
        </w:rPr>
        <w:t xml:space="preserve">, M. (2018). </w:t>
      </w:r>
      <w:r w:rsidRPr="00DA71A3">
        <w:rPr>
          <w:rFonts w:asciiTheme="minorHAnsi" w:hAnsiTheme="minorHAnsi" w:cstheme="minorHAnsi"/>
          <w:i/>
          <w:iCs/>
          <w:sz w:val="22"/>
          <w:szCs w:val="22"/>
        </w:rPr>
        <w:t>Key challenges in criminal investigation</w:t>
      </w:r>
      <w:r w:rsidRPr="00DA71A3">
        <w:rPr>
          <w:rFonts w:asciiTheme="minorHAnsi" w:hAnsiTheme="minorHAnsi" w:cstheme="minorHAnsi"/>
          <w:sz w:val="22"/>
          <w:szCs w:val="22"/>
        </w:rPr>
        <w:t>. Bristol: Policy Press.</w:t>
      </w:r>
    </w:p>
    <w:p w14:paraId="4C5C7B9A"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Oxford University Press (2022). </w:t>
      </w:r>
      <w:r w:rsidRPr="00DA71A3">
        <w:rPr>
          <w:rFonts w:asciiTheme="minorHAnsi" w:hAnsiTheme="minorHAnsi" w:cstheme="minorHAnsi"/>
          <w:i/>
          <w:iCs/>
          <w:sz w:val="22"/>
          <w:szCs w:val="22"/>
        </w:rPr>
        <w:t>stress_1 noun - Definition, pictures, pronunciation and usage notes | Oxford Advanced Learner’s Dictionary at OxfordLearnersDictionaries.com</w:t>
      </w:r>
      <w:r w:rsidRPr="00DA71A3">
        <w:rPr>
          <w:rFonts w:asciiTheme="minorHAnsi" w:hAnsiTheme="minorHAnsi" w:cstheme="minorHAnsi"/>
          <w:sz w:val="22"/>
          <w:szCs w:val="22"/>
        </w:rPr>
        <w:t>. [online] www.oxfordlearnersdictionaries.com. Available at: https://www.oxfordlearnersdictionaries.com/definition/english/stress_1.</w:t>
      </w:r>
    </w:p>
    <w:p w14:paraId="12FE9213"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Stainton, I. (2022). </w:t>
      </w:r>
      <w:r w:rsidRPr="00DA71A3">
        <w:rPr>
          <w:rFonts w:asciiTheme="minorHAnsi" w:hAnsiTheme="minorHAnsi" w:cstheme="minorHAnsi"/>
          <w:i/>
          <w:iCs/>
          <w:sz w:val="22"/>
          <w:szCs w:val="22"/>
        </w:rPr>
        <w:t>Criminal Investigation</w:t>
      </w:r>
      <w:r w:rsidRPr="00DA71A3">
        <w:rPr>
          <w:rFonts w:asciiTheme="minorHAnsi" w:hAnsiTheme="minorHAnsi" w:cstheme="minorHAnsi"/>
          <w:sz w:val="22"/>
          <w:szCs w:val="22"/>
        </w:rPr>
        <w:t>. Critical publishing.</w:t>
      </w:r>
    </w:p>
    <w:p w14:paraId="4B368F2F"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proofErr w:type="spellStart"/>
      <w:r w:rsidRPr="00DA71A3">
        <w:rPr>
          <w:rFonts w:asciiTheme="minorHAnsi" w:hAnsiTheme="minorHAnsi" w:cstheme="minorHAnsi"/>
          <w:sz w:val="22"/>
          <w:szCs w:val="22"/>
        </w:rPr>
        <w:t>Stranks</w:t>
      </w:r>
      <w:proofErr w:type="spellEnd"/>
      <w:r w:rsidRPr="00DA71A3">
        <w:rPr>
          <w:rFonts w:asciiTheme="minorHAnsi" w:hAnsiTheme="minorHAnsi" w:cstheme="minorHAnsi"/>
          <w:sz w:val="22"/>
          <w:szCs w:val="22"/>
        </w:rPr>
        <w:t xml:space="preserve">, J. (2005). </w:t>
      </w:r>
      <w:r w:rsidRPr="00DA71A3">
        <w:rPr>
          <w:rFonts w:asciiTheme="minorHAnsi" w:hAnsiTheme="minorHAnsi" w:cstheme="minorHAnsi"/>
          <w:i/>
          <w:iCs/>
          <w:sz w:val="22"/>
          <w:szCs w:val="22"/>
        </w:rPr>
        <w:t>Stress at work : Management and prevention</w:t>
      </w:r>
      <w:r w:rsidRPr="00DA71A3">
        <w:rPr>
          <w:rFonts w:asciiTheme="minorHAnsi" w:hAnsiTheme="minorHAnsi" w:cstheme="minorHAnsi"/>
          <w:sz w:val="22"/>
          <w:szCs w:val="22"/>
        </w:rPr>
        <w:t>. Oxford: Butterworth-Heinemann, p.2.</w:t>
      </w:r>
    </w:p>
    <w:p w14:paraId="071FE554"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r w:rsidRPr="00DA71A3">
        <w:rPr>
          <w:rFonts w:asciiTheme="minorHAnsi" w:hAnsiTheme="minorHAnsi" w:cstheme="minorHAnsi"/>
          <w:sz w:val="22"/>
          <w:szCs w:val="22"/>
        </w:rPr>
        <w:t xml:space="preserve">United States, Meredith, L.S. and Rand Corporation (2011). </w:t>
      </w:r>
      <w:r w:rsidRPr="00DA71A3">
        <w:rPr>
          <w:rFonts w:asciiTheme="minorHAnsi" w:hAnsiTheme="minorHAnsi" w:cstheme="minorHAnsi"/>
          <w:i/>
          <w:iCs/>
          <w:sz w:val="22"/>
          <w:szCs w:val="22"/>
        </w:rPr>
        <w:t>Promoting Psychological Resilience in the U.S. Military</w:t>
      </w:r>
      <w:r w:rsidRPr="00DA71A3">
        <w:rPr>
          <w:rFonts w:asciiTheme="minorHAnsi" w:hAnsiTheme="minorHAnsi" w:cstheme="minorHAnsi"/>
          <w:sz w:val="22"/>
          <w:szCs w:val="22"/>
        </w:rPr>
        <w:t>. Rand Corporation, pp.1–10.</w:t>
      </w:r>
    </w:p>
    <w:p w14:paraId="6DAD8687" w14:textId="77777777" w:rsidR="00F73311" w:rsidRPr="00DA71A3" w:rsidRDefault="00F73311" w:rsidP="00F73311">
      <w:pPr>
        <w:pStyle w:val="NormalWeb"/>
        <w:spacing w:before="0" w:beforeAutospacing="0" w:after="240" w:afterAutospacing="0" w:line="360" w:lineRule="auto"/>
        <w:rPr>
          <w:rFonts w:asciiTheme="minorHAnsi" w:hAnsiTheme="minorHAnsi" w:cstheme="minorHAnsi"/>
          <w:sz w:val="22"/>
          <w:szCs w:val="22"/>
        </w:rPr>
      </w:pPr>
      <w:proofErr w:type="spellStart"/>
      <w:r w:rsidRPr="00DA71A3">
        <w:rPr>
          <w:rFonts w:asciiTheme="minorHAnsi" w:hAnsiTheme="minorHAnsi" w:cstheme="minorHAnsi"/>
          <w:sz w:val="22"/>
          <w:szCs w:val="22"/>
        </w:rPr>
        <w:t>Vandenberghe</w:t>
      </w:r>
      <w:proofErr w:type="spellEnd"/>
      <w:r w:rsidRPr="00DA71A3">
        <w:rPr>
          <w:rFonts w:asciiTheme="minorHAnsi" w:hAnsiTheme="minorHAnsi" w:cstheme="minorHAnsi"/>
          <w:sz w:val="22"/>
          <w:szCs w:val="22"/>
        </w:rPr>
        <w:t xml:space="preserve">, R. and A Michael Huberman (1999). </w:t>
      </w:r>
      <w:r w:rsidRPr="00DA71A3">
        <w:rPr>
          <w:rFonts w:asciiTheme="minorHAnsi" w:hAnsiTheme="minorHAnsi" w:cstheme="minorHAnsi"/>
          <w:i/>
          <w:iCs/>
          <w:sz w:val="22"/>
          <w:szCs w:val="22"/>
        </w:rPr>
        <w:t>Understanding and Preventing Teacher Burnout A Sourcebook of International Research and Practice</w:t>
      </w:r>
      <w:r w:rsidRPr="00DA71A3">
        <w:rPr>
          <w:rFonts w:asciiTheme="minorHAnsi" w:hAnsiTheme="minorHAnsi" w:cstheme="minorHAnsi"/>
          <w:sz w:val="22"/>
          <w:szCs w:val="22"/>
        </w:rPr>
        <w:t xml:space="preserve">. Cambridge </w:t>
      </w:r>
      <w:proofErr w:type="spellStart"/>
      <w:r w:rsidRPr="00DA71A3">
        <w:rPr>
          <w:rFonts w:asciiTheme="minorHAnsi" w:hAnsiTheme="minorHAnsi" w:cstheme="minorHAnsi"/>
          <w:sz w:val="22"/>
          <w:szCs w:val="22"/>
        </w:rPr>
        <w:t>Cambridge</w:t>
      </w:r>
      <w:proofErr w:type="spellEnd"/>
      <w:r w:rsidRPr="00DA71A3">
        <w:rPr>
          <w:rFonts w:asciiTheme="minorHAnsi" w:hAnsiTheme="minorHAnsi" w:cstheme="minorHAnsi"/>
          <w:sz w:val="22"/>
          <w:szCs w:val="22"/>
        </w:rPr>
        <w:t xml:space="preserve"> University Press, pp.295–303.</w:t>
      </w:r>
    </w:p>
    <w:p w14:paraId="6706116D" w14:textId="350EE008"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43BB2C3"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F73311">
        <w:rPr>
          <w:rFonts w:eastAsia="Arial"/>
          <w:color w:val="000000" w:themeColor="text1"/>
          <w:sz w:val="24"/>
          <w:szCs w:val="24"/>
          <w:highlight w:val="yellow"/>
        </w:rPr>
        <w:t xml:space="preserve"> Glen Piper</w:t>
      </w:r>
      <w:r w:rsidRPr="366F6C5C">
        <w:rPr>
          <w:rFonts w:eastAsia="Arial"/>
          <w:color w:val="000000" w:themeColor="text1"/>
          <w:sz w:val="24"/>
          <w:szCs w:val="24"/>
          <w:highlight w:val="yellow"/>
        </w:rPr>
        <w:t xml:space="preserve"> …...................</w:t>
      </w:r>
    </w:p>
    <w:p w14:paraId="5A951FC3" w14:textId="567E0F34" w:rsidR="641A9DDA" w:rsidRDefault="641A9DDA" w:rsidP="366F6C5C">
      <w:pPr>
        <w:jc w:val="both"/>
        <w:rPr>
          <w:color w:val="000000" w:themeColor="text1"/>
          <w:sz w:val="24"/>
          <w:szCs w:val="24"/>
          <w:highlight w:val="yellow"/>
        </w:rPr>
      </w:pPr>
    </w:p>
    <w:p w14:paraId="0C5B59A2" w14:textId="7C01839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F73311">
        <w:rPr>
          <w:rFonts w:eastAsia="Arial"/>
          <w:color w:val="000000" w:themeColor="text1"/>
          <w:sz w:val="24"/>
          <w:szCs w:val="24"/>
          <w:highlight w:val="yellow"/>
        </w:rPr>
        <w:t>24/09/22</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539C"/>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73311"/>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F7331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9862</Words>
  <Characters>54291</Characters>
  <Application>Microsoft Office Word</Application>
  <DocSecurity>0</DocSecurity>
  <Lines>452</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Piper, Glen</cp:lastModifiedBy>
  <cp:revision>2</cp:revision>
  <cp:lastPrinted>2019-08-13T11:47:00Z</cp:lastPrinted>
  <dcterms:created xsi:type="dcterms:W3CDTF">2022-09-24T12:59:00Z</dcterms:created>
  <dcterms:modified xsi:type="dcterms:W3CDTF">2022-09-24T12:59:00Z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2022-09-24T12:40:01Z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1939562b-8307-4e62-8ff7-795acc491817</vt:lpwstr>
  </property>
  <property fmtid="{D5CDD505-2E9C-101B-9397-08002B2CF9AE}" pid="9" name="MSIP_Label_f2acd28b-79a3-4a0f-b0ff-4b75658b1549_ContentBits">
    <vt:lpwstr>0</vt:lpwstr>
  </property>
</Properties>
</file>