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91272" w:rsidRDefault="00891272">
      <w:bookmarkStart w:id="0" w:name="_GoBack"/>
      <w:r w:rsidRPr="00783697">
        <w:rPr>
          <w:noProof/>
          <w:sz w:val="24"/>
          <w:szCs w:val="24"/>
          <w:lang w:eastAsia="en-GB"/>
        </w:rPr>
        <w:drawing>
          <wp:anchor distT="0" distB="0" distL="114300" distR="114300" simplePos="0" relativeHeight="251659264" behindDoc="0" locked="0" layoutInCell="1" allowOverlap="1" wp14:anchorId="21FA5240" wp14:editId="1B322164">
            <wp:simplePos x="0" y="0"/>
            <wp:positionH relativeFrom="margin">
              <wp:posOffset>0</wp:posOffset>
            </wp:positionH>
            <wp:positionV relativeFrom="paragraph">
              <wp:posOffset>285750</wp:posOffset>
            </wp:positionV>
            <wp:extent cx="5548089" cy="7567562"/>
            <wp:effectExtent l="0" t="0" r="0" b="0"/>
            <wp:wrapSquare wrapText="bothSides"/>
            <wp:docPr id="5" name="Picture 5" descr="http://upload.wikimedia.org/wikipedia/commons/0/04/Martorana_RogerII200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upload.wikimedia.org/wikipedia/commons/0/04/Martorana_RogerII2008.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548089" cy="7567562"/>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0"/>
    </w:p>
    <w:p w:rsidR="00891272" w:rsidRDefault="00891272"/>
    <w:p w:rsidR="00BE07D6" w:rsidRDefault="007801CA">
      <w:r>
        <w:t xml:space="preserve">La </w:t>
      </w:r>
      <w:proofErr w:type="spellStart"/>
      <w:r>
        <w:t>Martorana</w:t>
      </w:r>
      <w:proofErr w:type="spellEnd"/>
      <w:r>
        <w:t xml:space="preserve"> is a 12</w:t>
      </w:r>
      <w:r w:rsidRPr="007801CA">
        <w:rPr>
          <w:vertAlign w:val="superscript"/>
        </w:rPr>
        <w:t>th</w:t>
      </w:r>
      <w:r>
        <w:t xml:space="preserve"> century church located in Palermo, Sicily’s Capital. </w:t>
      </w:r>
      <w:r w:rsidR="00D33AF7">
        <w:t xml:space="preserve">The capital was established in 1112 </w:t>
      </w:r>
      <w:r w:rsidR="00AC214B">
        <w:t>under the reign of Roger II</w:t>
      </w:r>
      <w:r w:rsidR="00247B15">
        <w:t xml:space="preserve"> (1095-1154), who held the titles; King of Sicily and Duke of Apulia and Calabria</w:t>
      </w:r>
      <w:r w:rsidR="00AC214B">
        <w:t xml:space="preserve">. </w:t>
      </w:r>
      <w:r w:rsidR="00247B15">
        <w:t xml:space="preserve">The church </w:t>
      </w:r>
      <w:r w:rsidR="00E765DF">
        <w:t xml:space="preserve">was built at the request of Roger II’s Fleet Admiral; George of Antioch and </w:t>
      </w:r>
      <w:r w:rsidR="00247B15">
        <w:t>holds the golden mosaic of</w:t>
      </w:r>
      <w:r w:rsidR="00E765DF">
        <w:t xml:space="preserve"> Roger II. The mosaic depicts</w:t>
      </w:r>
      <w:r w:rsidR="00247B15">
        <w:t xml:space="preserve"> him</w:t>
      </w:r>
      <w:r w:rsidR="00280E53">
        <w:t xml:space="preserve"> in Byzantine dress,</w:t>
      </w:r>
      <w:r w:rsidR="00E765DF">
        <w:t xml:space="preserve"> with a chequered red </w:t>
      </w:r>
      <w:r w:rsidR="00E765DF">
        <w:lastRenderedPageBreak/>
        <w:t>and white ribbon emerging from underneath the crown of Maltese colours,</w:t>
      </w:r>
      <w:r w:rsidR="00280E53">
        <w:t xml:space="preserve"> being crowned by Jesus</w:t>
      </w:r>
      <w:r w:rsidR="00E765DF">
        <w:t xml:space="preserve"> and notably, not the pope as was more usual to see at this time</w:t>
      </w:r>
      <w:r w:rsidR="00280E53">
        <w:t xml:space="preserve">. This is an unusual mixture of cultures and it is this mixing of cultures that this essay will explore and seek to answer if Roger II embodied </w:t>
      </w:r>
      <w:proofErr w:type="spellStart"/>
      <w:r w:rsidR="00280E53">
        <w:t>Normanitas</w:t>
      </w:r>
      <w:proofErr w:type="spellEnd"/>
      <w:r w:rsidR="00280E53">
        <w:t xml:space="preserve"> as his </w:t>
      </w:r>
      <w:r w:rsidR="00E765DF">
        <w:t>ancestors</w:t>
      </w:r>
      <w:r w:rsidR="00280E53">
        <w:t xml:space="preserve"> had done, or if he had evolved. </w:t>
      </w:r>
    </w:p>
    <w:p w:rsidR="00280E53" w:rsidRDefault="00280E53">
      <w:r>
        <w:t xml:space="preserve">In Ancient Rome, Sicily was the Breadbasket of the Empire, growing grain and being strategically positioned to control the surrounding seas and countries. In </w:t>
      </w:r>
      <w:r w:rsidR="008D5897">
        <w:t>the twelfth Century Sicily remained of strategic value as it stood on the crossroads of the Byzantine Empire, the Papal territories, the Muslim lands and to add to the cultural melting pot of inhabitants, Sicily had a healthy Greek population too. The value of the island is clea</w:t>
      </w:r>
      <w:r w:rsidR="00E765DF">
        <w:t>r; but unlike the Holy land which has always been beset with religious and cultural unrest</w:t>
      </w:r>
      <w:r w:rsidR="008D5897">
        <w:t xml:space="preserve"> between the Muslims and the Christians, Sicily was a successful melting pot of cultures</w:t>
      </w:r>
      <w:r w:rsidR="00E765DF">
        <w:t xml:space="preserve"> that enjoyed peaceful diplomacy</w:t>
      </w:r>
      <w:r w:rsidR="008D5897">
        <w:t xml:space="preserve">. </w:t>
      </w:r>
      <w:r w:rsidR="00E765DF">
        <w:t>Roger II is credited with managing this balance, even today as even modern tourist literature describes Roger as being more sophisticated than his largely illiterate and uncouth Norman ancestors</w:t>
      </w:r>
      <w:r w:rsidR="00E765DF">
        <w:rPr>
          <w:rStyle w:val="FootnoteReference"/>
        </w:rPr>
        <w:footnoteReference w:id="1"/>
      </w:r>
      <w:r w:rsidR="00E765DF">
        <w:t xml:space="preserve">. When studying the Normans, it is expected to see high praise and florid descriptions of leaders in manuscripts, but not in modern promotional material for Sicily. </w:t>
      </w:r>
    </w:p>
    <w:p w:rsidR="00637F1A" w:rsidRDefault="00637F1A"/>
    <w:p w:rsidR="00637F1A" w:rsidRDefault="00637F1A">
      <w:r>
        <w:t>The Sicilian kingdom seems to have attempted to distance itself from its leaders Norman origins. Roger II was a Norman knight, but did not title himself Norman in his kingship</w:t>
      </w:r>
      <w:r>
        <w:rPr>
          <w:rStyle w:val="FootnoteReference"/>
        </w:rPr>
        <w:footnoteReference w:id="2"/>
      </w:r>
      <w:r>
        <w:t xml:space="preserve">. The acquisition of Sicily is a common Norman tale documented by </w:t>
      </w:r>
      <w:r>
        <w:t xml:space="preserve">Geoffrey </w:t>
      </w:r>
      <w:proofErr w:type="spellStart"/>
      <w:r>
        <w:t>Malaterra</w:t>
      </w:r>
      <w:proofErr w:type="gramStart"/>
      <w:r>
        <w:t>,</w:t>
      </w:r>
      <w:r>
        <w:t>a</w:t>
      </w:r>
      <w:proofErr w:type="spellEnd"/>
      <w:proofErr w:type="gramEnd"/>
      <w:r>
        <w:t xml:space="preserve"> Norman who had moved to Southern Italy and employed by the court of count Roger I. Writing in his</w:t>
      </w:r>
      <w:r>
        <w:t xml:space="preserve"> </w:t>
      </w:r>
      <w:r w:rsidRPr="00637F1A">
        <w:rPr>
          <w:i/>
        </w:rPr>
        <w:t>Deeds of Count Ro</w:t>
      </w:r>
      <w:r w:rsidRPr="00637F1A">
        <w:rPr>
          <w:i/>
        </w:rPr>
        <w:t xml:space="preserve">ger and his brother Duke Robert </w:t>
      </w:r>
      <w:r>
        <w:t>in 1090</w:t>
      </w:r>
      <w:r>
        <w:rPr>
          <w:rStyle w:val="FootnoteReference"/>
        </w:rPr>
        <w:footnoteReference w:id="3"/>
      </w:r>
      <w:r>
        <w:t xml:space="preserve">, Geoffrey goes to great lengths to legitimise </w:t>
      </w:r>
      <w:r w:rsidR="00996399">
        <w:t>Roger I’s</w:t>
      </w:r>
      <w:r>
        <w:t xml:space="preserve"> ancestors, the family from </w:t>
      </w:r>
      <w:proofErr w:type="spellStart"/>
      <w:r>
        <w:t>Hauteville</w:t>
      </w:r>
      <w:proofErr w:type="spellEnd"/>
      <w:r>
        <w:t xml:space="preserve"> and explain their migration </w:t>
      </w:r>
      <w:r w:rsidR="00996399">
        <w:t>as part divine will, part self-improvement and determination. He legitimises the family line by explaining that Roger II’s father Tancred re-married after his first wife died because he was “unsuited for celibacy” and “detested extra-marital unions”</w:t>
      </w:r>
      <w:r w:rsidR="00996399">
        <w:rPr>
          <w:rStyle w:val="FootnoteReference"/>
        </w:rPr>
        <w:footnoteReference w:id="4"/>
      </w:r>
      <w:r w:rsidR="00996399">
        <w:t xml:space="preserve">. He goes on to describe Robert Guiscard and Roger I’s migration to Italy and offering themselves as mercenaries to two famous warring princes; Capua and Salerno. When the former did not </w:t>
      </w:r>
      <w:proofErr w:type="spellStart"/>
      <w:r w:rsidR="00996399">
        <w:t>paythem</w:t>
      </w:r>
      <w:proofErr w:type="spellEnd"/>
      <w:r w:rsidR="00996399">
        <w:t xml:space="preserve"> well they switched sides to Salerno and through a ruthless </w:t>
      </w:r>
      <w:proofErr w:type="spellStart"/>
      <w:r w:rsidR="00996399">
        <w:t>campaignof</w:t>
      </w:r>
      <w:proofErr w:type="spellEnd"/>
      <w:r w:rsidR="00996399">
        <w:t xml:space="preserve"> terror “the districts </w:t>
      </w:r>
      <w:proofErr w:type="spellStart"/>
      <w:r w:rsidR="00996399">
        <w:t>round about</w:t>
      </w:r>
      <w:proofErr w:type="spellEnd"/>
      <w:r w:rsidR="00996399">
        <w:t xml:space="preserve"> were reduced to peace</w:t>
      </w:r>
      <w:r w:rsidR="00996399">
        <w:rPr>
          <w:rStyle w:val="FootnoteReference"/>
        </w:rPr>
        <w:footnoteReference w:id="5"/>
      </w:r>
      <w:r w:rsidR="00996399">
        <w:t xml:space="preserve">.” </w:t>
      </w:r>
    </w:p>
    <w:p w:rsidR="00247B15" w:rsidRDefault="00247B15"/>
    <w:p w:rsidR="00996399" w:rsidRDefault="00996399">
      <w:r>
        <w:t xml:space="preserve">This is an interesting way to phrase the victory and subsequent peace. It conjures illusions </w:t>
      </w:r>
      <w:r w:rsidR="004F0D12">
        <w:t xml:space="preserve">requiring sole allegiance to the victors, </w:t>
      </w:r>
      <w:r>
        <w:t>the Norman yoke</w:t>
      </w:r>
      <w:r w:rsidR="004F0D12">
        <w:t xml:space="preserve"> and peace under threat of war. Roger II’s reign was one of diplomacy, he conducted himself like an Emperor. It was sacrilege to question his judgements which gives a nod to his Norman ancestors. However, rather than profiting from being a mercenary, he grew rich on state monopolies in trade, a benefit of being in a strategic location. He is not known </w:t>
      </w:r>
      <w:r w:rsidR="004F0D12">
        <w:lastRenderedPageBreak/>
        <w:t>for the deception and trickery of his father and uncle</w:t>
      </w:r>
      <w:r w:rsidR="00335E55">
        <w:t xml:space="preserve">. Roger II had a navy which engaged Tunisia, Greece and was given as aid in exchange for territories. However, Roger II did not directly fight with his navy, his admiral, George of Antioch fought while Roger II oversaw from a ruler’s distance. </w:t>
      </w:r>
    </w:p>
    <w:p w:rsidR="00335E55" w:rsidRDefault="00335E55"/>
    <w:p w:rsidR="00335E55" w:rsidRDefault="00335E55">
      <w:r>
        <w:t>Roger II stands out as a Norman King between his mercenary father and uncle who gained the territories he inherited slowly and through direct dealing and intervention. His descendent; William the Bad returned to the Norman stereotype and ended the Norman reign in Sicily. However, it could be argued that Roger II ended the Norman reign by conducting himself more as an emperor than a Norman knight</w:t>
      </w:r>
      <w:r w:rsidR="00612179">
        <w:t xml:space="preserve"> and placing diplomacy for gain and rule above subduing the people through war. A feature of The Normans is how they adapt other cultures into their own and evolve from that. Roger II embodied that and is remembered favourably for it. So perhaps by not being a typical Norman, he was the logical product of the Normans. </w:t>
      </w:r>
    </w:p>
    <w:p w:rsidR="00335E55" w:rsidRDefault="00335E55"/>
    <w:p w:rsidR="00247B15" w:rsidRDefault="00247B15"/>
    <w:p w:rsidR="00247B15" w:rsidRPr="002D7F68" w:rsidRDefault="00247B15" w:rsidP="00247B15">
      <w:pPr>
        <w:spacing w:line="360" w:lineRule="auto"/>
        <w:jc w:val="center"/>
        <w:rPr>
          <w:b/>
        </w:rPr>
      </w:pPr>
      <w:r w:rsidRPr="002D7F68">
        <w:rPr>
          <w:b/>
        </w:rPr>
        <w:t>Bibliography</w:t>
      </w:r>
    </w:p>
    <w:p w:rsidR="00247B15" w:rsidRDefault="00247B15" w:rsidP="00247B15">
      <w:pPr>
        <w:spacing w:line="360" w:lineRule="auto"/>
      </w:pPr>
    </w:p>
    <w:p w:rsidR="00247B15" w:rsidRDefault="00247B15" w:rsidP="00247B15">
      <w:pPr>
        <w:pStyle w:val="ListParagraph"/>
        <w:numPr>
          <w:ilvl w:val="0"/>
          <w:numId w:val="1"/>
        </w:numPr>
        <w:spacing w:line="360" w:lineRule="auto"/>
      </w:pPr>
      <w:r>
        <w:t xml:space="preserve">E. </w:t>
      </w:r>
      <w:proofErr w:type="spellStart"/>
      <w:r>
        <w:t>Albu</w:t>
      </w:r>
      <w:proofErr w:type="spellEnd"/>
      <w:r>
        <w:t xml:space="preserve">, </w:t>
      </w:r>
      <w:r w:rsidRPr="002D7F68">
        <w:rPr>
          <w:i/>
        </w:rPr>
        <w:t>The Normans and their Histories: Propaganda, Myth and Subversion</w:t>
      </w:r>
      <w:r>
        <w:t xml:space="preserve"> (Woodbridge: The </w:t>
      </w:r>
      <w:proofErr w:type="spellStart"/>
      <w:r>
        <w:t>Boydell</w:t>
      </w:r>
      <w:proofErr w:type="spellEnd"/>
      <w:r>
        <w:t xml:space="preserve"> Press, 2001)</w:t>
      </w:r>
    </w:p>
    <w:p w:rsidR="00637F1A" w:rsidRDefault="00247B15" w:rsidP="00637F1A">
      <w:pPr>
        <w:pStyle w:val="ListParagraph"/>
        <w:numPr>
          <w:ilvl w:val="0"/>
          <w:numId w:val="1"/>
        </w:numPr>
        <w:spacing w:line="360" w:lineRule="auto"/>
      </w:pPr>
      <w:r>
        <w:t xml:space="preserve">RHC. Davis, </w:t>
      </w:r>
      <w:r w:rsidRPr="002D7F68">
        <w:rPr>
          <w:i/>
        </w:rPr>
        <w:t>The Normans and their Myth</w:t>
      </w:r>
      <w:r>
        <w:t xml:space="preserve"> (London: Thames and Hudson Ltd, 1976)</w:t>
      </w:r>
    </w:p>
    <w:p w:rsidR="00637F1A" w:rsidRDefault="00637F1A" w:rsidP="00637F1A">
      <w:pPr>
        <w:pStyle w:val="ListParagraph"/>
        <w:numPr>
          <w:ilvl w:val="0"/>
          <w:numId w:val="1"/>
        </w:numPr>
        <w:spacing w:line="360" w:lineRule="auto"/>
      </w:pPr>
      <w:r>
        <w:t xml:space="preserve">A. Di Renzo, Roger II, </w:t>
      </w:r>
      <w:r w:rsidRPr="00637F1A">
        <w:rPr>
          <w:i/>
        </w:rPr>
        <w:t>Sicily’s Greatest King. Times of Sicily (</w:t>
      </w:r>
      <w:r>
        <w:t xml:space="preserve">March 23, 2014) Obtained from </w:t>
      </w:r>
      <w:hyperlink r:id="rId9" w:history="1">
        <w:r w:rsidRPr="00E45E91">
          <w:rPr>
            <w:rStyle w:val="Hyperlink"/>
          </w:rPr>
          <w:t>http://www.timesofsicily.com/roger-ii-sicilys-greatest-king/</w:t>
        </w:r>
      </w:hyperlink>
      <w:r>
        <w:t xml:space="preserve"> [23.11.2017]</w:t>
      </w:r>
    </w:p>
    <w:p w:rsidR="00637F1A" w:rsidRDefault="00637F1A" w:rsidP="00637F1A">
      <w:pPr>
        <w:pStyle w:val="ListParagraph"/>
        <w:numPr>
          <w:ilvl w:val="0"/>
          <w:numId w:val="1"/>
        </w:numPr>
      </w:pPr>
      <w:r w:rsidRPr="00637F1A">
        <w:rPr>
          <w:i/>
        </w:rPr>
        <w:t xml:space="preserve">De rebus </w:t>
      </w:r>
      <w:proofErr w:type="spellStart"/>
      <w:r w:rsidRPr="00637F1A">
        <w:rPr>
          <w:i/>
        </w:rPr>
        <w:t>gestis</w:t>
      </w:r>
      <w:proofErr w:type="spellEnd"/>
      <w:r w:rsidRPr="00637F1A">
        <w:rPr>
          <w:i/>
        </w:rPr>
        <w:t xml:space="preserve"> </w:t>
      </w:r>
      <w:proofErr w:type="spellStart"/>
      <w:r w:rsidRPr="00637F1A">
        <w:rPr>
          <w:i/>
        </w:rPr>
        <w:t>Rogerii</w:t>
      </w:r>
      <w:proofErr w:type="spellEnd"/>
      <w:r w:rsidRPr="00637F1A">
        <w:rPr>
          <w:i/>
        </w:rPr>
        <w:t xml:space="preserve"> </w:t>
      </w:r>
      <w:proofErr w:type="spellStart"/>
      <w:r w:rsidRPr="00637F1A">
        <w:rPr>
          <w:i/>
        </w:rPr>
        <w:t>Calabraiae</w:t>
      </w:r>
      <w:proofErr w:type="spellEnd"/>
      <w:r w:rsidRPr="00637F1A">
        <w:rPr>
          <w:i/>
        </w:rPr>
        <w:t xml:space="preserve"> </w:t>
      </w:r>
      <w:proofErr w:type="gramStart"/>
      <w:r w:rsidRPr="00637F1A">
        <w:rPr>
          <w:i/>
        </w:rPr>
        <w:t>et</w:t>
      </w:r>
      <w:proofErr w:type="gramEnd"/>
      <w:r w:rsidRPr="00637F1A">
        <w:rPr>
          <w:i/>
        </w:rPr>
        <w:t xml:space="preserve"> </w:t>
      </w:r>
      <w:proofErr w:type="spellStart"/>
      <w:r w:rsidRPr="00637F1A">
        <w:rPr>
          <w:i/>
        </w:rPr>
        <w:t>Siciliae</w:t>
      </w:r>
      <w:proofErr w:type="spellEnd"/>
      <w:r w:rsidRPr="00637F1A">
        <w:rPr>
          <w:i/>
        </w:rPr>
        <w:t xml:space="preserve"> </w:t>
      </w:r>
      <w:proofErr w:type="spellStart"/>
      <w:r w:rsidRPr="00637F1A">
        <w:rPr>
          <w:i/>
        </w:rPr>
        <w:t>Comitis</w:t>
      </w:r>
      <w:proofErr w:type="spellEnd"/>
      <w:r w:rsidRPr="00637F1A">
        <w:rPr>
          <w:i/>
        </w:rPr>
        <w:t xml:space="preserve"> et Roberti </w:t>
      </w:r>
      <w:proofErr w:type="spellStart"/>
      <w:r w:rsidRPr="00637F1A">
        <w:rPr>
          <w:i/>
        </w:rPr>
        <w:t>Guiscardi</w:t>
      </w:r>
      <w:proofErr w:type="spellEnd"/>
      <w:r w:rsidRPr="00637F1A">
        <w:rPr>
          <w:i/>
        </w:rPr>
        <w:t xml:space="preserve"> </w:t>
      </w:r>
      <w:proofErr w:type="spellStart"/>
      <w:r w:rsidRPr="00637F1A">
        <w:rPr>
          <w:i/>
        </w:rPr>
        <w:t>fratris</w:t>
      </w:r>
      <w:proofErr w:type="spellEnd"/>
      <w:r w:rsidRPr="00637F1A">
        <w:rPr>
          <w:i/>
        </w:rPr>
        <w:t xml:space="preserve"> </w:t>
      </w:r>
      <w:proofErr w:type="spellStart"/>
      <w:r w:rsidRPr="00637F1A">
        <w:rPr>
          <w:i/>
        </w:rPr>
        <w:t>eius</w:t>
      </w:r>
      <w:proofErr w:type="spellEnd"/>
      <w:r w:rsidRPr="00637F1A">
        <w:rPr>
          <w:i/>
        </w:rPr>
        <w:t xml:space="preserve"> </w:t>
      </w:r>
      <w:proofErr w:type="spellStart"/>
      <w:r w:rsidRPr="00637F1A">
        <w:rPr>
          <w:i/>
        </w:rPr>
        <w:t>auctore</w:t>
      </w:r>
      <w:proofErr w:type="spellEnd"/>
      <w:r w:rsidRPr="00637F1A">
        <w:rPr>
          <w:i/>
        </w:rPr>
        <w:t xml:space="preserve"> </w:t>
      </w:r>
      <w:proofErr w:type="spellStart"/>
      <w:r w:rsidRPr="00637F1A">
        <w:rPr>
          <w:i/>
        </w:rPr>
        <w:t>Gaufredo</w:t>
      </w:r>
      <w:proofErr w:type="spellEnd"/>
      <w:r w:rsidRPr="00637F1A">
        <w:rPr>
          <w:i/>
        </w:rPr>
        <w:t xml:space="preserve"> </w:t>
      </w:r>
      <w:proofErr w:type="spellStart"/>
      <w:r w:rsidRPr="00637F1A">
        <w:rPr>
          <w:i/>
        </w:rPr>
        <w:t>Malaterra</w:t>
      </w:r>
      <w:proofErr w:type="spellEnd"/>
      <w:r w:rsidRPr="00637F1A">
        <w:rPr>
          <w:i/>
        </w:rPr>
        <w:t>,</w:t>
      </w:r>
      <w:r>
        <w:t xml:space="preserve"> ed. E. </w:t>
      </w:r>
      <w:proofErr w:type="spellStart"/>
      <w:r>
        <w:t>Pontieri</w:t>
      </w:r>
      <w:proofErr w:type="spellEnd"/>
      <w:r>
        <w:t xml:space="preserve"> (Bologna, 1927), pp. 7-11; </w:t>
      </w:r>
      <w:proofErr w:type="spellStart"/>
      <w:r>
        <w:t>trsl</w:t>
      </w:r>
      <w:proofErr w:type="spellEnd"/>
      <w:r>
        <w:t xml:space="preserve">. G.A. Loud. </w:t>
      </w:r>
    </w:p>
    <w:p w:rsidR="00247B15" w:rsidRDefault="00247B15" w:rsidP="00247B15">
      <w:pPr>
        <w:pStyle w:val="ListParagraph"/>
        <w:numPr>
          <w:ilvl w:val="0"/>
          <w:numId w:val="1"/>
        </w:numPr>
        <w:spacing w:line="360" w:lineRule="auto"/>
      </w:pPr>
      <w:r>
        <w:t xml:space="preserve">L. </w:t>
      </w:r>
      <w:proofErr w:type="spellStart"/>
      <w:r>
        <w:t>Shopkow</w:t>
      </w:r>
      <w:proofErr w:type="spellEnd"/>
      <w:r>
        <w:t xml:space="preserve">, </w:t>
      </w:r>
      <w:r w:rsidRPr="002D7F68">
        <w:rPr>
          <w:i/>
        </w:rPr>
        <w:t>History and Community, Norman Historical Writing in the Eleventh and Twelfth Centuries</w:t>
      </w:r>
      <w:r>
        <w:t xml:space="preserve"> (Washington, DC: The Catholic University of America Press,1997</w:t>
      </w:r>
    </w:p>
    <w:p w:rsidR="00996399" w:rsidRDefault="00996399" w:rsidP="00996399">
      <w:pPr>
        <w:pStyle w:val="ListParagraph"/>
        <w:numPr>
          <w:ilvl w:val="0"/>
          <w:numId w:val="1"/>
        </w:numPr>
      </w:pPr>
      <w:r>
        <w:t xml:space="preserve">E. Van </w:t>
      </w:r>
      <w:proofErr w:type="spellStart"/>
      <w:r>
        <w:t>Houts</w:t>
      </w:r>
      <w:proofErr w:type="spellEnd"/>
      <w:r>
        <w:t xml:space="preserve">, </w:t>
      </w:r>
      <w:r w:rsidRPr="00996399">
        <w:rPr>
          <w:i/>
        </w:rPr>
        <w:t>The Normans in Europe</w:t>
      </w:r>
      <w:r>
        <w:t xml:space="preserve"> (Manchester &amp; New York: Manchester University Press, 2000) p. 238-239</w:t>
      </w:r>
    </w:p>
    <w:p w:rsidR="00996399" w:rsidRDefault="00996399" w:rsidP="00247B15">
      <w:pPr>
        <w:pStyle w:val="ListParagraph"/>
        <w:numPr>
          <w:ilvl w:val="0"/>
          <w:numId w:val="1"/>
        </w:numPr>
        <w:spacing w:line="360" w:lineRule="auto"/>
      </w:pPr>
    </w:p>
    <w:p w:rsidR="00247B15" w:rsidRDefault="00247B15" w:rsidP="00247B15">
      <w:pPr>
        <w:spacing w:line="360" w:lineRule="auto"/>
      </w:pPr>
    </w:p>
    <w:p w:rsidR="00247B15" w:rsidRDefault="00247B15"/>
    <w:sectPr w:rsidR="00247B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60EB5" w:rsidRDefault="00360EB5" w:rsidP="00E765DF">
      <w:pPr>
        <w:spacing w:after="0" w:line="240" w:lineRule="auto"/>
      </w:pPr>
      <w:r>
        <w:separator/>
      </w:r>
    </w:p>
  </w:endnote>
  <w:endnote w:type="continuationSeparator" w:id="0">
    <w:p w:rsidR="00360EB5" w:rsidRDefault="00360EB5" w:rsidP="00E765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60EB5" w:rsidRDefault="00360EB5" w:rsidP="00E765DF">
      <w:pPr>
        <w:spacing w:after="0" w:line="240" w:lineRule="auto"/>
      </w:pPr>
      <w:r>
        <w:separator/>
      </w:r>
    </w:p>
  </w:footnote>
  <w:footnote w:type="continuationSeparator" w:id="0">
    <w:p w:rsidR="00360EB5" w:rsidRDefault="00360EB5" w:rsidP="00E765DF">
      <w:pPr>
        <w:spacing w:after="0" w:line="240" w:lineRule="auto"/>
      </w:pPr>
      <w:r>
        <w:continuationSeparator/>
      </w:r>
    </w:p>
  </w:footnote>
  <w:footnote w:id="1">
    <w:p w:rsidR="00E765DF" w:rsidRDefault="00E765DF">
      <w:pPr>
        <w:pStyle w:val="FootnoteText"/>
      </w:pPr>
      <w:r>
        <w:rPr>
          <w:rStyle w:val="FootnoteReference"/>
        </w:rPr>
        <w:footnoteRef/>
      </w:r>
      <w:r>
        <w:t xml:space="preserve"> A. Di Renzo, Roger II, </w:t>
      </w:r>
      <w:r w:rsidRPr="00E765DF">
        <w:rPr>
          <w:i/>
        </w:rPr>
        <w:t>Sicily’s Greatest King. Times of Sicily (</w:t>
      </w:r>
      <w:r>
        <w:t xml:space="preserve">March 23, 2014) Obtained from </w:t>
      </w:r>
      <w:hyperlink r:id="rId1" w:history="1">
        <w:r w:rsidRPr="00E45E91">
          <w:rPr>
            <w:rStyle w:val="Hyperlink"/>
          </w:rPr>
          <w:t>http://www.timesofsicily.com/roger-ii-sicilys-greatest-king/</w:t>
        </w:r>
      </w:hyperlink>
      <w:r>
        <w:t xml:space="preserve"> </w:t>
      </w:r>
      <w:r w:rsidR="00637F1A">
        <w:t>[23.11.2017]</w:t>
      </w:r>
    </w:p>
  </w:footnote>
  <w:footnote w:id="2">
    <w:p w:rsidR="00637F1A" w:rsidRDefault="00637F1A">
      <w:pPr>
        <w:pStyle w:val="FootnoteText"/>
      </w:pPr>
      <w:r>
        <w:rPr>
          <w:rStyle w:val="FootnoteReference"/>
        </w:rPr>
        <w:footnoteRef/>
      </w:r>
      <w:r>
        <w:t xml:space="preserve"> R.H.C. Davies, </w:t>
      </w:r>
      <w:r w:rsidRPr="00637F1A">
        <w:rPr>
          <w:i/>
        </w:rPr>
        <w:t>The Normans and their Myth</w:t>
      </w:r>
      <w:r>
        <w:t xml:space="preserve"> p. 84</w:t>
      </w:r>
    </w:p>
  </w:footnote>
  <w:footnote w:id="3">
    <w:p w:rsidR="00637F1A" w:rsidRDefault="00637F1A" w:rsidP="00637F1A">
      <w:r>
        <w:rPr>
          <w:rStyle w:val="FootnoteReference"/>
        </w:rPr>
        <w:footnoteRef/>
      </w:r>
      <w:r>
        <w:t xml:space="preserve"> </w:t>
      </w:r>
      <w:r w:rsidRPr="00E73AC9">
        <w:rPr>
          <w:i/>
        </w:rPr>
        <w:t xml:space="preserve">De rebus </w:t>
      </w:r>
      <w:proofErr w:type="spellStart"/>
      <w:r w:rsidRPr="00E73AC9">
        <w:rPr>
          <w:i/>
        </w:rPr>
        <w:t>gestis</w:t>
      </w:r>
      <w:proofErr w:type="spellEnd"/>
      <w:r w:rsidRPr="00E73AC9">
        <w:rPr>
          <w:i/>
        </w:rPr>
        <w:t xml:space="preserve"> </w:t>
      </w:r>
      <w:proofErr w:type="spellStart"/>
      <w:r w:rsidRPr="00E73AC9">
        <w:rPr>
          <w:i/>
        </w:rPr>
        <w:t>Rogerii</w:t>
      </w:r>
      <w:proofErr w:type="spellEnd"/>
      <w:r w:rsidRPr="00E73AC9">
        <w:rPr>
          <w:i/>
        </w:rPr>
        <w:t xml:space="preserve"> </w:t>
      </w:r>
      <w:proofErr w:type="spellStart"/>
      <w:r w:rsidRPr="00E73AC9">
        <w:rPr>
          <w:i/>
        </w:rPr>
        <w:t>Calabraiae</w:t>
      </w:r>
      <w:proofErr w:type="spellEnd"/>
      <w:r w:rsidRPr="00E73AC9">
        <w:rPr>
          <w:i/>
        </w:rPr>
        <w:t xml:space="preserve"> </w:t>
      </w:r>
      <w:proofErr w:type="gramStart"/>
      <w:r w:rsidRPr="00E73AC9">
        <w:rPr>
          <w:i/>
        </w:rPr>
        <w:t>et</w:t>
      </w:r>
      <w:proofErr w:type="gramEnd"/>
      <w:r w:rsidRPr="00E73AC9">
        <w:rPr>
          <w:i/>
        </w:rPr>
        <w:t xml:space="preserve"> </w:t>
      </w:r>
      <w:proofErr w:type="spellStart"/>
      <w:r w:rsidRPr="00E73AC9">
        <w:rPr>
          <w:i/>
        </w:rPr>
        <w:t>Siciliae</w:t>
      </w:r>
      <w:proofErr w:type="spellEnd"/>
      <w:r w:rsidRPr="00E73AC9">
        <w:rPr>
          <w:i/>
        </w:rPr>
        <w:t xml:space="preserve"> </w:t>
      </w:r>
      <w:proofErr w:type="spellStart"/>
      <w:r w:rsidRPr="00E73AC9">
        <w:rPr>
          <w:i/>
        </w:rPr>
        <w:t>Comitis</w:t>
      </w:r>
      <w:proofErr w:type="spellEnd"/>
      <w:r w:rsidRPr="00E73AC9">
        <w:rPr>
          <w:i/>
        </w:rPr>
        <w:t xml:space="preserve"> et Roberti </w:t>
      </w:r>
      <w:proofErr w:type="spellStart"/>
      <w:r w:rsidRPr="00E73AC9">
        <w:rPr>
          <w:i/>
        </w:rPr>
        <w:t>Guiscardi</w:t>
      </w:r>
      <w:proofErr w:type="spellEnd"/>
      <w:r w:rsidRPr="00E73AC9">
        <w:rPr>
          <w:i/>
        </w:rPr>
        <w:t xml:space="preserve"> </w:t>
      </w:r>
      <w:proofErr w:type="spellStart"/>
      <w:r w:rsidRPr="00E73AC9">
        <w:rPr>
          <w:i/>
        </w:rPr>
        <w:t>fratris</w:t>
      </w:r>
      <w:proofErr w:type="spellEnd"/>
      <w:r w:rsidRPr="00E73AC9">
        <w:rPr>
          <w:i/>
        </w:rPr>
        <w:t xml:space="preserve"> </w:t>
      </w:r>
      <w:proofErr w:type="spellStart"/>
      <w:r w:rsidRPr="00E73AC9">
        <w:rPr>
          <w:i/>
        </w:rPr>
        <w:t>eius</w:t>
      </w:r>
      <w:proofErr w:type="spellEnd"/>
      <w:r w:rsidRPr="00E73AC9">
        <w:rPr>
          <w:i/>
        </w:rPr>
        <w:t xml:space="preserve"> </w:t>
      </w:r>
      <w:proofErr w:type="spellStart"/>
      <w:r w:rsidRPr="00E73AC9">
        <w:rPr>
          <w:i/>
        </w:rPr>
        <w:t>auctore</w:t>
      </w:r>
      <w:proofErr w:type="spellEnd"/>
      <w:r w:rsidRPr="00E73AC9">
        <w:rPr>
          <w:i/>
        </w:rPr>
        <w:t xml:space="preserve"> </w:t>
      </w:r>
      <w:proofErr w:type="spellStart"/>
      <w:r w:rsidRPr="00E73AC9">
        <w:rPr>
          <w:i/>
        </w:rPr>
        <w:t>Gaufredo</w:t>
      </w:r>
      <w:proofErr w:type="spellEnd"/>
      <w:r w:rsidRPr="00E73AC9">
        <w:rPr>
          <w:i/>
        </w:rPr>
        <w:t xml:space="preserve"> </w:t>
      </w:r>
      <w:proofErr w:type="spellStart"/>
      <w:r w:rsidRPr="00E73AC9">
        <w:rPr>
          <w:i/>
        </w:rPr>
        <w:t>Malaterra</w:t>
      </w:r>
      <w:proofErr w:type="spellEnd"/>
      <w:r w:rsidRPr="00E73AC9">
        <w:rPr>
          <w:i/>
        </w:rPr>
        <w:t>,</w:t>
      </w:r>
      <w:r>
        <w:t xml:space="preserve"> ed. E. </w:t>
      </w:r>
      <w:proofErr w:type="spellStart"/>
      <w:r>
        <w:t>Pontieri</w:t>
      </w:r>
      <w:proofErr w:type="spellEnd"/>
      <w:r>
        <w:t xml:space="preserve"> (Bologna, 1927), pp. 7-11; </w:t>
      </w:r>
      <w:proofErr w:type="spellStart"/>
      <w:r>
        <w:t>trsl</w:t>
      </w:r>
      <w:proofErr w:type="spellEnd"/>
      <w:r>
        <w:t xml:space="preserve">. G.A. Loud. </w:t>
      </w:r>
    </w:p>
    <w:p w:rsidR="00637F1A" w:rsidRDefault="00637F1A">
      <w:pPr>
        <w:pStyle w:val="FootnoteText"/>
      </w:pPr>
    </w:p>
  </w:footnote>
  <w:footnote w:id="4">
    <w:p w:rsidR="00996399" w:rsidRDefault="00996399" w:rsidP="00996399">
      <w:r>
        <w:rPr>
          <w:rStyle w:val="FootnoteReference"/>
        </w:rPr>
        <w:footnoteRef/>
      </w:r>
      <w:r>
        <w:t xml:space="preserve"> </w:t>
      </w:r>
      <w:r>
        <w:t xml:space="preserve">E. Van </w:t>
      </w:r>
      <w:proofErr w:type="spellStart"/>
      <w:r>
        <w:t>Houts</w:t>
      </w:r>
      <w:proofErr w:type="spellEnd"/>
      <w:r>
        <w:t xml:space="preserve">, </w:t>
      </w:r>
      <w:r w:rsidRPr="00370FE4">
        <w:rPr>
          <w:i/>
        </w:rPr>
        <w:t>The Normans in Europe</w:t>
      </w:r>
      <w:r>
        <w:t xml:space="preserve"> (Manchester &amp; New York: Manchester University Press, 2000) p. 238-239</w:t>
      </w:r>
    </w:p>
    <w:p w:rsidR="00996399" w:rsidRDefault="00996399">
      <w:pPr>
        <w:pStyle w:val="FootnoteText"/>
      </w:pPr>
    </w:p>
  </w:footnote>
  <w:footnote w:id="5">
    <w:p w:rsidR="00996399" w:rsidRDefault="00996399">
      <w:pPr>
        <w:pStyle w:val="FootnoteText"/>
      </w:pPr>
      <w:r>
        <w:rPr>
          <w:rStyle w:val="FootnoteReference"/>
        </w:rPr>
        <w:footnoteRef/>
      </w:r>
      <w:r>
        <w:t xml:space="preserve"> Ibid, p240.</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B0F3021"/>
    <w:multiLevelType w:val="hybridMultilevel"/>
    <w:tmpl w:val="36C0B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801CA"/>
    <w:rsid w:val="00247B15"/>
    <w:rsid w:val="00280E53"/>
    <w:rsid w:val="00335E55"/>
    <w:rsid w:val="00360EB5"/>
    <w:rsid w:val="004F0D12"/>
    <w:rsid w:val="00612179"/>
    <w:rsid w:val="00637F1A"/>
    <w:rsid w:val="007801CA"/>
    <w:rsid w:val="00891272"/>
    <w:rsid w:val="008D5897"/>
    <w:rsid w:val="00996399"/>
    <w:rsid w:val="00AC214B"/>
    <w:rsid w:val="00BE07D6"/>
    <w:rsid w:val="00D33AF7"/>
    <w:rsid w:val="00DB3345"/>
    <w:rsid w:val="00E765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B0C8D77-FF4A-4544-8227-DC39ADEE2A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7B15"/>
    <w:pPr>
      <w:spacing w:after="0" w:line="240" w:lineRule="auto"/>
      <w:ind w:left="720"/>
      <w:contextualSpacing/>
    </w:pPr>
    <w:rPr>
      <w:rFonts w:ascii="Times New Roman" w:eastAsia="Times New Roman" w:hAnsi="Times New Roman" w:cs="Times New Roman"/>
      <w:sz w:val="24"/>
      <w:szCs w:val="24"/>
    </w:rPr>
  </w:style>
  <w:style w:type="paragraph" w:styleId="FootnoteText">
    <w:name w:val="footnote text"/>
    <w:basedOn w:val="Normal"/>
    <w:link w:val="FootnoteTextChar"/>
    <w:uiPriority w:val="99"/>
    <w:semiHidden/>
    <w:unhideWhenUsed/>
    <w:rsid w:val="00E765D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765DF"/>
    <w:rPr>
      <w:sz w:val="20"/>
      <w:szCs w:val="20"/>
    </w:rPr>
  </w:style>
  <w:style w:type="character" w:styleId="FootnoteReference">
    <w:name w:val="footnote reference"/>
    <w:basedOn w:val="DefaultParagraphFont"/>
    <w:uiPriority w:val="99"/>
    <w:semiHidden/>
    <w:unhideWhenUsed/>
    <w:rsid w:val="00E765DF"/>
    <w:rPr>
      <w:vertAlign w:val="superscript"/>
    </w:rPr>
  </w:style>
  <w:style w:type="character" w:styleId="Hyperlink">
    <w:name w:val="Hyperlink"/>
    <w:basedOn w:val="DefaultParagraphFont"/>
    <w:uiPriority w:val="99"/>
    <w:unhideWhenUsed/>
    <w:rsid w:val="00E765D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timesofsicily.com/roger-ii-sicilys-greatest-king/"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www.timesofsicily.com/roger-ii-sicilys-greatest-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90E4DB91-46F6-4062-BA71-1E7890C5C1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TotalTime>
  <Pages>3</Pages>
  <Words>794</Words>
  <Characters>4532</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Kiri Wood</dc:creator>
  <cp:keywords/>
  <dc:description/>
  <cp:lastModifiedBy>Kiri Wood</cp:lastModifiedBy>
  <cp:revision>3</cp:revision>
  <dcterms:created xsi:type="dcterms:W3CDTF">2017-11-23T22:51:00Z</dcterms:created>
  <dcterms:modified xsi:type="dcterms:W3CDTF">2017-11-24T23:59:00Z</dcterms:modified>
</cp:coreProperties>
</file>