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14:paraId="00000005">
      <w:pPr>
        <w:spacing w:line="360" w:lineRule="auto"/>
        <w:jc w:val="center"/>
        <w:rPr>
          <w:rFonts w:ascii="Times New Roman" w:cs="Times New Roman" w:eastAsia="Times New Roman" w:hAnsi="Times New Roman"/>
          <w:b/>
          <w:sz w:val="32"/>
          <w:szCs w:val="32"/>
        </w:rPr>
      </w:pPr>
    </w:p>
    <w:p w14:paraId="00000006">
      <w:pPr>
        <w:spacing w:line="360" w:lineRule="auto"/>
        <w:jc w:val="center"/>
        <w:rPr>
          <w:rFonts w:ascii="Times New Roman" w:cs="Times New Roman" w:eastAsia="Times New Roman" w:hAnsi="Times New Roman"/>
          <w:b/>
          <w:sz w:val="32"/>
          <w:szCs w:val="32"/>
        </w:rPr>
      </w:pPr>
    </w:p>
    <w:p w14:paraId="00000007">
      <w:pPr>
        <w:spacing w:line="360" w:lineRule="auto"/>
        <w:jc w:val="center"/>
        <w:rPr>
          <w:rFonts w:ascii="Times New Roman" w:cs="Times New Roman" w:eastAsia="Times New Roman" w:hAnsi="Times New Roman"/>
          <w:b/>
          <w:sz w:val="32"/>
          <w:szCs w:val="32"/>
        </w:rPr>
      </w:pPr>
    </w:p>
    <w:p w14:paraId="00000008">
      <w:pPr>
        <w:spacing w:line="360" w:lineRule="auto"/>
        <w:jc w:val="center"/>
        <w:rPr>
          <w:rFonts w:ascii="Times New Roman" w:cs="Times New Roman" w:eastAsia="Times New Roman" w:hAnsi="Times New Roman"/>
          <w:b/>
          <w:sz w:val="32"/>
          <w:szCs w:val="32"/>
        </w:rPr>
      </w:pPr>
    </w:p>
    <w:p w14:paraId="00000009">
      <w:pPr>
        <w:spacing w:line="360" w:lineRule="auto"/>
        <w:jc w:val="center"/>
        <w:rPr>
          <w:rFonts w:ascii="Times New Roman" w:cs="Times New Roman" w:eastAsia="Times New Roman" w:hAnsi="Times New Roman"/>
          <w:b/>
          <w:sz w:val="32"/>
          <w:szCs w:val="32"/>
        </w:rPr>
      </w:pPr>
    </w:p>
    <w:p w14:paraId="0000000A">
      <w:pPr>
        <w:spacing w:line="360" w:lineRule="auto"/>
        <w:jc w:val="center"/>
        <w:rPr>
          <w:rFonts w:ascii="Times New Roman" w:cs="Times New Roman" w:eastAsia="Times New Roman" w:hAnsi="Times New Roman"/>
          <w:b/>
          <w:sz w:val="32"/>
          <w:szCs w:val="32"/>
        </w:rPr>
      </w:pPr>
    </w:p>
    <w:p w14:paraId="0000000B">
      <w:pPr>
        <w:spacing w:line="360" w:lineRule="auto"/>
        <w:jc w:val="center"/>
        <w:rPr>
          <w:rFonts w:ascii="Times New Roman" w:cs="Times New Roman" w:eastAsia="Times New Roman" w:hAnsi="Times New Roman"/>
          <w:b/>
          <w:sz w:val="32"/>
          <w:szCs w:val="32"/>
        </w:rPr>
      </w:pPr>
    </w:p>
    <w:p w14:paraId="0000000C">
      <w:pPr>
        <w:spacing w:line="360" w:lineRule="auto"/>
        <w:jc w:val="center"/>
        <w:rPr>
          <w:rFonts w:ascii="Times New Roman" w:cs="Times New Roman" w:eastAsia="Times New Roman" w:hAnsi="Times New Roman"/>
          <w:b/>
          <w:sz w:val="32"/>
          <w:szCs w:val="32"/>
        </w:rPr>
      </w:pPr>
      <w:r>
        <w:rPr>
          <w:rFonts w:ascii="Times New Roman" w:cs="Times New Roman" w:eastAsia="Times New Roman" w:hAnsi="Times New Roman"/>
          <w:b/>
          <w:sz w:val="32"/>
          <w:szCs w:val="32"/>
        </w:rPr>
        <w:t>MARKETING PLAN</w:t>
      </w:r>
    </w:p>
    <w:p w14:paraId="0000000D">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Student Name:Vasile Pitirici</w:t>
      </w:r>
    </w:p>
    <w:p w14:paraId="0000000E">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Student ID: 2213442</w:t>
      </w:r>
    </w:p>
    <w:p w14:paraId="0000000F">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Module: Marketing Essentials BMIH4005</w:t>
      </w:r>
    </w:p>
    <w:p w14:paraId="00000010">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Lecture’s name: Christopher Wilkin</w:t>
      </w:r>
    </w:p>
    <w:p w14:paraId="00000011">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Word Count [Component A: Marketing Plan]: 12</w:t>
      </w:r>
      <w:r>
        <w:rPr>
          <w:rFonts w:ascii="Times New Roman" w:cs="Times New Roman" w:eastAsia="Times New Roman" w:hAnsi="Times New Roman"/>
          <w:b/>
          <w:sz w:val="24"/>
          <w:szCs w:val="24"/>
        </w:rPr>
        <w:t>64</w:t>
      </w:r>
    </w:p>
    <w:p w14:paraId="00000012">
      <w:pPr>
        <w:spacing w:line="360" w:lineRule="auto"/>
        <w:jc w:val="center"/>
        <w:rPr>
          <w:rFonts w:ascii="Times New Roman" w:cs="Times New Roman" w:eastAsia="Times New Roman" w:hAnsi="Times New Roman"/>
          <w:b/>
          <w:sz w:val="32"/>
          <w:szCs w:val="32"/>
        </w:rPr>
      </w:pPr>
      <w:r>
        <w:rPr/>
        <w:br w:type="page"/>
      </w:r>
    </w:p>
    <w:p w14:paraId="00000013">
      <w:pPr>
        <w:jc w:val="center"/>
        <w:rPr>
          <w:rFonts w:ascii="Times New Roman" w:cs="Times New Roman" w:hAnsi="Times New Roman"/>
          <w:b/>
          <w:bCs/>
          <w:sz w:val="24"/>
          <w:szCs w:val="24"/>
        </w:rPr>
      </w:pPr>
      <w:r>
        <w:rPr>
          <w:rFonts w:ascii="Times New Roman" w:cs="Times New Roman" w:hAnsi="Times New Roman"/>
          <w:b/>
          <w:bCs/>
          <w:sz w:val="24"/>
          <w:szCs w:val="24"/>
        </w:rPr>
        <w:t>Table of Contents</w:t>
      </w:r>
    </w:p>
    <w:p w14:paraId="00000014">
      <w:pPr>
        <w:pStyle w:val="TOCHeading"/>
        <w:rPr/>
      </w:pPr>
    </w:p>
    <w:p w14:paraId="00000015">
      <w:pPr>
        <w:pStyle w:val="Toc1"/>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 TOC \o "1-3" \h \z \u </w:instrText>
      </w:r>
      <w:r>
        <w:fldChar w:fldCharType="separate"/>
      </w:r>
      <w:r>
        <w:fldChar w:fldCharType="begin"/>
      </w:r>
      <w:r>
        <w:instrText xml:space="preserve">HYPERLINK \l "_Toc148734086" </w:instrText>
      </w:r>
      <w:r>
        <w:fldChar w:fldCharType="separate"/>
      </w:r>
      <w:r>
        <w:rPr>
          <w:rStyle w:val="Hyperlink"/>
          <w:rFonts w:ascii="Times New Roman" w:cs="Times New Roman" w:hAnsi="Times New Roman"/>
          <w:sz w:val="24"/>
          <w:szCs w:val="24"/>
        </w:rPr>
        <w:t>Component A: Marketing Plan</w:t>
      </w:r>
      <w:r>
        <w:rPr>
          <w:rFonts w:ascii="Times New Roman" w:cs="Times New Roman" w:hAnsi="Times New Roman"/>
          <w:sz w:val="24"/>
          <w:szCs w:val="24"/>
        </w:rPr>
        <w:tab/>
      </w:r>
      <w:r>
        <w:fldChar w:fldCharType="begin"/>
      </w:r>
      <w:r>
        <w:instrText xml:space="preserve"> PAGEREF _Toc148734086 \h </w:instrText>
      </w:r>
      <w:r>
        <w:fldChar w:fldCharType="separate"/>
      </w:r>
      <w:r>
        <w:rPr>
          <w:rFonts w:ascii="Times New Roman" w:cs="Times New Roman" w:hAnsi="Times New Roman"/>
          <w:sz w:val="24"/>
          <w:szCs w:val="24"/>
        </w:rPr>
        <w:t>2</w:t>
      </w:r>
      <w:r>
        <w:fldChar w:fldCharType="end"/>
      </w:r>
      <w:r>
        <w:fldChar w:fldCharType="end"/>
      </w:r>
    </w:p>
    <w:p w14:paraId="00000016">
      <w:pPr>
        <w:pStyle w:val="Toc1"/>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"_Toc148734087" </w:instrText>
      </w:r>
      <w:r>
        <w:fldChar w:fldCharType="separate"/>
      </w:r>
      <w:r>
        <w:rPr>
          <w:rStyle w:val="Hyperlink"/>
          <w:rFonts w:ascii="Times New Roman" w:cs="Times New Roman" w:hAnsi="Times New Roman"/>
          <w:sz w:val="24"/>
          <w:szCs w:val="24"/>
        </w:rPr>
        <w:t>Introduction</w:t>
      </w:r>
      <w:r>
        <w:rPr>
          <w:rFonts w:ascii="Times New Roman" w:cs="Times New Roman" w:hAnsi="Times New Roman"/>
          <w:sz w:val="24"/>
          <w:szCs w:val="24"/>
        </w:rPr>
        <w:tab/>
      </w:r>
      <w:r>
        <w:fldChar w:fldCharType="begin"/>
      </w:r>
      <w:r>
        <w:instrText xml:space="preserve"> PAGEREF _Toc148734087 \h </w:instrText>
      </w:r>
      <w:r>
        <w:fldChar w:fldCharType="separate"/>
      </w:r>
      <w:r>
        <w:rPr>
          <w:rFonts w:ascii="Times New Roman" w:cs="Times New Roman" w:hAnsi="Times New Roman"/>
          <w:sz w:val="24"/>
          <w:szCs w:val="24"/>
        </w:rPr>
        <w:t>2</w:t>
      </w:r>
      <w:r>
        <w:fldChar w:fldCharType="end"/>
      </w:r>
      <w:r>
        <w:fldChar w:fldCharType="end"/>
      </w:r>
    </w:p>
    <w:p w14:paraId="00000017">
      <w:pPr>
        <w:pStyle w:val="Toc1"/>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"_Toc148734088" </w:instrText>
      </w:r>
      <w:r>
        <w:fldChar w:fldCharType="separate"/>
      </w:r>
      <w:r>
        <w:rPr>
          <w:rStyle w:val="Hyperlink"/>
          <w:rFonts w:ascii="Times New Roman" w:cs="Times New Roman" w:hAnsi="Times New Roman"/>
          <w:sz w:val="24"/>
          <w:szCs w:val="24"/>
        </w:rPr>
        <w:t>Situation Analysis</w:t>
      </w:r>
      <w:r>
        <w:rPr>
          <w:rFonts w:ascii="Times New Roman" w:cs="Times New Roman" w:hAnsi="Times New Roman"/>
          <w:sz w:val="24"/>
          <w:szCs w:val="24"/>
        </w:rPr>
        <w:tab/>
      </w:r>
      <w:r>
        <w:fldChar w:fldCharType="begin"/>
      </w:r>
      <w:r>
        <w:instrText xml:space="preserve"> PAGEREF _Toc148734088 \h </w:instrText>
      </w:r>
      <w:r>
        <w:fldChar w:fldCharType="separate"/>
      </w:r>
      <w:r>
        <w:rPr>
          <w:rFonts w:ascii="Times New Roman" w:cs="Times New Roman" w:hAnsi="Times New Roman"/>
          <w:sz w:val="24"/>
          <w:szCs w:val="24"/>
        </w:rPr>
        <w:t>2</w:t>
      </w:r>
      <w:r>
        <w:fldChar w:fldCharType="end"/>
      </w:r>
      <w:r>
        <w:fldChar w:fldCharType="end"/>
      </w:r>
    </w:p>
    <w:p w14:paraId="00000018">
      <w:pPr>
        <w:pStyle w:val="Toc2"/>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"_Toc148734089" </w:instrText>
      </w:r>
      <w:r>
        <w:fldChar w:fldCharType="separate"/>
      </w:r>
      <w:r>
        <w:rPr>
          <w:rStyle w:val="Hyperlink"/>
          <w:rFonts w:ascii="Times New Roman" w:cs="Times New Roman" w:hAnsi="Times New Roman"/>
          <w:sz w:val="24"/>
          <w:szCs w:val="24"/>
        </w:rPr>
        <w:t>5 C’s</w:t>
      </w:r>
      <w:r>
        <w:rPr>
          <w:rFonts w:ascii="Times New Roman" w:cs="Times New Roman" w:hAnsi="Times New Roman"/>
          <w:sz w:val="24"/>
          <w:szCs w:val="24"/>
        </w:rPr>
        <w:tab/>
      </w:r>
      <w:r>
        <w:fldChar w:fldCharType="begin"/>
      </w:r>
      <w:r>
        <w:instrText xml:space="preserve"> PAGEREF _Toc148734089 \h </w:instrText>
      </w:r>
      <w:r>
        <w:fldChar w:fldCharType="separate"/>
      </w:r>
      <w:r>
        <w:rPr>
          <w:rFonts w:ascii="Times New Roman" w:cs="Times New Roman" w:hAnsi="Times New Roman"/>
          <w:sz w:val="24"/>
          <w:szCs w:val="24"/>
        </w:rPr>
        <w:t>2</w:t>
      </w:r>
      <w:r>
        <w:fldChar w:fldCharType="end"/>
      </w:r>
      <w:r>
        <w:fldChar w:fldCharType="end"/>
      </w:r>
    </w:p>
    <w:p w14:paraId="00000019">
      <w:pPr>
        <w:pStyle w:val="Toc3"/>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"_Toc148734090" </w:instrText>
      </w:r>
      <w:r>
        <w:fldChar w:fldCharType="separate"/>
      </w:r>
      <w:r>
        <w:rPr>
          <w:rStyle w:val="Hyperlink"/>
          <w:rFonts w:ascii="Times New Roman" w:cs="Times New Roman" w:hAnsi="Times New Roman"/>
          <w:sz w:val="24"/>
          <w:szCs w:val="24"/>
        </w:rPr>
        <w:t>Company</w:t>
      </w:r>
      <w:r>
        <w:rPr>
          <w:rFonts w:ascii="Times New Roman" w:cs="Times New Roman" w:hAnsi="Times New Roman"/>
          <w:sz w:val="24"/>
          <w:szCs w:val="24"/>
        </w:rPr>
        <w:tab/>
      </w:r>
      <w:r>
        <w:fldChar w:fldCharType="begin"/>
      </w:r>
      <w:r>
        <w:instrText xml:space="preserve"> PAGEREF _Toc148734090 \h </w:instrText>
      </w:r>
      <w:r>
        <w:fldChar w:fldCharType="separate"/>
      </w:r>
      <w:r>
        <w:rPr>
          <w:rFonts w:ascii="Times New Roman" w:cs="Times New Roman" w:hAnsi="Times New Roman"/>
          <w:sz w:val="24"/>
          <w:szCs w:val="24"/>
        </w:rPr>
        <w:t>2</w:t>
      </w:r>
      <w:r>
        <w:fldChar w:fldCharType="end"/>
      </w:r>
      <w:r>
        <w:fldChar w:fldCharType="end"/>
      </w:r>
    </w:p>
    <w:p w14:paraId="0000001A">
      <w:pPr>
        <w:pStyle w:val="Toc3"/>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"_Toc148734091" </w:instrText>
      </w:r>
      <w:r>
        <w:fldChar w:fldCharType="separate"/>
      </w:r>
      <w:r>
        <w:rPr>
          <w:rStyle w:val="Hyperlink"/>
          <w:rFonts w:ascii="Times New Roman" w:cs="Times New Roman" w:hAnsi="Times New Roman"/>
          <w:sz w:val="24"/>
          <w:szCs w:val="24"/>
        </w:rPr>
        <w:t>Customers</w:t>
      </w:r>
      <w:r>
        <w:rPr>
          <w:rFonts w:ascii="Times New Roman" w:cs="Times New Roman" w:hAnsi="Times New Roman"/>
          <w:sz w:val="24"/>
          <w:szCs w:val="24"/>
        </w:rPr>
        <w:tab/>
      </w:r>
      <w:r>
        <w:fldChar w:fldCharType="begin"/>
      </w:r>
      <w:r>
        <w:instrText xml:space="preserve"> PAGEREF _Toc148734091 \h </w:instrText>
      </w:r>
      <w:r>
        <w:fldChar w:fldCharType="separate"/>
      </w:r>
      <w:r>
        <w:rPr>
          <w:rFonts w:ascii="Times New Roman" w:cs="Times New Roman" w:hAnsi="Times New Roman"/>
          <w:sz w:val="24"/>
          <w:szCs w:val="24"/>
        </w:rPr>
        <w:t>3</w:t>
      </w:r>
      <w:r>
        <w:fldChar w:fldCharType="end"/>
      </w:r>
      <w:r>
        <w:fldChar w:fldCharType="end"/>
      </w:r>
    </w:p>
    <w:p w14:paraId="0000001B">
      <w:pPr>
        <w:pStyle w:val="Toc3"/>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"_Toc148734092" </w:instrText>
      </w:r>
      <w:r>
        <w:fldChar w:fldCharType="separate"/>
      </w:r>
      <w:r>
        <w:rPr>
          <w:rStyle w:val="Hyperlink"/>
          <w:rFonts w:ascii="Times New Roman" w:cs="Times New Roman" w:hAnsi="Times New Roman"/>
          <w:sz w:val="24"/>
          <w:szCs w:val="24"/>
        </w:rPr>
        <w:t>Competitors</w:t>
      </w:r>
      <w:r>
        <w:rPr>
          <w:rFonts w:ascii="Times New Roman" w:cs="Times New Roman" w:hAnsi="Times New Roman"/>
          <w:sz w:val="24"/>
          <w:szCs w:val="24"/>
        </w:rPr>
        <w:tab/>
      </w:r>
      <w:r>
        <w:fldChar w:fldCharType="begin"/>
      </w:r>
      <w:r>
        <w:instrText xml:space="preserve"> PAGEREF _Toc148734092 \h </w:instrText>
      </w:r>
      <w:r>
        <w:fldChar w:fldCharType="separate"/>
      </w:r>
      <w:r>
        <w:rPr>
          <w:rFonts w:ascii="Times New Roman" w:cs="Times New Roman" w:hAnsi="Times New Roman"/>
          <w:sz w:val="24"/>
          <w:szCs w:val="24"/>
        </w:rPr>
        <w:t>3</w:t>
      </w:r>
      <w:r>
        <w:fldChar w:fldCharType="end"/>
      </w:r>
      <w:r>
        <w:fldChar w:fldCharType="end"/>
      </w:r>
    </w:p>
    <w:p w14:paraId="0000001C">
      <w:pPr>
        <w:pStyle w:val="Toc3"/>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"_Toc148734093" </w:instrText>
      </w:r>
      <w:r>
        <w:fldChar w:fldCharType="separate"/>
      </w:r>
      <w:r>
        <w:rPr>
          <w:rStyle w:val="Hyperlink"/>
          <w:rFonts w:ascii="Times New Roman" w:cs="Times New Roman" w:hAnsi="Times New Roman"/>
          <w:sz w:val="24"/>
          <w:szCs w:val="24"/>
        </w:rPr>
        <w:t>Collaborators</w:t>
      </w:r>
      <w:r>
        <w:rPr>
          <w:rFonts w:ascii="Times New Roman" w:cs="Times New Roman" w:hAnsi="Times New Roman"/>
          <w:sz w:val="24"/>
          <w:szCs w:val="24"/>
        </w:rPr>
        <w:tab/>
      </w:r>
      <w:r>
        <w:fldChar w:fldCharType="begin"/>
      </w:r>
      <w:r>
        <w:instrText xml:space="preserve"> PAGEREF _Toc148734093 \h </w:instrText>
      </w:r>
      <w:r>
        <w:fldChar w:fldCharType="separate"/>
      </w:r>
      <w:r>
        <w:rPr>
          <w:rFonts w:ascii="Times New Roman" w:cs="Times New Roman" w:hAnsi="Times New Roman"/>
          <w:sz w:val="24"/>
          <w:szCs w:val="24"/>
        </w:rPr>
        <w:t>3</w:t>
      </w:r>
      <w:r>
        <w:fldChar w:fldCharType="end"/>
      </w:r>
      <w:r>
        <w:fldChar w:fldCharType="end"/>
      </w:r>
    </w:p>
    <w:p w14:paraId="0000001D">
      <w:pPr>
        <w:pStyle w:val="Toc3"/>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"_Toc148734094" </w:instrText>
      </w:r>
      <w:r>
        <w:fldChar w:fldCharType="separate"/>
      </w:r>
      <w:r>
        <w:rPr>
          <w:rStyle w:val="Hyperlink"/>
          <w:rFonts w:ascii="Times New Roman" w:cs="Times New Roman" w:hAnsi="Times New Roman"/>
          <w:sz w:val="24"/>
          <w:szCs w:val="24"/>
        </w:rPr>
        <w:t>Climate</w:t>
      </w:r>
      <w:r>
        <w:rPr>
          <w:rFonts w:ascii="Times New Roman" w:cs="Times New Roman" w:hAnsi="Times New Roman"/>
          <w:sz w:val="24"/>
          <w:szCs w:val="24"/>
        </w:rPr>
        <w:tab/>
      </w:r>
      <w:r>
        <w:fldChar w:fldCharType="begin"/>
      </w:r>
      <w:r>
        <w:instrText xml:space="preserve"> PAGEREF _Toc148734094 \h </w:instrText>
      </w:r>
      <w:r>
        <w:fldChar w:fldCharType="separate"/>
      </w:r>
      <w:r>
        <w:rPr>
          <w:rFonts w:ascii="Times New Roman" w:cs="Times New Roman" w:hAnsi="Times New Roman"/>
          <w:sz w:val="24"/>
          <w:szCs w:val="24"/>
        </w:rPr>
        <w:t>4</w:t>
      </w:r>
      <w:r>
        <w:fldChar w:fldCharType="end"/>
      </w:r>
      <w:r>
        <w:fldChar w:fldCharType="end"/>
      </w:r>
    </w:p>
    <w:p w14:paraId="0000001E">
      <w:pPr>
        <w:pStyle w:val="Toc3"/>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"_Toc148734095" </w:instrText>
      </w:r>
      <w:r>
        <w:fldChar w:fldCharType="separate"/>
      </w:r>
      <w:r>
        <w:rPr>
          <w:rStyle w:val="Hyperlink"/>
          <w:rFonts w:ascii="Times New Roman" w:cs="Times New Roman" w:hAnsi="Times New Roman"/>
          <w:sz w:val="24"/>
          <w:szCs w:val="24"/>
        </w:rPr>
        <w:t>Marketing Mix</w:t>
      </w:r>
      <w:r>
        <w:rPr>
          <w:rFonts w:ascii="Times New Roman" w:cs="Times New Roman" w:hAnsi="Times New Roman"/>
          <w:sz w:val="24"/>
          <w:szCs w:val="24"/>
        </w:rPr>
        <w:tab/>
      </w:r>
      <w:r>
        <w:fldChar w:fldCharType="begin"/>
      </w:r>
      <w:r>
        <w:instrText xml:space="preserve"> PAGEREF _Toc148734095 \h </w:instrText>
      </w:r>
      <w:r>
        <w:fldChar w:fldCharType="separate"/>
      </w:r>
      <w:r>
        <w:rPr>
          <w:rFonts w:ascii="Times New Roman" w:cs="Times New Roman" w:hAnsi="Times New Roman"/>
          <w:sz w:val="24"/>
          <w:szCs w:val="24"/>
        </w:rPr>
        <w:t>4</w:t>
      </w:r>
      <w:r>
        <w:fldChar w:fldCharType="end"/>
      </w:r>
      <w:r>
        <w:fldChar w:fldCharType="end"/>
      </w:r>
    </w:p>
    <w:p w14:paraId="0000001F">
      <w:pPr>
        <w:pStyle w:val="Toc1"/>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"_Toc148734096" </w:instrText>
      </w:r>
      <w:r>
        <w:fldChar w:fldCharType="separate"/>
      </w:r>
      <w:r>
        <w:rPr>
          <w:rStyle w:val="Hyperlink"/>
          <w:rFonts w:ascii="Times New Roman" w:cs="Times New Roman" w:hAnsi="Times New Roman"/>
          <w:sz w:val="24"/>
          <w:szCs w:val="24"/>
        </w:rPr>
        <w:t>Objectives</w:t>
      </w:r>
      <w:r>
        <w:rPr>
          <w:rFonts w:ascii="Times New Roman" w:cs="Times New Roman" w:hAnsi="Times New Roman"/>
          <w:sz w:val="24"/>
          <w:szCs w:val="24"/>
        </w:rPr>
        <w:tab/>
      </w:r>
      <w:r>
        <w:fldChar w:fldCharType="begin"/>
      </w:r>
      <w:r>
        <w:instrText xml:space="preserve"> PAGEREF _Toc148734096 \h </w:instrText>
      </w:r>
      <w:r>
        <w:fldChar w:fldCharType="separate"/>
      </w:r>
      <w:r>
        <w:rPr>
          <w:rFonts w:ascii="Times New Roman" w:cs="Times New Roman" w:hAnsi="Times New Roman"/>
          <w:sz w:val="24"/>
          <w:szCs w:val="24"/>
        </w:rPr>
        <w:t>5</w:t>
      </w:r>
      <w:r>
        <w:fldChar w:fldCharType="end"/>
      </w:r>
      <w:r>
        <w:fldChar w:fldCharType="end"/>
      </w:r>
    </w:p>
    <w:p w14:paraId="00000020">
      <w:pPr>
        <w:pStyle w:val="Toc1"/>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"_Toc148734097" </w:instrText>
      </w:r>
      <w:r>
        <w:fldChar w:fldCharType="separate"/>
      </w:r>
      <w:r>
        <w:rPr>
          <w:rStyle w:val="Hyperlink"/>
          <w:rFonts w:ascii="Times New Roman" w:cs="Times New Roman" w:hAnsi="Times New Roman"/>
          <w:sz w:val="24"/>
          <w:szCs w:val="24"/>
        </w:rPr>
        <w:t>Strategy</w:t>
      </w:r>
      <w:r>
        <w:rPr>
          <w:rFonts w:ascii="Times New Roman" w:cs="Times New Roman" w:hAnsi="Times New Roman"/>
          <w:sz w:val="24"/>
          <w:szCs w:val="24"/>
        </w:rPr>
        <w:tab/>
      </w:r>
      <w:r>
        <w:fldChar w:fldCharType="begin"/>
      </w:r>
      <w:r>
        <w:instrText xml:space="preserve"> PAGEREF _Toc148734097 \h </w:instrText>
      </w:r>
      <w:r>
        <w:fldChar w:fldCharType="separate"/>
      </w:r>
      <w:r>
        <w:rPr>
          <w:rFonts w:ascii="Times New Roman" w:cs="Times New Roman" w:hAnsi="Times New Roman"/>
          <w:sz w:val="24"/>
          <w:szCs w:val="24"/>
        </w:rPr>
        <w:t>5</w:t>
      </w:r>
      <w:r>
        <w:fldChar w:fldCharType="end"/>
      </w:r>
      <w:r>
        <w:fldChar w:fldCharType="end"/>
      </w:r>
    </w:p>
    <w:p w14:paraId="00000021">
      <w:pPr>
        <w:pStyle w:val="Toc1"/>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"_Toc148734098" </w:instrText>
      </w:r>
      <w:r>
        <w:fldChar w:fldCharType="separate"/>
      </w:r>
      <w:r>
        <w:rPr>
          <w:rStyle w:val="Hyperlink"/>
          <w:rFonts w:ascii="Times New Roman" w:cs="Times New Roman" w:hAnsi="Times New Roman"/>
          <w:sz w:val="24"/>
          <w:szCs w:val="24"/>
        </w:rPr>
        <w:t>Tactics</w:t>
      </w:r>
      <w:r>
        <w:rPr>
          <w:rFonts w:ascii="Times New Roman" w:cs="Times New Roman" w:hAnsi="Times New Roman"/>
          <w:sz w:val="24"/>
          <w:szCs w:val="24"/>
        </w:rPr>
        <w:tab/>
      </w:r>
      <w:r>
        <w:fldChar w:fldCharType="begin"/>
      </w:r>
      <w:r>
        <w:instrText xml:space="preserve"> PAGEREF _Toc148734098 \h </w:instrText>
      </w:r>
      <w:r>
        <w:fldChar w:fldCharType="separate"/>
      </w:r>
      <w:r>
        <w:rPr>
          <w:rFonts w:ascii="Times New Roman" w:cs="Times New Roman" w:hAnsi="Times New Roman"/>
          <w:sz w:val="24"/>
          <w:szCs w:val="24"/>
        </w:rPr>
        <w:t>6</w:t>
      </w:r>
      <w:r>
        <w:fldChar w:fldCharType="end"/>
      </w:r>
      <w:r>
        <w:fldChar w:fldCharType="end"/>
      </w:r>
    </w:p>
    <w:p w14:paraId="00000022">
      <w:pPr>
        <w:pStyle w:val="Toc1"/>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"_Toc148734099" </w:instrText>
      </w:r>
      <w:r>
        <w:fldChar w:fldCharType="separate"/>
      </w:r>
      <w:r>
        <w:rPr>
          <w:rStyle w:val="Hyperlink"/>
          <w:rFonts w:ascii="Times New Roman" w:cs="Times New Roman" w:hAnsi="Times New Roman"/>
          <w:sz w:val="24"/>
          <w:szCs w:val="24"/>
        </w:rPr>
        <w:t>Action</w:t>
      </w:r>
      <w:r>
        <w:rPr>
          <w:rFonts w:ascii="Times New Roman" w:cs="Times New Roman" w:hAnsi="Times New Roman"/>
          <w:sz w:val="24"/>
          <w:szCs w:val="24"/>
        </w:rPr>
        <w:tab/>
      </w:r>
      <w:r>
        <w:fldChar w:fldCharType="begin"/>
      </w:r>
      <w:r>
        <w:instrText xml:space="preserve"> PAGEREF _Toc148734099 \h </w:instrText>
      </w:r>
      <w:r>
        <w:fldChar w:fldCharType="separate"/>
      </w:r>
      <w:r>
        <w:rPr>
          <w:rFonts w:ascii="Times New Roman" w:cs="Times New Roman" w:hAnsi="Times New Roman"/>
          <w:sz w:val="24"/>
          <w:szCs w:val="24"/>
        </w:rPr>
        <w:t>7</w:t>
      </w:r>
      <w:r>
        <w:fldChar w:fldCharType="end"/>
      </w:r>
      <w:r>
        <w:fldChar w:fldCharType="end"/>
      </w:r>
    </w:p>
    <w:p w14:paraId="00000023">
      <w:pPr>
        <w:pStyle w:val="Toc1"/>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"_Toc148734100" </w:instrText>
      </w:r>
      <w:r>
        <w:fldChar w:fldCharType="separate"/>
      </w:r>
      <w:r>
        <w:rPr>
          <w:rStyle w:val="Hyperlink"/>
          <w:rFonts w:ascii="Times New Roman" w:cs="Times New Roman" w:hAnsi="Times New Roman"/>
          <w:sz w:val="24"/>
          <w:szCs w:val="24"/>
        </w:rPr>
        <w:t>Control</w:t>
      </w:r>
      <w:r>
        <w:rPr>
          <w:rFonts w:ascii="Times New Roman" w:cs="Times New Roman" w:hAnsi="Times New Roman"/>
          <w:sz w:val="24"/>
          <w:szCs w:val="24"/>
        </w:rPr>
        <w:tab/>
      </w:r>
      <w:r>
        <w:fldChar w:fldCharType="begin"/>
      </w:r>
      <w:r>
        <w:instrText xml:space="preserve"> PAGEREF _Toc148734100 \h </w:instrText>
      </w:r>
      <w:r>
        <w:fldChar w:fldCharType="separate"/>
      </w:r>
      <w:r>
        <w:rPr>
          <w:rFonts w:ascii="Times New Roman" w:cs="Times New Roman" w:hAnsi="Times New Roman"/>
          <w:sz w:val="24"/>
          <w:szCs w:val="24"/>
        </w:rPr>
        <w:t>7</w:t>
      </w:r>
      <w:r>
        <w:fldChar w:fldCharType="end"/>
      </w:r>
      <w:r>
        <w:fldChar w:fldCharType="end"/>
      </w:r>
    </w:p>
    <w:p w14:paraId="00000024">
      <w:pPr>
        <w:pStyle w:val="Toc1"/>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"_Toc148734101" </w:instrText>
      </w:r>
      <w:r>
        <w:fldChar w:fldCharType="separate"/>
      </w:r>
      <w:r>
        <w:rPr>
          <w:rStyle w:val="Hyperlink"/>
          <w:rFonts w:ascii="Times New Roman" w:cs="Times New Roman" w:hAnsi="Times New Roman"/>
          <w:sz w:val="24"/>
          <w:szCs w:val="24"/>
        </w:rPr>
        <w:t>Conclusion</w:t>
      </w:r>
      <w:r>
        <w:rPr>
          <w:rFonts w:ascii="Times New Roman" w:cs="Times New Roman" w:hAnsi="Times New Roman"/>
          <w:sz w:val="24"/>
          <w:szCs w:val="24"/>
        </w:rPr>
        <w:tab/>
      </w:r>
      <w:r>
        <w:fldChar w:fldCharType="begin"/>
      </w:r>
      <w:r>
        <w:instrText xml:space="preserve"> PAGEREF _Toc148734101 \h </w:instrText>
      </w:r>
      <w:r>
        <w:fldChar w:fldCharType="separate"/>
      </w:r>
      <w:r>
        <w:rPr>
          <w:rFonts w:ascii="Times New Roman" w:cs="Times New Roman" w:hAnsi="Times New Roman"/>
          <w:sz w:val="24"/>
          <w:szCs w:val="24"/>
        </w:rPr>
        <w:t>7</w:t>
      </w:r>
      <w:r>
        <w:fldChar w:fldCharType="end"/>
      </w:r>
      <w:r>
        <w:fldChar w:fldCharType="end"/>
      </w:r>
    </w:p>
    <w:p w14:paraId="00000025">
      <w:pPr>
        <w:pStyle w:val="Toc1"/>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"_Toc148734102" </w:instrText>
      </w:r>
      <w:r>
        <w:fldChar w:fldCharType="separate"/>
      </w:r>
      <w:r>
        <w:rPr>
          <w:rStyle w:val="Hyperlink"/>
          <w:rFonts w:ascii="Times New Roman" w:cs="Times New Roman" w:hAnsi="Times New Roman"/>
          <w:sz w:val="24"/>
          <w:szCs w:val="24"/>
        </w:rPr>
        <w:t>References</w:t>
      </w:r>
      <w:r>
        <w:rPr>
          <w:rFonts w:ascii="Times New Roman" w:cs="Times New Roman" w:hAnsi="Times New Roman"/>
          <w:sz w:val="24"/>
          <w:szCs w:val="24"/>
        </w:rPr>
        <w:tab/>
      </w:r>
      <w:r>
        <w:fldChar w:fldCharType="begin"/>
      </w:r>
      <w:r>
        <w:instrText xml:space="preserve"> PAGEREF _Toc148734102 \h </w:instrText>
      </w:r>
      <w:r>
        <w:fldChar w:fldCharType="separate"/>
      </w:r>
      <w:r>
        <w:rPr>
          <w:rFonts w:ascii="Times New Roman" w:cs="Times New Roman" w:hAnsi="Times New Roman"/>
          <w:sz w:val="24"/>
          <w:szCs w:val="24"/>
        </w:rPr>
        <w:t>9</w:t>
      </w:r>
      <w:r>
        <w:fldChar w:fldCharType="end"/>
      </w:r>
      <w:r>
        <w:fldChar w:fldCharType="end"/>
      </w:r>
    </w:p>
    <w:p w14:paraId="00000026">
      <w:pPr>
        <w:pStyle w:val="Toc1"/>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"_Toc148734103" </w:instrText>
      </w:r>
      <w:r>
        <w:fldChar w:fldCharType="separate"/>
      </w:r>
      <w:r>
        <w:rPr>
          <w:rStyle w:val="Hyperlink"/>
          <w:rFonts w:ascii="Times New Roman" w:cs="Times New Roman" w:hAnsi="Times New Roman"/>
          <w:sz w:val="24"/>
          <w:szCs w:val="24"/>
        </w:rPr>
        <w:t>Appendices</w:t>
      </w:r>
      <w:r>
        <w:rPr>
          <w:rFonts w:ascii="Times New Roman" w:cs="Times New Roman" w:hAnsi="Times New Roman"/>
          <w:sz w:val="24"/>
          <w:szCs w:val="24"/>
        </w:rPr>
        <w:tab/>
      </w:r>
      <w:r>
        <w:fldChar w:fldCharType="begin"/>
      </w:r>
      <w:r>
        <w:instrText xml:space="preserve"> PAGEREF _Toc148734103 \h </w:instrText>
      </w:r>
      <w:r>
        <w:fldChar w:fldCharType="separate"/>
      </w:r>
      <w:r>
        <w:rPr>
          <w:rFonts w:ascii="Times New Roman" w:cs="Times New Roman" w:hAnsi="Times New Roman"/>
          <w:sz w:val="24"/>
          <w:szCs w:val="24"/>
        </w:rPr>
        <w:t>13</w:t>
      </w:r>
      <w:r>
        <w:fldChar w:fldCharType="end"/>
      </w:r>
      <w:r>
        <w:fldChar w:fldCharType="end"/>
      </w:r>
    </w:p>
    <w:p w14:paraId="00000027">
      <w:pPr>
        <w:pStyle w:val="Toc2"/>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"_Toc148734104" </w:instrText>
      </w:r>
      <w:r>
        <w:fldChar w:fldCharType="separate"/>
      </w:r>
      <w:r>
        <w:rPr>
          <w:rStyle w:val="Hyperlink"/>
          <w:rFonts w:ascii="Times New Roman" w:cs="Times New Roman" w:hAnsi="Times New Roman"/>
          <w:sz w:val="24"/>
          <w:szCs w:val="24"/>
        </w:rPr>
        <w:t>Appendix 1: SWOT Analysis</w:t>
      </w:r>
      <w:r>
        <w:rPr>
          <w:rFonts w:ascii="Times New Roman" w:cs="Times New Roman" w:hAnsi="Times New Roman"/>
          <w:sz w:val="24"/>
          <w:szCs w:val="24"/>
        </w:rPr>
        <w:tab/>
      </w:r>
      <w:r>
        <w:fldChar w:fldCharType="begin"/>
      </w:r>
      <w:r>
        <w:instrText xml:space="preserve"> PAGEREF _Toc148734104 \h </w:instrText>
      </w:r>
      <w:r>
        <w:fldChar w:fldCharType="separate"/>
      </w:r>
      <w:r>
        <w:rPr>
          <w:rFonts w:ascii="Times New Roman" w:cs="Times New Roman" w:hAnsi="Times New Roman"/>
          <w:sz w:val="24"/>
          <w:szCs w:val="24"/>
        </w:rPr>
        <w:t>13</w:t>
      </w:r>
      <w:r>
        <w:fldChar w:fldCharType="end"/>
      </w:r>
      <w:r>
        <w:fldChar w:fldCharType="end"/>
      </w:r>
    </w:p>
    <w:p w14:paraId="00000028">
      <w:pPr>
        <w:pStyle w:val="Toc2"/>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"_Toc148734105" </w:instrText>
      </w:r>
      <w:r>
        <w:fldChar w:fldCharType="separate"/>
      </w:r>
      <w:r>
        <w:rPr>
          <w:rStyle w:val="Hyperlink"/>
          <w:rFonts w:ascii="Times New Roman" w:cs="Times New Roman" w:hAnsi="Times New Roman"/>
          <w:sz w:val="24"/>
          <w:szCs w:val="24"/>
        </w:rPr>
        <w:t>Appendix 2: Segmentation and Targeting</w:t>
      </w:r>
      <w:r>
        <w:rPr>
          <w:rFonts w:ascii="Times New Roman" w:cs="Times New Roman" w:hAnsi="Times New Roman"/>
          <w:sz w:val="24"/>
          <w:szCs w:val="24"/>
        </w:rPr>
        <w:tab/>
      </w:r>
      <w:r>
        <w:fldChar w:fldCharType="begin"/>
      </w:r>
      <w:r>
        <w:instrText xml:space="preserve"> PAGEREF _Toc148734105 \h </w:instrText>
      </w:r>
      <w:r>
        <w:fldChar w:fldCharType="separate"/>
      </w:r>
      <w:r>
        <w:rPr>
          <w:rFonts w:ascii="Times New Roman" w:cs="Times New Roman" w:hAnsi="Times New Roman"/>
          <w:sz w:val="24"/>
          <w:szCs w:val="24"/>
        </w:rPr>
        <w:t>13</w:t>
      </w:r>
      <w:r>
        <w:fldChar w:fldCharType="end"/>
      </w:r>
      <w:r>
        <w:fldChar w:fldCharType="end"/>
      </w:r>
    </w:p>
    <w:p w14:paraId="00000029">
      <w:pPr>
        <w:pStyle w:val="Toc2"/>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"_Toc148734106" </w:instrText>
      </w:r>
      <w:r>
        <w:fldChar w:fldCharType="separate"/>
      </w:r>
      <w:r>
        <w:rPr>
          <w:rStyle w:val="Hyperlink"/>
          <w:rFonts w:ascii="Times New Roman" w:cs="Times New Roman" w:hAnsi="Times New Roman"/>
          <w:sz w:val="24"/>
          <w:szCs w:val="24"/>
        </w:rPr>
        <w:t>Appendix 3: Perceptual positioning map</w:t>
      </w:r>
      <w:r>
        <w:rPr>
          <w:rFonts w:ascii="Times New Roman" w:cs="Times New Roman" w:hAnsi="Times New Roman"/>
          <w:sz w:val="24"/>
          <w:szCs w:val="24"/>
        </w:rPr>
        <w:tab/>
      </w:r>
      <w:r>
        <w:fldChar w:fldCharType="begin"/>
      </w:r>
      <w:r>
        <w:instrText xml:space="preserve"> PAGEREF _Toc148734106 \h </w:instrText>
      </w:r>
      <w:r>
        <w:fldChar w:fldCharType="separate"/>
      </w:r>
      <w:r>
        <w:rPr>
          <w:rFonts w:ascii="Times New Roman" w:cs="Times New Roman" w:hAnsi="Times New Roman"/>
          <w:sz w:val="24"/>
          <w:szCs w:val="24"/>
        </w:rPr>
        <w:t>14</w:t>
      </w:r>
      <w:r>
        <w:fldChar w:fldCharType="end"/>
      </w:r>
      <w:r>
        <w:fldChar w:fldCharType="end"/>
      </w:r>
    </w:p>
    <w:p w14:paraId="0000002A">
      <w:pPr>
        <w:pStyle w:val="Toc2"/>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"_Toc148734107" </w:instrText>
      </w:r>
      <w:r>
        <w:fldChar w:fldCharType="separate"/>
      </w:r>
      <w:r>
        <w:rPr>
          <w:rStyle w:val="Hyperlink"/>
          <w:rFonts w:ascii="Times New Roman" w:cs="Times New Roman" w:hAnsi="Times New Roman"/>
          <w:sz w:val="24"/>
          <w:szCs w:val="24"/>
        </w:rPr>
        <w:t>Appendix 4: Bowmans strategy clock</w:t>
      </w:r>
      <w:r>
        <w:rPr>
          <w:rFonts w:ascii="Times New Roman" w:cs="Times New Roman" w:hAnsi="Times New Roman"/>
          <w:sz w:val="24"/>
          <w:szCs w:val="24"/>
        </w:rPr>
        <w:tab/>
      </w:r>
      <w:r>
        <w:fldChar w:fldCharType="begin"/>
      </w:r>
      <w:r>
        <w:instrText xml:space="preserve"> PAGEREF _Toc148734107 \h </w:instrText>
      </w:r>
      <w:r>
        <w:fldChar w:fldCharType="separate"/>
      </w:r>
      <w:r>
        <w:rPr>
          <w:rFonts w:ascii="Times New Roman" w:cs="Times New Roman" w:hAnsi="Times New Roman"/>
          <w:sz w:val="24"/>
          <w:szCs w:val="24"/>
        </w:rPr>
        <w:t>14</w:t>
      </w:r>
      <w:r>
        <w:fldChar w:fldCharType="end"/>
      </w:r>
      <w:r>
        <w:fldChar w:fldCharType="end"/>
      </w:r>
    </w:p>
    <w:p w14:paraId="0000002B">
      <w:pPr>
        <w:pStyle w:val="Toc2"/>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"_Toc148734108" </w:instrText>
      </w:r>
      <w:r>
        <w:fldChar w:fldCharType="separate"/>
      </w:r>
      <w:r>
        <w:rPr>
          <w:rStyle w:val="Hyperlink"/>
          <w:rFonts w:ascii="Times New Roman" w:cs="Times New Roman" w:hAnsi="Times New Roman"/>
          <w:sz w:val="24"/>
          <w:szCs w:val="24"/>
        </w:rPr>
        <w:t>Appendix 5: PESTLE Analysis</w:t>
      </w:r>
      <w:r>
        <w:rPr>
          <w:rFonts w:ascii="Times New Roman" w:cs="Times New Roman" w:hAnsi="Times New Roman"/>
          <w:sz w:val="24"/>
          <w:szCs w:val="24"/>
        </w:rPr>
        <w:tab/>
      </w:r>
      <w:r>
        <w:fldChar w:fldCharType="begin"/>
      </w:r>
      <w:r>
        <w:instrText xml:space="preserve"> PAGEREF _Toc148734108 \h </w:instrText>
      </w:r>
      <w:r>
        <w:fldChar w:fldCharType="separate"/>
      </w:r>
      <w:r>
        <w:rPr>
          <w:rFonts w:ascii="Times New Roman" w:cs="Times New Roman" w:hAnsi="Times New Roman"/>
          <w:sz w:val="24"/>
          <w:szCs w:val="24"/>
        </w:rPr>
        <w:t>15</w:t>
      </w:r>
      <w:r>
        <w:fldChar w:fldCharType="end"/>
      </w:r>
      <w:r>
        <w:fldChar w:fldCharType="end"/>
      </w:r>
    </w:p>
    <w:p w14:paraId="0000002C">
      <w:pPr>
        <w:pStyle w:val="Toc2"/>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"_Toc148734109" </w:instrText>
      </w:r>
      <w:r>
        <w:fldChar w:fldCharType="separate"/>
      </w:r>
      <w:r>
        <w:rPr>
          <w:rStyle w:val="Hyperlink"/>
          <w:rFonts w:ascii="Times New Roman" w:cs="Times New Roman" w:hAnsi="Times New Roman"/>
          <w:sz w:val="24"/>
          <w:szCs w:val="24"/>
        </w:rPr>
        <w:t>Appendix 6: Marketing Mix</w:t>
      </w:r>
      <w:r>
        <w:rPr>
          <w:rFonts w:ascii="Times New Roman" w:cs="Times New Roman" w:hAnsi="Times New Roman"/>
          <w:sz w:val="24"/>
          <w:szCs w:val="24"/>
        </w:rPr>
        <w:tab/>
      </w:r>
      <w:r>
        <w:fldChar w:fldCharType="begin"/>
      </w:r>
      <w:r>
        <w:instrText xml:space="preserve"> PAGEREF _Toc148734109 \h </w:instrText>
      </w:r>
      <w:r>
        <w:fldChar w:fldCharType="separate"/>
      </w:r>
      <w:r>
        <w:rPr>
          <w:rFonts w:ascii="Times New Roman" w:cs="Times New Roman" w:hAnsi="Times New Roman"/>
          <w:sz w:val="24"/>
          <w:szCs w:val="24"/>
        </w:rPr>
        <w:t>15</w:t>
      </w:r>
      <w:r>
        <w:fldChar w:fldCharType="end"/>
      </w:r>
      <w:r>
        <w:fldChar w:fldCharType="end"/>
      </w:r>
    </w:p>
    <w:p w14:paraId="0000002D">
      <w:pPr>
        <w:pStyle w:val="Toc2"/>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"_Toc148734110" </w:instrText>
      </w:r>
      <w:r>
        <w:fldChar w:fldCharType="separate"/>
      </w:r>
      <w:r>
        <w:rPr>
          <w:rStyle w:val="Hyperlink"/>
          <w:rFonts w:ascii="Times New Roman" w:cs="Times New Roman" w:hAnsi="Times New Roman"/>
          <w:sz w:val="24"/>
          <w:szCs w:val="24"/>
        </w:rPr>
        <w:t>Appendix 7: Communication Mix</w:t>
      </w:r>
      <w:r>
        <w:rPr>
          <w:rFonts w:ascii="Times New Roman" w:cs="Times New Roman" w:hAnsi="Times New Roman"/>
          <w:sz w:val="24"/>
          <w:szCs w:val="24"/>
        </w:rPr>
        <w:tab/>
      </w:r>
      <w:r>
        <w:fldChar w:fldCharType="begin"/>
      </w:r>
      <w:r>
        <w:instrText xml:space="preserve"> PAGEREF _Toc148734110 \h </w:instrText>
      </w:r>
      <w:r>
        <w:fldChar w:fldCharType="separate"/>
      </w:r>
      <w:r>
        <w:rPr>
          <w:rFonts w:ascii="Times New Roman" w:cs="Times New Roman" w:hAnsi="Times New Roman"/>
          <w:sz w:val="24"/>
          <w:szCs w:val="24"/>
        </w:rPr>
        <w:t>16</w:t>
      </w:r>
      <w:r>
        <w:fldChar w:fldCharType="end"/>
      </w:r>
      <w:r>
        <w:fldChar w:fldCharType="end"/>
      </w:r>
    </w:p>
    <w:p w14:paraId="0000002E">
      <w:pPr>
        <w:pStyle w:val="Toc2"/>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"_Toc148734111" </w:instrText>
      </w:r>
      <w:r>
        <w:fldChar w:fldCharType="separate"/>
      </w:r>
      <w:r>
        <w:rPr>
          <w:rStyle w:val="Hyperlink"/>
          <w:rFonts w:ascii="Times New Roman" w:cs="Times New Roman" w:hAnsi="Times New Roman"/>
          <w:sz w:val="24"/>
          <w:szCs w:val="24"/>
        </w:rPr>
        <w:t>Appendix 8: Gantt Chart</w:t>
      </w:r>
      <w:r>
        <w:rPr>
          <w:rFonts w:ascii="Times New Roman" w:cs="Times New Roman" w:hAnsi="Times New Roman"/>
          <w:sz w:val="24"/>
          <w:szCs w:val="24"/>
        </w:rPr>
        <w:tab/>
      </w:r>
      <w:r>
        <w:fldChar w:fldCharType="begin"/>
      </w:r>
      <w:r>
        <w:instrText xml:space="preserve"> PAGEREF _Toc148734111 \h </w:instrText>
      </w:r>
      <w:r>
        <w:fldChar w:fldCharType="separate"/>
      </w:r>
      <w:r>
        <w:rPr>
          <w:rFonts w:ascii="Times New Roman" w:cs="Times New Roman" w:hAnsi="Times New Roman"/>
          <w:sz w:val="24"/>
          <w:szCs w:val="24"/>
        </w:rPr>
        <w:t>16</w:t>
      </w:r>
      <w:r>
        <w:fldChar w:fldCharType="end"/>
      </w:r>
      <w:r>
        <w:fldChar w:fldCharType="end"/>
      </w:r>
    </w:p>
    <w:p w14:paraId="0000002F">
      <w:pPr>
        <w:pStyle w:val="Toc2"/>
        <w:tabs>
          <w:tab w:val="right" w:leader="dot" w:pos="9019"/>
        </w:tabs>
        <w:spacing w:line="360" w:lineRule="auto"/>
        <w:jc w:val="both"/>
        <w:rPr>
          <w:rFonts w:asciiTheme="minorHAnsi" w:cstheme="minorBidi" w:eastAsiaTheme="minorEastAsia" w:hAnsiTheme="minorHAnsi"/>
          <w:lang w:val="en-IN"/>
          <w14:ligatures w14:val="standardContextual"/>
        </w:rPr>
      </w:pPr>
      <w:r>
        <w:fldChar w:fldCharType="begin"/>
      </w:r>
      <w:r>
        <w:instrText xml:space="preserve">HYPERLINK \l "_Toc148734112" </w:instrText>
      </w:r>
      <w:r>
        <w:fldChar w:fldCharType="separate"/>
      </w:r>
      <w:r>
        <w:rPr>
          <w:rStyle w:val="Hyperlink"/>
          <w:rFonts w:ascii="Times New Roman" w:cs="Times New Roman" w:hAnsi="Times New Roman"/>
          <w:sz w:val="24"/>
          <w:szCs w:val="24"/>
        </w:rPr>
        <w:t>Appendix 9: KPI Metrics</w:t>
      </w:r>
      <w:r>
        <w:rPr>
          <w:rFonts w:ascii="Times New Roman" w:cs="Times New Roman" w:hAnsi="Times New Roman"/>
          <w:sz w:val="24"/>
          <w:szCs w:val="24"/>
        </w:rPr>
        <w:tab/>
      </w:r>
      <w:r>
        <w:fldChar w:fldCharType="begin"/>
      </w:r>
      <w:r>
        <w:instrText xml:space="preserve"> PAGEREF _Toc148734112 \h </w:instrText>
      </w:r>
      <w:r>
        <w:fldChar w:fldCharType="separate"/>
      </w:r>
      <w:r>
        <w:rPr>
          <w:rFonts w:ascii="Times New Roman" w:cs="Times New Roman" w:hAnsi="Times New Roman"/>
          <w:sz w:val="24"/>
          <w:szCs w:val="24"/>
        </w:rPr>
        <w:t>17</w:t>
      </w:r>
      <w:r>
        <w:fldChar w:fldCharType="end"/>
      </w:r>
      <w:r>
        <w:fldChar w:fldCharType="end"/>
      </w:r>
    </w:p>
    <w:p w14:paraId="00000030">
      <w:r>
        <w:fldChar w:fldCharType="end"/>
      </w:r>
    </w:p>
    <w:p w14:paraId="00000031">
      <w:pPr>
        <w:jc w:val="center"/>
        <w:rPr>
          <w:rFonts w:ascii="Times New Roman" w:cs="Times New Roman" w:hAnsi="Times New Roman"/>
          <w:b/>
          <w:bCs/>
          <w:sz w:val="24"/>
          <w:szCs w:val="24"/>
        </w:rPr>
      </w:pPr>
    </w:p>
    <w:p w14:paraId="00000032">
      <w:pPr>
        <w:rPr>
          <w:rFonts w:ascii="Times New Roman" w:hAnsi="Times New Roman"/>
          <w:b/>
          <w:sz w:val="24"/>
          <w:szCs w:val="40"/>
        </w:rPr>
      </w:pPr>
      <w:r>
        <w:rPr/>
        <w:br w:type="page"/>
      </w:r>
    </w:p>
    <w:p w14:paraId="00000033">
      <w:pPr>
        <w:pStyle w:val="Heading1"/>
        <w:rPr/>
      </w:pPr>
      <w:bookmarkStart w:id="0" w:name="_Toc148734086"/>
      <w:r>
        <w:t>Component A: Marketing Plan</w:t>
      </w:r>
      <w:bookmarkEnd w:id="0"/>
    </w:p>
    <w:p w14:paraId="00000034">
      <w:pPr>
        <w:pStyle w:val="Heading1"/>
        <w:rPr/>
      </w:pPr>
      <w:bookmarkStart w:id="1" w:name="_Toc148734087"/>
      <w:r>
        <w:t>Introduction</w:t>
      </w:r>
      <w:bookmarkEnd w:id="1"/>
      <w:r>
        <w:t xml:space="preserve"> </w:t>
      </w:r>
    </w:p>
    <w:p w14:paraId="00000035">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w:t>
      </w:r>
      <w:r>
        <w:rPr>
          <w:rFonts w:ascii="Times New Roman" w:cs="Times New Roman" w:eastAsia="Times New Roman" w:hAnsi="Times New Roman"/>
          <w:b/>
          <w:i/>
          <w:sz w:val="24"/>
          <w:szCs w:val="24"/>
        </w:rPr>
        <w:t>“purpose of the marketing plan”</w:t>
      </w:r>
      <w:r>
        <w:rPr>
          <w:rFonts w:ascii="Times New Roman" w:cs="Times New Roman" w:eastAsia="Times New Roman" w:hAnsi="Times New Roman"/>
          <w:sz w:val="24"/>
          <w:szCs w:val="24"/>
        </w:rPr>
        <w:t xml:space="preserve"> is to outline an effective business strategy for Hilton Hotel for acquiring new customers and increasing its profit margin. This </w:t>
      </w:r>
      <w:r>
        <w:rPr>
          <w:rFonts w:ascii="Times New Roman" w:cs="Times New Roman" w:eastAsia="Times New Roman" w:hAnsi="Times New Roman"/>
          <w:b/>
          <w:i/>
          <w:sz w:val="24"/>
          <w:szCs w:val="24"/>
        </w:rPr>
        <w:t>report is being prepared for Hilton Hotel in the UK</w:t>
      </w:r>
      <w:r>
        <w:rPr>
          <w:rFonts w:ascii="Times New Roman" w:cs="Times New Roman" w:eastAsia="Times New Roman" w:hAnsi="Times New Roman"/>
          <w:sz w:val="24"/>
          <w:szCs w:val="24"/>
        </w:rPr>
        <w:t xml:space="preserve"> in order to provide strategic marketing solutions to the company in the competitive marketplace. It will focus on the situational analysis which will include </w:t>
      </w:r>
      <w:r>
        <w:rPr>
          <w:rFonts w:ascii="Times New Roman" w:cs="Times New Roman" w:eastAsia="Times New Roman" w:hAnsi="Times New Roman"/>
          <w:b/>
          <w:i/>
          <w:sz w:val="24"/>
          <w:szCs w:val="24"/>
        </w:rPr>
        <w:t>5 C’s</w:t>
      </w:r>
      <w:r>
        <w:rPr>
          <w:rFonts w:ascii="Times New Roman" w:cs="Times New Roman" w:eastAsia="Times New Roman" w:hAnsi="Times New Roman"/>
          <w:sz w:val="24"/>
          <w:szCs w:val="24"/>
        </w:rPr>
        <w:t xml:space="preserve"> of the company to understand the current market position appropriately. This report will also consist of</w:t>
      </w:r>
      <w:r>
        <w:rPr>
          <w:rFonts w:ascii="Times New Roman" w:cs="Times New Roman" w:eastAsia="Times New Roman" w:hAnsi="Times New Roman"/>
          <w:b/>
          <w:i/>
          <w:sz w:val="24"/>
          <w:szCs w:val="24"/>
        </w:rPr>
        <w:t xml:space="preserve"> 4 P's of marketing mix, macro analysis, STP and Ansoff matrix</w:t>
      </w:r>
      <w:r>
        <w:rPr>
          <w:rFonts w:ascii="Times New Roman" w:cs="Times New Roman" w:eastAsia="Times New Roman" w:hAnsi="Times New Roman"/>
          <w:sz w:val="24"/>
          <w:szCs w:val="24"/>
        </w:rPr>
        <w:t xml:space="preserve"> to cover the  critical business areas of the brand in an effective manner. </w:t>
      </w:r>
    </w:p>
    <w:p w14:paraId="00000036">
      <w:pPr>
        <w:pStyle w:val="Heading1"/>
        <w:rPr>
          <w:sz w:val="32"/>
          <w:szCs w:val="32"/>
        </w:rPr>
      </w:pPr>
      <w:bookmarkStart w:id="2" w:name="_Toc148734088"/>
      <w:r>
        <w:t>Situation Analysis</w:t>
      </w:r>
      <w:bookmarkEnd w:id="2"/>
      <w:r>
        <w:t xml:space="preserve"> </w:t>
      </w:r>
    </w:p>
    <w:p w14:paraId="00000037">
      <w:pPr>
        <w:pStyle w:val="Heading2"/>
        <w:rPr>
          <w:b w:val="off"/>
        </w:rPr>
      </w:pPr>
      <w:bookmarkStart w:id="3" w:name="_Toc148734089"/>
      <w:r>
        <w:t>5 C’s</w:t>
      </w:r>
      <w:bookmarkEnd w:id="3"/>
      <w:r>
        <w:t xml:space="preserve"> </w:t>
      </w:r>
    </w:p>
    <w:p w14:paraId="00000038">
      <w:pPr>
        <w:pStyle w:val="Heading3"/>
        <w:rPr/>
      </w:pPr>
      <w:bookmarkStart w:id="4" w:name="_Toc148734090"/>
      <w:r>
        <w:t>Company</w:t>
      </w:r>
      <w:bookmarkEnd w:id="4"/>
    </w:p>
    <w:p w14:paraId="00000039">
      <w:pP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w:t>
      </w:r>
      <w:r>
        <w:rPr>
          <w:rFonts w:ascii="Times New Roman" w:cs="Times New Roman" w:eastAsia="Times New Roman" w:hAnsi="Times New Roman"/>
          <w:sz w:val="24"/>
          <w:szCs w:val="24"/>
        </w:rPr>
        <w:t xml:space="preserve">It has been identified from the SWOT analysis that global exposure and the professional etiquettes of staff members are strengths of Hilton Hotel. </w:t>
      </w:r>
      <w:r>
        <w:rPr>
          <w:rFonts w:ascii="Times New Roman" w:cs="Times New Roman" w:eastAsia="Times New Roman" w:hAnsi="Times New Roman"/>
          <w:b/>
          <w:i/>
          <w:sz w:val="24"/>
          <w:szCs w:val="24"/>
        </w:rPr>
        <w:t>Ethical issues of Hilton Hotel</w:t>
      </w:r>
      <w:r>
        <w:rPr>
          <w:rFonts w:ascii="Times New Roman" w:cs="Times New Roman" w:eastAsia="Times New Roman" w:hAnsi="Times New Roman"/>
          <w:sz w:val="24"/>
          <w:szCs w:val="24"/>
        </w:rPr>
        <w:t xml:space="preserve"> have limited its market share by increasing its debt in the foreign market (Chrie.org, 2023). The company can </w:t>
      </w:r>
      <w:r>
        <w:rPr>
          <w:rFonts w:ascii="Times New Roman" w:cs="Times New Roman" w:eastAsia="Times New Roman" w:hAnsi="Times New Roman"/>
          <w:sz w:val="24"/>
          <w:szCs w:val="24"/>
        </w:rPr>
        <w:t>use</w:t>
      </w:r>
      <w:r>
        <w:rPr>
          <w:rFonts w:ascii="Times New Roman" w:cs="Times New Roman" w:eastAsia="Times New Roman" w:hAnsi="Times New Roman"/>
          <w:sz w:val="24"/>
          <w:szCs w:val="24"/>
        </w:rPr>
        <w:t xml:space="preserve"> its market opportunities such as the merger and acquisition to strengthen its position in the UK market. </w:t>
      </w:r>
      <w:r>
        <w:rPr>
          <w:rFonts w:ascii="Times New Roman" w:cs="Times New Roman" w:eastAsia="Times New Roman" w:hAnsi="Times New Roman"/>
          <w:b/>
          <w:sz w:val="24"/>
          <w:szCs w:val="24"/>
        </w:rPr>
        <w:t>[Refer to Appendix 1]</w:t>
      </w:r>
    </w:p>
    <w:p w14:paraId="0000003A">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drawing xmlns:mc="http://schemas.openxmlformats.org/markup-compatibility/2006">
          <wp:inline distT="0" distB="0" distL="0" distR="0">
            <wp:extent cx="3916707" cy="2619375"/>
            <wp:effectExtent l="0" t="0" r="25400" b="25400"/>
            <wp:docPr id="23"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1.png"/>
                    <pic:cNvPicPr preferRelativeResize="0"/>
                  </pic:nvPicPr>
                  <pic:blipFill>
                    <a:blip r:embed="rId21"/>
                    <a:srcRect l="10735" t="9178" b="7063"/>
                    <a:stretch/>
                  </pic:blipFill>
                  <pic:spPr>
                    <a:xfrm>
                      <a:off x="0" y="0"/>
                      <a:ext cx="3916707" cy="2619375"/>
                    </a:xfrm>
                    <a:prstGeom prst="rect">
                      <a:avLst/>
                    </a:prstGeom>
                    <a:ln w="12700">
                      <a:solidFill>
                        <a:srgbClr val="000000"/>
                      </a:solidFill>
                      <a:prstDash val="solid"/>
                    </a:ln>
                  </pic:spPr>
                </pic:pic>
              </a:graphicData>
            </a:graphic>
          </wp:inline>
        </w:drawing>
      </w:r>
    </w:p>
    <w:p w14:paraId="0000003B">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1: Hilton Hotel Annual Revenue Worldwide</w:t>
      </w:r>
    </w:p>
    <w:p w14:paraId="0000003C">
      <w:pPr>
        <w:spacing w:line="360" w:lineRule="auto"/>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(Source: Statista.com, 2023)</w:t>
      </w:r>
    </w:p>
    <w:p w14:paraId="0000003D">
      <w:pPr>
        <w:pStyle w:val="Heading3"/>
        <w:rPr/>
      </w:pPr>
      <w:bookmarkStart w:id="5" w:name="_Toc148734091"/>
      <w:r>
        <w:t>Customers</w:t>
      </w:r>
      <w:bookmarkEnd w:id="5"/>
    </w:p>
    <w:p w14:paraId="0000003E">
      <w:pP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sz w:val="24"/>
          <w:szCs w:val="24"/>
        </w:rPr>
        <w:t xml:space="preserve">The customers of Hilton Hotel will be business professionals from </w:t>
      </w:r>
      <w:r>
        <w:rPr>
          <w:rFonts w:ascii="Times New Roman" w:cs="Times New Roman" w:eastAsia="Times New Roman" w:hAnsi="Times New Roman"/>
          <w:sz w:val="24"/>
          <w:szCs w:val="24"/>
        </w:rPr>
        <w:t>all genders</w:t>
      </w:r>
      <w:r>
        <w:rPr>
          <w:rFonts w:ascii="Times New Roman" w:cs="Times New Roman" w:eastAsia="Times New Roman" w:hAnsi="Times New Roman"/>
          <w:sz w:val="24"/>
          <w:szCs w:val="24"/>
        </w:rPr>
        <w:t xml:space="preserve"> and individuals that prefer an ambitious lifestyle. It has been reported that </w:t>
      </w:r>
      <w:r>
        <w:rPr>
          <w:rFonts w:ascii="Times New Roman" w:cs="Times New Roman" w:eastAsia="Times New Roman" w:hAnsi="Times New Roman"/>
          <w:b/>
          <w:i/>
          <w:sz w:val="24"/>
          <w:szCs w:val="24"/>
        </w:rPr>
        <w:t>480 hotels of Hilton in the UK have recorded 97000 guests</w:t>
      </w:r>
      <w:r>
        <w:rPr>
          <w:rFonts w:ascii="Times New Roman" w:cs="Times New Roman" w:eastAsia="Times New Roman" w:hAnsi="Times New Roman"/>
          <w:sz w:val="24"/>
          <w:szCs w:val="24"/>
        </w:rPr>
        <w:t xml:space="preserve"> in 2021 (Hilton.com, 2023). The segmentation and positioning of the company has been provided based on  the performative values of Hilton Group in the UK market. </w:t>
      </w:r>
      <w:r>
        <w:rPr>
          <w:rFonts w:ascii="Times New Roman" w:cs="Times New Roman" w:eastAsia="Times New Roman" w:hAnsi="Times New Roman"/>
          <w:b/>
          <w:sz w:val="24"/>
          <w:szCs w:val="24"/>
        </w:rPr>
        <w:t>[Refer to Appendix 2]</w:t>
      </w:r>
    </w:p>
    <w:p w14:paraId="0000003F">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drawing xmlns:mc="http://schemas.openxmlformats.org/markup-compatibility/2006">
          <wp:inline distT="0" distB="0" distL="0" distR="0">
            <wp:extent cx="4573369" cy="2852208"/>
            <wp:effectExtent l="0" t="0" r="25400" b="25400"/>
            <wp:docPr id="24" name="image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17.png"/>
                    <pic:cNvPicPr preferRelativeResize="0"/>
                  </pic:nvPicPr>
                  <pic:blipFill>
                    <a:blip r:embed="rId22"/>
                    <a:srcRect/>
                    <a:stretch>
                      <a:fillRect/>
                    </a:stretch>
                  </pic:blipFill>
                  <pic:spPr>
                    <a:xfrm>
                      <a:off x="0" y="0"/>
                      <a:ext cx="4573369" cy="2852208"/>
                    </a:xfrm>
                    <a:prstGeom prst="rect">
                      <a:avLst/>
                    </a:prstGeom>
                    <a:ln w="12700">
                      <a:solidFill>
                        <a:srgbClr val="000000"/>
                      </a:solidFill>
                      <a:prstDash val="solid"/>
                    </a:ln>
                  </pic:spPr>
                </pic:pic>
              </a:graphicData>
            </a:graphic>
          </wp:inline>
        </w:drawing>
      </w:r>
    </w:p>
    <w:p w14:paraId="00000040">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Figure 2: Hilton Brand Profile in the UK </w:t>
      </w:r>
    </w:p>
    <w:p w14:paraId="00000041">
      <w:pPr>
        <w:spacing w:line="360" w:lineRule="auto"/>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(Source: Statista.com, 2023)</w:t>
      </w:r>
    </w:p>
    <w:p w14:paraId="00000042">
      <w:pPr>
        <w:pStyle w:val="Heading3"/>
        <w:rPr/>
      </w:pPr>
      <w:bookmarkStart w:id="6" w:name="_Toc148734092"/>
      <w:r>
        <w:t>Competitors</w:t>
      </w:r>
      <w:bookmarkEnd w:id="6"/>
    </w:p>
    <w:p w14:paraId="00000043">
      <w:pP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sz w:val="24"/>
          <w:szCs w:val="24"/>
        </w:rPr>
        <w:t xml:space="preserve">The competitors of the Hilton Hotel have been determined based on the market position of the company in the UK market. </w:t>
      </w:r>
      <w:r>
        <w:rPr>
          <w:rFonts w:ascii="Times New Roman" w:cs="Times New Roman" w:eastAsia="Times New Roman" w:hAnsi="Times New Roman"/>
          <w:b/>
          <w:i/>
          <w:sz w:val="24"/>
          <w:szCs w:val="24"/>
        </w:rPr>
        <w:t>Hyatt, Marriott, IHG, Holiday Inn</w:t>
      </w:r>
      <w:r>
        <w:rPr>
          <w:rFonts w:ascii="Times New Roman" w:cs="Times New Roman" w:eastAsia="Times New Roman" w:hAnsi="Times New Roman"/>
          <w:sz w:val="24"/>
          <w:szCs w:val="24"/>
        </w:rPr>
        <w:t xml:space="preserve"> are some of the competitors of Hilton Hotel in the competitive marketplace (Globaldata.com, 2023). The market value of the company has been analysed by implementing Bowman’s strategy clock in an appropriate manner. </w:t>
      </w:r>
      <w:r>
        <w:rPr>
          <w:rFonts w:ascii="Times New Roman" w:cs="Times New Roman" w:eastAsia="Times New Roman" w:hAnsi="Times New Roman"/>
          <w:b/>
          <w:sz w:val="24"/>
          <w:szCs w:val="24"/>
        </w:rPr>
        <w:t>[Refer to Appendix 3 and 4]</w:t>
      </w:r>
    </w:p>
    <w:p w14:paraId="00000044">
      <w:pPr>
        <w:pStyle w:val="Heading3"/>
        <w:rPr/>
      </w:pPr>
      <w:bookmarkStart w:id="7" w:name="_Toc148734093"/>
      <w:r>
        <w:t>Collaborators</w:t>
      </w:r>
      <w:bookmarkEnd w:id="7"/>
      <w:r>
        <w:t xml:space="preserve"> </w:t>
      </w:r>
    </w:p>
    <w:p w14:paraId="00000045">
      <w:pP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sz w:val="24"/>
          <w:szCs w:val="24"/>
        </w:rPr>
        <w:t xml:space="preserve">Hilton can participate in the </w:t>
      </w:r>
      <w:r>
        <w:rPr>
          <w:rFonts w:ascii="Times New Roman" w:cs="Times New Roman" w:eastAsia="Times New Roman" w:hAnsi="Times New Roman"/>
          <w:b/>
          <w:i/>
          <w:sz w:val="24"/>
          <w:szCs w:val="24"/>
        </w:rPr>
        <w:t>B2B marketplace</w:t>
      </w:r>
      <w:r>
        <w:rPr>
          <w:rFonts w:ascii="Times New Roman" w:cs="Times New Roman" w:eastAsia="Times New Roman" w:hAnsi="Times New Roman"/>
          <w:sz w:val="24"/>
          <w:szCs w:val="24"/>
        </w:rPr>
        <w:t xml:space="preserve"> to enhance hotel security, housekeeping staff outsourced to another company and wholesale purchase of food products. It has been reported that the new hospitality B2B marketplace has allowed hotel industries to enhance the </w:t>
      </w:r>
      <w:r>
        <w:rPr>
          <w:rFonts w:ascii="Times New Roman" w:cs="Times New Roman" w:eastAsia="Times New Roman" w:hAnsi="Times New Roman"/>
          <w:b/>
          <w:i/>
          <w:sz w:val="24"/>
          <w:szCs w:val="24"/>
        </w:rPr>
        <w:t>automobile, food service, and energy resources</w:t>
      </w:r>
      <w:r>
        <w:rPr>
          <w:rFonts w:ascii="Times New Roman" w:cs="Times New Roman" w:eastAsia="Times New Roman" w:hAnsi="Times New Roman"/>
          <w:sz w:val="24"/>
          <w:szCs w:val="24"/>
        </w:rPr>
        <w:t xml:space="preserve"> (ecommercetimes.com, 2023). Partnership can Hilton Hotel to overcome the barriers that are posed by the competitors in the niche market. </w:t>
      </w:r>
      <w:r>
        <w:rPr>
          <w:rFonts w:ascii="Times New Roman" w:cs="Times New Roman" w:eastAsia="Times New Roman" w:hAnsi="Times New Roman"/>
          <w:sz w:val="24"/>
          <w:szCs w:val="24"/>
        </w:rPr>
        <w:t xml:space="preserve">Hilton Hotel has </w:t>
      </w:r>
      <w:r>
        <w:rPr>
          <w:rFonts w:ascii="Times New Roman" w:cs="Times New Roman" w:eastAsia="Times New Roman" w:hAnsi="Times New Roman"/>
          <w:b/>
          <w:i/>
          <w:sz w:val="24"/>
          <w:szCs w:val="24"/>
        </w:rPr>
        <w:t>partnered</w:t>
      </w:r>
      <w:r>
        <w:rPr>
          <w:rFonts w:ascii="Times New Roman" w:cs="Times New Roman" w:eastAsia="Times New Roman" w:hAnsi="Times New Roman"/>
          <w:sz w:val="24"/>
          <w:szCs w:val="24"/>
        </w:rPr>
        <w:t xml:space="preserve"> with </w:t>
      </w:r>
      <w:r>
        <w:rPr>
          <w:rFonts w:ascii="Times New Roman" w:cs="Times New Roman" w:eastAsia="Times New Roman" w:hAnsi="Times New Roman"/>
          <w:b/>
          <w:i/>
          <w:sz w:val="24"/>
          <w:szCs w:val="24"/>
        </w:rPr>
        <w:t xml:space="preserve">Waldorf Astoria, Conrad Hotels &amp; Resorts, Hampton by Hilton and LXR Hotels &amp; Resorts </w:t>
      </w:r>
      <w:r>
        <w:rPr>
          <w:rFonts w:ascii="Times New Roman" w:cs="Times New Roman" w:eastAsia="Times New Roman" w:hAnsi="Times New Roman"/>
          <w:sz w:val="24"/>
          <w:szCs w:val="24"/>
        </w:rPr>
        <w:t xml:space="preserve">(Hilton.com, 2023).Therefore, Hilton Hotel can partner with </w:t>
      </w:r>
      <w:r>
        <w:rPr>
          <w:rFonts w:ascii="Times New Roman" w:cs="Times New Roman" w:eastAsia="Times New Roman" w:hAnsi="Times New Roman"/>
          <w:b/>
          <w:i/>
          <w:sz w:val="24"/>
          <w:szCs w:val="24"/>
        </w:rPr>
        <w:t>“The Royal National Hotel”</w:t>
      </w:r>
      <w:r>
        <w:rPr>
          <w:rFonts w:ascii="Times New Roman" w:cs="Times New Roman" w:eastAsia="Times New Roman" w:hAnsi="Times New Roman"/>
          <w:sz w:val="24"/>
          <w:szCs w:val="24"/>
        </w:rPr>
        <w:t xml:space="preserve"> to gain exposure to the UK market effectively. </w:t>
      </w:r>
      <w:r>
        <w:rPr>
          <w:rFonts w:ascii="Times New Roman" w:cs="Times New Roman" w:eastAsia="Times New Roman" w:hAnsi="Times New Roman"/>
          <w:b/>
          <w:i/>
          <w:sz w:val="24"/>
          <w:szCs w:val="24"/>
        </w:rPr>
        <w:t>Franchise options</w:t>
      </w:r>
      <w:r>
        <w:rPr>
          <w:rFonts w:ascii="Times New Roman" w:cs="Times New Roman" w:eastAsia="Times New Roman" w:hAnsi="Times New Roman"/>
          <w:sz w:val="24"/>
          <w:szCs w:val="24"/>
        </w:rPr>
        <w:t xml:space="preserve"> can be available based on the market performance of the company such as Marriott International and IHG hotels &amp; Resorts. </w:t>
      </w:r>
    </w:p>
    <w:p w14:paraId="00000046">
      <w:pPr>
        <w:pStyle w:val="Heading3"/>
        <w:rPr/>
      </w:pPr>
      <w:bookmarkStart w:id="8" w:name="_Toc148734094"/>
      <w:r>
        <w:t>Climate</w:t>
      </w:r>
      <w:bookmarkEnd w:id="8"/>
      <w:r>
        <w:t xml:space="preserve"> </w:t>
      </w:r>
    </w:p>
    <w:p w14:paraId="00000047">
      <w:pP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sz w:val="24"/>
          <w:szCs w:val="24"/>
        </w:rPr>
        <w:t xml:space="preserve">The analysis that can be driven for the PESTLE analysis is that the economic, and technological value of the UK market impacts positively in the market operation of the Hilton Hotel. </w:t>
      </w:r>
      <w:r>
        <w:rPr>
          <w:rFonts w:ascii="Times New Roman" w:cs="Times New Roman" w:eastAsia="Times New Roman" w:hAnsi="Times New Roman"/>
          <w:b/>
          <w:i/>
          <w:sz w:val="24"/>
          <w:szCs w:val="24"/>
        </w:rPr>
        <w:t>UK’s GDP has increased 0.2%</w:t>
      </w:r>
      <w:r>
        <w:rPr>
          <w:rFonts w:ascii="Times New Roman" w:cs="Times New Roman" w:eastAsia="Times New Roman" w:hAnsi="Times New Roman"/>
          <w:sz w:val="24"/>
          <w:szCs w:val="24"/>
        </w:rPr>
        <w:t xml:space="preserve"> which suggests that it will impact positively on the market operation of the hospitality industry (Ons.gov.uk, 2023). Therefore, using the technological integration in the hospitality industry with the flourishing economy will help in increasing profit margin for the company. </w:t>
      </w:r>
      <w:r>
        <w:rPr>
          <w:rFonts w:ascii="Times New Roman" w:cs="Times New Roman" w:eastAsia="Times New Roman" w:hAnsi="Times New Roman"/>
          <w:b/>
          <w:sz w:val="24"/>
          <w:szCs w:val="24"/>
        </w:rPr>
        <w:t>[Refer to Appendix 5]</w:t>
      </w:r>
    </w:p>
    <w:p w14:paraId="00000048">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drawing xmlns:mc="http://schemas.openxmlformats.org/markup-compatibility/2006">
          <wp:inline distT="0" distB="0" distL="0" distR="0">
            <wp:extent cx="5015442" cy="3190887"/>
            <wp:effectExtent l="0" t="0" r="25400" b="25400"/>
            <wp:docPr id="25"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4.png"/>
                    <pic:cNvPicPr preferRelativeResize="0"/>
                  </pic:nvPicPr>
                  <pic:blipFill>
                    <a:blip r:embed="rId23"/>
                    <a:srcRect/>
                    <a:stretch>
                      <a:fillRect/>
                    </a:stretch>
                  </pic:blipFill>
                  <pic:spPr>
                    <a:xfrm>
                      <a:off x="0" y="0"/>
                      <a:ext cx="5015442" cy="3190887"/>
                    </a:xfrm>
                    <a:prstGeom prst="rect">
                      <a:avLst/>
                    </a:prstGeom>
                    <a:ln w="12700">
                      <a:solidFill>
                        <a:srgbClr val="000000"/>
                      </a:solidFill>
                      <a:prstDash val="solid"/>
                    </a:ln>
                  </pic:spPr>
                </pic:pic>
              </a:graphicData>
            </a:graphic>
          </wp:inline>
        </w:drawing>
      </w:r>
    </w:p>
    <w:p w14:paraId="00000049">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3: Estimated growth of GDP in the UK</w:t>
      </w:r>
    </w:p>
    <w:p w14:paraId="0000004A">
      <w:pPr>
        <w:spacing w:line="360" w:lineRule="auto"/>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(Source: Statista.com, 2023)</w:t>
      </w:r>
    </w:p>
    <w:p w14:paraId="0000004B">
      <w:pPr>
        <w:pStyle w:val="Heading3"/>
        <w:rPr/>
      </w:pPr>
      <w:bookmarkStart w:id="9" w:name="_Toc148734095"/>
      <w:r>
        <w:t>Marketing Mix</w:t>
      </w:r>
      <w:bookmarkEnd w:id="9"/>
    </w:p>
    <w:p w14:paraId="0000004C">
      <w:pP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sz w:val="24"/>
          <w:szCs w:val="24"/>
        </w:rPr>
        <w:t xml:space="preserve">The marketing mix of Hilton Hotel has been provided based on the market value of the UK regarding the hospitality industry. According to Hanaysha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(2021), marketing mix consists of</w:t>
      </w:r>
      <w:r>
        <w:rPr>
          <w:rFonts w:ascii="Times New Roman" w:cs="Times New Roman" w:eastAsia="Times New Roman" w:hAnsi="Times New Roman"/>
          <w:b/>
          <w:i/>
          <w:sz w:val="24"/>
          <w:szCs w:val="24"/>
        </w:rPr>
        <w:t xml:space="preserve"> place, promotion, price and product</w:t>
      </w:r>
      <w:r>
        <w:rPr>
          <w:rFonts w:ascii="Times New Roman" w:cs="Times New Roman" w:eastAsia="Times New Roman" w:hAnsi="Times New Roman"/>
          <w:sz w:val="24"/>
          <w:szCs w:val="24"/>
        </w:rPr>
        <w:t xml:space="preserve">. The product value is luxurious hotels where the price </w:t>
      </w:r>
      <w:r>
        <w:rPr>
          <w:rFonts w:ascii="Times New Roman" w:cs="Times New Roman" w:eastAsia="Times New Roman" w:hAnsi="Times New Roman"/>
          <w:sz w:val="24"/>
          <w:szCs w:val="24"/>
        </w:rPr>
        <w:t xml:space="preserve">has settled based on the UK economy by using “social media marketing” of the company. </w:t>
      </w:r>
      <w:r>
        <w:rPr>
          <w:rFonts w:ascii="Times New Roman" w:cs="Times New Roman" w:eastAsia="Times New Roman" w:hAnsi="Times New Roman"/>
          <w:b/>
          <w:sz w:val="24"/>
          <w:szCs w:val="24"/>
        </w:rPr>
        <w:t xml:space="preserve">[Refer to Appendix 6] </w:t>
      </w:r>
    </w:p>
    <w:p w14:paraId="0000004D">
      <w:pPr>
        <w:pStyle w:val="Heading1"/>
        <w:rPr/>
      </w:pPr>
      <w:bookmarkStart w:id="10" w:name="_Toc148734096"/>
      <w:r>
        <w:t>Objectives</w:t>
      </w:r>
      <w:bookmarkEnd w:id="10"/>
      <w:r>
        <w:t xml:space="preserve"> </w:t>
      </w:r>
    </w:p>
    <w:tbl>
      <w:tblPr>
        <w:tblStyle w:val="A"/>
        <w:tblW w:w="9765" w:type="dxa"/>
        <w:tblInd w:w="-34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tblPr>
      <w:tblGrid>
        <w:gridCol w:w="2493"/>
        <w:gridCol w:w="7271"/>
      </w:tblGrid>
      <w:tr>
        <w:trPr/>
        <w:tc>
          <w:tcPr>
            <w:cnfStyle w:val="000000000000"/>
            <w:tcW w:w="2493" w:type="dxa"/>
            <w:shd w:val="clear" w:color="auto" w:fill="f4cccc"/>
            <w:tcMar>
              <w:top w:w="100" w:type="dxa"/>
              <w:left w:w="100" w:type="dxa"/>
              <w:bottom w:w="100" w:type="dxa"/>
              <w:right w:w="100" w:type="dxa"/>
            </w:tcMar>
          </w:tcPr>
          <w:p w14:paraId="0000004E">
            <w:pPr>
              <w:widowControl w:val="off"/>
              <w:spacing w:line="360" w:lineRule="auto"/>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Specific </w:t>
            </w:r>
          </w:p>
        </w:tc>
        <w:tc>
          <w:tcPr>
            <w:cnfStyle w:val="000000000000"/>
            <w:tcW w:w="7271" w:type="dxa"/>
            <w:shd w:val="clear" w:color="auto" w:fill="c9daf8"/>
            <w:tcMar>
              <w:top w:w="100" w:type="dxa"/>
              <w:left w:w="100" w:type="dxa"/>
              <w:bottom w:w="100" w:type="dxa"/>
              <w:right w:w="100" w:type="dxa"/>
            </w:tcMar>
          </w:tcPr>
          <w:p w14:paraId="0000004F">
            <w:pPr>
              <w:widowControl w:val="off"/>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To increase the annual profit of Hilton Hotel by strengthening the customer base </w:t>
            </w:r>
          </w:p>
        </w:tc>
      </w:tr>
      <w:tr>
        <w:trPr/>
        <w:tc>
          <w:tcPr>
            <w:cnfStyle w:val="000000000000"/>
            <w:tcW w:w="2493" w:type="dxa"/>
            <w:shd w:val="clear" w:color="auto" w:fill="f4cccc"/>
            <w:tcMar>
              <w:top w:w="100" w:type="dxa"/>
              <w:left w:w="100" w:type="dxa"/>
              <w:bottom w:w="100" w:type="dxa"/>
              <w:right w:w="100" w:type="dxa"/>
            </w:tcMar>
          </w:tcPr>
          <w:p w14:paraId="00000050">
            <w:pPr>
              <w:widowControl w:val="off"/>
              <w:spacing w:line="360" w:lineRule="auto"/>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Measurable </w:t>
            </w:r>
          </w:p>
        </w:tc>
        <w:tc>
          <w:tcPr>
            <w:cnfStyle w:val="000000000000"/>
            <w:tcW w:w="7271" w:type="dxa"/>
            <w:shd w:val="clear" w:color="auto" w:fill="c9daf8"/>
            <w:tcMar>
              <w:top w:w="100" w:type="dxa"/>
              <w:left w:w="100" w:type="dxa"/>
              <w:bottom w:w="100" w:type="dxa"/>
              <w:right w:w="100" w:type="dxa"/>
            </w:tcMar>
          </w:tcPr>
          <w:p w14:paraId="00000051">
            <w:pPr>
              <w:widowControl w:val="off"/>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To measure the departmental performance by analysing the performance of staffs </w:t>
            </w:r>
          </w:p>
        </w:tc>
      </w:tr>
      <w:tr>
        <w:trPr/>
        <w:tc>
          <w:tcPr>
            <w:cnfStyle w:val="000000000000"/>
            <w:tcW w:w="2493" w:type="dxa"/>
            <w:shd w:val="clear" w:color="auto" w:fill="f4cccc"/>
            <w:tcMar>
              <w:top w:w="100" w:type="dxa"/>
              <w:left w:w="100" w:type="dxa"/>
              <w:bottom w:w="100" w:type="dxa"/>
              <w:right w:w="100" w:type="dxa"/>
            </w:tcMar>
          </w:tcPr>
          <w:p w14:paraId="00000052">
            <w:pPr>
              <w:widowControl w:val="off"/>
              <w:spacing w:line="360" w:lineRule="auto"/>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Achievable/Attainable </w:t>
            </w:r>
          </w:p>
        </w:tc>
        <w:tc>
          <w:tcPr>
            <w:cnfStyle w:val="000000000000"/>
            <w:tcW w:w="7271" w:type="dxa"/>
            <w:shd w:val="clear" w:color="auto" w:fill="c9daf8"/>
            <w:tcMar>
              <w:top w:w="100" w:type="dxa"/>
              <w:left w:w="100" w:type="dxa"/>
              <w:bottom w:w="100" w:type="dxa"/>
              <w:right w:w="100" w:type="dxa"/>
            </w:tcMar>
          </w:tcPr>
          <w:p w14:paraId="00000053">
            <w:pPr>
              <w:widowControl w:val="off"/>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To achieve the business goal by implementing regulating tactics such as AI technology </w:t>
            </w:r>
          </w:p>
        </w:tc>
      </w:tr>
      <w:tr>
        <w:trPr/>
        <w:tc>
          <w:tcPr>
            <w:cnfStyle w:val="000000000000"/>
            <w:tcW w:w="2493" w:type="dxa"/>
            <w:shd w:val="clear" w:color="auto" w:fill="f4cccc"/>
            <w:tcMar>
              <w:top w:w="100" w:type="dxa"/>
              <w:left w:w="100" w:type="dxa"/>
              <w:bottom w:w="100" w:type="dxa"/>
              <w:right w:w="100" w:type="dxa"/>
            </w:tcMar>
          </w:tcPr>
          <w:p w14:paraId="00000054">
            <w:pPr>
              <w:widowControl w:val="off"/>
              <w:spacing w:line="360" w:lineRule="auto"/>
              <w:rPr>
                <w:rFonts w:ascii="Times New Roman" w:cs="Times New Roman" w:eastAsia="Times New Roman" w:hAnsi="Times New Roman"/>
                <w:b/>
                <w:sz w:val="24"/>
                <w:szCs w:val="24"/>
              </w:rPr>
            </w:pPr>
            <w:r>
              <w:rPr>
                <w:rFonts w:ascii="Times New Roman" w:cs="Times New Roman" w:eastAsia="Times New Roman" w:hAnsi="Times New Roman"/>
                <w:b/>
                <w:sz w:val="24"/>
                <w:szCs w:val="24"/>
              </w:rPr>
              <w:t>Realistic/Relevant</w:t>
            </w:r>
          </w:p>
        </w:tc>
        <w:tc>
          <w:tcPr>
            <w:cnfStyle w:val="000000000000"/>
            <w:tcW w:w="7271" w:type="dxa"/>
            <w:shd w:val="clear" w:color="auto" w:fill="c9daf8"/>
            <w:tcMar>
              <w:top w:w="100" w:type="dxa"/>
              <w:left w:w="100" w:type="dxa"/>
              <w:bottom w:w="100" w:type="dxa"/>
              <w:right w:w="100" w:type="dxa"/>
            </w:tcMar>
          </w:tcPr>
          <w:p w14:paraId="00000055">
            <w:pPr>
              <w:widowControl w:val="off"/>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To keep the performance value of staffs realistic by maintaining a healthy work life balance </w:t>
            </w:r>
          </w:p>
        </w:tc>
      </w:tr>
      <w:tr>
        <w:trPr/>
        <w:tc>
          <w:tcPr>
            <w:cnfStyle w:val="000000000000"/>
            <w:tcW w:w="2493" w:type="dxa"/>
            <w:shd w:val="clear" w:color="auto" w:fill="f4cccc"/>
            <w:tcMar>
              <w:top w:w="100" w:type="dxa"/>
              <w:left w:w="100" w:type="dxa"/>
              <w:bottom w:w="100" w:type="dxa"/>
              <w:right w:w="100" w:type="dxa"/>
            </w:tcMar>
          </w:tcPr>
          <w:p w14:paraId="00000056">
            <w:pPr>
              <w:widowControl w:val="off"/>
              <w:spacing w:line="360" w:lineRule="auto"/>
              <w:rPr>
                <w:rFonts w:ascii="Times New Roman" w:cs="Times New Roman" w:eastAsia="Times New Roman" w:hAnsi="Times New Roman"/>
                <w:b/>
                <w:sz w:val="24"/>
                <w:szCs w:val="24"/>
              </w:rPr>
            </w:pPr>
            <w:r>
              <w:rPr>
                <w:rFonts w:ascii="Times New Roman" w:cs="Times New Roman" w:eastAsia="Times New Roman" w:hAnsi="Times New Roman"/>
                <w:b/>
                <w:sz w:val="24"/>
                <w:szCs w:val="24"/>
              </w:rPr>
              <w:t>Timed</w:t>
            </w:r>
          </w:p>
        </w:tc>
        <w:tc>
          <w:tcPr>
            <w:cnfStyle w:val="000000000000"/>
            <w:tcW w:w="7271" w:type="dxa"/>
            <w:shd w:val="clear" w:color="auto" w:fill="c9daf8"/>
            <w:tcMar>
              <w:top w:w="100" w:type="dxa"/>
              <w:left w:w="100" w:type="dxa"/>
              <w:bottom w:w="100" w:type="dxa"/>
              <w:right w:w="100" w:type="dxa"/>
            </w:tcMar>
          </w:tcPr>
          <w:p w14:paraId="00000057">
            <w:pPr>
              <w:widowControl w:val="off"/>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To accomplish the goal within the quarter half of the year</w:t>
            </w:r>
          </w:p>
        </w:tc>
      </w:tr>
    </w:tbl>
    <w:p w14:paraId="00000058">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Table 1: SMART objectives </w:t>
      </w:r>
    </w:p>
    <w:p w14:paraId="00000059">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sz w:val="24"/>
          <w:szCs w:val="24"/>
        </w:rPr>
        <w:t>(Source: Self-created)</w:t>
      </w:r>
    </w:p>
    <w:p w14:paraId="0000005A">
      <w:pPr>
        <w:pStyle w:val="Heading1"/>
        <w:rPr/>
      </w:pPr>
      <w:bookmarkStart w:id="11" w:name="_Toc148734097"/>
      <w:r>
        <w:t>Strategy</w:t>
      </w:r>
      <w:bookmarkEnd w:id="11"/>
      <w:r>
        <w:t xml:space="preserve"> </w:t>
      </w:r>
    </w:p>
    <w:p w14:paraId="0000005B">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Hilton Hotel already has a strong value proposition targeting its customers which has helped the company to target its audience appropriately. Therefore, </w:t>
      </w:r>
      <w:r>
        <w:rPr>
          <w:rFonts w:ascii="Times New Roman" w:cs="Times New Roman" w:eastAsia="Times New Roman" w:hAnsi="Times New Roman"/>
          <w:b/>
          <w:i/>
          <w:sz w:val="24"/>
          <w:szCs w:val="24"/>
        </w:rPr>
        <w:t xml:space="preserve">changes will be avoided </w:t>
      </w:r>
      <w:r>
        <w:rPr>
          <w:rFonts w:ascii="Times New Roman" w:cs="Times New Roman" w:eastAsia="Times New Roman" w:hAnsi="Times New Roman"/>
          <w:b/>
          <w:i/>
          <w:sz w:val="24"/>
          <w:szCs w:val="24"/>
        </w:rPr>
        <w:t>in regard to</w:t>
      </w:r>
      <w:r>
        <w:rPr>
          <w:rFonts w:ascii="Times New Roman" w:cs="Times New Roman" w:eastAsia="Times New Roman" w:hAnsi="Times New Roman"/>
          <w:b/>
          <w:i/>
          <w:sz w:val="24"/>
          <w:szCs w:val="24"/>
        </w:rPr>
        <w:t xml:space="preserve"> the value proposition</w:t>
      </w:r>
      <w:r>
        <w:rPr>
          <w:rFonts w:ascii="Times New Roman" w:cs="Times New Roman" w:eastAsia="Times New Roman" w:hAnsi="Times New Roman"/>
          <w:sz w:val="24"/>
          <w:szCs w:val="24"/>
        </w:rPr>
        <w:t xml:space="preserve"> of the company in the UK market. </w:t>
      </w:r>
    </w:p>
    <w:p w14:paraId="0000005C">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Hilton Hotel will use the business strategy of </w:t>
      </w:r>
      <w:r>
        <w:rPr>
          <w:rFonts w:ascii="Times New Roman" w:cs="Times New Roman" w:eastAsia="Times New Roman" w:hAnsi="Times New Roman"/>
          <w:b/>
          <w:i/>
          <w:sz w:val="24"/>
          <w:szCs w:val="24"/>
        </w:rPr>
        <w:t xml:space="preserve">Ansoff Matrix </w:t>
      </w:r>
      <w:r>
        <w:rPr>
          <w:rFonts w:ascii="Times New Roman" w:cs="Times New Roman" w:eastAsia="Times New Roman" w:hAnsi="Times New Roman"/>
          <w:sz w:val="24"/>
          <w:szCs w:val="24"/>
        </w:rPr>
        <w:t xml:space="preserve">to grow its business in the UK market in an effective manner. As stated by Clarissia (2020), Ansoff matrix framework supports the business growth by increasing the profit margin of a company. The company will be focusing on the </w:t>
      </w:r>
      <w:r>
        <w:rPr>
          <w:rFonts w:ascii="Times New Roman" w:cs="Times New Roman" w:eastAsia="Times New Roman" w:hAnsi="Times New Roman"/>
          <w:b/>
          <w:i/>
          <w:sz w:val="24"/>
          <w:szCs w:val="24"/>
        </w:rPr>
        <w:t>product development</w:t>
      </w:r>
      <w:r>
        <w:rPr>
          <w:rFonts w:ascii="Times New Roman" w:cs="Times New Roman" w:eastAsia="Times New Roman" w:hAnsi="Times New Roman"/>
          <w:sz w:val="24"/>
          <w:szCs w:val="24"/>
        </w:rPr>
        <w:t xml:space="preserve"> of the company which include </w:t>
      </w:r>
      <w:r>
        <w:rPr>
          <w:rFonts w:ascii="Times New Roman" w:cs="Times New Roman" w:eastAsia="Times New Roman" w:hAnsi="Times New Roman"/>
          <w:b/>
          <w:i/>
          <w:sz w:val="24"/>
          <w:szCs w:val="24"/>
        </w:rPr>
        <w:t>refurbishing rooms, food facility and technological integration</w:t>
      </w:r>
      <w:r>
        <w:rPr>
          <w:rFonts w:ascii="Times New Roman" w:cs="Times New Roman" w:eastAsia="Times New Roman" w:hAnsi="Times New Roman"/>
          <w:sz w:val="24"/>
          <w:szCs w:val="24"/>
        </w:rPr>
        <w:t xml:space="preserve"> programme. Price of the hotel rooms and accommodations needs to be changed </w:t>
      </w:r>
      <w:r>
        <w:rPr>
          <w:rFonts w:ascii="Times New Roman" w:cs="Times New Roman" w:eastAsia="Times New Roman" w:hAnsi="Times New Roman"/>
          <w:sz w:val="24"/>
          <w:szCs w:val="24"/>
        </w:rPr>
        <w:t>in regard to</w:t>
      </w:r>
      <w:r>
        <w:rPr>
          <w:rFonts w:ascii="Times New Roman" w:cs="Times New Roman" w:eastAsia="Times New Roman" w:hAnsi="Times New Roman"/>
          <w:sz w:val="24"/>
          <w:szCs w:val="24"/>
        </w:rPr>
        <w:t xml:space="preserve"> the </w:t>
      </w:r>
      <w:r>
        <w:rPr>
          <w:rFonts w:ascii="Times New Roman" w:cs="Times New Roman" w:eastAsia="Times New Roman" w:hAnsi="Times New Roman"/>
          <w:b/>
          <w:i/>
          <w:sz w:val="24"/>
          <w:szCs w:val="24"/>
        </w:rPr>
        <w:t>product segment in the marketing mix</w:t>
      </w:r>
      <w:r>
        <w:rPr>
          <w:rFonts w:ascii="Times New Roman" w:cs="Times New Roman" w:eastAsia="Times New Roman" w:hAnsi="Times New Roman"/>
          <w:sz w:val="24"/>
          <w:szCs w:val="24"/>
        </w:rPr>
        <w:t xml:space="preserve">.  </w:t>
      </w:r>
    </w:p>
    <w:p w14:paraId="0000005D">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drawing xmlns:mc="http://schemas.openxmlformats.org/markup-compatibility/2006">
          <wp:inline distT="0" distB="0" distL="0" distR="0">
            <wp:extent cx="3886200" cy="3562350"/>
            <wp:effectExtent l="0" t="0" r="25400" b="25400"/>
            <wp:docPr id="26" name="image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9.png"/>
                    <pic:cNvPicPr preferRelativeResize="0"/>
                  </pic:nvPicPr>
                  <pic:blipFill>
                    <a:blip r:embed="rId24"/>
                    <a:srcRect/>
                    <a:stretch>
                      <a:fillRect/>
                    </a:stretch>
                  </pic:blipFill>
                  <pic:spPr>
                    <a:xfrm>
                      <a:off x="0" y="0"/>
                      <a:ext cx="3886200" cy="3562350"/>
                    </a:xfrm>
                    <a:prstGeom prst="rect">
                      <a:avLst/>
                    </a:prstGeom>
                    <a:ln w="12700">
                      <a:solidFill>
                        <a:srgbClr val="000000"/>
                      </a:solidFill>
                      <a:prstDash val="solid"/>
                    </a:ln>
                  </pic:spPr>
                </pic:pic>
              </a:graphicData>
            </a:graphic>
          </wp:inline>
        </w:drawing>
      </w:r>
    </w:p>
    <w:p w14:paraId="0000005E">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Figure 4: Ansoff Matrix </w:t>
      </w:r>
    </w:p>
    <w:p w14:paraId="0000005F">
      <w:pPr>
        <w:spacing w:line="360" w:lineRule="auto"/>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(Source: Clarissia, 2020)</w:t>
      </w:r>
    </w:p>
    <w:p w14:paraId="00000060">
      <w:pPr>
        <w:pStyle w:val="Heading1"/>
        <w:rPr/>
      </w:pPr>
      <w:bookmarkStart w:id="12" w:name="_Toc148734098"/>
      <w:r>
        <w:t>Tactics</w:t>
      </w:r>
      <w:bookmarkEnd w:id="12"/>
      <w:r>
        <w:t xml:space="preserve"> </w:t>
      </w:r>
    </w:p>
    <w:p w14:paraId="00000061">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w:t>
      </w:r>
      <w:r>
        <w:rPr>
          <w:rFonts w:ascii="Times New Roman" w:cs="Times New Roman" w:eastAsia="Times New Roman" w:hAnsi="Times New Roman"/>
          <w:b/>
          <w:i/>
          <w:sz w:val="24"/>
          <w:szCs w:val="24"/>
        </w:rPr>
        <w:t>communication mix strategy</w:t>
      </w:r>
      <w:r>
        <w:rPr>
          <w:rFonts w:ascii="Times New Roman" w:cs="Times New Roman" w:eastAsia="Times New Roman" w:hAnsi="Times New Roman"/>
          <w:sz w:val="24"/>
          <w:szCs w:val="24"/>
        </w:rPr>
        <w:t xml:space="preserve"> has been implemented to address the marketing channels of Hilton Hotel in the competitive marketplace of the UK. It has been </w:t>
      </w:r>
      <w:r>
        <w:rPr>
          <w:rFonts w:ascii="Times New Roman" w:cs="Times New Roman" w:eastAsia="Times New Roman" w:hAnsi="Times New Roman"/>
          <w:b/>
          <w:i/>
          <w:sz w:val="24"/>
          <w:szCs w:val="24"/>
        </w:rPr>
        <w:t>identified from the situational analysis</w:t>
      </w:r>
      <w:r>
        <w:rPr>
          <w:rFonts w:ascii="Times New Roman" w:cs="Times New Roman" w:eastAsia="Times New Roman" w:hAnsi="Times New Roman"/>
          <w:sz w:val="24"/>
          <w:szCs w:val="24"/>
        </w:rPr>
        <w:t xml:space="preserve"> that the company has ethical issues regarding the practice of hotel staff. In this case, p</w:t>
      </w:r>
      <w:r>
        <w:rPr>
          <w:rFonts w:ascii="Times New Roman" w:cs="Times New Roman" w:eastAsia="Times New Roman" w:hAnsi="Times New Roman"/>
          <w:b/>
          <w:i/>
          <w:sz w:val="24"/>
          <w:szCs w:val="24"/>
        </w:rPr>
        <w:t>ublic relations will be used as a communication channel</w:t>
      </w:r>
      <w:r>
        <w:rPr>
          <w:rFonts w:ascii="Times New Roman" w:cs="Times New Roman" w:eastAsia="Times New Roman" w:hAnsi="Times New Roman"/>
          <w:sz w:val="24"/>
          <w:szCs w:val="24"/>
        </w:rPr>
        <w:t xml:space="preserve"> where press conferences will play a significant role to gain publicity and increase customer base. </w:t>
      </w:r>
    </w:p>
    <w:p w14:paraId="00000062">
      <w:pPr>
        <w:spacing w:line="360" w:lineRule="auto"/>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drawing xmlns:mc="http://schemas.openxmlformats.org/markup-compatibility/2006">
          <wp:inline distT="0" distB="0" distL="0" distR="0">
            <wp:extent cx="3821037" cy="2443547"/>
            <wp:effectExtent l="0" t="0" r="25400" b="25400"/>
            <wp:docPr id="27"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2.png"/>
                    <pic:cNvPicPr preferRelativeResize="0"/>
                  </pic:nvPicPr>
                  <pic:blipFill>
                    <a:blip r:embed="rId25"/>
                    <a:srcRect l="9895" t="12861" b="6475"/>
                    <a:stretch/>
                  </pic:blipFill>
                  <pic:spPr>
                    <a:xfrm>
                      <a:off x="0" y="0"/>
                      <a:ext cx="3821037" cy="2443547"/>
                    </a:xfrm>
                    <a:prstGeom prst="rect">
                      <a:avLst/>
                    </a:prstGeom>
                    <a:ln w="12700">
                      <a:solidFill>
                        <a:srgbClr val="000000"/>
                      </a:solidFill>
                      <a:prstDash val="solid"/>
                    </a:ln>
                  </pic:spPr>
                </pic:pic>
              </a:graphicData>
            </a:graphic>
          </wp:inline>
        </w:drawing>
      </w:r>
    </w:p>
    <w:p w14:paraId="00000063">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5: Hotel Industry Market Size in the UK</w:t>
      </w:r>
    </w:p>
    <w:p w14:paraId="00000064">
      <w:pPr>
        <w:spacing w:line="360" w:lineRule="auto"/>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(Source: Statsita.com, 2023)</w:t>
      </w:r>
    </w:p>
    <w:p w14:paraId="00000065">
      <w:pP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sz w:val="24"/>
          <w:szCs w:val="24"/>
        </w:rPr>
        <w:t xml:space="preserve">Hilton Hotel uses </w:t>
      </w:r>
      <w:r>
        <w:rPr>
          <w:rFonts w:ascii="Times New Roman" w:cs="Times New Roman" w:eastAsia="Times New Roman" w:hAnsi="Times New Roman"/>
          <w:b/>
          <w:i/>
          <w:sz w:val="24"/>
          <w:szCs w:val="24"/>
        </w:rPr>
        <w:t>“social media marketing” (SMM)</w:t>
      </w:r>
      <w:r>
        <w:rPr>
          <w:rFonts w:ascii="Times New Roman" w:cs="Times New Roman" w:eastAsia="Times New Roman" w:hAnsi="Times New Roman"/>
          <w:sz w:val="24"/>
          <w:szCs w:val="24"/>
        </w:rPr>
        <w:t xml:space="preserve"> to gain publicity as a form of direct selling to maintain the annual budget of the company. Hilton’s SMM has helped the company to expand its business around </w:t>
      </w:r>
      <w:r>
        <w:rPr>
          <w:rFonts w:ascii="Times New Roman" w:cs="Times New Roman" w:eastAsia="Times New Roman" w:hAnsi="Times New Roman"/>
          <w:b/>
          <w:i/>
          <w:sz w:val="24"/>
          <w:szCs w:val="24"/>
        </w:rPr>
        <w:t>113 countries</w:t>
      </w:r>
      <w:r>
        <w:rPr>
          <w:rFonts w:ascii="Times New Roman" w:cs="Times New Roman" w:eastAsia="Times New Roman" w:hAnsi="Times New Roman"/>
          <w:sz w:val="24"/>
          <w:szCs w:val="24"/>
        </w:rPr>
        <w:t xml:space="preserve"> to create a virtuous cycle (Talbot, 2019). The SMM marketing strategy can be improved with the help of influencer marketing. Previously, the company </w:t>
      </w:r>
      <w:r>
        <w:rPr>
          <w:rFonts w:ascii="Times New Roman" w:cs="Times New Roman" w:eastAsia="Times New Roman" w:hAnsi="Times New Roman"/>
          <w:b/>
          <w:i/>
          <w:sz w:val="24"/>
          <w:szCs w:val="24"/>
        </w:rPr>
        <w:t>lacked direct engagement from customers</w:t>
      </w:r>
      <w:r>
        <w:rPr>
          <w:rFonts w:ascii="Times New Roman" w:cs="Times New Roman" w:eastAsia="Times New Roman" w:hAnsi="Times New Roman"/>
          <w:sz w:val="24"/>
          <w:szCs w:val="24"/>
        </w:rPr>
        <w:t xml:space="preserve"> and</w:t>
      </w:r>
      <w:r>
        <w:rPr>
          <w:rFonts w:ascii="Times New Roman" w:cs="Times New Roman" w:eastAsia="Times New Roman" w:hAnsi="Times New Roman"/>
          <w:b/>
          <w:i/>
          <w:sz w:val="24"/>
          <w:szCs w:val="24"/>
        </w:rPr>
        <w:t xml:space="preserve"> missed the virtuous use of brand presence</w:t>
      </w:r>
      <w:r>
        <w:rPr>
          <w:rFonts w:ascii="Times New Roman" w:cs="Times New Roman" w:eastAsia="Times New Roman" w:hAnsi="Times New Roman"/>
          <w:sz w:val="24"/>
          <w:szCs w:val="24"/>
        </w:rPr>
        <w:t xml:space="preserve">. Personal selling, direct marketing and sales promotion have been </w:t>
      </w:r>
      <w:r>
        <w:rPr>
          <w:rFonts w:ascii="Times New Roman" w:cs="Times New Roman" w:eastAsia="Times New Roman" w:hAnsi="Times New Roman"/>
          <w:b/>
          <w:i/>
          <w:sz w:val="24"/>
          <w:szCs w:val="24"/>
        </w:rPr>
        <w:t>introduced to strengthen the market position</w:t>
      </w:r>
      <w:r>
        <w:rPr>
          <w:rFonts w:ascii="Times New Roman" w:cs="Times New Roman" w:eastAsia="Times New Roman" w:hAnsi="Times New Roman"/>
          <w:sz w:val="24"/>
          <w:szCs w:val="24"/>
        </w:rPr>
        <w:t xml:space="preserve"> of the company. </w:t>
      </w:r>
      <w:r>
        <w:rPr>
          <w:rFonts w:ascii="Times New Roman" w:cs="Times New Roman" w:eastAsia="Times New Roman" w:hAnsi="Times New Roman"/>
          <w:sz w:val="24"/>
          <w:szCs w:val="24"/>
        </w:rPr>
        <w:t>Therefore, it will increase the profit margin of the company and help in gaining competitive advantage over the course of time.</w:t>
      </w:r>
      <w:r>
        <w:rPr>
          <w:rFonts w:ascii="Times New Roman" w:cs="Times New Roman" w:eastAsia="Times New Roman" w:hAnsi="Times New Roman"/>
          <w:sz w:val="24"/>
          <w:szCs w:val="24"/>
        </w:rPr>
        <w:t xml:space="preserve"> </w:t>
      </w:r>
      <w:r>
        <w:rPr>
          <w:rFonts w:ascii="Times New Roman" w:cs="Times New Roman" w:eastAsia="Times New Roman" w:hAnsi="Times New Roman"/>
          <w:b/>
          <w:sz w:val="24"/>
          <w:szCs w:val="24"/>
        </w:rPr>
        <w:t>[Refer to Appendix 7]</w:t>
      </w:r>
    </w:p>
    <w:p w14:paraId="00000066">
      <w:pPr>
        <w:pStyle w:val="Heading1"/>
        <w:rPr/>
      </w:pPr>
      <w:bookmarkStart w:id="13" w:name="_Toc148734099"/>
      <w:r>
        <w:t>Action</w:t>
      </w:r>
      <w:bookmarkEnd w:id="13"/>
      <w:r>
        <w:t xml:space="preserve"> </w:t>
      </w:r>
    </w:p>
    <w:p w14:paraId="00000067">
      <w:pP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sz w:val="24"/>
          <w:szCs w:val="24"/>
        </w:rPr>
        <w:t xml:space="preserve">The marketing channels have been provided based on the detailed </w:t>
      </w:r>
      <w:r>
        <w:rPr>
          <w:rFonts w:ascii="Times New Roman" w:cs="Times New Roman" w:eastAsia="Times New Roman" w:hAnsi="Times New Roman"/>
          <w:b/>
          <w:i/>
          <w:sz w:val="24"/>
          <w:szCs w:val="24"/>
        </w:rPr>
        <w:t>Gantt</w:t>
      </w:r>
      <w:r>
        <w:rPr>
          <w:rFonts w:ascii="Times New Roman" w:cs="Times New Roman" w:eastAsia="Times New Roman" w:hAnsi="Times New Roman"/>
          <w:b/>
          <w:i/>
          <w:sz w:val="24"/>
          <w:szCs w:val="24"/>
        </w:rPr>
        <w:t xml:space="preserve"> chart</w:t>
      </w:r>
      <w:r>
        <w:rPr>
          <w:rFonts w:ascii="Times New Roman" w:cs="Times New Roman" w:eastAsia="Times New Roman" w:hAnsi="Times New Roman"/>
          <w:sz w:val="24"/>
          <w:szCs w:val="24"/>
        </w:rPr>
        <w:t xml:space="preserve"> to understand the time period of marketing activities.</w:t>
      </w:r>
      <w:r>
        <w:rPr>
          <w:rFonts w:ascii="Times New Roman" w:cs="Times New Roman" w:eastAsia="Times New Roman" w:hAnsi="Times New Roman"/>
          <w:b/>
          <w:sz w:val="24"/>
          <w:szCs w:val="24"/>
        </w:rPr>
        <w:t xml:space="preserve"> </w:t>
      </w:r>
      <w:r>
        <w:rPr>
          <w:rFonts w:ascii="Times New Roman" w:cs="Times New Roman" w:eastAsia="Times New Roman" w:hAnsi="Times New Roman"/>
          <w:b/>
          <w:i/>
          <w:sz w:val="24"/>
          <w:szCs w:val="24"/>
        </w:rPr>
        <w:t xml:space="preserve">Sales promotion, public relation and directing marketing </w:t>
      </w:r>
      <w:r>
        <w:rPr>
          <w:rFonts w:ascii="Times New Roman" w:cs="Times New Roman" w:eastAsia="Times New Roman" w:hAnsi="Times New Roman"/>
          <w:sz w:val="24"/>
          <w:szCs w:val="24"/>
        </w:rPr>
        <w:t>will require the majority of the time based on the business strategy of the company. It will help Hilton Hotel to gain its market position and increase market profitability over the course of time.</w:t>
      </w:r>
      <w:r>
        <w:rPr>
          <w:rFonts w:ascii="Times New Roman" w:cs="Times New Roman" w:eastAsia="Times New Roman" w:hAnsi="Times New Roman"/>
          <w:b/>
          <w:sz w:val="24"/>
          <w:szCs w:val="24"/>
        </w:rPr>
        <w:t xml:space="preserve"> [Refer to Appendix 8]</w:t>
      </w:r>
    </w:p>
    <w:p w14:paraId="00000068">
      <w:pPr>
        <w:pStyle w:val="Heading1"/>
        <w:rPr/>
      </w:pPr>
      <w:bookmarkStart w:id="14" w:name="_Toc148734100"/>
      <w:r>
        <w:t>Control</w:t>
      </w:r>
      <w:bookmarkEnd w:id="14"/>
      <w:r>
        <w:t xml:space="preserve"> </w:t>
      </w:r>
    </w:p>
    <w:p w14:paraId="00000069">
      <w:pP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sz w:val="24"/>
          <w:szCs w:val="24"/>
        </w:rPr>
        <w:t xml:space="preserve">The </w:t>
      </w:r>
      <w:r>
        <w:rPr>
          <w:rFonts w:ascii="Times New Roman" w:cs="Times New Roman" w:eastAsia="Times New Roman" w:hAnsi="Times New Roman"/>
          <w:b/>
          <w:i/>
          <w:sz w:val="24"/>
          <w:szCs w:val="24"/>
        </w:rPr>
        <w:t>KPI metrics</w:t>
      </w:r>
      <w:r>
        <w:rPr>
          <w:rFonts w:ascii="Times New Roman" w:cs="Times New Roman" w:eastAsia="Times New Roman" w:hAnsi="Times New Roman"/>
          <w:sz w:val="24"/>
          <w:szCs w:val="24"/>
        </w:rPr>
        <w:t xml:space="preserve"> will be measured based on the </w:t>
      </w:r>
      <w:r>
        <w:rPr>
          <w:rFonts w:ascii="Times New Roman" w:cs="Times New Roman" w:eastAsia="Times New Roman" w:hAnsi="Times New Roman"/>
          <w:b/>
          <w:i/>
          <w:sz w:val="24"/>
          <w:szCs w:val="24"/>
        </w:rPr>
        <w:t>long-term goals</w:t>
      </w:r>
      <w:r>
        <w:rPr>
          <w:rFonts w:ascii="Times New Roman" w:cs="Times New Roman" w:eastAsia="Times New Roman" w:hAnsi="Times New Roman"/>
          <w:sz w:val="24"/>
          <w:szCs w:val="24"/>
        </w:rPr>
        <w:t xml:space="preserve"> of the company in the competitive marketplace. The company will be focused on </w:t>
      </w:r>
      <w:r>
        <w:rPr>
          <w:rFonts w:ascii="Times New Roman" w:cs="Times New Roman" w:eastAsia="Times New Roman" w:hAnsi="Times New Roman"/>
          <w:b/>
          <w:i/>
          <w:sz w:val="24"/>
          <w:szCs w:val="24"/>
        </w:rPr>
        <w:t>gaining customer recognition through its service value</w:t>
      </w:r>
      <w:r>
        <w:rPr>
          <w:rFonts w:ascii="Times New Roman" w:cs="Times New Roman" w:eastAsia="Times New Roman" w:hAnsi="Times New Roman"/>
          <w:sz w:val="24"/>
          <w:szCs w:val="24"/>
        </w:rPr>
        <w:t xml:space="preserve"> which will be resulting in </w:t>
      </w:r>
      <w:r>
        <w:rPr>
          <w:rFonts w:ascii="Times New Roman" w:cs="Times New Roman" w:eastAsia="Times New Roman" w:hAnsi="Times New Roman"/>
          <w:b/>
          <w:i/>
          <w:sz w:val="24"/>
          <w:szCs w:val="24"/>
        </w:rPr>
        <w:t>positive attitudes</w:t>
      </w:r>
      <w:r>
        <w:rPr>
          <w:rFonts w:ascii="Times New Roman" w:cs="Times New Roman" w:eastAsia="Times New Roman" w:hAnsi="Times New Roman"/>
          <w:sz w:val="24"/>
          <w:szCs w:val="24"/>
        </w:rPr>
        <w:t xml:space="preserve"> towards the brand. Hilton Hotel will increase its </w:t>
      </w:r>
      <w:r>
        <w:rPr>
          <w:rFonts w:ascii="Times New Roman" w:cs="Times New Roman" w:eastAsia="Times New Roman" w:hAnsi="Times New Roman"/>
          <w:b/>
          <w:i/>
          <w:sz w:val="24"/>
          <w:szCs w:val="24"/>
        </w:rPr>
        <w:t>profit and strengthen its market position</w:t>
      </w:r>
      <w:r>
        <w:rPr>
          <w:rFonts w:ascii="Times New Roman" w:cs="Times New Roman" w:eastAsia="Times New Roman" w:hAnsi="Times New Roman"/>
          <w:sz w:val="24"/>
          <w:szCs w:val="24"/>
        </w:rPr>
        <w:t xml:space="preserve"> based on the technological integration aspect of the company.</w:t>
      </w:r>
      <w:r>
        <w:rPr>
          <w:rFonts w:ascii="Times New Roman" w:cs="Times New Roman" w:eastAsia="Times New Roman" w:hAnsi="Times New Roman"/>
          <w:b/>
          <w:sz w:val="24"/>
          <w:szCs w:val="24"/>
        </w:rPr>
        <w:t xml:space="preserve"> [Refer to Appendix 9]</w:t>
      </w:r>
    </w:p>
    <w:p w14:paraId="0000006A">
      <w:pPr>
        <w:pStyle w:val="Heading1"/>
        <w:rPr/>
      </w:pPr>
      <w:bookmarkStart w:id="15" w:name="_Toc148734101"/>
      <w:r>
        <w:t>Conclusion</w:t>
      </w:r>
      <w:bookmarkEnd w:id="15"/>
      <w:r>
        <w:t xml:space="preserve"> </w:t>
      </w:r>
    </w:p>
    <w:p w14:paraId="0000006B">
      <w:pP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sz w:val="24"/>
          <w:szCs w:val="24"/>
        </w:rPr>
        <w:t xml:space="preserve">It can be summarised that the marketing plan has helped in determining the conceptual areas of Hilton Hotel in an appropriate manner. However, the company can face </w:t>
      </w:r>
      <w:r>
        <w:rPr>
          <w:rFonts w:ascii="Times New Roman" w:cs="Times New Roman" w:eastAsia="Times New Roman" w:hAnsi="Times New Roman"/>
          <w:b/>
          <w:i/>
          <w:sz w:val="24"/>
          <w:szCs w:val="24"/>
        </w:rPr>
        <w:t>challenges regarding the competitive marketplace of the hospitality industry and economic downturn</w:t>
      </w:r>
      <w:r>
        <w:rPr>
          <w:rFonts w:ascii="Times New Roman" w:cs="Times New Roman" w:eastAsia="Times New Roman" w:hAnsi="Times New Roman"/>
          <w:sz w:val="24"/>
          <w:szCs w:val="24"/>
        </w:rPr>
        <w:t xml:space="preserve">. It can impact the annual revenue of the company along with brand reputation. The </w:t>
      </w:r>
      <w:r>
        <w:rPr>
          <w:rFonts w:ascii="Times New Roman" w:cs="Times New Roman" w:eastAsia="Times New Roman" w:hAnsi="Times New Roman"/>
          <w:b/>
          <w:i/>
          <w:sz w:val="24"/>
          <w:szCs w:val="24"/>
        </w:rPr>
        <w:t>recommendations</w:t>
      </w:r>
      <w:r>
        <w:rPr>
          <w:rFonts w:ascii="Times New Roman" w:cs="Times New Roman" w:eastAsia="Times New Roman" w:hAnsi="Times New Roman"/>
          <w:sz w:val="24"/>
          <w:szCs w:val="24"/>
        </w:rPr>
        <w:t xml:space="preserve"> for the company include appropriate </w:t>
      </w:r>
      <w:r>
        <w:rPr>
          <w:rFonts w:ascii="Times New Roman" w:cs="Times New Roman" w:eastAsia="Times New Roman" w:hAnsi="Times New Roman"/>
          <w:b/>
          <w:i/>
          <w:sz w:val="24"/>
          <w:szCs w:val="24"/>
        </w:rPr>
        <w:t>use of the marketing channels</w:t>
      </w:r>
      <w:r>
        <w:rPr>
          <w:rFonts w:ascii="Times New Roman" w:cs="Times New Roman" w:eastAsia="Times New Roman" w:hAnsi="Times New Roman"/>
          <w:sz w:val="24"/>
          <w:szCs w:val="24"/>
        </w:rPr>
        <w:t xml:space="preserve"> and the</w:t>
      </w:r>
      <w:r>
        <w:rPr>
          <w:rFonts w:ascii="Times New Roman" w:cs="Times New Roman" w:eastAsia="Times New Roman" w:hAnsi="Times New Roman"/>
          <w:b/>
          <w:i/>
          <w:sz w:val="24"/>
          <w:szCs w:val="24"/>
        </w:rPr>
        <w:t xml:space="preserve"> implementation of the influencer marketing</w:t>
      </w:r>
      <w:r>
        <w:rPr>
          <w:rFonts w:ascii="Times New Roman" w:cs="Times New Roman" w:eastAsia="Times New Roman" w:hAnsi="Times New Roman"/>
          <w:sz w:val="24"/>
          <w:szCs w:val="24"/>
        </w:rPr>
        <w:t xml:space="preserve">. Appropriate implementation of technological tools can enhance the accommodation of guests by enhancing the service of Hilton Hotel. </w:t>
      </w:r>
      <w:r>
        <w:rPr>
          <w:rFonts w:ascii="Times New Roman" w:cs="Times New Roman" w:eastAsia="Times New Roman" w:hAnsi="Times New Roman"/>
          <w:sz w:val="24"/>
          <w:szCs w:val="24"/>
        </w:rPr>
        <w:t xml:space="preserve">Therefore, </w:t>
      </w:r>
      <w:r>
        <w:rPr>
          <w:rFonts w:ascii="Times New Roman" w:cs="Times New Roman" w:eastAsia="Times New Roman" w:hAnsi="Times New Roman"/>
          <w:sz w:val="24"/>
          <w:szCs w:val="24"/>
        </w:rPr>
        <w:t>using</w:t>
      </w:r>
      <w:r>
        <w:rPr>
          <w:rFonts w:ascii="Times New Roman" w:cs="Times New Roman" w:eastAsia="Times New Roman" w:hAnsi="Times New Roman"/>
          <w:sz w:val="24"/>
          <w:szCs w:val="24"/>
        </w:rPr>
        <w:t xml:space="preserve"> the appropriate tools based on the macro environment of the UK can support the marketing plan of the company in an appropriate manner. </w:t>
      </w:r>
      <w:r>
        <w:rPr/>
        <w:br w:type="page"/>
      </w:r>
    </w:p>
    <w:p w14:paraId="0000006C">
      <w:pPr>
        <w:pStyle w:val="Heading1"/>
        <w:rPr/>
      </w:pPr>
      <w:bookmarkStart w:id="16" w:name="_Toc148734102"/>
      <w:r>
        <w:t>References</w:t>
      </w:r>
      <w:bookmarkEnd w:id="16"/>
      <w:r>
        <w:t xml:space="preserve"> </w:t>
      </w:r>
    </w:p>
    <w:p w14:paraId="0000006D">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Chrie.org, (2023), </w:t>
      </w:r>
      <w:r>
        <w:rPr>
          <w:rFonts w:ascii="Times New Roman" w:cs="Times New Roman" w:eastAsia="Times New Roman" w:hAnsi="Times New Roman"/>
          <w:i/>
          <w:sz w:val="24"/>
          <w:szCs w:val="24"/>
        </w:rPr>
        <w:t xml:space="preserve">Hilton Hotel Worldwide: A case study exploring corporate social responsibility and stakeholder Management </w:t>
      </w:r>
      <w:r>
        <w:rPr>
          <w:rFonts w:ascii="Times New Roman" w:cs="Times New Roman" w:eastAsia="Times New Roman" w:hAnsi="Times New Roman"/>
          <w:sz w:val="24"/>
          <w:szCs w:val="24"/>
        </w:rPr>
        <w:t>Available at: https://www.chrie.org/assets/docs/JHTC-case-notes/JHTC-vol-5/JHTC_Vol5Issue4_Noonan_case.pdf  [Accessed on: 20th October, 2023]</w:t>
      </w:r>
    </w:p>
    <w:p w14:paraId="0000006E">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Clarissia, S.M.S., (2020). A study on Ansoff Matrix Technique: As a growth strategy and an adaptive learning technique adopted in the leading brand of products. BIMS Journal of Management, 18.</w:t>
      </w:r>
    </w:p>
    <w:p w14:paraId="0000006F">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Cnbc.com, (2023), </w:t>
      </w:r>
      <w:r>
        <w:rPr>
          <w:rFonts w:ascii="Times New Roman" w:cs="Times New Roman" w:eastAsia="Times New Roman" w:hAnsi="Times New Roman"/>
          <w:i/>
          <w:sz w:val="24"/>
          <w:szCs w:val="24"/>
        </w:rPr>
        <w:t>Hilton Worldwide Holdings Inc</w:t>
      </w:r>
      <w:r>
        <w:rPr>
          <w:rFonts w:ascii="Times New Roman" w:cs="Times New Roman" w:eastAsia="Times New Roman" w:hAnsi="Times New Roman"/>
          <w:sz w:val="24"/>
          <w:szCs w:val="24"/>
        </w:rPr>
        <w:t xml:space="preserve"> Available at: https://www.cnbc.com/quotes/HLT  [Accessed on: 20th October, 2023]</w:t>
      </w:r>
    </w:p>
    <w:p w14:paraId="00000070">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Ecommercetimes.com, (2023), </w:t>
      </w:r>
      <w:r>
        <w:rPr>
          <w:rFonts w:ascii="Times New Roman" w:cs="Times New Roman" w:eastAsia="Times New Roman" w:hAnsi="Times New Roman"/>
          <w:i/>
          <w:sz w:val="24"/>
          <w:szCs w:val="24"/>
        </w:rPr>
        <w:t xml:space="preserve">Hilton Hotels Unveils B2B Marketplace </w:t>
      </w:r>
      <w:r>
        <w:rPr>
          <w:rFonts w:ascii="Times New Roman" w:cs="Times New Roman" w:eastAsia="Times New Roman" w:hAnsi="Times New Roman"/>
          <w:sz w:val="24"/>
          <w:szCs w:val="24"/>
        </w:rPr>
        <w:t>Available at: https://www.ecommercetimes.com/story/hilton-hotels-unveils-b2b-marketplace-3467.html#:~:text=The%20new%20hospitality%20B2B%20marketplace,hotel%20companies%20in%20the%20world. [Accessed on: 20th October, 2023]</w:t>
      </w:r>
    </w:p>
    <w:p w14:paraId="00000071">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Globaldata.com, (2023), </w:t>
      </w:r>
      <w:r>
        <w:rPr>
          <w:rFonts w:ascii="Times New Roman" w:cs="Times New Roman" w:eastAsia="Times New Roman" w:hAnsi="Times New Roman"/>
          <w:i/>
          <w:sz w:val="24"/>
          <w:szCs w:val="24"/>
        </w:rPr>
        <w:t xml:space="preserve">Hilton Worldwide Holdings Inc: Competitors </w:t>
      </w:r>
      <w:r>
        <w:rPr>
          <w:rFonts w:ascii="Times New Roman" w:cs="Times New Roman" w:eastAsia="Times New Roman" w:hAnsi="Times New Roman"/>
          <w:sz w:val="24"/>
          <w:szCs w:val="24"/>
        </w:rPr>
        <w:t>Available at: https://www.globaldata.com/company-profile/hilton-worldwide-holdings-inc/competitors/ [Accessed on: 20th October, 2023]</w:t>
      </w:r>
    </w:p>
    <w:p w14:paraId="00000072">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Gov.uk, (2023), </w:t>
      </w:r>
      <w:r>
        <w:rPr>
          <w:rFonts w:ascii="Times New Roman" w:cs="Times New Roman" w:eastAsia="Times New Roman" w:hAnsi="Times New Roman"/>
          <w:i/>
          <w:sz w:val="24"/>
          <w:szCs w:val="24"/>
        </w:rPr>
        <w:t>THE DATA PROTECTION ACT</w:t>
      </w:r>
      <w:r>
        <w:rPr>
          <w:rFonts w:ascii="Times New Roman" w:cs="Times New Roman" w:eastAsia="Times New Roman" w:hAnsi="Times New Roman"/>
          <w:sz w:val="24"/>
          <w:szCs w:val="24"/>
        </w:rPr>
        <w:t xml:space="preserve"> Available at: https://www.gov.uk/data-protection  [Accessed on: 20th October, 2023]</w:t>
      </w:r>
    </w:p>
    <w:p w14:paraId="00000073">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Hanaysha, J.R., Al Shaikh, M.E. and Alzoubi, H.M., (2021). Importance of marketing mix elements in determining consumer purchase decision in the retail market. International Journal of Service Science, Management, Engineering, and Technology (IJSSMET), 12(6), pp.56-72.</w:t>
      </w:r>
    </w:p>
    <w:p w14:paraId="00000074">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Hilton.com, (2023), </w:t>
      </w:r>
      <w:r>
        <w:rPr>
          <w:rFonts w:ascii="Times New Roman" w:cs="Times New Roman" w:eastAsia="Times New Roman" w:hAnsi="Times New Roman"/>
          <w:i/>
          <w:sz w:val="24"/>
          <w:szCs w:val="24"/>
        </w:rPr>
        <w:t>HILTON</w:t>
      </w:r>
      <w:r>
        <w:rPr>
          <w:rFonts w:ascii="Times New Roman" w:cs="Times New Roman" w:eastAsia="Times New Roman" w:hAnsi="Times New Roman"/>
          <w:sz w:val="24"/>
          <w:szCs w:val="24"/>
        </w:rPr>
        <w:t xml:space="preserve"> Available at: https://www.hilton.com/en/corporate/ [Accessed on: 20th October, 2023]</w:t>
      </w:r>
    </w:p>
    <w:p w14:paraId="00000075">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Hilton.com, (2023), </w:t>
      </w:r>
      <w:r>
        <w:rPr>
          <w:rFonts w:ascii="Times New Roman" w:cs="Times New Roman" w:eastAsia="Times New Roman" w:hAnsi="Times New Roman"/>
          <w:i/>
          <w:sz w:val="24"/>
          <w:szCs w:val="24"/>
        </w:rPr>
        <w:t xml:space="preserve">Hilton Is Ready for Europe’s Travel Revival with Sustained Growth in Europe and UK </w:t>
      </w:r>
      <w:r>
        <w:rPr>
          <w:rFonts w:ascii="Times New Roman" w:cs="Times New Roman" w:eastAsia="Times New Roman" w:hAnsi="Times New Roman"/>
          <w:sz w:val="24"/>
          <w:szCs w:val="24"/>
        </w:rPr>
        <w:t>Available at: https://stories.hilton.com/emea/releases/travel-revival-spurs-hilton-growth-in-uk-europe [Accessed on: 20th October, 2023]</w:t>
      </w:r>
    </w:p>
    <w:p w14:paraId="00000076">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Hilton.com, (2023), </w:t>
      </w:r>
      <w:r>
        <w:rPr>
          <w:rFonts w:ascii="Times New Roman" w:cs="Times New Roman" w:eastAsia="Times New Roman" w:hAnsi="Times New Roman"/>
          <w:i/>
          <w:sz w:val="24"/>
          <w:szCs w:val="24"/>
        </w:rPr>
        <w:t xml:space="preserve">Hilton Named Most Valuable Hotel Brand by Brand Finance </w:t>
      </w:r>
      <w:r>
        <w:rPr>
          <w:rFonts w:ascii="Times New Roman" w:cs="Times New Roman" w:eastAsia="Times New Roman" w:hAnsi="Times New Roman"/>
          <w:sz w:val="24"/>
          <w:szCs w:val="24"/>
        </w:rPr>
        <w:t>Available at:https://stories.hilton.com/releases/brand-finance-hilton-most-valuable-hotel-brand#:~:text=Brand%20Finance%20has%20named%20Hilton,before%20the%20COVID%2D19%20pandemic. [Accessed on: 20th October, 2023]</w:t>
      </w:r>
    </w:p>
    <w:p w14:paraId="00000077">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Legislation.gov.uk, (2023), </w:t>
      </w:r>
      <w:r>
        <w:rPr>
          <w:rFonts w:ascii="Times New Roman" w:cs="Times New Roman" w:eastAsia="Times New Roman" w:hAnsi="Times New Roman"/>
          <w:i/>
          <w:sz w:val="24"/>
          <w:szCs w:val="24"/>
        </w:rPr>
        <w:t xml:space="preserve">Copyrights, Designs and Patents Act 1988 </w:t>
      </w:r>
      <w:r>
        <w:rPr>
          <w:rFonts w:ascii="Times New Roman" w:cs="Times New Roman" w:eastAsia="Times New Roman" w:hAnsi="Times New Roman"/>
          <w:sz w:val="24"/>
          <w:szCs w:val="24"/>
        </w:rPr>
        <w:t>Available at: https://www.legislation.gov.uk/ukpga/1988/48/contents  [Accessed on: 20th October, 2023]</w:t>
      </w:r>
    </w:p>
    <w:p w14:paraId="00000078">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Legislation.gov.uk, (2023), </w:t>
      </w:r>
      <w:r>
        <w:rPr>
          <w:rFonts w:ascii="Times New Roman" w:cs="Times New Roman" w:eastAsia="Times New Roman" w:hAnsi="Times New Roman"/>
          <w:i/>
          <w:sz w:val="24"/>
          <w:szCs w:val="24"/>
        </w:rPr>
        <w:t>Environment Act 2021</w:t>
      </w:r>
      <w:r>
        <w:rPr>
          <w:rFonts w:ascii="Times New Roman" w:cs="Times New Roman" w:eastAsia="Times New Roman" w:hAnsi="Times New Roman"/>
          <w:sz w:val="24"/>
          <w:szCs w:val="24"/>
        </w:rPr>
        <w:t xml:space="preserve"> Available at: https://www.legislation.gov.uk/ukpga/2021/30/contents/enacted  [Accessed on: 20th October, 2023]</w:t>
      </w:r>
    </w:p>
    <w:p w14:paraId="00000079">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Linkedin.com, (2023), </w:t>
      </w:r>
      <w:r>
        <w:rPr>
          <w:rFonts w:ascii="Times New Roman" w:cs="Times New Roman" w:eastAsia="Times New Roman" w:hAnsi="Times New Roman"/>
          <w:i/>
          <w:sz w:val="24"/>
          <w:szCs w:val="24"/>
        </w:rPr>
        <w:t xml:space="preserve">AI in Hospitality: The Impact of Artificial Intelligence on the Hotel Industry </w:t>
      </w:r>
      <w:r>
        <w:rPr>
          <w:rFonts w:ascii="Times New Roman" w:cs="Times New Roman" w:eastAsia="Times New Roman" w:hAnsi="Times New Roman"/>
          <w:sz w:val="24"/>
          <w:szCs w:val="24"/>
        </w:rPr>
        <w:t>Available at: https://www.linkedin.com/pulse/ai-hospitality-impact-artificial-intelligence-hotel-industry-s%C3%A1bio/  [Accessed on: 20th October, 2023]</w:t>
      </w:r>
    </w:p>
    <w:p w14:paraId="0000007A">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Ons.gov.uk, (2023), </w:t>
      </w:r>
      <w:r>
        <w:rPr>
          <w:rFonts w:ascii="Times New Roman" w:cs="Times New Roman" w:eastAsia="Times New Roman" w:hAnsi="Times New Roman"/>
          <w:i/>
          <w:sz w:val="24"/>
          <w:szCs w:val="24"/>
        </w:rPr>
        <w:t xml:space="preserve">Carbon emissions produced by the British tourism industry </w:t>
      </w:r>
      <w:r>
        <w:rPr>
          <w:rFonts w:ascii="Times New Roman" w:cs="Times New Roman" w:eastAsia="Times New Roman" w:hAnsi="Times New Roman"/>
          <w:sz w:val="24"/>
          <w:szCs w:val="24"/>
        </w:rPr>
        <w:t>Available at: https://www.ons.gov.uk/aboutus/transparencyandgovernance/freedomofinformationfoi/carbonemissionsproducedbythebritishtourismindustry  [Accessed on: 20th October, 2023]</w:t>
      </w:r>
    </w:p>
    <w:p w14:paraId="0000007B">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Ons.gov.uk, (2023), </w:t>
      </w:r>
      <w:r>
        <w:rPr>
          <w:rFonts w:ascii="Times New Roman" w:cs="Times New Roman" w:eastAsia="Times New Roman" w:hAnsi="Times New Roman"/>
          <w:i/>
          <w:sz w:val="24"/>
          <w:szCs w:val="24"/>
        </w:rPr>
        <w:t xml:space="preserve">Economic activity and social change in the UK, real-time indicators: 9 June 2022 </w:t>
      </w:r>
      <w:r>
        <w:rPr>
          <w:rFonts w:ascii="Times New Roman" w:cs="Times New Roman" w:eastAsia="Times New Roman" w:hAnsi="Times New Roman"/>
          <w:sz w:val="24"/>
          <w:szCs w:val="24"/>
        </w:rPr>
        <w:t>Available at: https://www.ons.gov.uk/economy/economicoutputandproductivity/output/bulletins/economicactivityandsocialchangeintheukrealtimeindicators/9june2022  [Accessed on: 20th October, 2023]</w:t>
      </w:r>
    </w:p>
    <w:p w14:paraId="0000007C">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Ons.gov.uk, (2023), </w:t>
      </w:r>
      <w:r>
        <w:rPr>
          <w:rFonts w:ascii="Times New Roman" w:cs="Times New Roman" w:eastAsia="Times New Roman" w:hAnsi="Times New Roman"/>
          <w:i/>
          <w:sz w:val="24"/>
          <w:szCs w:val="24"/>
        </w:rPr>
        <w:t>GDP quarterly national accounts, UK: April to June 2023</w:t>
      </w:r>
      <w:r>
        <w:rPr>
          <w:rFonts w:ascii="Times New Roman" w:cs="Times New Roman" w:eastAsia="Times New Roman" w:hAnsi="Times New Roman"/>
          <w:sz w:val="24"/>
          <w:szCs w:val="24"/>
        </w:rPr>
        <w:t xml:space="preserve"> Available at: https://www.ons.gov.uk/economy/grossdomesticproductgdp/bulletins/quarterlynationalaccounts/apriltojune2023  [Accessed on: 20th October, 2023]</w:t>
      </w:r>
    </w:p>
    <w:p w14:paraId="0000007D">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Ons.gov.uk, (2023), </w:t>
      </w:r>
      <w:r>
        <w:rPr>
          <w:rFonts w:ascii="Times New Roman" w:cs="Times New Roman" w:eastAsia="Times New Roman" w:hAnsi="Times New Roman"/>
          <w:i/>
          <w:sz w:val="24"/>
          <w:szCs w:val="24"/>
        </w:rPr>
        <w:t xml:space="preserve">Internet users, UK: 2020 </w:t>
      </w:r>
      <w:r>
        <w:rPr>
          <w:rFonts w:ascii="Times New Roman" w:cs="Times New Roman" w:eastAsia="Times New Roman" w:hAnsi="Times New Roman"/>
          <w:sz w:val="24"/>
          <w:szCs w:val="24"/>
        </w:rPr>
        <w:t>Available at: https://www.ons.gov.uk/businessindustryandtrade/itandinternetindustry/bulletins/internetusers/2020  [Accessed on: 20th October, 2023]</w:t>
      </w:r>
    </w:p>
    <w:p w14:paraId="0000007E">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Ons.gov.uk, (2023), </w:t>
      </w:r>
      <w:r>
        <w:rPr>
          <w:rFonts w:ascii="Times New Roman" w:cs="Times New Roman" w:eastAsia="Times New Roman" w:hAnsi="Times New Roman"/>
          <w:i/>
          <w:sz w:val="24"/>
          <w:szCs w:val="24"/>
        </w:rPr>
        <w:t xml:space="preserve">Overview of the UK population: January 2021 </w:t>
      </w:r>
      <w:r>
        <w:rPr>
          <w:rFonts w:ascii="Times New Roman" w:cs="Times New Roman" w:eastAsia="Times New Roman" w:hAnsi="Times New Roman"/>
          <w:sz w:val="24"/>
          <w:szCs w:val="24"/>
        </w:rPr>
        <w:t>Available at: https://www.ons.gov.uk/peoplepopulationandcommunity/populationandmigration/populationestimates/articles/overviewoftheukpopulation/january2021  [Accessed on: 20th October, 2023]</w:t>
      </w:r>
    </w:p>
    <w:p w14:paraId="0000007F">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Ons.gov.uk, (2023), </w:t>
      </w:r>
      <w:r>
        <w:rPr>
          <w:rFonts w:ascii="Times New Roman" w:cs="Times New Roman" w:eastAsia="Times New Roman" w:hAnsi="Times New Roman"/>
          <w:i/>
          <w:sz w:val="24"/>
          <w:szCs w:val="24"/>
        </w:rPr>
        <w:t>Unemployment</w:t>
      </w:r>
      <w:r>
        <w:rPr>
          <w:rFonts w:ascii="Times New Roman" w:cs="Times New Roman" w:eastAsia="Times New Roman" w:hAnsi="Times New Roman"/>
          <w:sz w:val="24"/>
          <w:szCs w:val="24"/>
        </w:rPr>
        <w:t xml:space="preserve"> Available at: https://www.ons.gov.uk/employmentandlabourmarket/peoplenotinwork/unemployment#:~:text=The%20UK%20employment%20rate%20was,%2Dtime%20self%2Demployed%20workers.  [Accessed on: 20th October, 2023]</w:t>
      </w:r>
    </w:p>
    <w:p w14:paraId="00000080">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Sec.gov, (2023), </w:t>
      </w:r>
      <w:r>
        <w:rPr>
          <w:rFonts w:ascii="Times New Roman" w:cs="Times New Roman" w:eastAsia="Times New Roman" w:hAnsi="Times New Roman"/>
          <w:i/>
          <w:sz w:val="24"/>
          <w:szCs w:val="24"/>
        </w:rPr>
        <w:t xml:space="preserve">HILTON HOTELS CORPORATION </w:t>
      </w:r>
      <w:r>
        <w:rPr>
          <w:rFonts w:ascii="Times New Roman" w:cs="Times New Roman" w:eastAsia="Times New Roman" w:hAnsi="Times New Roman"/>
          <w:sz w:val="24"/>
          <w:szCs w:val="24"/>
        </w:rPr>
        <w:t>Available at: https://www.sec.gov/Archives/edgar/data/47580/000110465907059886/a07-20270_1defm14a.htm  [Accessed on: 20th October, 2023]</w:t>
      </w:r>
    </w:p>
    <w:p w14:paraId="00000081">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Statista.com, (2023), </w:t>
      </w:r>
      <w:r>
        <w:rPr>
          <w:rFonts w:ascii="Times New Roman" w:cs="Times New Roman" w:eastAsia="Times New Roman" w:hAnsi="Times New Roman"/>
          <w:i/>
          <w:sz w:val="24"/>
          <w:szCs w:val="24"/>
        </w:rPr>
        <w:t xml:space="preserve">Hilton brand awareness, usage, popularity, loyalty, and buzz among hotel customers in the UK in 2022 </w:t>
      </w:r>
      <w:r>
        <w:rPr>
          <w:rFonts w:ascii="Times New Roman" w:cs="Times New Roman" w:eastAsia="Times New Roman" w:hAnsi="Times New Roman"/>
          <w:sz w:val="24"/>
          <w:szCs w:val="24"/>
        </w:rPr>
        <w:t>Available at: https://www.statista.com/forecasts/1335684/hilton-hotels-brand-profile-in-the-uk#:~:text=All%20in%20all%2C%2021%25%20of,likely%20to%20use%20Hilton%20again. [Accessed on: 20th October, 2023]</w:t>
      </w:r>
    </w:p>
    <w:p w14:paraId="00000082">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Statista.com, (2023), </w:t>
      </w:r>
      <w:r>
        <w:rPr>
          <w:rFonts w:ascii="Times New Roman" w:cs="Times New Roman" w:eastAsia="Times New Roman" w:hAnsi="Times New Roman"/>
          <w:i/>
          <w:sz w:val="24"/>
          <w:szCs w:val="24"/>
        </w:rPr>
        <w:t>Market size of the hotel industry in the United Kingdom from 2013 to 2022, with a forecast for 2023</w:t>
      </w:r>
      <w:r>
        <w:rPr>
          <w:rFonts w:ascii="Times New Roman" w:cs="Times New Roman" w:eastAsia="Times New Roman" w:hAnsi="Times New Roman"/>
          <w:sz w:val="24"/>
          <w:szCs w:val="24"/>
        </w:rPr>
        <w:t xml:space="preserve"> Available at: https://www.statista.com/statistics/1364712/hotel-industry-market-size-uk/ [Accessed on: 20th October, 2023]</w:t>
      </w:r>
    </w:p>
    <w:p w14:paraId="00000083">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Statista.com, (2023), </w:t>
      </w:r>
      <w:r>
        <w:rPr>
          <w:rFonts w:ascii="Times New Roman" w:cs="Times New Roman" w:eastAsia="Times New Roman" w:hAnsi="Times New Roman"/>
          <w:i/>
          <w:sz w:val="24"/>
          <w:szCs w:val="24"/>
        </w:rPr>
        <w:t xml:space="preserve">Revenue of Hilton Worldwide Holdings from 2009 to 2022 </w:t>
      </w:r>
      <w:r>
        <w:rPr>
          <w:rFonts w:ascii="Times New Roman" w:cs="Times New Roman" w:eastAsia="Times New Roman" w:hAnsi="Times New Roman"/>
          <w:sz w:val="24"/>
          <w:szCs w:val="24"/>
        </w:rPr>
        <w:t>Available at: https://www.statista.com/statistics/297760/revenue-of-hilton-worldwide-holdings-inc/ [Accessed on: 20th October, 2023]</w:t>
      </w:r>
    </w:p>
    <w:p w14:paraId="00000084">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Statista.com, (2023), </w:t>
      </w:r>
      <w:r>
        <w:rPr>
          <w:rFonts w:ascii="Times New Roman" w:cs="Times New Roman" w:eastAsia="Times New Roman" w:hAnsi="Times New Roman"/>
          <w:i/>
          <w:sz w:val="24"/>
          <w:szCs w:val="24"/>
        </w:rPr>
        <w:t>United Kingdom: Real gross domestic product (GDP) growth rate from 2018 to 2028</w:t>
      </w:r>
      <w:r>
        <w:rPr>
          <w:rFonts w:ascii="Times New Roman" w:cs="Times New Roman" w:eastAsia="Times New Roman" w:hAnsi="Times New Roman"/>
          <w:sz w:val="24"/>
          <w:szCs w:val="24"/>
        </w:rPr>
        <w:t xml:space="preserve"> Available at: https://www.statista.com/statistics/263613/gross-domestic-product-gdp-growth-rate-in-the-united-kingdom/ [Accessed on: 20th October, 2023]</w:t>
      </w:r>
    </w:p>
    <w:p w14:paraId="00000085">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Talbot, P (2019), </w:t>
      </w:r>
      <w:r>
        <w:rPr>
          <w:rFonts w:ascii="Times New Roman" w:cs="Times New Roman" w:eastAsia="Times New Roman" w:hAnsi="Times New Roman"/>
          <w:i/>
          <w:sz w:val="24"/>
          <w:szCs w:val="24"/>
        </w:rPr>
        <w:t xml:space="preserve">Inside Hilton's Marketing Strategy </w:t>
      </w:r>
      <w:r>
        <w:rPr>
          <w:rFonts w:ascii="Times New Roman" w:cs="Times New Roman" w:eastAsia="Times New Roman" w:hAnsi="Times New Roman"/>
          <w:sz w:val="24"/>
          <w:szCs w:val="24"/>
        </w:rPr>
        <w:t>Available at: https://www.forbes.com/sites/paultalbot/2019/05/23/inside-hiltons-marketing-strategy/?sh=72e649f51be9 [Accessed on: 20th October, 2023]</w:t>
      </w:r>
    </w:p>
    <w:p w14:paraId="00000086">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Tapper, J (2023), </w:t>
      </w:r>
      <w:r>
        <w:rPr>
          <w:rFonts w:ascii="Times New Roman" w:cs="Times New Roman" w:eastAsia="Times New Roman" w:hAnsi="Times New Roman"/>
          <w:i/>
          <w:sz w:val="24"/>
          <w:szCs w:val="24"/>
        </w:rPr>
        <w:t>French and German tourists turn their back on Brexit Britain</w:t>
      </w:r>
      <w:r>
        <w:rPr>
          <w:rFonts w:ascii="Times New Roman" w:cs="Times New Roman" w:eastAsia="Times New Roman" w:hAnsi="Times New Roman"/>
          <w:sz w:val="24"/>
          <w:szCs w:val="24"/>
        </w:rPr>
        <w:t xml:space="preserve"> Available at: https://www.theguardian.com/politics/2023/apr/08/french-and-german-tourists-turn-their-back-on-brexit-britain  [Accessed on: 20th October, 2023]</w:t>
      </w:r>
    </w:p>
    <w:p w14:paraId="00000087">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Theglobaleconomy.com, (2023), </w:t>
      </w:r>
      <w:r>
        <w:rPr>
          <w:rFonts w:ascii="Times New Roman" w:cs="Times New Roman" w:eastAsia="Times New Roman" w:hAnsi="Times New Roman"/>
          <w:i/>
          <w:sz w:val="24"/>
          <w:szCs w:val="24"/>
        </w:rPr>
        <w:t xml:space="preserve">United Kingdom: Political stability </w:t>
      </w:r>
      <w:r>
        <w:rPr>
          <w:rFonts w:ascii="Times New Roman" w:cs="Times New Roman" w:eastAsia="Times New Roman" w:hAnsi="Times New Roman"/>
          <w:sz w:val="24"/>
          <w:szCs w:val="24"/>
        </w:rPr>
        <w:t>Available at: https://www.theglobaleconomy.com/United-</w:t>
      </w:r>
      <w:r>
        <w:rPr>
          <w:rFonts w:ascii="Times New Roman" w:cs="Times New Roman" w:eastAsia="Times New Roman" w:hAnsi="Times New Roman"/>
          <w:sz w:val="24"/>
          <w:szCs w:val="24"/>
        </w:rPr>
        <w:t>Kingdom/wb_political_stability/#:~:text=Political%20stability%20index%20(%2D2.5%20weak%3B%202.5%20strong)&amp;text=The%20latest%20value%20from%202021,to%20compare%20trends%20over%20time.  [Accessed on: 20th October, 2023]</w:t>
      </w:r>
    </w:p>
    <w:p w14:paraId="00000088">
      <w:pPr>
        <w:spacing w:line="360" w:lineRule="auto"/>
        <w:jc w:val="both"/>
        <w:rPr>
          <w:rFonts w:ascii="Times New Roman" w:cs="Times New Roman" w:eastAsia="Times New Roman" w:hAnsi="Times New Roman"/>
          <w:sz w:val="24"/>
          <w:szCs w:val="24"/>
        </w:rPr>
      </w:pPr>
    </w:p>
    <w:p w14:paraId="00000089">
      <w:pPr>
        <w:spacing w:line="360" w:lineRule="auto"/>
        <w:jc w:val="both"/>
        <w:rPr>
          <w:rFonts w:ascii="Times New Roman" w:cs="Times New Roman" w:eastAsia="Times New Roman" w:hAnsi="Times New Roman"/>
          <w:sz w:val="24"/>
          <w:szCs w:val="24"/>
        </w:rPr>
      </w:pPr>
    </w:p>
    <w:p w14:paraId="0000008A">
      <w:pPr>
        <w:spacing w:line="360" w:lineRule="auto"/>
        <w:jc w:val="both"/>
        <w:rPr>
          <w:rFonts w:ascii="Times New Roman" w:cs="Times New Roman" w:eastAsia="Times New Roman" w:hAnsi="Times New Roman"/>
          <w:sz w:val="24"/>
          <w:szCs w:val="24"/>
        </w:rPr>
      </w:pPr>
    </w:p>
    <w:p w14:paraId="0000008B">
      <w:pPr>
        <w:spacing w:line="360" w:lineRule="auto"/>
        <w:jc w:val="both"/>
        <w:rPr>
          <w:rFonts w:ascii="Times New Roman" w:cs="Times New Roman" w:eastAsia="Times New Roman" w:hAnsi="Times New Roman"/>
          <w:b/>
          <w:sz w:val="24"/>
          <w:szCs w:val="24"/>
        </w:rPr>
      </w:pPr>
      <w:r>
        <w:rPr/>
        <w:br w:type="page"/>
      </w:r>
    </w:p>
    <w:p w14:paraId="0000008C">
      <w:pPr>
        <w:pStyle w:val="Heading1"/>
        <w:rPr/>
      </w:pPr>
      <w:bookmarkStart w:id="17" w:name="_Toc148734103"/>
      <w:r>
        <w:t>Appendices</w:t>
      </w:r>
      <w:bookmarkEnd w:id="17"/>
      <w:r>
        <w:t xml:space="preserve"> </w:t>
      </w:r>
    </w:p>
    <w:p w14:paraId="0000008D">
      <w:pPr>
        <w:pStyle w:val="Heading2"/>
        <w:rPr/>
      </w:pPr>
      <w:bookmarkStart w:id="18" w:name="_Toc148734104"/>
      <w:r>
        <w:t>Appendix 1: SWOT Analysis</w:t>
      </w:r>
      <w:bookmarkEnd w:id="18"/>
    </w:p>
    <w:tbl>
      <w:tblPr>
        <w:tblStyle w:val="A0"/>
        <w:tblW w:w="902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tblPr>
      <w:tblGrid>
        <w:gridCol w:w="4514"/>
        <w:gridCol w:w="4514"/>
      </w:tblGrid>
      <w:tr>
        <w:trPr/>
        <w:tc>
          <w:tcPr>
            <w:cnfStyle w:val="000000000000"/>
            <w:tcW w:w="4514" w:type="dxa"/>
            <w:shd w:val="clear" w:color="auto" w:fill="fff2cc"/>
            <w:tcMar>
              <w:top w:w="100" w:type="dxa"/>
              <w:left w:w="100" w:type="dxa"/>
              <w:bottom w:w="100" w:type="dxa"/>
              <w:right w:w="100" w:type="dxa"/>
            </w:tcMar>
          </w:tcPr>
          <w:p w14:paraId="0000008E">
            <w:pPr>
              <w:widowControl w:val="off"/>
              <w:pBdr>
                <w:top w:val="nil" w:sz="4" w:space="0"/>
                <w:left w:val="nil" w:sz="4" w:space="0"/>
                <w:bottom w:val="nil" w:sz="4" w:space="0"/>
                <w:right w:val="nil" w:sz="4" w:space="0"/>
                <w:between w:val="nil" w:sz="4" w:space="0"/>
              </w:pBd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Strengths</w:t>
            </w:r>
          </w:p>
          <w:p w14:paraId="0000008F">
            <w:pPr>
              <w:widowControl w:val="off"/>
              <w:numPr>
                <w:ilvl w:val="0"/>
                <w:numId w:val="3"/>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Worldwide recognition (hilton.com, 2023)</w:t>
            </w:r>
          </w:p>
          <w:p w14:paraId="00000090">
            <w:pPr>
              <w:widowControl w:val="off"/>
              <w:numPr>
                <w:ilvl w:val="0"/>
                <w:numId w:val="3"/>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Strong customer base</w:t>
            </w:r>
          </w:p>
          <w:p w14:paraId="00000091">
            <w:pPr>
              <w:widowControl w:val="off"/>
              <w:numPr>
                <w:ilvl w:val="0"/>
                <w:numId w:val="3"/>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Professional workers </w:t>
            </w:r>
          </w:p>
          <w:p w14:paraId="00000092">
            <w:pPr>
              <w:widowControl w:val="off"/>
              <w:numPr>
                <w:ilvl w:val="0"/>
                <w:numId w:val="3"/>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Technological integration </w:t>
            </w:r>
          </w:p>
        </w:tc>
        <w:tc>
          <w:tcPr>
            <w:cnfStyle w:val="000000000000"/>
            <w:tcW w:w="4514" w:type="dxa"/>
            <w:shd w:val="clear" w:color="auto" w:fill="cfe2f3"/>
            <w:tcMar>
              <w:top w:w="100" w:type="dxa"/>
              <w:left w:w="100" w:type="dxa"/>
              <w:bottom w:w="100" w:type="dxa"/>
              <w:right w:w="100" w:type="dxa"/>
            </w:tcMar>
          </w:tcPr>
          <w:p w14:paraId="00000093">
            <w:pPr>
              <w:widowControl w:val="off"/>
              <w:pBdr>
                <w:top w:val="nil" w:sz="4" w:space="0"/>
                <w:left w:val="nil" w:sz="4" w:space="0"/>
                <w:bottom w:val="nil" w:sz="4" w:space="0"/>
                <w:right w:val="nil" w:sz="4" w:space="0"/>
                <w:between w:val="nil" w:sz="4" w:space="0"/>
              </w:pBd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Weaknesses</w:t>
            </w:r>
          </w:p>
          <w:p w14:paraId="00000094">
            <w:pPr>
              <w:widowControl w:val="off"/>
              <w:numPr>
                <w:ilvl w:val="0"/>
                <w:numId w:val="12"/>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Lack of flexibility  </w:t>
            </w:r>
          </w:p>
          <w:p w14:paraId="00000095">
            <w:pPr>
              <w:widowControl w:val="off"/>
              <w:numPr>
                <w:ilvl w:val="0"/>
                <w:numId w:val="12"/>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Limited global share (Cnbc.com, 2023)</w:t>
            </w:r>
          </w:p>
          <w:p w14:paraId="00000096">
            <w:pPr>
              <w:widowControl w:val="off"/>
              <w:numPr>
                <w:ilvl w:val="0"/>
                <w:numId w:val="12"/>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High debts</w:t>
            </w:r>
          </w:p>
        </w:tc>
      </w:tr>
      <w:tr>
        <w:trPr/>
        <w:tc>
          <w:tcPr>
            <w:cnfStyle w:val="000000000000"/>
            <w:tcW w:w="4514" w:type="dxa"/>
            <w:shd w:val="clear" w:color="auto" w:fill="fce5cd"/>
            <w:tcMar>
              <w:top w:w="100" w:type="dxa"/>
              <w:left w:w="100" w:type="dxa"/>
              <w:bottom w:w="100" w:type="dxa"/>
              <w:right w:w="100" w:type="dxa"/>
            </w:tcMar>
          </w:tcPr>
          <w:p w14:paraId="00000097">
            <w:pPr>
              <w:widowControl w:val="off"/>
              <w:pBdr>
                <w:top w:val="nil" w:sz="4" w:space="0"/>
                <w:left w:val="nil" w:sz="4" w:space="0"/>
                <w:bottom w:val="nil" w:sz="4" w:space="0"/>
                <w:right w:val="nil" w:sz="4" w:space="0"/>
                <w:between w:val="nil" w:sz="4" w:space="0"/>
              </w:pBd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Opportunities</w:t>
            </w:r>
          </w:p>
          <w:p w14:paraId="00000098">
            <w:pPr>
              <w:widowControl w:val="off"/>
              <w:numPr>
                <w:ilvl w:val="0"/>
                <w:numId w:val="4"/>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Social media marketing </w:t>
            </w:r>
          </w:p>
          <w:p w14:paraId="00000099">
            <w:pPr>
              <w:widowControl w:val="off"/>
              <w:numPr>
                <w:ilvl w:val="0"/>
                <w:numId w:val="4"/>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Expansion into developing countries</w:t>
            </w:r>
          </w:p>
          <w:p w14:paraId="0000009A">
            <w:pPr>
              <w:widowControl w:val="off"/>
              <w:numPr>
                <w:ilvl w:val="0"/>
                <w:numId w:val="4"/>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Mergers and acquisition (Sec.gov, 2023)</w:t>
            </w:r>
          </w:p>
          <w:p w14:paraId="0000009B">
            <w:pPr>
              <w:widowControl w:val="off"/>
              <w:numPr>
                <w:ilvl w:val="0"/>
                <w:numId w:val="4"/>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 depth focus on research and development </w:t>
            </w:r>
          </w:p>
        </w:tc>
        <w:tc>
          <w:tcPr>
            <w:cnfStyle w:val="000000000000"/>
            <w:tcW w:w="4514" w:type="dxa"/>
            <w:shd w:val="clear" w:color="auto" w:fill="ead1dc"/>
            <w:tcMar>
              <w:top w:w="100" w:type="dxa"/>
              <w:left w:w="100" w:type="dxa"/>
              <w:bottom w:w="100" w:type="dxa"/>
              <w:right w:w="100" w:type="dxa"/>
            </w:tcMar>
          </w:tcPr>
          <w:p w14:paraId="0000009C">
            <w:pPr>
              <w:widowControl w:val="off"/>
              <w:pBdr>
                <w:top w:val="nil" w:sz="4" w:space="0"/>
                <w:left w:val="nil" w:sz="4" w:space="0"/>
                <w:bottom w:val="nil" w:sz="4" w:space="0"/>
                <w:right w:val="nil" w:sz="4" w:space="0"/>
                <w:between w:val="nil" w:sz="4" w:space="0"/>
              </w:pBd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Threats</w:t>
            </w:r>
          </w:p>
          <w:p w14:paraId="0000009D">
            <w:pPr>
              <w:widowControl w:val="off"/>
              <w:numPr>
                <w:ilvl w:val="0"/>
                <w:numId w:val="5"/>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Competitive marketplace </w:t>
            </w:r>
          </w:p>
          <w:p w14:paraId="0000009E">
            <w:pPr>
              <w:widowControl w:val="off"/>
              <w:numPr>
                <w:ilvl w:val="0"/>
                <w:numId w:val="5"/>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Economic downturn </w:t>
            </w:r>
          </w:p>
          <w:p w14:paraId="0000009F">
            <w:pPr>
              <w:widowControl w:val="off"/>
              <w:numPr>
                <w:ilvl w:val="0"/>
                <w:numId w:val="5"/>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Ethics related issues (Chrie.org, 2023)</w:t>
            </w:r>
          </w:p>
        </w:tc>
      </w:tr>
    </w:tbl>
    <w:p w14:paraId="000000A0">
      <w:pPr>
        <w:spacing w:line="360" w:lineRule="auto"/>
        <w:jc w:val="both"/>
        <w:rPr>
          <w:rFonts w:ascii="Times New Roman" w:cs="Times New Roman" w:eastAsia="Times New Roman" w:hAnsi="Times New Roman"/>
          <w:b/>
          <w:sz w:val="24"/>
          <w:szCs w:val="24"/>
        </w:rPr>
      </w:pPr>
    </w:p>
    <w:p w14:paraId="000000A1">
      <w:pPr>
        <w:pStyle w:val="Heading2"/>
        <w:rPr/>
      </w:pPr>
      <w:bookmarkStart w:id="19" w:name="_Toc148734105"/>
      <w:r>
        <w:t>Appendix 2: Segmentation and Targeting</w:t>
      </w:r>
      <w:bookmarkEnd w:id="19"/>
      <w:r>
        <w:t xml:space="preserve"> </w:t>
      </w:r>
    </w:p>
    <w:tbl>
      <w:tblPr>
        <w:tblStyle w:val="A1"/>
        <w:tblW w:w="902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tblPr>
      <w:tblGrid>
        <w:gridCol w:w="3009"/>
        <w:gridCol w:w="3009"/>
        <w:gridCol w:w="3009"/>
      </w:tblGrid>
      <w:tr>
        <w:trPr/>
        <w:tc>
          <w:tcPr>
            <w:cnfStyle w:val="000000000000"/>
            <w:tcW w:w="3009" w:type="dxa"/>
            <w:shd w:val="clear" w:color="auto" w:fill="e06666"/>
            <w:tcMar>
              <w:top w:w="100" w:type="dxa"/>
              <w:left w:w="100" w:type="dxa"/>
              <w:bottom w:w="100" w:type="dxa"/>
              <w:right w:w="100" w:type="dxa"/>
            </w:tcMar>
          </w:tcPr>
          <w:p w14:paraId="000000A2">
            <w:pPr>
              <w:widowControl w:val="off"/>
              <w:pBdr>
                <w:top w:val="nil" w:sz="4" w:space="0"/>
                <w:left w:val="nil" w:sz="4" w:space="0"/>
                <w:bottom w:val="nil" w:sz="4" w:space="0"/>
                <w:right w:val="nil" w:sz="4" w:space="0"/>
                <w:between w:val="nil" w:sz="4" w:space="0"/>
              </w:pBdr>
              <w:spacing w:line="24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Segmentation </w:t>
            </w:r>
          </w:p>
        </w:tc>
        <w:tc>
          <w:tcPr>
            <w:cnfStyle w:val="000000000000"/>
            <w:tcW w:w="3009" w:type="dxa"/>
            <w:shd w:val="clear" w:color="auto" w:fill="e06666"/>
            <w:tcMar>
              <w:top w:w="100" w:type="dxa"/>
              <w:left w:w="100" w:type="dxa"/>
              <w:bottom w:w="100" w:type="dxa"/>
              <w:right w:w="100" w:type="dxa"/>
            </w:tcMar>
          </w:tcPr>
          <w:p w14:paraId="000000A3">
            <w:pPr>
              <w:widowControl w:val="off"/>
              <w:pBdr>
                <w:top w:val="nil" w:sz="4" w:space="0"/>
                <w:left w:val="nil" w:sz="4" w:space="0"/>
                <w:bottom w:val="nil" w:sz="4" w:space="0"/>
                <w:right w:val="nil" w:sz="4" w:space="0"/>
                <w:between w:val="nil" w:sz="4" w:space="0"/>
              </w:pBdr>
              <w:spacing w:line="24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Targeting </w:t>
            </w:r>
          </w:p>
        </w:tc>
        <w:tc>
          <w:tcPr>
            <w:cnfStyle w:val="000000000000"/>
            <w:tcW w:w="3009" w:type="dxa"/>
            <w:shd w:val="clear" w:color="auto" w:fill="e06666"/>
            <w:tcMar>
              <w:top w:w="100" w:type="dxa"/>
              <w:left w:w="100" w:type="dxa"/>
              <w:bottom w:w="100" w:type="dxa"/>
              <w:right w:w="100" w:type="dxa"/>
            </w:tcMar>
          </w:tcPr>
          <w:p w14:paraId="000000A4">
            <w:pPr>
              <w:widowControl w:val="off"/>
              <w:pBdr>
                <w:top w:val="nil" w:sz="4" w:space="0"/>
                <w:left w:val="nil" w:sz="4" w:space="0"/>
                <w:bottom w:val="nil" w:sz="4" w:space="0"/>
                <w:right w:val="nil" w:sz="4" w:space="0"/>
                <w:between w:val="nil" w:sz="4" w:space="0"/>
              </w:pBdr>
              <w:spacing w:line="24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Positioning </w:t>
            </w:r>
          </w:p>
        </w:tc>
      </w:tr>
      <w:tr>
        <w:trPr/>
        <w:tc>
          <w:tcPr>
            <w:cnfStyle w:val="000000000000"/>
            <w:tcW w:w="3009" w:type="dxa"/>
            <w:shd w:val="clear" w:color="auto" w:fill="f3f3f3"/>
            <w:tcMar>
              <w:top w:w="100" w:type="dxa"/>
              <w:left w:w="100" w:type="dxa"/>
              <w:bottom w:w="100" w:type="dxa"/>
              <w:right w:w="100" w:type="dxa"/>
            </w:tcMar>
          </w:tcPr>
          <w:p w14:paraId="000000A5">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 xml:space="preserve">Geographic: </w:t>
            </w:r>
            <w:r>
              <w:rPr>
                <w:rFonts w:ascii="Times New Roman" w:cs="Times New Roman" w:eastAsia="Times New Roman" w:hAnsi="Times New Roman"/>
                <w:sz w:val="24"/>
                <w:szCs w:val="24"/>
              </w:rPr>
              <w:t>London, UK</w:t>
            </w:r>
          </w:p>
          <w:p w14:paraId="000000A6">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b/>
                <w:sz w:val="24"/>
                <w:szCs w:val="24"/>
              </w:rPr>
            </w:pPr>
          </w:p>
          <w:p w14:paraId="000000A7">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 xml:space="preserve">Demographic: </w:t>
            </w:r>
            <w:r>
              <w:rPr>
                <w:rFonts w:ascii="Times New Roman" w:cs="Times New Roman" w:eastAsia="Times New Roman" w:hAnsi="Times New Roman"/>
                <w:sz w:val="24"/>
                <w:szCs w:val="24"/>
              </w:rPr>
              <w:t>Middle and senior aged professionals with high level of income belonging to upper social class</w:t>
            </w:r>
          </w:p>
          <w:p w14:paraId="000000A8">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b/>
                <w:sz w:val="24"/>
                <w:szCs w:val="24"/>
              </w:rPr>
            </w:pPr>
          </w:p>
          <w:p w14:paraId="000000A9">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 xml:space="preserve">Psychological: </w:t>
            </w:r>
            <w:r>
              <w:rPr>
                <w:rFonts w:ascii="Times New Roman" w:cs="Times New Roman" w:eastAsia="Times New Roman" w:hAnsi="Times New Roman"/>
                <w:sz w:val="24"/>
                <w:szCs w:val="24"/>
              </w:rPr>
              <w:t xml:space="preserve">Ambitious individuals, business professionals </w:t>
            </w:r>
          </w:p>
        </w:tc>
        <w:tc>
          <w:tcPr>
            <w:cnfStyle w:val="000000000000"/>
            <w:tcW w:w="3009" w:type="dxa"/>
            <w:shd w:val="clear" w:color="auto" w:fill="f3f3f3"/>
            <w:tcMar>
              <w:top w:w="100" w:type="dxa"/>
              <w:left w:w="100" w:type="dxa"/>
              <w:bottom w:w="100" w:type="dxa"/>
              <w:right w:w="100" w:type="dxa"/>
            </w:tcMar>
          </w:tcPr>
          <w:p w14:paraId="000000AA">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sz w:val="24"/>
                <w:szCs w:val="24"/>
              </w:rPr>
              <w:t xml:space="preserve">Men and women that </w:t>
            </w:r>
            <w:r>
              <w:rPr>
                <w:rFonts w:ascii="Times New Roman" w:cs="Times New Roman" w:eastAsia="Times New Roman" w:hAnsi="Times New Roman"/>
                <w:sz w:val="24"/>
                <w:szCs w:val="24"/>
              </w:rPr>
              <w:t>participate in</w:t>
            </w:r>
            <w:r>
              <w:rPr>
                <w:rFonts w:ascii="Times New Roman" w:cs="Times New Roman" w:eastAsia="Times New Roman" w:hAnsi="Times New Roman"/>
                <w:sz w:val="24"/>
                <w:szCs w:val="24"/>
              </w:rPr>
              <w:t xml:space="preserve"> business who like expensive hotels with professional etiquettes</w:t>
            </w:r>
            <w:r>
              <w:rPr>
                <w:rFonts w:ascii="Times New Roman" w:cs="Times New Roman" w:eastAsia="Times New Roman" w:hAnsi="Times New Roman"/>
                <w:b/>
                <w:sz w:val="24"/>
                <w:szCs w:val="24"/>
              </w:rPr>
              <w:t xml:space="preserve"> </w:t>
            </w:r>
          </w:p>
        </w:tc>
        <w:tc>
          <w:tcPr>
            <w:cnfStyle w:val="000000000000"/>
            <w:tcW w:w="3009" w:type="dxa"/>
            <w:shd w:val="clear" w:color="auto" w:fill="f3f3f3"/>
            <w:tcMar>
              <w:top w:w="100" w:type="dxa"/>
              <w:left w:w="100" w:type="dxa"/>
              <w:bottom w:w="100" w:type="dxa"/>
              <w:right w:w="100" w:type="dxa"/>
            </w:tcMar>
          </w:tcPr>
          <w:p w14:paraId="000000AB">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luxury brand will be positioned based on the “canopy” lifestyle of </w:t>
            </w:r>
            <w:r>
              <w:rPr>
                <w:rFonts w:ascii="Times New Roman" w:cs="Times New Roman" w:eastAsia="Times New Roman" w:hAnsi="Times New Roman"/>
                <w:sz w:val="24"/>
                <w:szCs w:val="24"/>
              </w:rPr>
              <w:t>upper-class</w:t>
            </w:r>
            <w:r>
              <w:rPr>
                <w:rFonts w:ascii="Times New Roman" w:cs="Times New Roman" w:eastAsia="Times New Roman" w:hAnsi="Times New Roman"/>
                <w:sz w:val="24"/>
                <w:szCs w:val="24"/>
              </w:rPr>
              <w:t xml:space="preserve"> individuals through social media marketing </w:t>
            </w:r>
          </w:p>
        </w:tc>
      </w:tr>
    </w:tbl>
    <w:p w14:paraId="000000AC">
      <w:pPr>
        <w:spacing w:line="360" w:lineRule="auto"/>
        <w:jc w:val="both"/>
        <w:rPr>
          <w:rFonts w:ascii="Times New Roman" w:cs="Times New Roman" w:eastAsia="Times New Roman" w:hAnsi="Times New Roman"/>
          <w:b/>
          <w:sz w:val="24"/>
          <w:szCs w:val="24"/>
        </w:rPr>
      </w:pPr>
    </w:p>
    <w:p w14:paraId="000000AD">
      <w:pPr>
        <w:pStyle w:val="Heading2"/>
        <w:rPr/>
      </w:pPr>
      <w:bookmarkStart w:id="20" w:name="_Toc148734106"/>
      <w:r>
        <w:t>Appendix 3: Perceptual positioning map</w:t>
      </w:r>
      <w:bookmarkEnd w:id="20"/>
    </w:p>
    <w:p w14:paraId="000000AE">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drawing xmlns:mc="http://schemas.openxmlformats.org/markup-compatibility/2006">
          <wp:inline distT="0" distB="0" distL="0" distR="0">
            <wp:extent cx="3320888" cy="3514508"/>
            <wp:effectExtent l="0" t="0" r="25400" b="25400"/>
            <wp:docPr id="28"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5.png"/>
                    <pic:cNvPicPr preferRelativeResize="0"/>
                  </pic:nvPicPr>
                  <pic:blipFill>
                    <a:blip r:embed="rId26"/>
                    <a:srcRect l="5980"/>
                    <a:stretch/>
                  </pic:blipFill>
                  <pic:spPr>
                    <a:xfrm>
                      <a:off x="0" y="0"/>
                      <a:ext cx="3320888" cy="3514508"/>
                    </a:xfrm>
                    <a:prstGeom prst="rect">
                      <a:avLst/>
                    </a:prstGeom>
                    <a:ln w="12700">
                      <a:solidFill>
                        <a:srgbClr val="000000"/>
                      </a:solidFill>
                      <a:prstDash val="solid"/>
                    </a:ln>
                  </pic:spPr>
                </pic:pic>
              </a:graphicData>
            </a:graphic>
          </wp:inline>
        </w:drawing>
      </w:r>
    </w:p>
    <w:p w14:paraId="000000AF">
      <w:pPr>
        <w:pStyle w:val="Heading2"/>
        <w:rPr/>
      </w:pPr>
      <w:bookmarkStart w:id="21" w:name="_Toc148734107"/>
      <w:r>
        <w:t>Appendix 4: Bowmans strategy clock</w:t>
      </w:r>
      <w:bookmarkEnd w:id="21"/>
    </w:p>
    <w:p w14:paraId="000000B0">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drawing xmlns:mc="http://schemas.openxmlformats.org/markup-compatibility/2006">
          <wp:inline distT="0" distB="0" distL="0" distR="0">
            <wp:extent cx="4857750" cy="3724275"/>
            <wp:effectExtent l="0" t="0" r="25400" b="25400"/>
            <wp:docPr id="29" name="image1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13.png"/>
                    <pic:cNvPicPr preferRelativeResize="0"/>
                  </pic:nvPicPr>
                  <pic:blipFill>
                    <a:blip r:embed="rId27"/>
                    <a:srcRect l="8970" r="6312"/>
                    <a:stretch/>
                  </pic:blipFill>
                  <pic:spPr>
                    <a:xfrm>
                      <a:off x="0" y="0"/>
                      <a:ext cx="4857750" cy="3724275"/>
                    </a:xfrm>
                    <a:prstGeom prst="rect">
                      <a:avLst/>
                    </a:prstGeom>
                    <a:ln w="12700">
                      <a:solidFill>
                        <a:srgbClr val="000000"/>
                      </a:solidFill>
                      <a:prstDash val="solid"/>
                    </a:ln>
                  </pic:spPr>
                </pic:pic>
              </a:graphicData>
            </a:graphic>
          </wp:inline>
        </w:drawing>
      </w:r>
    </w:p>
    <w:p w14:paraId="000000B1">
      <w:pPr>
        <w:pStyle w:val="Heading2"/>
        <w:rPr/>
      </w:pPr>
      <w:bookmarkStart w:id="22" w:name="_Toc148734108"/>
      <w:r>
        <w:t>Appendix 5: PESTLE Analysis</w:t>
      </w:r>
      <w:bookmarkEnd w:id="22"/>
      <w:r>
        <w:t xml:space="preserve"> </w:t>
      </w:r>
    </w:p>
    <w:tbl>
      <w:tblPr>
        <w:tblStyle w:val="A2"/>
        <w:tblW w:w="90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tblPr>
      <w:tblGrid>
        <w:gridCol w:w="1860"/>
        <w:gridCol w:w="7140"/>
      </w:tblGrid>
      <w:tr>
        <w:trPr/>
        <w:tc>
          <w:tcPr>
            <w:cnfStyle w:val="000000000000"/>
            <w:tcW w:w="1860" w:type="dxa"/>
            <w:shd w:val="clear" w:color="auto" w:fill="d9ead3"/>
            <w:tcMar>
              <w:top w:w="100" w:type="dxa"/>
              <w:left w:w="100" w:type="dxa"/>
              <w:bottom w:w="100" w:type="dxa"/>
              <w:right w:w="100" w:type="dxa"/>
            </w:tcMar>
          </w:tcPr>
          <w:p w14:paraId="000000B2">
            <w:pPr>
              <w:widowControl w:val="off"/>
              <w:pBdr>
                <w:top w:val="nil" w:sz="4" w:space="0"/>
                <w:left w:val="nil" w:sz="4" w:space="0"/>
                <w:bottom w:val="nil" w:sz="4" w:space="0"/>
                <w:right w:val="nil" w:sz="4" w:space="0"/>
                <w:between w:val="nil" w:sz="4" w:space="0"/>
              </w:pBdr>
              <w:spacing w:line="240" w:lineRule="auto"/>
              <w:rPr>
                <w:rFonts w:ascii="Times New Roman" w:cs="Times New Roman" w:eastAsia="Times New Roman" w:hAnsi="Times New Roman"/>
                <w:b/>
                <w:sz w:val="24"/>
                <w:szCs w:val="24"/>
              </w:rPr>
            </w:pPr>
            <w:r>
              <w:rPr>
                <w:rFonts w:ascii="Times New Roman" w:cs="Times New Roman" w:eastAsia="Times New Roman" w:hAnsi="Times New Roman"/>
                <w:b/>
                <w:sz w:val="24"/>
                <w:szCs w:val="24"/>
              </w:rPr>
              <w:t>Political</w:t>
            </w:r>
          </w:p>
        </w:tc>
        <w:tc>
          <w:tcPr>
            <w:cnfStyle w:val="000000000000"/>
            <w:tcW w:w="7140" w:type="dxa"/>
            <w:shd w:val="clear" w:color="auto" w:fill="fff2cc"/>
            <w:tcMar>
              <w:top w:w="100" w:type="dxa"/>
              <w:left w:w="100" w:type="dxa"/>
              <w:bottom w:w="100" w:type="dxa"/>
              <w:right w:w="100" w:type="dxa"/>
            </w:tcMar>
          </w:tcPr>
          <w:p w14:paraId="000000B3">
            <w:pPr>
              <w:widowControl w:val="off"/>
              <w:numPr>
                <w:ilvl w:val="0"/>
                <w:numId w:val="6"/>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“Political stability rate” is 0.54 points (theglobaleconomy.com, 2023) </w:t>
            </w:r>
          </w:p>
          <w:p w14:paraId="000000B4">
            <w:pPr>
              <w:widowControl w:val="off"/>
              <w:numPr>
                <w:ilvl w:val="0"/>
                <w:numId w:val="6"/>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Brexit has impacted on the luxury hotel business regarding the demand of staffs (Tapper, 2023) </w:t>
            </w:r>
          </w:p>
        </w:tc>
      </w:tr>
      <w:tr>
        <w:trPr/>
        <w:tc>
          <w:tcPr>
            <w:cnfStyle w:val="000000000000"/>
            <w:tcW w:w="1860" w:type="dxa"/>
            <w:shd w:val="clear" w:color="auto" w:fill="d9ead3"/>
            <w:tcMar>
              <w:top w:w="100" w:type="dxa"/>
              <w:left w:w="100" w:type="dxa"/>
              <w:bottom w:w="100" w:type="dxa"/>
              <w:right w:w="100" w:type="dxa"/>
            </w:tcMar>
          </w:tcPr>
          <w:p w14:paraId="000000B5">
            <w:pPr>
              <w:widowControl w:val="off"/>
              <w:pBdr>
                <w:top w:val="nil" w:sz="4" w:space="0"/>
                <w:left w:val="nil" w:sz="4" w:space="0"/>
                <w:bottom w:val="nil" w:sz="4" w:space="0"/>
                <w:right w:val="nil" w:sz="4" w:space="0"/>
                <w:between w:val="nil" w:sz="4" w:space="0"/>
              </w:pBdr>
              <w:spacing w:line="240" w:lineRule="auto"/>
              <w:rPr>
                <w:rFonts w:ascii="Times New Roman" w:cs="Times New Roman" w:eastAsia="Times New Roman" w:hAnsi="Times New Roman"/>
                <w:b/>
                <w:sz w:val="24"/>
                <w:szCs w:val="24"/>
              </w:rPr>
            </w:pPr>
            <w:r>
              <w:rPr>
                <w:rFonts w:ascii="Times New Roman" w:cs="Times New Roman" w:eastAsia="Times New Roman" w:hAnsi="Times New Roman"/>
                <w:b/>
                <w:sz w:val="24"/>
                <w:szCs w:val="24"/>
              </w:rPr>
              <w:t>Economic</w:t>
            </w:r>
          </w:p>
        </w:tc>
        <w:tc>
          <w:tcPr>
            <w:cnfStyle w:val="000000000000"/>
            <w:tcW w:w="7140" w:type="dxa"/>
            <w:shd w:val="clear" w:color="auto" w:fill="fff2cc"/>
            <w:tcMar>
              <w:top w:w="100" w:type="dxa"/>
              <w:left w:w="100" w:type="dxa"/>
              <w:bottom w:w="100" w:type="dxa"/>
              <w:right w:w="100" w:type="dxa"/>
            </w:tcMar>
          </w:tcPr>
          <w:p w14:paraId="000000B6">
            <w:pPr>
              <w:widowControl w:val="off"/>
              <w:numPr>
                <w:ilvl w:val="0"/>
                <w:numId w:val="8"/>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GDP has increased by 0.2% in quarter of 2023 (Ons.gov.uk, 2023) </w:t>
            </w:r>
          </w:p>
          <w:p w14:paraId="000000B7">
            <w:pPr>
              <w:widowControl w:val="off"/>
              <w:numPr>
                <w:ilvl w:val="0"/>
                <w:numId w:val="8"/>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“Employment rate” is 75.5% in 2023 (Ons.gov.uk, 2023) </w:t>
            </w:r>
          </w:p>
        </w:tc>
      </w:tr>
      <w:tr>
        <w:trPr/>
        <w:tc>
          <w:tcPr>
            <w:cnfStyle w:val="000000000000"/>
            <w:tcW w:w="1860" w:type="dxa"/>
            <w:shd w:val="clear" w:color="auto" w:fill="d9ead3"/>
            <w:tcMar>
              <w:top w:w="100" w:type="dxa"/>
              <w:left w:w="100" w:type="dxa"/>
              <w:bottom w:w="100" w:type="dxa"/>
              <w:right w:w="100" w:type="dxa"/>
            </w:tcMar>
          </w:tcPr>
          <w:p w14:paraId="000000B8">
            <w:pPr>
              <w:widowControl w:val="off"/>
              <w:pBdr>
                <w:top w:val="nil" w:sz="4" w:space="0"/>
                <w:left w:val="nil" w:sz="4" w:space="0"/>
                <w:bottom w:val="nil" w:sz="4" w:space="0"/>
                <w:right w:val="nil" w:sz="4" w:space="0"/>
                <w:between w:val="nil" w:sz="4" w:space="0"/>
              </w:pBdr>
              <w:spacing w:line="240" w:lineRule="auto"/>
              <w:rPr>
                <w:rFonts w:ascii="Times New Roman" w:cs="Times New Roman" w:eastAsia="Times New Roman" w:hAnsi="Times New Roman"/>
                <w:b/>
                <w:sz w:val="24"/>
                <w:szCs w:val="24"/>
              </w:rPr>
            </w:pPr>
            <w:r>
              <w:rPr>
                <w:rFonts w:ascii="Times New Roman" w:cs="Times New Roman" w:eastAsia="Times New Roman" w:hAnsi="Times New Roman"/>
                <w:b/>
                <w:sz w:val="24"/>
                <w:szCs w:val="24"/>
              </w:rPr>
              <w:t>Social</w:t>
            </w:r>
          </w:p>
        </w:tc>
        <w:tc>
          <w:tcPr>
            <w:cnfStyle w:val="000000000000"/>
            <w:tcW w:w="7140" w:type="dxa"/>
            <w:shd w:val="clear" w:color="auto" w:fill="fff2cc"/>
            <w:tcMar>
              <w:top w:w="100" w:type="dxa"/>
              <w:left w:w="100" w:type="dxa"/>
              <w:bottom w:w="100" w:type="dxa"/>
              <w:right w:w="100" w:type="dxa"/>
            </w:tcMar>
          </w:tcPr>
          <w:p w14:paraId="000000B9">
            <w:pPr>
              <w:widowControl w:val="off"/>
              <w:numPr>
                <w:ilvl w:val="0"/>
                <w:numId w:val="7"/>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“Social progression rate” is 26% as of in July, 2022 (Ons.gov.uk, 2023)</w:t>
            </w:r>
          </w:p>
          <w:p w14:paraId="000000BA">
            <w:pPr>
              <w:widowControl w:val="off"/>
              <w:numPr>
                <w:ilvl w:val="0"/>
                <w:numId w:val="7"/>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“Demographic population rate” is 66.8 million (Ons.gov.uk, 2023) </w:t>
            </w:r>
          </w:p>
        </w:tc>
      </w:tr>
      <w:tr>
        <w:trPr/>
        <w:tc>
          <w:tcPr>
            <w:cnfStyle w:val="000000000000"/>
            <w:tcW w:w="1860" w:type="dxa"/>
            <w:shd w:val="clear" w:color="auto" w:fill="d9ead3"/>
            <w:tcMar>
              <w:top w:w="100" w:type="dxa"/>
              <w:left w:w="100" w:type="dxa"/>
              <w:bottom w:w="100" w:type="dxa"/>
              <w:right w:w="100" w:type="dxa"/>
            </w:tcMar>
          </w:tcPr>
          <w:p w14:paraId="000000BB">
            <w:pPr>
              <w:widowControl w:val="off"/>
              <w:pBdr>
                <w:top w:val="nil" w:sz="4" w:space="0"/>
                <w:left w:val="nil" w:sz="4" w:space="0"/>
                <w:bottom w:val="nil" w:sz="4" w:space="0"/>
                <w:right w:val="nil" w:sz="4" w:space="0"/>
                <w:between w:val="nil" w:sz="4" w:space="0"/>
              </w:pBdr>
              <w:spacing w:line="240" w:lineRule="auto"/>
              <w:rPr>
                <w:rFonts w:ascii="Times New Roman" w:cs="Times New Roman" w:eastAsia="Times New Roman" w:hAnsi="Times New Roman"/>
                <w:b/>
                <w:sz w:val="24"/>
                <w:szCs w:val="24"/>
              </w:rPr>
            </w:pPr>
            <w:r>
              <w:rPr>
                <w:rFonts w:ascii="Times New Roman" w:cs="Times New Roman" w:eastAsia="Times New Roman" w:hAnsi="Times New Roman"/>
                <w:b/>
                <w:sz w:val="24"/>
                <w:szCs w:val="24"/>
              </w:rPr>
              <w:t>Technological</w:t>
            </w:r>
          </w:p>
        </w:tc>
        <w:tc>
          <w:tcPr>
            <w:cnfStyle w:val="000000000000"/>
            <w:tcW w:w="7140" w:type="dxa"/>
            <w:shd w:val="clear" w:color="auto" w:fill="fff2cc"/>
            <w:tcMar>
              <w:top w:w="100" w:type="dxa"/>
              <w:left w:w="100" w:type="dxa"/>
              <w:bottom w:w="100" w:type="dxa"/>
              <w:right w:w="100" w:type="dxa"/>
            </w:tcMar>
          </w:tcPr>
          <w:p w14:paraId="000000BC">
            <w:pPr>
              <w:widowControl w:val="off"/>
              <w:numPr>
                <w:ilvl w:val="0"/>
                <w:numId w:val="9"/>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Incorporation of AI has enhanced service quality of hotels by 89% (Linkedin.com, 2023) </w:t>
            </w:r>
          </w:p>
          <w:p w14:paraId="000000BD">
            <w:pPr>
              <w:widowControl w:val="off"/>
              <w:numPr>
                <w:ilvl w:val="0"/>
                <w:numId w:val="9"/>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“Internet usage rate” has reached 92% (Ons.gov.uk, 2023)  </w:t>
            </w:r>
          </w:p>
        </w:tc>
      </w:tr>
      <w:tr>
        <w:trPr/>
        <w:tc>
          <w:tcPr>
            <w:cnfStyle w:val="000000000000"/>
            <w:tcW w:w="1860" w:type="dxa"/>
            <w:shd w:val="clear" w:color="auto" w:fill="d9ead3"/>
            <w:tcMar>
              <w:top w:w="100" w:type="dxa"/>
              <w:left w:w="100" w:type="dxa"/>
              <w:bottom w:w="100" w:type="dxa"/>
              <w:right w:w="100" w:type="dxa"/>
            </w:tcMar>
          </w:tcPr>
          <w:p w14:paraId="000000BE">
            <w:pPr>
              <w:widowControl w:val="off"/>
              <w:pBdr>
                <w:top w:val="nil" w:sz="4" w:space="0"/>
                <w:left w:val="nil" w:sz="4" w:space="0"/>
                <w:bottom w:val="nil" w:sz="4" w:space="0"/>
                <w:right w:val="nil" w:sz="4" w:space="0"/>
                <w:between w:val="nil" w:sz="4" w:space="0"/>
              </w:pBdr>
              <w:spacing w:line="240" w:lineRule="auto"/>
              <w:rPr>
                <w:rFonts w:ascii="Times New Roman" w:cs="Times New Roman" w:eastAsia="Times New Roman" w:hAnsi="Times New Roman"/>
                <w:b/>
                <w:sz w:val="24"/>
                <w:szCs w:val="24"/>
              </w:rPr>
            </w:pPr>
            <w:r>
              <w:rPr>
                <w:rFonts w:ascii="Times New Roman" w:cs="Times New Roman" w:eastAsia="Times New Roman" w:hAnsi="Times New Roman"/>
                <w:b/>
                <w:sz w:val="24"/>
                <w:szCs w:val="24"/>
              </w:rPr>
              <w:t>Legal</w:t>
            </w:r>
          </w:p>
        </w:tc>
        <w:tc>
          <w:tcPr>
            <w:cnfStyle w:val="000000000000"/>
            <w:tcW w:w="7140" w:type="dxa"/>
            <w:shd w:val="clear" w:color="auto" w:fill="fff2cc"/>
            <w:tcMar>
              <w:top w:w="100" w:type="dxa"/>
              <w:left w:w="100" w:type="dxa"/>
              <w:bottom w:w="100" w:type="dxa"/>
              <w:right w:w="100" w:type="dxa"/>
            </w:tcMar>
          </w:tcPr>
          <w:p w14:paraId="000000BF">
            <w:pPr>
              <w:widowControl w:val="off"/>
              <w:numPr>
                <w:ilvl w:val="0"/>
                <w:numId w:val="1"/>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“Data Protection Act (2018)” has maintained the confidentiality of business and customers (gov.uk, 2023)</w:t>
            </w:r>
          </w:p>
          <w:p w14:paraId="000000C0">
            <w:pPr>
              <w:widowControl w:val="off"/>
              <w:numPr>
                <w:ilvl w:val="0"/>
                <w:numId w:val="1"/>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“Copyrights, Designs and Patents Act (1988)” has provided provisional information to businesses (legislation.gov.uk, 2023)</w:t>
            </w:r>
          </w:p>
        </w:tc>
      </w:tr>
      <w:tr>
        <w:trPr/>
        <w:tc>
          <w:tcPr>
            <w:cnfStyle w:val="000000000000"/>
            <w:tcW w:w="1860" w:type="dxa"/>
            <w:shd w:val="clear" w:color="auto" w:fill="d9ead3"/>
            <w:tcMar>
              <w:top w:w="100" w:type="dxa"/>
              <w:left w:w="100" w:type="dxa"/>
              <w:bottom w:w="100" w:type="dxa"/>
              <w:right w:w="100" w:type="dxa"/>
            </w:tcMar>
          </w:tcPr>
          <w:p w14:paraId="000000C1">
            <w:pPr>
              <w:widowControl w:val="off"/>
              <w:pBdr>
                <w:top w:val="nil" w:sz="4" w:space="0"/>
                <w:left w:val="nil" w:sz="4" w:space="0"/>
                <w:bottom w:val="nil" w:sz="4" w:space="0"/>
                <w:right w:val="nil" w:sz="4" w:space="0"/>
                <w:between w:val="nil" w:sz="4" w:space="0"/>
              </w:pBdr>
              <w:spacing w:line="240" w:lineRule="auto"/>
              <w:rPr>
                <w:rFonts w:ascii="Times New Roman" w:cs="Times New Roman" w:eastAsia="Times New Roman" w:hAnsi="Times New Roman"/>
                <w:b/>
                <w:sz w:val="24"/>
                <w:szCs w:val="24"/>
              </w:rPr>
            </w:pPr>
            <w:r>
              <w:rPr>
                <w:rFonts w:ascii="Times New Roman" w:cs="Times New Roman" w:eastAsia="Times New Roman" w:hAnsi="Times New Roman"/>
                <w:b/>
                <w:sz w:val="24"/>
                <w:szCs w:val="24"/>
              </w:rPr>
              <w:t>Environment</w:t>
            </w:r>
          </w:p>
        </w:tc>
        <w:tc>
          <w:tcPr>
            <w:cnfStyle w:val="000000000000"/>
            <w:tcW w:w="7140" w:type="dxa"/>
            <w:shd w:val="clear" w:color="auto" w:fill="fff2cc"/>
            <w:tcMar>
              <w:top w:w="100" w:type="dxa"/>
              <w:left w:w="100" w:type="dxa"/>
              <w:bottom w:w="100" w:type="dxa"/>
              <w:right w:w="100" w:type="dxa"/>
            </w:tcMar>
          </w:tcPr>
          <w:p w14:paraId="000000C2">
            <w:pPr>
              <w:widowControl w:val="off"/>
              <w:numPr>
                <w:ilvl w:val="0"/>
                <w:numId w:val="2"/>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Carbon emission rate is 10.4 kg CO2e (ons.gov.uk, 2023)</w:t>
            </w:r>
          </w:p>
          <w:p w14:paraId="000000C3">
            <w:pPr>
              <w:widowControl w:val="off"/>
              <w:numPr>
                <w:ilvl w:val="0"/>
                <w:numId w:val="2"/>
              </w:num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“Environment Act (2021)” has protected environment in terms of Sos in the UK (legislation.gov.uk, 2023)</w:t>
            </w:r>
          </w:p>
        </w:tc>
      </w:tr>
    </w:tbl>
    <w:p w14:paraId="000000C4">
      <w:pPr>
        <w:spacing w:line="360" w:lineRule="auto"/>
        <w:jc w:val="both"/>
        <w:rPr>
          <w:rFonts w:ascii="Times New Roman" w:cs="Times New Roman" w:eastAsia="Times New Roman" w:hAnsi="Times New Roman"/>
          <w:b/>
          <w:sz w:val="24"/>
          <w:szCs w:val="24"/>
        </w:rPr>
      </w:pPr>
    </w:p>
    <w:p w14:paraId="000000C5">
      <w:pPr>
        <w:pStyle w:val="Heading2"/>
        <w:rPr/>
      </w:pPr>
      <w:bookmarkStart w:id="23" w:name="_Toc148734109"/>
      <w:r>
        <w:t>Appendix 6: Marketing Mix</w:t>
      </w:r>
      <w:bookmarkEnd w:id="23"/>
    </w:p>
    <w:tbl>
      <w:tblPr>
        <w:tblStyle w:val="A3"/>
        <w:tblW w:w="90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tblPr>
      <w:tblGrid>
        <w:gridCol w:w="1485"/>
        <w:gridCol w:w="7515"/>
      </w:tblGrid>
      <w:tr>
        <w:trPr/>
        <w:tc>
          <w:tcPr>
            <w:cnfStyle w:val="000000000000"/>
            <w:tcW w:w="1485" w:type="dxa"/>
            <w:shd w:val="clear" w:color="auto" w:fill="c9daf8"/>
            <w:tcMar>
              <w:top w:w="100" w:type="dxa"/>
              <w:left w:w="100" w:type="dxa"/>
              <w:bottom w:w="100" w:type="dxa"/>
              <w:right w:w="100" w:type="dxa"/>
            </w:tcMar>
          </w:tcPr>
          <w:p w14:paraId="000000C6">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Place</w:t>
            </w:r>
          </w:p>
        </w:tc>
        <w:tc>
          <w:tcPr>
            <w:cnfStyle w:val="000000000000"/>
            <w:tcW w:w="7515" w:type="dxa"/>
            <w:shd w:val="clear" w:color="auto" w:fill="d9d2e9"/>
            <w:tcMar>
              <w:top w:w="100" w:type="dxa"/>
              <w:left w:w="100" w:type="dxa"/>
              <w:bottom w:w="100" w:type="dxa"/>
              <w:right w:w="100" w:type="dxa"/>
            </w:tcMar>
          </w:tcPr>
          <w:p w14:paraId="000000C7">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London, UK </w:t>
            </w:r>
          </w:p>
        </w:tc>
      </w:tr>
      <w:tr>
        <w:trPr/>
        <w:tc>
          <w:tcPr>
            <w:cnfStyle w:val="000000000000"/>
            <w:tcW w:w="1485" w:type="dxa"/>
            <w:shd w:val="clear" w:color="auto" w:fill="c9daf8"/>
            <w:tcMar>
              <w:top w:w="100" w:type="dxa"/>
              <w:left w:w="100" w:type="dxa"/>
              <w:bottom w:w="100" w:type="dxa"/>
              <w:right w:w="100" w:type="dxa"/>
            </w:tcMar>
          </w:tcPr>
          <w:p w14:paraId="000000C8">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Product</w:t>
            </w:r>
          </w:p>
        </w:tc>
        <w:tc>
          <w:tcPr>
            <w:cnfStyle w:val="000000000000"/>
            <w:tcW w:w="7515" w:type="dxa"/>
            <w:shd w:val="clear" w:color="auto" w:fill="d9d2e9"/>
            <w:tcMar>
              <w:top w:w="100" w:type="dxa"/>
              <w:left w:w="100" w:type="dxa"/>
              <w:bottom w:w="100" w:type="dxa"/>
              <w:right w:w="100" w:type="dxa"/>
            </w:tcMar>
          </w:tcPr>
          <w:p w14:paraId="000000C9">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Luxurious hotels </w:t>
            </w:r>
          </w:p>
        </w:tc>
      </w:tr>
      <w:tr>
        <w:trPr/>
        <w:tc>
          <w:tcPr>
            <w:cnfStyle w:val="000000000000"/>
            <w:tcW w:w="1485" w:type="dxa"/>
            <w:shd w:val="clear" w:color="auto" w:fill="c9daf8"/>
            <w:tcMar>
              <w:top w:w="100" w:type="dxa"/>
              <w:left w:w="100" w:type="dxa"/>
              <w:bottom w:w="100" w:type="dxa"/>
              <w:right w:w="100" w:type="dxa"/>
            </w:tcMar>
          </w:tcPr>
          <w:p w14:paraId="000000CA">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Price</w:t>
            </w:r>
          </w:p>
        </w:tc>
        <w:tc>
          <w:tcPr>
            <w:cnfStyle w:val="000000000000"/>
            <w:tcW w:w="7515" w:type="dxa"/>
            <w:shd w:val="clear" w:color="auto" w:fill="d9d2e9"/>
            <w:tcMar>
              <w:top w:w="100" w:type="dxa"/>
              <w:left w:w="100" w:type="dxa"/>
              <w:bottom w:w="100" w:type="dxa"/>
              <w:right w:w="100" w:type="dxa"/>
            </w:tcMar>
          </w:tcPr>
          <w:p w14:paraId="000000CB">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£90 to £450 based on room and accommodation </w:t>
            </w:r>
          </w:p>
        </w:tc>
      </w:tr>
      <w:tr>
        <w:trPr/>
        <w:tc>
          <w:tcPr>
            <w:cnfStyle w:val="000000000000"/>
            <w:tcW w:w="1485" w:type="dxa"/>
            <w:shd w:val="clear" w:color="auto" w:fill="c9daf8"/>
            <w:tcMar>
              <w:top w:w="100" w:type="dxa"/>
              <w:left w:w="100" w:type="dxa"/>
              <w:bottom w:w="100" w:type="dxa"/>
              <w:right w:w="100" w:type="dxa"/>
            </w:tcMar>
          </w:tcPr>
          <w:p w14:paraId="000000CC">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Promotion </w:t>
            </w:r>
          </w:p>
        </w:tc>
        <w:tc>
          <w:tcPr>
            <w:cnfStyle w:val="000000000000"/>
            <w:tcW w:w="7515" w:type="dxa"/>
            <w:shd w:val="clear" w:color="auto" w:fill="d9d2e9"/>
            <w:tcMar>
              <w:top w:w="100" w:type="dxa"/>
              <w:left w:w="100" w:type="dxa"/>
              <w:bottom w:w="100" w:type="dxa"/>
              <w:right w:w="100" w:type="dxa"/>
            </w:tcMar>
          </w:tcPr>
          <w:p w14:paraId="000000CD">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Social media marketing </w:t>
            </w:r>
          </w:p>
        </w:tc>
      </w:tr>
    </w:tbl>
    <w:p w14:paraId="000000CE">
      <w:pPr>
        <w:spacing w:line="360" w:lineRule="auto"/>
        <w:jc w:val="both"/>
        <w:rPr>
          <w:rFonts w:ascii="Times New Roman" w:cs="Times New Roman" w:eastAsia="Times New Roman" w:hAnsi="Times New Roman"/>
          <w:b/>
          <w:sz w:val="24"/>
          <w:szCs w:val="24"/>
        </w:rPr>
      </w:pPr>
    </w:p>
    <w:p w14:paraId="000000CF">
      <w:pPr>
        <w:pStyle w:val="Heading2"/>
        <w:rPr/>
      </w:pPr>
      <w:bookmarkStart w:id="24" w:name="_Toc148734110"/>
      <w:r>
        <w:t>Appendix 7: Communication Mix</w:t>
      </w:r>
      <w:bookmarkEnd w:id="24"/>
      <w:r>
        <w:t xml:space="preserve"> </w:t>
      </w:r>
    </w:p>
    <w:tbl>
      <w:tblPr>
        <w:tblStyle w:val="A4"/>
        <w:tblW w:w="90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tblPr>
      <w:tblGrid>
        <w:gridCol w:w="2115"/>
        <w:gridCol w:w="6885"/>
      </w:tblGrid>
      <w:tr>
        <w:trPr/>
        <w:tc>
          <w:tcPr>
            <w:cnfStyle w:val="000000000000"/>
            <w:tcW w:w="2115" w:type="dxa"/>
            <w:shd w:val="clear" w:color="auto" w:fill="fff2cc"/>
            <w:tcMar>
              <w:top w:w="100" w:type="dxa"/>
              <w:left w:w="100" w:type="dxa"/>
              <w:bottom w:w="100" w:type="dxa"/>
              <w:right w:w="100" w:type="dxa"/>
            </w:tcMar>
          </w:tcPr>
          <w:p w14:paraId="000000D0">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Advertising </w:t>
            </w:r>
          </w:p>
        </w:tc>
        <w:tc>
          <w:tcPr>
            <w:cnfStyle w:val="000000000000"/>
            <w:tcW w:w="6885" w:type="dxa"/>
            <w:shd w:val="clear" w:color="auto" w:fill="d0e0e3"/>
            <w:tcMar>
              <w:top w:w="100" w:type="dxa"/>
              <w:left w:w="100" w:type="dxa"/>
              <w:bottom w:w="100" w:type="dxa"/>
              <w:right w:w="100" w:type="dxa"/>
            </w:tcMar>
          </w:tcPr>
          <w:p w14:paraId="000000D1">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Social media, experimental and influencer </w:t>
            </w:r>
          </w:p>
        </w:tc>
      </w:tr>
      <w:tr>
        <w:trPr/>
        <w:tc>
          <w:tcPr>
            <w:cnfStyle w:val="000000000000"/>
            <w:tcW w:w="2115" w:type="dxa"/>
            <w:shd w:val="clear" w:color="auto" w:fill="fff2cc"/>
            <w:tcMar>
              <w:top w:w="100" w:type="dxa"/>
              <w:left w:w="100" w:type="dxa"/>
              <w:bottom w:w="100" w:type="dxa"/>
              <w:right w:w="100" w:type="dxa"/>
            </w:tcMar>
          </w:tcPr>
          <w:p w14:paraId="000000D2">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Personal selling </w:t>
            </w:r>
          </w:p>
        </w:tc>
        <w:tc>
          <w:tcPr>
            <w:cnfStyle w:val="000000000000"/>
            <w:tcW w:w="6885" w:type="dxa"/>
            <w:shd w:val="clear" w:color="auto" w:fill="d0e0e3"/>
            <w:tcMar>
              <w:top w:w="100" w:type="dxa"/>
              <w:left w:w="100" w:type="dxa"/>
              <w:bottom w:w="100" w:type="dxa"/>
              <w:right w:w="100" w:type="dxa"/>
            </w:tcMar>
          </w:tcPr>
          <w:p w14:paraId="000000D3">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Building a strong social media presence on all social media platforms </w:t>
            </w:r>
          </w:p>
        </w:tc>
      </w:tr>
      <w:tr>
        <w:trPr/>
        <w:tc>
          <w:tcPr>
            <w:cnfStyle w:val="000000000000"/>
            <w:tcW w:w="2115" w:type="dxa"/>
            <w:shd w:val="clear" w:color="auto" w:fill="fff2cc"/>
            <w:tcMar>
              <w:top w:w="100" w:type="dxa"/>
              <w:left w:w="100" w:type="dxa"/>
              <w:bottom w:w="100" w:type="dxa"/>
              <w:right w:w="100" w:type="dxa"/>
            </w:tcMar>
          </w:tcPr>
          <w:p w14:paraId="000000D4">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Public relation </w:t>
            </w:r>
          </w:p>
        </w:tc>
        <w:tc>
          <w:tcPr>
            <w:cnfStyle w:val="000000000000"/>
            <w:tcW w:w="6885" w:type="dxa"/>
            <w:shd w:val="clear" w:color="auto" w:fill="d0e0e3"/>
            <w:tcMar>
              <w:top w:w="100" w:type="dxa"/>
              <w:left w:w="100" w:type="dxa"/>
              <w:bottom w:w="100" w:type="dxa"/>
              <w:right w:w="100" w:type="dxa"/>
            </w:tcMar>
          </w:tcPr>
          <w:p w14:paraId="000000D5">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Press conference to gain publicity and increase customer base</w:t>
            </w:r>
          </w:p>
        </w:tc>
      </w:tr>
      <w:tr>
        <w:trPr/>
        <w:tc>
          <w:tcPr>
            <w:cnfStyle w:val="000000000000"/>
            <w:tcW w:w="2115" w:type="dxa"/>
            <w:shd w:val="clear" w:color="auto" w:fill="fff2cc"/>
            <w:tcMar>
              <w:top w:w="100" w:type="dxa"/>
              <w:left w:w="100" w:type="dxa"/>
              <w:bottom w:w="100" w:type="dxa"/>
              <w:right w:w="100" w:type="dxa"/>
            </w:tcMar>
          </w:tcPr>
          <w:p w14:paraId="000000D6">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Direct marketing </w:t>
            </w:r>
          </w:p>
        </w:tc>
        <w:tc>
          <w:tcPr>
            <w:cnfStyle w:val="000000000000"/>
            <w:tcW w:w="6885" w:type="dxa"/>
            <w:shd w:val="clear" w:color="auto" w:fill="d0e0e3"/>
            <w:tcMar>
              <w:top w:w="100" w:type="dxa"/>
              <w:left w:w="100" w:type="dxa"/>
              <w:bottom w:w="100" w:type="dxa"/>
              <w:right w:w="100" w:type="dxa"/>
            </w:tcMar>
          </w:tcPr>
          <w:p w14:paraId="000000D7">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Use of leaflets, catalogues and in-person selling </w:t>
            </w:r>
          </w:p>
        </w:tc>
      </w:tr>
      <w:tr>
        <w:trPr/>
        <w:tc>
          <w:tcPr>
            <w:cnfStyle w:val="000000000000"/>
            <w:tcW w:w="2115" w:type="dxa"/>
            <w:shd w:val="clear" w:color="auto" w:fill="fff2cc"/>
            <w:tcMar>
              <w:top w:w="100" w:type="dxa"/>
              <w:left w:w="100" w:type="dxa"/>
              <w:bottom w:w="100" w:type="dxa"/>
              <w:right w:w="100" w:type="dxa"/>
            </w:tcMar>
          </w:tcPr>
          <w:p w14:paraId="000000D8">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Sales promotion </w:t>
            </w:r>
          </w:p>
        </w:tc>
        <w:tc>
          <w:tcPr>
            <w:cnfStyle w:val="000000000000"/>
            <w:tcW w:w="6885" w:type="dxa"/>
            <w:shd w:val="clear" w:color="auto" w:fill="d0e0e3"/>
            <w:tcMar>
              <w:top w:w="100" w:type="dxa"/>
              <w:left w:w="100" w:type="dxa"/>
              <w:bottom w:w="100" w:type="dxa"/>
              <w:right w:w="100" w:type="dxa"/>
            </w:tcMar>
          </w:tcPr>
          <w:p w14:paraId="000000D9">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Discounts on holiday bookings </w:t>
            </w:r>
          </w:p>
        </w:tc>
      </w:tr>
    </w:tbl>
    <w:p w14:paraId="000000DA">
      <w:pPr>
        <w:spacing w:line="360" w:lineRule="auto"/>
        <w:jc w:val="both"/>
        <w:rPr>
          <w:rFonts w:ascii="Times New Roman" w:cs="Times New Roman" w:eastAsia="Times New Roman" w:hAnsi="Times New Roman"/>
          <w:b/>
          <w:sz w:val="24"/>
          <w:szCs w:val="24"/>
        </w:rPr>
      </w:pPr>
    </w:p>
    <w:p w14:paraId="000000DB">
      <w:pPr>
        <w:pStyle w:val="Heading2"/>
        <w:rPr/>
      </w:pPr>
      <w:bookmarkStart w:id="25" w:name="_Toc148734111"/>
      <w:r>
        <w:t>Appendix 8: Gantt Chart</w:t>
      </w:r>
      <w:bookmarkEnd w:id="25"/>
    </w:p>
    <w:p w14:paraId="000000DC">
      <w:pP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drawing xmlns:mc="http://schemas.openxmlformats.org/markup-compatibility/2006">
          <wp:inline distT="0" distB="0" distL="0" distR="0">
            <wp:extent cx="5734050" cy="1787947"/>
            <wp:effectExtent l="0" t="0" r="25400" b="25400"/>
            <wp:docPr id="30" name="image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15.png"/>
                    <pic:cNvPicPr preferRelativeResize="0"/>
                  </pic:nvPicPr>
                  <pic:blipFill>
                    <a:blip r:embed="rId28"/>
                    <a:srcRect/>
                    <a:stretch>
                      <a:fillRect/>
                    </a:stretch>
                  </pic:blipFill>
                  <pic:spPr>
                    <a:xfrm>
                      <a:off x="0" y="0"/>
                      <a:ext cx="5734050" cy="1787947"/>
                    </a:xfrm>
                    <a:prstGeom prst="rect">
                      <a:avLst/>
                    </a:prstGeom>
                    <a:ln w="12700">
                      <a:solidFill>
                        <a:srgbClr val="000000"/>
                      </a:solidFill>
                      <a:prstDash val="solid"/>
                    </a:ln>
                  </pic:spPr>
                </pic:pic>
              </a:graphicData>
            </a:graphic>
          </wp:inline>
        </w:drawing>
      </w:r>
    </w:p>
    <w:p w14:paraId="000000DD">
      <w:pP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drawing xmlns:mc="http://schemas.openxmlformats.org/markup-compatibility/2006">
          <wp:inline distT="0" distB="0" distL="0" distR="0">
            <wp:extent cx="5734050" cy="1343509"/>
            <wp:effectExtent l="0" t="0" r="25400" b="25400"/>
            <wp:docPr id="31" name="image1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18.png"/>
                    <pic:cNvPicPr preferRelativeResize="0"/>
                  </pic:nvPicPr>
                  <pic:blipFill>
                    <a:blip r:embed="rId29"/>
                    <a:srcRect/>
                    <a:stretch>
                      <a:fillRect/>
                    </a:stretch>
                  </pic:blipFill>
                  <pic:spPr>
                    <a:xfrm>
                      <a:off x="0" y="0"/>
                      <a:ext cx="5734050" cy="1343509"/>
                    </a:xfrm>
                    <a:prstGeom prst="rect">
                      <a:avLst/>
                    </a:prstGeom>
                    <a:ln w="12700">
                      <a:solidFill>
                        <a:srgbClr val="000000"/>
                      </a:solidFill>
                      <a:prstDash val="solid"/>
                    </a:ln>
                  </pic:spPr>
                </pic:pic>
              </a:graphicData>
            </a:graphic>
          </wp:inline>
        </w:drawing>
      </w:r>
    </w:p>
    <w:p w14:paraId="000000DE">
      <w:pP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drawing xmlns:mc="http://schemas.openxmlformats.org/markup-compatibility/2006">
          <wp:inline distT="0" distB="0" distL="0" distR="0">
            <wp:extent cx="5734050" cy="727621"/>
            <wp:effectExtent l="0" t="0" r="25400" b="25400"/>
            <wp:docPr id="32" name="image1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14.png"/>
                    <pic:cNvPicPr preferRelativeResize="0"/>
                  </pic:nvPicPr>
                  <pic:blipFill>
                    <a:blip r:embed="rId30"/>
                    <a:srcRect/>
                    <a:stretch>
                      <a:fillRect/>
                    </a:stretch>
                  </pic:blipFill>
                  <pic:spPr>
                    <a:xfrm>
                      <a:off x="0" y="0"/>
                      <a:ext cx="5734050" cy="727621"/>
                    </a:xfrm>
                    <a:prstGeom prst="rect">
                      <a:avLst/>
                    </a:prstGeom>
                    <a:ln w="12700">
                      <a:solidFill>
                        <a:srgbClr val="000000"/>
                      </a:solidFill>
                      <a:prstDash val="solid"/>
                    </a:ln>
                  </pic:spPr>
                </pic:pic>
              </a:graphicData>
            </a:graphic>
          </wp:inline>
        </w:drawing>
      </w:r>
    </w:p>
    <w:p w14:paraId="000000DF">
      <w:pPr>
        <w:pStyle w:val="Heading2"/>
        <w:rPr/>
      </w:pPr>
      <w:bookmarkStart w:id="26" w:name="_Toc148734112"/>
      <w:r>
        <w:t>Appendix 9: KPI Metrics</w:t>
      </w:r>
      <w:bookmarkEnd w:id="26"/>
      <w:r>
        <w:t xml:space="preserve"> </w:t>
      </w:r>
    </w:p>
    <w:tbl>
      <w:tblPr>
        <w:tblStyle w:val="A5"/>
        <w:tblW w:w="90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tblPr>
      <w:tblGrid>
        <w:gridCol w:w="1485"/>
        <w:gridCol w:w="3641"/>
        <w:gridCol w:w="3873"/>
      </w:tblGrid>
      <w:tr>
        <w:trPr/>
        <w:tc>
          <w:tcPr>
            <w:cnfStyle w:val="000000000000"/>
            <w:tcW w:w="1485" w:type="dxa"/>
            <w:shd w:val="clear" w:color="auto" w:fill="ead1dc"/>
            <w:tcMar>
              <w:top w:w="100" w:type="dxa"/>
              <w:left w:w="100" w:type="dxa"/>
              <w:bottom w:w="100" w:type="dxa"/>
              <w:right w:w="100" w:type="dxa"/>
            </w:tcMar>
          </w:tcPr>
          <w:p w14:paraId="000000E0">
            <w:pPr>
              <w:widowControl w:val="off"/>
              <w:pBdr>
                <w:top w:val="nil" w:sz="4" w:space="0"/>
                <w:left w:val="nil" w:sz="4" w:space="0"/>
                <w:bottom w:val="nil" w:sz="4" w:space="0"/>
                <w:right w:val="nil" w:sz="4" w:space="0"/>
                <w:between w:val="nil" w:sz="4" w:space="0"/>
              </w:pBd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Parameters</w:t>
            </w:r>
          </w:p>
        </w:tc>
        <w:tc>
          <w:tcPr>
            <w:cnfStyle w:val="000000000000"/>
            <w:tcW w:w="3641" w:type="dxa"/>
            <w:shd w:val="clear" w:color="auto" w:fill="ead1dc"/>
            <w:tcMar>
              <w:top w:w="100" w:type="dxa"/>
              <w:left w:w="100" w:type="dxa"/>
              <w:bottom w:w="100" w:type="dxa"/>
              <w:right w:w="100" w:type="dxa"/>
            </w:tcMar>
          </w:tcPr>
          <w:p w14:paraId="000000E1">
            <w:pPr>
              <w:widowControl w:val="off"/>
              <w:pBdr>
                <w:top w:val="nil" w:sz="4" w:space="0"/>
                <w:left w:val="nil" w:sz="4" w:space="0"/>
                <w:bottom w:val="nil" w:sz="4" w:space="0"/>
                <w:right w:val="nil" w:sz="4" w:space="0"/>
                <w:between w:val="nil" w:sz="4" w:space="0"/>
              </w:pBd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KPIs</w:t>
            </w:r>
          </w:p>
        </w:tc>
        <w:tc>
          <w:tcPr>
            <w:cnfStyle w:val="000000000000"/>
            <w:tcW w:w="3873" w:type="dxa"/>
            <w:shd w:val="clear" w:color="auto" w:fill="ead1dc"/>
            <w:tcMar>
              <w:top w:w="100" w:type="dxa"/>
              <w:left w:w="100" w:type="dxa"/>
              <w:bottom w:w="100" w:type="dxa"/>
              <w:right w:w="100" w:type="dxa"/>
            </w:tcMar>
          </w:tcPr>
          <w:p w14:paraId="000000E2">
            <w:pPr>
              <w:widowControl w:val="off"/>
              <w:pBdr>
                <w:top w:val="nil" w:sz="4" w:space="0"/>
                <w:left w:val="nil" w:sz="4" w:space="0"/>
                <w:bottom w:val="nil" w:sz="4" w:space="0"/>
                <w:right w:val="nil" w:sz="4" w:space="0"/>
                <w:between w:val="nil" w:sz="4" w:space="0"/>
              </w:pBd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Metrics</w:t>
            </w:r>
          </w:p>
        </w:tc>
      </w:tr>
      <w:tr>
        <w:trPr/>
        <w:tc>
          <w:tcPr>
            <w:cnfStyle w:val="000000000000"/>
            <w:tcW w:w="1485" w:type="dxa"/>
            <w:shd w:val="clear" w:color="auto" w:fill="fce5cd"/>
            <w:tcMar>
              <w:top w:w="100" w:type="dxa"/>
              <w:left w:w="100" w:type="dxa"/>
              <w:bottom w:w="100" w:type="dxa"/>
              <w:right w:w="100" w:type="dxa"/>
            </w:tcMar>
          </w:tcPr>
          <w:p w14:paraId="000000E3">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Objective</w:t>
            </w:r>
          </w:p>
        </w:tc>
        <w:tc>
          <w:tcPr>
            <w:cnfStyle w:val="000000000000"/>
            <w:tcW w:w="3641" w:type="dxa"/>
            <w:shd w:val="clear" w:color="auto" w:fill="cfe2f3"/>
            <w:tcMar>
              <w:top w:w="100" w:type="dxa"/>
              <w:left w:w="100" w:type="dxa"/>
              <w:bottom w:w="100" w:type="dxa"/>
              <w:right w:w="100" w:type="dxa"/>
            </w:tcMar>
          </w:tcPr>
          <w:p w14:paraId="000000E4">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Increase customer base and annual revenue of the company  </w:t>
            </w:r>
          </w:p>
        </w:tc>
        <w:tc>
          <w:tcPr>
            <w:cnfStyle w:val="000000000000"/>
            <w:tcW w:w="3873" w:type="dxa"/>
            <w:shd w:val="clear" w:color="auto" w:fill="d9ead3"/>
            <w:tcMar>
              <w:top w:w="100" w:type="dxa"/>
              <w:left w:w="100" w:type="dxa"/>
              <w:bottom w:w="100" w:type="dxa"/>
              <w:right w:w="100" w:type="dxa"/>
            </w:tcMar>
          </w:tcPr>
          <w:p w14:paraId="000000E5">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Measure performance of daily business activities </w:t>
            </w:r>
          </w:p>
        </w:tc>
      </w:tr>
      <w:tr>
        <w:trPr/>
        <w:tc>
          <w:tcPr>
            <w:cnfStyle w:val="000000000000"/>
            <w:tcW w:w="1485" w:type="dxa"/>
            <w:shd w:val="clear" w:color="auto" w:fill="fce5cd"/>
            <w:tcMar>
              <w:top w:w="100" w:type="dxa"/>
              <w:left w:w="100" w:type="dxa"/>
              <w:bottom w:w="100" w:type="dxa"/>
              <w:right w:w="100" w:type="dxa"/>
            </w:tcMar>
          </w:tcPr>
          <w:p w14:paraId="000000E6">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Focus</w:t>
            </w:r>
          </w:p>
        </w:tc>
        <w:tc>
          <w:tcPr>
            <w:cnfStyle w:val="000000000000"/>
            <w:tcW w:w="3641" w:type="dxa"/>
            <w:shd w:val="clear" w:color="auto" w:fill="cfe2f3"/>
            <w:tcMar>
              <w:top w:w="100" w:type="dxa"/>
              <w:left w:w="100" w:type="dxa"/>
              <w:bottom w:w="100" w:type="dxa"/>
              <w:right w:w="100" w:type="dxa"/>
            </w:tcMar>
          </w:tcPr>
          <w:p w14:paraId="000000E7">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High-level perspectives </w:t>
            </w:r>
          </w:p>
        </w:tc>
        <w:tc>
          <w:tcPr>
            <w:cnfStyle w:val="000000000000"/>
            <w:tcW w:w="3873" w:type="dxa"/>
            <w:shd w:val="clear" w:color="auto" w:fill="d9ead3"/>
            <w:tcMar>
              <w:top w:w="100" w:type="dxa"/>
              <w:left w:w="100" w:type="dxa"/>
              <w:bottom w:w="100" w:type="dxa"/>
              <w:right w:w="100" w:type="dxa"/>
            </w:tcMar>
          </w:tcPr>
          <w:p w14:paraId="000000E8">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Low-level perspectives </w:t>
            </w:r>
          </w:p>
        </w:tc>
      </w:tr>
      <w:tr>
        <w:trPr/>
        <w:tc>
          <w:tcPr>
            <w:cnfStyle w:val="000000000000"/>
            <w:tcW w:w="1485" w:type="dxa"/>
            <w:shd w:val="clear" w:color="auto" w:fill="fce5cd"/>
            <w:tcMar>
              <w:top w:w="100" w:type="dxa"/>
              <w:left w:w="100" w:type="dxa"/>
              <w:bottom w:w="100" w:type="dxa"/>
              <w:right w:w="100" w:type="dxa"/>
            </w:tcMar>
          </w:tcPr>
          <w:p w14:paraId="000000E9">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Timeframe </w:t>
            </w:r>
          </w:p>
        </w:tc>
        <w:tc>
          <w:tcPr>
            <w:cnfStyle w:val="000000000000"/>
            <w:tcW w:w="3641" w:type="dxa"/>
            <w:shd w:val="clear" w:color="auto" w:fill="cfe2f3"/>
            <w:tcMar>
              <w:top w:w="100" w:type="dxa"/>
              <w:left w:w="100" w:type="dxa"/>
              <w:bottom w:w="100" w:type="dxa"/>
              <w:right w:w="100" w:type="dxa"/>
            </w:tcMar>
          </w:tcPr>
          <w:p w14:paraId="000000EA">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Long-term goals </w:t>
            </w:r>
          </w:p>
        </w:tc>
        <w:tc>
          <w:tcPr>
            <w:cnfStyle w:val="000000000000"/>
            <w:tcW w:w="3873" w:type="dxa"/>
            <w:shd w:val="clear" w:color="auto" w:fill="d9ead3"/>
            <w:tcMar>
              <w:top w:w="100" w:type="dxa"/>
              <w:left w:w="100" w:type="dxa"/>
              <w:bottom w:w="100" w:type="dxa"/>
              <w:right w:w="100" w:type="dxa"/>
            </w:tcMar>
          </w:tcPr>
          <w:p w14:paraId="000000EB">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Used for short-term goals</w:t>
            </w:r>
          </w:p>
        </w:tc>
      </w:tr>
      <w:tr>
        <w:trPr/>
        <w:tc>
          <w:tcPr>
            <w:cnfStyle w:val="000000000000"/>
            <w:tcW w:w="1485" w:type="dxa"/>
            <w:shd w:val="clear" w:color="auto" w:fill="fce5cd"/>
            <w:tcMar>
              <w:top w:w="100" w:type="dxa"/>
              <w:left w:w="100" w:type="dxa"/>
              <w:bottom w:w="100" w:type="dxa"/>
              <w:right w:w="100" w:type="dxa"/>
            </w:tcMar>
          </w:tcPr>
          <w:p w14:paraId="000000EC">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Scope</w:t>
            </w:r>
          </w:p>
        </w:tc>
        <w:tc>
          <w:tcPr>
            <w:cnfStyle w:val="000000000000"/>
            <w:tcW w:w="3641" w:type="dxa"/>
            <w:shd w:val="clear" w:color="auto" w:fill="cfe2f3"/>
            <w:tcMar>
              <w:top w:w="100" w:type="dxa"/>
              <w:left w:w="100" w:type="dxa"/>
              <w:bottom w:w="100" w:type="dxa"/>
              <w:right w:w="100" w:type="dxa"/>
            </w:tcMar>
          </w:tcPr>
          <w:p w14:paraId="000000ED">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Increasing profits </w:t>
            </w:r>
          </w:p>
        </w:tc>
        <w:tc>
          <w:tcPr>
            <w:cnfStyle w:val="000000000000"/>
            <w:tcW w:w="3873" w:type="dxa"/>
            <w:shd w:val="clear" w:color="auto" w:fill="d9ead3"/>
            <w:tcMar>
              <w:top w:w="100" w:type="dxa"/>
              <w:left w:w="100" w:type="dxa"/>
              <w:bottom w:w="100" w:type="dxa"/>
              <w:right w:w="100" w:type="dxa"/>
            </w:tcMar>
          </w:tcPr>
          <w:p w14:paraId="000000EE">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Cover a wide range of departmental activities </w:t>
            </w:r>
          </w:p>
        </w:tc>
      </w:tr>
      <w:tr>
        <w:trPr/>
        <w:tc>
          <w:tcPr>
            <w:cnfStyle w:val="000000000000"/>
            <w:tcW w:w="1485" w:type="dxa"/>
            <w:shd w:val="clear" w:color="auto" w:fill="fce5cd"/>
            <w:tcMar>
              <w:top w:w="100" w:type="dxa"/>
              <w:left w:w="100" w:type="dxa"/>
              <w:bottom w:w="100" w:type="dxa"/>
              <w:right w:w="100" w:type="dxa"/>
            </w:tcMar>
          </w:tcPr>
          <w:p w14:paraId="000000EF">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Relevance </w:t>
            </w:r>
          </w:p>
        </w:tc>
        <w:tc>
          <w:tcPr>
            <w:cnfStyle w:val="000000000000"/>
            <w:tcW w:w="3641" w:type="dxa"/>
            <w:shd w:val="clear" w:color="auto" w:fill="cfe2f3"/>
            <w:tcMar>
              <w:top w:w="100" w:type="dxa"/>
              <w:left w:w="100" w:type="dxa"/>
              <w:bottom w:w="100" w:type="dxa"/>
              <w:right w:w="100" w:type="dxa"/>
            </w:tcMar>
          </w:tcPr>
          <w:p w14:paraId="000000F0">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Strengthening market position and gaining market exposure </w:t>
            </w:r>
          </w:p>
        </w:tc>
        <w:tc>
          <w:tcPr>
            <w:cnfStyle w:val="000000000000"/>
            <w:tcW w:w="3873" w:type="dxa"/>
            <w:shd w:val="clear" w:color="auto" w:fill="d9ead3"/>
            <w:tcMar>
              <w:top w:w="100" w:type="dxa"/>
              <w:left w:w="100" w:type="dxa"/>
              <w:bottom w:w="100" w:type="dxa"/>
              <w:right w:w="100" w:type="dxa"/>
            </w:tcMar>
          </w:tcPr>
          <w:p w14:paraId="000000F1">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Measure milestones that are set to achieve business goals </w:t>
            </w:r>
          </w:p>
        </w:tc>
      </w:tr>
    </w:tbl>
    <w:p w14:paraId="000000F2">
      <w:pPr>
        <w:spacing w:line="360" w:lineRule="auto"/>
        <w:jc w:val="both"/>
        <w:rPr>
          <w:rFonts w:ascii="Times New Roman" w:cs="Times New Roman" w:eastAsia="Times New Roman" w:hAnsi="Times New Roman"/>
          <w:b/>
          <w:sz w:val="24"/>
          <w:szCs w:val="24"/>
        </w:rPr>
      </w:pPr>
    </w:p>
    <w:p w14:paraId="000000F3">
      <w:pPr>
        <w:spacing w:line="360" w:lineRule="auto"/>
        <w:jc w:val="both"/>
        <w:rPr>
          <w:rFonts w:ascii="Times New Roman" w:cs="Times New Roman" w:eastAsia="Times New Roman" w:hAnsi="Times New Roman"/>
          <w:b/>
          <w:sz w:val="24"/>
          <w:szCs w:val="24"/>
        </w:rPr>
      </w:pPr>
    </w:p>
    <w:p w14:paraId="000000F4">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w:t>
      </w:r>
      <w:r>
        <w:rPr>
          <w:rFonts w:ascii="Times New Roman" w:cs="Times New Roman" w:eastAsia="Times New Roman" w:hAnsi="Times New Roman"/>
          <w:b/>
          <w:sz w:val="24"/>
          <w:szCs w:val="24"/>
        </w:rPr>
        <w:br w:type="page"/>
      </w:r>
    </w:p>
    <w:p w14:paraId="000000F5">
      <w:pPr>
        <w:spacing w:line="360" w:lineRule="auto"/>
        <w:jc w:val="center"/>
        <w:rPr>
          <w:rFonts w:ascii="Times New Roman" w:cs="Times New Roman" w:eastAsia="Times New Roman" w:hAnsi="Times New Roman"/>
          <w:b/>
          <w:sz w:val="32"/>
          <w:szCs w:val="32"/>
        </w:rPr>
      </w:pPr>
      <w:r>
        <w:rPr>
          <w:rFonts w:ascii="Times New Roman" w:cs="Times New Roman" w:eastAsia="Times New Roman" w:hAnsi="Times New Roman"/>
          <w:b/>
          <w:sz w:val="32"/>
          <w:szCs w:val="32"/>
        </w:rPr>
        <w:t>MARKETING PLAN</w:t>
      </w:r>
    </w:p>
    <w:p w14:paraId="000000F6">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Student Name:Vasile Pitirici</w:t>
      </w:r>
    </w:p>
    <w:p w14:paraId="000000F7">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Student ID: 2213442</w:t>
      </w:r>
    </w:p>
    <w:p w14:paraId="000000F8">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Word Count [Component B: Presentation]: 4</w:t>
      </w:r>
      <w:r>
        <w:rPr>
          <w:rFonts w:ascii="Times New Roman" w:cs="Times New Roman" w:eastAsia="Times New Roman" w:hAnsi="Times New Roman"/>
          <w:b/>
          <w:sz w:val="24"/>
          <w:szCs w:val="24"/>
        </w:rPr>
        <w:t>40</w:t>
      </w:r>
      <w:r>
        <w:rPr>
          <w:rFonts w:ascii="Times New Roman" w:cs="Times New Roman" w:eastAsia="Times New Roman" w:hAnsi="Times New Roman"/>
          <w:b/>
          <w:sz w:val="24"/>
          <w:szCs w:val="24"/>
        </w:rPr>
        <w:t xml:space="preserve">  </w:t>
      </w:r>
      <w:r>
        <w:rPr>
          <w:rFonts w:ascii="Times New Roman" w:cs="Times New Roman" w:eastAsia="Times New Roman" w:hAnsi="Times New Roman"/>
          <w:b/>
          <w:sz w:val="24"/>
          <w:szCs w:val="24"/>
        </w:rPr>
        <w:br w:type="page"/>
      </w:r>
    </w:p>
    <w:p w14:paraId="000000F9">
      <w:pPr>
        <w:jc w:val="center"/>
        <w:rPr>
          <w:rFonts w:ascii="Times New Roman" w:cs="Times New Roman" w:hAnsi="Times New Roman"/>
          <w:b/>
          <w:bCs/>
          <w:sz w:val="24"/>
          <w:szCs w:val="24"/>
        </w:rPr>
      </w:pPr>
      <w:r>
        <w:rPr>
          <w:rFonts w:ascii="Times New Roman" w:cs="Times New Roman" w:hAnsi="Times New Roman"/>
          <w:b/>
          <w:bCs/>
          <w:sz w:val="24"/>
          <w:szCs w:val="24"/>
        </w:rPr>
        <w:t>Table of Contents</w:t>
      </w:r>
    </w:p>
    <w:p w14:paraId="000000FA">
      <w:pPr>
        <w:pStyle w:val="TOCHeading"/>
        <w:rPr/>
      </w:pPr>
    </w:p>
    <w:p w14:paraId="000000FB">
      <w:pPr>
        <w:pStyle w:val="Toc1"/>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 TOC \o "1-3" \h \z \u </w:instrText>
      </w:r>
      <w:r>
        <w:fldChar w:fldCharType="separate"/>
      </w:r>
      <w:r>
        <w:fldChar w:fldCharType="begin"/>
      </w:r>
      <w:r>
        <w:instrText xml:space="preserve">HYPERLINK \l "_Toc148734183" </w:instrText>
      </w:r>
      <w:r>
        <w:fldChar w:fldCharType="separate"/>
      </w:r>
      <w:r>
        <w:rPr>
          <w:rStyle w:val="Hyperlink"/>
          <w:rFonts w:ascii="Times New Roman" w:cs="Times New Roman" w:hAnsi="Times New Roman"/>
          <w:sz w:val="24"/>
          <w:szCs w:val="24"/>
        </w:rPr>
        <w:t>Component B: Presentation</w:t>
      </w:r>
      <w:r>
        <w:rPr>
          <w:rFonts w:ascii="Times New Roman" w:cs="Times New Roman" w:hAnsi="Times New Roman"/>
          <w:sz w:val="24"/>
          <w:szCs w:val="24"/>
        </w:rPr>
        <w:tab/>
      </w:r>
      <w:r>
        <w:fldChar w:fldCharType="begin"/>
      </w:r>
      <w:r>
        <w:instrText xml:space="preserve"> PAGEREF _Toc148734183 \h </w:instrText>
      </w:r>
      <w:r>
        <w:fldChar w:fldCharType="separate"/>
      </w:r>
      <w:r>
        <w:rPr>
          <w:rFonts w:ascii="Times New Roman" w:cs="Times New Roman" w:hAnsi="Times New Roman"/>
          <w:sz w:val="24"/>
          <w:szCs w:val="24"/>
        </w:rPr>
        <w:t>2</w:t>
      </w:r>
      <w:r>
        <w:fldChar w:fldCharType="end"/>
      </w:r>
      <w:r>
        <w:fldChar w:fldCharType="end"/>
      </w:r>
    </w:p>
    <w:p w14:paraId="000000FC">
      <w:pPr>
        <w:pStyle w:val="Toc2"/>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"_Toc148734184" </w:instrText>
      </w:r>
      <w:r>
        <w:fldChar w:fldCharType="separate"/>
      </w:r>
      <w:r>
        <w:rPr>
          <w:rStyle w:val="Hyperlink"/>
          <w:rFonts w:ascii="Times New Roman" w:cs="Times New Roman" w:hAnsi="Times New Roman"/>
          <w:sz w:val="24"/>
          <w:szCs w:val="24"/>
        </w:rPr>
        <w:t>Slide 1: Segmentation and Targeting</w:t>
      </w:r>
      <w:r>
        <w:rPr>
          <w:rFonts w:ascii="Times New Roman" w:cs="Times New Roman" w:hAnsi="Times New Roman"/>
          <w:sz w:val="24"/>
          <w:szCs w:val="24"/>
        </w:rPr>
        <w:tab/>
      </w:r>
      <w:r>
        <w:fldChar w:fldCharType="begin"/>
      </w:r>
      <w:r>
        <w:instrText xml:space="preserve"> PAGEREF _Toc148734184 \h </w:instrText>
      </w:r>
      <w:r>
        <w:fldChar w:fldCharType="separate"/>
      </w:r>
      <w:r>
        <w:rPr>
          <w:rFonts w:ascii="Times New Roman" w:cs="Times New Roman" w:hAnsi="Times New Roman"/>
          <w:sz w:val="24"/>
          <w:szCs w:val="24"/>
        </w:rPr>
        <w:t>2</w:t>
      </w:r>
      <w:r>
        <w:fldChar w:fldCharType="end"/>
      </w:r>
      <w:r>
        <w:fldChar w:fldCharType="end"/>
      </w:r>
    </w:p>
    <w:p w14:paraId="000000FD">
      <w:pPr>
        <w:pStyle w:val="Toc2"/>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"_Toc148734185" </w:instrText>
      </w:r>
      <w:r>
        <w:fldChar w:fldCharType="separate"/>
      </w:r>
      <w:r>
        <w:rPr>
          <w:rStyle w:val="Hyperlink"/>
          <w:rFonts w:ascii="Times New Roman" w:cs="Times New Roman" w:hAnsi="Times New Roman"/>
          <w:sz w:val="24"/>
          <w:szCs w:val="24"/>
        </w:rPr>
        <w:t>Slide 2: Marketing Mix</w:t>
      </w:r>
      <w:r>
        <w:rPr>
          <w:rFonts w:ascii="Times New Roman" w:cs="Times New Roman" w:hAnsi="Times New Roman"/>
          <w:sz w:val="24"/>
          <w:szCs w:val="24"/>
        </w:rPr>
        <w:tab/>
      </w:r>
      <w:r>
        <w:fldChar w:fldCharType="begin"/>
      </w:r>
      <w:r>
        <w:instrText xml:space="preserve"> PAGEREF _Toc148734185 \h </w:instrText>
      </w:r>
      <w:r>
        <w:fldChar w:fldCharType="separate"/>
      </w:r>
      <w:r>
        <w:rPr>
          <w:rFonts w:ascii="Times New Roman" w:cs="Times New Roman" w:hAnsi="Times New Roman"/>
          <w:sz w:val="24"/>
          <w:szCs w:val="24"/>
        </w:rPr>
        <w:t>2</w:t>
      </w:r>
      <w:r>
        <w:fldChar w:fldCharType="end"/>
      </w:r>
      <w:r>
        <w:fldChar w:fldCharType="end"/>
      </w:r>
    </w:p>
    <w:p w14:paraId="000000FE">
      <w:pPr>
        <w:pStyle w:val="Toc2"/>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"_Toc148734186" </w:instrText>
      </w:r>
      <w:r>
        <w:fldChar w:fldCharType="separate"/>
      </w:r>
      <w:r>
        <w:rPr>
          <w:rStyle w:val="Hyperlink"/>
          <w:rFonts w:ascii="Times New Roman" w:cs="Times New Roman" w:hAnsi="Times New Roman"/>
          <w:sz w:val="24"/>
          <w:szCs w:val="24"/>
        </w:rPr>
        <w:t>Slide 3: Ansoff Matrix</w:t>
      </w:r>
      <w:r>
        <w:rPr>
          <w:rFonts w:ascii="Times New Roman" w:cs="Times New Roman" w:hAnsi="Times New Roman"/>
          <w:sz w:val="24"/>
          <w:szCs w:val="24"/>
        </w:rPr>
        <w:tab/>
      </w:r>
      <w:r>
        <w:fldChar w:fldCharType="begin"/>
      </w:r>
      <w:r>
        <w:instrText xml:space="preserve"> PAGEREF _Toc148734186 \h </w:instrText>
      </w:r>
      <w:r>
        <w:fldChar w:fldCharType="separate"/>
      </w:r>
      <w:r>
        <w:rPr>
          <w:rFonts w:ascii="Times New Roman" w:cs="Times New Roman" w:hAnsi="Times New Roman"/>
          <w:sz w:val="24"/>
          <w:szCs w:val="24"/>
        </w:rPr>
        <w:t>3</w:t>
      </w:r>
      <w:r>
        <w:fldChar w:fldCharType="end"/>
      </w:r>
      <w:r>
        <w:fldChar w:fldCharType="end"/>
      </w:r>
    </w:p>
    <w:p w14:paraId="000000FF">
      <w:pPr>
        <w:pStyle w:val="Toc2"/>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"_Toc148734187" </w:instrText>
      </w:r>
      <w:r>
        <w:fldChar w:fldCharType="separate"/>
      </w:r>
      <w:r>
        <w:rPr>
          <w:rStyle w:val="Hyperlink"/>
          <w:rFonts w:ascii="Times New Roman" w:cs="Times New Roman" w:hAnsi="Times New Roman"/>
          <w:sz w:val="24"/>
          <w:szCs w:val="24"/>
        </w:rPr>
        <w:t>Slide 4: Communication Mix</w:t>
      </w:r>
      <w:r>
        <w:rPr>
          <w:rFonts w:ascii="Times New Roman" w:cs="Times New Roman" w:hAnsi="Times New Roman"/>
          <w:sz w:val="24"/>
          <w:szCs w:val="24"/>
        </w:rPr>
        <w:tab/>
      </w:r>
      <w:r>
        <w:fldChar w:fldCharType="begin"/>
      </w:r>
      <w:r>
        <w:instrText xml:space="preserve"> PAGEREF _Toc148734187 \h </w:instrText>
      </w:r>
      <w:r>
        <w:fldChar w:fldCharType="separate"/>
      </w:r>
      <w:r>
        <w:rPr>
          <w:rFonts w:ascii="Times New Roman" w:cs="Times New Roman" w:hAnsi="Times New Roman"/>
          <w:sz w:val="24"/>
          <w:szCs w:val="24"/>
        </w:rPr>
        <w:t>3</w:t>
      </w:r>
      <w:r>
        <w:fldChar w:fldCharType="end"/>
      </w:r>
      <w:r>
        <w:fldChar w:fldCharType="end"/>
      </w:r>
    </w:p>
    <w:p w14:paraId="00000100">
      <w:pPr>
        <w:pStyle w:val="Toc2"/>
        <w:tabs>
          <w:tab w:val="right" w:leader="dot" w:pos="9019"/>
        </w:tabs>
        <w:spacing w:line="360" w:lineRule="auto"/>
        <w:jc w:val="both"/>
        <w:rPr>
          <w:rFonts w:ascii="Times New Roman" w:cs="Times New Roman" w:eastAsiaTheme="minorEastAsia" w:hAnsi="Times New Roman"/>
          <w:sz w:val="24"/>
          <w:szCs w:val="24"/>
          <w:lang w:val="en-IN"/>
          <w14:ligatures w14:val="standardContextual"/>
        </w:rPr>
      </w:pPr>
      <w:r>
        <w:fldChar w:fldCharType="begin"/>
      </w:r>
      <w:r>
        <w:instrText xml:space="preserve">HYPERLINK \l "_Toc148734188" </w:instrText>
      </w:r>
      <w:r>
        <w:fldChar w:fldCharType="separate"/>
      </w:r>
      <w:r>
        <w:rPr>
          <w:rStyle w:val="Hyperlink"/>
          <w:rFonts w:ascii="Times New Roman" w:cs="Times New Roman" w:hAnsi="Times New Roman"/>
          <w:sz w:val="24"/>
          <w:szCs w:val="24"/>
        </w:rPr>
        <w:t>Slide 5: Action Plan</w:t>
      </w:r>
      <w:r>
        <w:rPr>
          <w:rFonts w:ascii="Times New Roman" w:cs="Times New Roman" w:hAnsi="Times New Roman"/>
          <w:sz w:val="24"/>
          <w:szCs w:val="24"/>
        </w:rPr>
        <w:tab/>
      </w:r>
      <w:r>
        <w:fldChar w:fldCharType="begin"/>
      </w:r>
      <w:r>
        <w:instrText xml:space="preserve"> PAGEREF _Toc148734188 \h </w:instrText>
      </w:r>
      <w:r>
        <w:fldChar w:fldCharType="separate"/>
      </w:r>
      <w:r>
        <w:rPr>
          <w:rFonts w:ascii="Times New Roman" w:cs="Times New Roman" w:hAnsi="Times New Roman"/>
          <w:sz w:val="24"/>
          <w:szCs w:val="24"/>
        </w:rPr>
        <w:t>4</w:t>
      </w:r>
      <w:r>
        <w:fldChar w:fldCharType="end"/>
      </w:r>
      <w:r>
        <w:fldChar w:fldCharType="end"/>
      </w:r>
    </w:p>
    <w:p w14:paraId="00000101">
      <w:pPr>
        <w:pStyle w:val="Toc2"/>
        <w:tabs>
          <w:tab w:val="right" w:leader="dot" w:pos="9019"/>
        </w:tabs>
        <w:spacing w:line="360" w:lineRule="auto"/>
        <w:jc w:val="both"/>
        <w:rPr>
          <w:rFonts w:asciiTheme="minorHAnsi" w:cstheme="minorBidi" w:eastAsiaTheme="minorEastAsia" w:hAnsiTheme="minorHAnsi"/>
          <w:lang w:val="en-IN"/>
          <w14:ligatures w14:val="standardContextual"/>
        </w:rPr>
      </w:pPr>
      <w:r>
        <w:fldChar w:fldCharType="begin"/>
      </w:r>
      <w:r>
        <w:instrText xml:space="preserve">HYPERLINK \l "_Toc148734189" </w:instrText>
      </w:r>
      <w:r>
        <w:fldChar w:fldCharType="separate"/>
      </w:r>
      <w:r>
        <w:rPr>
          <w:rStyle w:val="Hyperlink"/>
          <w:rFonts w:ascii="Times New Roman" w:cs="Times New Roman" w:hAnsi="Times New Roman"/>
          <w:sz w:val="24"/>
          <w:szCs w:val="24"/>
        </w:rPr>
        <w:t>Slide 6: References</w:t>
      </w:r>
      <w:r>
        <w:rPr>
          <w:rFonts w:ascii="Times New Roman" w:cs="Times New Roman" w:hAnsi="Times New Roman"/>
          <w:sz w:val="24"/>
          <w:szCs w:val="24"/>
        </w:rPr>
        <w:tab/>
      </w:r>
      <w:r>
        <w:fldChar w:fldCharType="begin"/>
      </w:r>
      <w:r>
        <w:instrText xml:space="preserve"> PAGEREF _Toc148734189 \h </w:instrText>
      </w:r>
      <w:r>
        <w:fldChar w:fldCharType="separate"/>
      </w:r>
      <w:r>
        <w:rPr>
          <w:rFonts w:ascii="Times New Roman" w:cs="Times New Roman" w:hAnsi="Times New Roman"/>
          <w:sz w:val="24"/>
          <w:szCs w:val="24"/>
        </w:rPr>
        <w:t>5</w:t>
      </w:r>
      <w:r>
        <w:fldChar w:fldCharType="end"/>
      </w:r>
      <w:r>
        <w:fldChar w:fldCharType="end"/>
      </w:r>
    </w:p>
    <w:p w14:paraId="00000102">
      <w:pPr>
        <w:spacing w:line="360" w:lineRule="auto"/>
        <w:jc w:val="center"/>
        <w:rPr>
          <w:rFonts w:ascii="Times New Roman" w:cs="Times New Roman" w:eastAsia="Times New Roman" w:hAnsi="Times New Roman"/>
          <w:b/>
          <w:sz w:val="24"/>
          <w:szCs w:val="24"/>
        </w:rPr>
      </w:pPr>
      <w:r>
        <w:fldChar w:fldCharType="end"/>
      </w:r>
      <w:r>
        <w:rPr>
          <w:rFonts w:ascii="Times New Roman" w:cs="Times New Roman" w:eastAsia="Times New Roman" w:hAnsi="Times New Roman"/>
          <w:b/>
          <w:sz w:val="24"/>
          <w:szCs w:val="24"/>
        </w:rPr>
        <w:br w:type="page"/>
      </w:r>
    </w:p>
    <w:p w14:paraId="00000103">
      <w:pPr>
        <w:pStyle w:val="Heading1"/>
        <w:rPr/>
      </w:pPr>
      <w:r>
        <w:t>Component B: Presentation</w:t>
      </w:r>
      <w:r>
        <w:t xml:space="preserve"> </w:t>
      </w:r>
    </w:p>
    <w:p w14:paraId="00000104">
      <w:pPr>
        <w:pStyle w:val="Heading2"/>
        <w:rPr/>
      </w:pPr>
      <w:r>
        <w:t>Slide 1: Segmentation and Targeting</w:t>
      </w:r>
      <w:r>
        <w:t xml:space="preserve"> </w:t>
      </w:r>
    </w:p>
    <w:tbl>
      <w:tblPr>
        <w:tblStyle w:val="A6"/>
        <w:tblW w:w="902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tblPr>
      <w:tblGrid>
        <w:gridCol w:w="3009"/>
        <w:gridCol w:w="3009"/>
        <w:gridCol w:w="3009"/>
      </w:tblGrid>
      <w:tr>
        <w:trPr/>
        <w:tc>
          <w:tcPr>
            <w:cnfStyle w:val="000000000000"/>
            <w:tcW w:w="3009" w:type="dxa"/>
            <w:shd w:val="clear" w:color="auto" w:fill="fff2cc"/>
            <w:tcMar>
              <w:top w:w="100" w:type="dxa"/>
              <w:left w:w="100" w:type="dxa"/>
              <w:bottom w:w="100" w:type="dxa"/>
              <w:right w:w="100" w:type="dxa"/>
            </w:tcMar>
          </w:tcPr>
          <w:p w14:paraId="00000105">
            <w:pPr>
              <w:widowControl w:val="off"/>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Segmentation </w:t>
            </w:r>
          </w:p>
        </w:tc>
        <w:tc>
          <w:tcPr>
            <w:cnfStyle w:val="000000000000"/>
            <w:tcW w:w="3009" w:type="dxa"/>
            <w:shd w:val="clear" w:color="auto" w:fill="fff2cc"/>
            <w:tcMar>
              <w:top w:w="100" w:type="dxa"/>
              <w:left w:w="100" w:type="dxa"/>
              <w:bottom w:w="100" w:type="dxa"/>
              <w:right w:w="100" w:type="dxa"/>
            </w:tcMar>
          </w:tcPr>
          <w:p w14:paraId="00000106">
            <w:pPr>
              <w:widowControl w:val="off"/>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Targeting </w:t>
            </w:r>
          </w:p>
        </w:tc>
        <w:tc>
          <w:tcPr>
            <w:cnfStyle w:val="000000000000"/>
            <w:tcW w:w="3009" w:type="dxa"/>
            <w:shd w:val="clear" w:color="auto" w:fill="fff2cc"/>
            <w:tcMar>
              <w:top w:w="100" w:type="dxa"/>
              <w:left w:w="100" w:type="dxa"/>
              <w:bottom w:w="100" w:type="dxa"/>
              <w:right w:w="100" w:type="dxa"/>
            </w:tcMar>
          </w:tcPr>
          <w:p w14:paraId="00000107">
            <w:pPr>
              <w:widowControl w:val="off"/>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Positioning </w:t>
            </w:r>
          </w:p>
        </w:tc>
      </w:tr>
      <w:tr>
        <w:trPr/>
        <w:tc>
          <w:tcPr>
            <w:cnfStyle w:val="000000000000"/>
            <w:tcW w:w="3009" w:type="dxa"/>
            <w:shd w:val="clear" w:color="auto" w:fill="d9ead3"/>
            <w:tcMar>
              <w:top w:w="100" w:type="dxa"/>
              <w:left w:w="100" w:type="dxa"/>
              <w:bottom w:w="100" w:type="dxa"/>
              <w:right w:w="100" w:type="dxa"/>
            </w:tcMar>
          </w:tcPr>
          <w:p w14:paraId="00000108">
            <w:pPr>
              <w:widowControl w:val="off"/>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 xml:space="preserve">Geographic: </w:t>
            </w:r>
            <w:r>
              <w:rPr>
                <w:rFonts w:ascii="Times New Roman" w:cs="Times New Roman" w:eastAsia="Times New Roman" w:hAnsi="Times New Roman"/>
                <w:sz w:val="24"/>
                <w:szCs w:val="24"/>
              </w:rPr>
              <w:t>London, UK</w:t>
            </w:r>
          </w:p>
          <w:p w14:paraId="00000109">
            <w:pPr>
              <w:widowControl w:val="off"/>
              <w:spacing w:line="360" w:lineRule="auto"/>
              <w:jc w:val="both"/>
              <w:rPr>
                <w:rFonts w:ascii="Times New Roman" w:cs="Times New Roman" w:eastAsia="Times New Roman" w:hAnsi="Times New Roman"/>
                <w:b/>
                <w:sz w:val="24"/>
                <w:szCs w:val="24"/>
              </w:rPr>
            </w:pPr>
          </w:p>
          <w:p w14:paraId="0000010A">
            <w:pPr>
              <w:widowControl w:val="off"/>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 xml:space="preserve">Demographic: </w:t>
            </w:r>
            <w:r>
              <w:rPr>
                <w:rFonts w:ascii="Times New Roman" w:cs="Times New Roman" w:eastAsia="Times New Roman" w:hAnsi="Times New Roman"/>
                <w:sz w:val="24"/>
                <w:szCs w:val="24"/>
              </w:rPr>
              <w:t xml:space="preserve">Men and women who are aged between 25-65 and related to business </w:t>
            </w:r>
          </w:p>
          <w:p w14:paraId="0000010B">
            <w:pPr>
              <w:widowControl w:val="off"/>
              <w:spacing w:line="360" w:lineRule="auto"/>
              <w:jc w:val="both"/>
              <w:rPr>
                <w:rFonts w:ascii="Times New Roman" w:cs="Times New Roman" w:eastAsia="Times New Roman" w:hAnsi="Times New Roman"/>
                <w:b/>
                <w:sz w:val="24"/>
                <w:szCs w:val="24"/>
              </w:rPr>
            </w:pPr>
          </w:p>
          <w:p w14:paraId="0000010C">
            <w:pPr>
              <w:widowControl w:val="off"/>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 xml:space="preserve">Psychological: </w:t>
            </w:r>
            <w:r>
              <w:rPr>
                <w:rFonts w:ascii="Times New Roman" w:cs="Times New Roman" w:eastAsia="Times New Roman" w:hAnsi="Times New Roman"/>
                <w:sz w:val="24"/>
                <w:szCs w:val="24"/>
              </w:rPr>
              <w:t xml:space="preserve">Individuals that prefer sophisticated lifestyle </w:t>
            </w:r>
          </w:p>
        </w:tc>
        <w:tc>
          <w:tcPr>
            <w:cnfStyle w:val="000000000000"/>
            <w:tcW w:w="3009" w:type="dxa"/>
            <w:shd w:val="clear" w:color="auto" w:fill="d9ead3"/>
            <w:tcMar>
              <w:top w:w="100" w:type="dxa"/>
              <w:left w:w="100" w:type="dxa"/>
              <w:bottom w:w="100" w:type="dxa"/>
              <w:right w:w="100" w:type="dxa"/>
            </w:tcMar>
          </w:tcPr>
          <w:p w14:paraId="0000010D">
            <w:pPr>
              <w:widowControl w:val="off"/>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sz w:val="24"/>
                <w:szCs w:val="24"/>
              </w:rPr>
              <w:t xml:space="preserve">Men and women that are travel often regarding businesses </w:t>
            </w:r>
          </w:p>
        </w:tc>
        <w:tc>
          <w:tcPr>
            <w:cnfStyle w:val="000000000000"/>
            <w:tcW w:w="3009" w:type="dxa"/>
            <w:shd w:val="clear" w:color="auto" w:fill="d9ead3"/>
            <w:tcMar>
              <w:top w:w="100" w:type="dxa"/>
              <w:left w:w="100" w:type="dxa"/>
              <w:bottom w:w="100" w:type="dxa"/>
              <w:right w:w="100" w:type="dxa"/>
            </w:tcMar>
          </w:tcPr>
          <w:p w14:paraId="0000010E">
            <w:pPr>
              <w:widowControl w:val="off"/>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Hilton Hotel will position itself based on the brand’s reputation </w:t>
            </w:r>
          </w:p>
        </w:tc>
      </w:tr>
    </w:tbl>
    <w:p w14:paraId="0000010F">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 xml:space="preserve">SN: </w:t>
      </w:r>
      <w:r>
        <w:rPr>
          <w:rFonts w:ascii="Times New Roman" w:cs="Times New Roman" w:eastAsia="Times New Roman" w:hAnsi="Times New Roman"/>
          <w:sz w:val="24"/>
          <w:szCs w:val="24"/>
        </w:rPr>
        <w:t>The STP has been provided to outline the target audience of Hilton Hotel in the UK market. It has been reported that 89% of business professionals in the UK prefer luxurious hotels (Wrathall, 2023)</w:t>
      </w:r>
    </w:p>
    <w:p w14:paraId="00000110">
      <w:pPr>
        <w:pStyle w:val="Heading2"/>
        <w:rPr/>
      </w:pPr>
      <w:r>
        <w:t>Slide 2: Marketing Mix</w:t>
      </w:r>
    </w:p>
    <w:tbl>
      <w:tblPr>
        <w:tblStyle w:val="A7"/>
        <w:tblW w:w="90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tblPr>
      <w:tblGrid>
        <w:gridCol w:w="1485"/>
        <w:gridCol w:w="7515"/>
      </w:tblGrid>
      <w:tr>
        <w:trPr/>
        <w:tc>
          <w:tcPr>
            <w:cnfStyle w:val="000000000000"/>
            <w:tcW w:w="1485" w:type="dxa"/>
            <w:shd w:val="clear" w:color="auto" w:fill="e06666"/>
            <w:tcMar>
              <w:top w:w="100" w:type="dxa"/>
              <w:left w:w="100" w:type="dxa"/>
              <w:bottom w:w="100" w:type="dxa"/>
              <w:right w:w="100" w:type="dxa"/>
            </w:tcMar>
          </w:tcPr>
          <w:p w14:paraId="00000111">
            <w:pPr>
              <w:widowControl w:val="off"/>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Place</w:t>
            </w:r>
          </w:p>
        </w:tc>
        <w:tc>
          <w:tcPr>
            <w:cnfStyle w:val="000000000000"/>
            <w:tcW w:w="7515" w:type="dxa"/>
            <w:shd w:val="clear" w:color="auto" w:fill="f3f3f3"/>
            <w:tcMar>
              <w:top w:w="100" w:type="dxa"/>
              <w:left w:w="100" w:type="dxa"/>
              <w:bottom w:w="100" w:type="dxa"/>
              <w:right w:w="100" w:type="dxa"/>
            </w:tcMar>
          </w:tcPr>
          <w:p w14:paraId="00000112">
            <w:pPr>
              <w:widowControl w:val="off"/>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London, UK [Preferably metropolitan cities of the UK]</w:t>
            </w:r>
          </w:p>
        </w:tc>
      </w:tr>
      <w:tr>
        <w:trPr/>
        <w:tc>
          <w:tcPr>
            <w:cnfStyle w:val="000000000000"/>
            <w:tcW w:w="1485" w:type="dxa"/>
            <w:shd w:val="clear" w:color="auto" w:fill="e06666"/>
            <w:tcMar>
              <w:top w:w="100" w:type="dxa"/>
              <w:left w:w="100" w:type="dxa"/>
              <w:bottom w:w="100" w:type="dxa"/>
              <w:right w:w="100" w:type="dxa"/>
            </w:tcMar>
          </w:tcPr>
          <w:p w14:paraId="00000113">
            <w:pPr>
              <w:widowControl w:val="off"/>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Product</w:t>
            </w:r>
          </w:p>
        </w:tc>
        <w:tc>
          <w:tcPr>
            <w:cnfStyle w:val="000000000000"/>
            <w:tcW w:w="7515" w:type="dxa"/>
            <w:shd w:val="clear" w:color="auto" w:fill="f3f3f3"/>
            <w:tcMar>
              <w:top w:w="100" w:type="dxa"/>
              <w:left w:w="100" w:type="dxa"/>
              <w:bottom w:w="100" w:type="dxa"/>
              <w:right w:w="100" w:type="dxa"/>
            </w:tcMar>
          </w:tcPr>
          <w:p w14:paraId="00000114">
            <w:pPr>
              <w:widowControl w:val="off"/>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Luxurious furnishings, higher quality accommodations, professional room service options</w:t>
            </w:r>
          </w:p>
        </w:tc>
      </w:tr>
      <w:tr>
        <w:trPr/>
        <w:tc>
          <w:tcPr>
            <w:cnfStyle w:val="000000000000"/>
            <w:tcW w:w="1485" w:type="dxa"/>
            <w:shd w:val="clear" w:color="auto" w:fill="e06666"/>
            <w:tcMar>
              <w:top w:w="100" w:type="dxa"/>
              <w:left w:w="100" w:type="dxa"/>
              <w:bottom w:w="100" w:type="dxa"/>
              <w:right w:w="100" w:type="dxa"/>
            </w:tcMar>
          </w:tcPr>
          <w:p w14:paraId="00000115">
            <w:pPr>
              <w:widowControl w:val="off"/>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Price</w:t>
            </w:r>
          </w:p>
        </w:tc>
        <w:tc>
          <w:tcPr>
            <w:cnfStyle w:val="000000000000"/>
            <w:tcW w:w="7515" w:type="dxa"/>
            <w:shd w:val="clear" w:color="auto" w:fill="f3f3f3"/>
            <w:tcMar>
              <w:top w:w="100" w:type="dxa"/>
              <w:left w:w="100" w:type="dxa"/>
              <w:bottom w:w="100" w:type="dxa"/>
              <w:right w:w="100" w:type="dxa"/>
            </w:tcMar>
          </w:tcPr>
          <w:p w14:paraId="00000116">
            <w:pPr>
              <w:widowControl w:val="off"/>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£90 to £450 based accommodation facilities </w:t>
            </w:r>
          </w:p>
        </w:tc>
      </w:tr>
      <w:tr>
        <w:trPr/>
        <w:tc>
          <w:tcPr>
            <w:cnfStyle w:val="000000000000"/>
            <w:tcW w:w="1485" w:type="dxa"/>
            <w:shd w:val="clear" w:color="auto" w:fill="e06666"/>
            <w:tcMar>
              <w:top w:w="100" w:type="dxa"/>
              <w:left w:w="100" w:type="dxa"/>
              <w:bottom w:w="100" w:type="dxa"/>
              <w:right w:w="100" w:type="dxa"/>
            </w:tcMar>
          </w:tcPr>
          <w:p w14:paraId="00000117">
            <w:pPr>
              <w:widowControl w:val="off"/>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Promotion </w:t>
            </w:r>
          </w:p>
        </w:tc>
        <w:tc>
          <w:tcPr>
            <w:cnfStyle w:val="000000000000"/>
            <w:tcW w:w="7515" w:type="dxa"/>
            <w:shd w:val="clear" w:color="auto" w:fill="f3f3f3"/>
            <w:tcMar>
              <w:top w:w="100" w:type="dxa"/>
              <w:left w:w="100" w:type="dxa"/>
              <w:bottom w:w="100" w:type="dxa"/>
              <w:right w:w="100" w:type="dxa"/>
            </w:tcMar>
          </w:tcPr>
          <w:p w14:paraId="00000118">
            <w:pPr>
              <w:widowControl w:val="off"/>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Social media marketing, press conference and direct marketing </w:t>
            </w:r>
          </w:p>
        </w:tc>
      </w:tr>
    </w:tbl>
    <w:p w14:paraId="00000119">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SN: </w:t>
      </w:r>
      <w:r>
        <w:rPr>
          <w:rFonts w:ascii="Times New Roman" w:cs="Times New Roman" w:eastAsia="Times New Roman" w:hAnsi="Times New Roman"/>
          <w:sz w:val="24"/>
          <w:szCs w:val="24"/>
        </w:rPr>
        <w:t xml:space="preserve">The marketing mix has been provided to understand the 4 P’s of marketing that Hilton Hotel will be using to gain competitive advantage. The market size of hospitality industry has reached 53.8 billion in the UK (mintel.com, 2023) </w:t>
      </w:r>
      <w:r>
        <w:rPr>
          <w:rFonts w:ascii="Times New Roman" w:cs="Times New Roman" w:eastAsia="Times New Roman" w:hAnsi="Times New Roman"/>
          <w:sz w:val="24"/>
          <w:szCs w:val="24"/>
        </w:rPr>
        <w:br w:type="page"/>
      </w:r>
    </w:p>
    <w:p w14:paraId="0000011A">
      <w:pPr>
        <w:pStyle w:val="Heading2"/>
        <w:rPr/>
      </w:pPr>
      <w:r>
        <w:t>Slide 3: Ansoff Matrix</w:t>
      </w:r>
      <w:r>
        <w:t xml:space="preserve"> </w:t>
      </w:r>
    </w:p>
    <w:p w14:paraId="0000011B">
      <w:pPr>
        <w:numPr>
          <w:ilvl w:val="0"/>
          <w:numId w:val="13"/>
        </w:num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Hilton Hotel will use Ansoff Matrix as the business strategy to increase its profit margin. </w:t>
      </w:r>
    </w:p>
    <w:p w14:paraId="0000011C">
      <w:pPr>
        <w:numPr>
          <w:ilvl w:val="0"/>
          <w:numId w:val="13"/>
        </w:num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Ansoff Matrix helps in understand the current market position of a company and help in focusing the areas for business profitability (Sukma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2019)</w:t>
      </w:r>
    </w:p>
    <w:p w14:paraId="0000011D">
      <w:pPr>
        <w:numPr>
          <w:ilvl w:val="0"/>
          <w:numId w:val="13"/>
        </w:num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Hilton Hotel will be using the product development stage to increase its profit by strengthening its market position.</w:t>
      </w:r>
    </w:p>
    <w:p w14:paraId="0000011E">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drawing xmlns:mc="http://schemas.openxmlformats.org/markup-compatibility/2006">
          <wp:inline distT="0" distB="0" distL="0" distR="0">
            <wp:extent cx="3892799" cy="2349984"/>
            <wp:effectExtent l="0" t="0" r="25400" b="25400"/>
            <wp:docPr id="33"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3.png"/>
                    <pic:cNvPicPr preferRelativeResize="0"/>
                  </pic:nvPicPr>
                  <pic:blipFill>
                    <a:blip r:embed="rId31"/>
                    <a:srcRect/>
                    <a:stretch>
                      <a:fillRect/>
                    </a:stretch>
                  </pic:blipFill>
                  <pic:spPr>
                    <a:xfrm>
                      <a:off x="0" y="0"/>
                      <a:ext cx="3892799" cy="2349984"/>
                    </a:xfrm>
                    <a:prstGeom prst="rect">
                      <a:avLst/>
                    </a:prstGeom>
                    <a:ln w="12700">
                      <a:solidFill>
                        <a:srgbClr val="000000"/>
                      </a:solidFill>
                      <a:prstDash val="solid"/>
                    </a:ln>
                  </pic:spPr>
                </pic:pic>
              </a:graphicData>
            </a:graphic>
          </wp:inline>
        </w:drawing>
      </w:r>
    </w:p>
    <w:p w14:paraId="0000011F">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Figure 1: Ansoff Matrix </w:t>
      </w:r>
    </w:p>
    <w:p w14:paraId="00000120">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sz w:val="24"/>
          <w:szCs w:val="24"/>
        </w:rPr>
        <w:t>(Source:</w:t>
      </w:r>
      <w:r>
        <w:rPr>
          <w:rFonts w:ascii="Times New Roman" w:cs="Times New Roman" w:eastAsia="Times New Roman" w:hAnsi="Times New Roman"/>
          <w:b/>
          <w:sz w:val="24"/>
          <w:szCs w:val="24"/>
        </w:rPr>
        <w:t xml:space="preserve"> </w:t>
      </w:r>
      <w:r>
        <w:rPr>
          <w:rFonts w:ascii="Times New Roman" w:cs="Times New Roman" w:eastAsia="Times New Roman" w:hAnsi="Times New Roman"/>
          <w:sz w:val="24"/>
          <w:szCs w:val="24"/>
        </w:rPr>
        <w:t xml:space="preserve">Sukma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2019)</w:t>
      </w:r>
    </w:p>
    <w:p w14:paraId="00000121">
      <w:pP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SN: </w:t>
      </w:r>
      <w:r>
        <w:rPr>
          <w:rFonts w:ascii="Times New Roman" w:cs="Times New Roman" w:eastAsia="Times New Roman" w:hAnsi="Times New Roman"/>
          <w:sz w:val="24"/>
          <w:szCs w:val="24"/>
        </w:rPr>
        <w:t xml:space="preserve">Hilton Hotel will be focusing on the </w:t>
      </w:r>
      <w:r>
        <w:rPr>
          <w:rFonts w:ascii="Times New Roman" w:cs="Times New Roman" w:eastAsia="Times New Roman" w:hAnsi="Times New Roman"/>
          <w:b/>
          <w:i/>
          <w:sz w:val="24"/>
          <w:szCs w:val="24"/>
        </w:rPr>
        <w:t>product development</w:t>
      </w:r>
      <w:r>
        <w:rPr>
          <w:rFonts w:ascii="Times New Roman" w:cs="Times New Roman" w:eastAsia="Times New Roman" w:hAnsi="Times New Roman"/>
          <w:sz w:val="24"/>
          <w:szCs w:val="24"/>
        </w:rPr>
        <w:t xml:space="preserve"> of the company which include </w:t>
      </w:r>
      <w:r>
        <w:rPr>
          <w:rFonts w:ascii="Times New Roman" w:cs="Times New Roman" w:eastAsia="Times New Roman" w:hAnsi="Times New Roman"/>
          <w:b/>
          <w:i/>
          <w:sz w:val="24"/>
          <w:szCs w:val="24"/>
        </w:rPr>
        <w:t>refurbishing rooms, food facility and technological integration</w:t>
      </w:r>
      <w:r>
        <w:rPr>
          <w:rFonts w:ascii="Times New Roman" w:cs="Times New Roman" w:eastAsia="Times New Roman" w:hAnsi="Times New Roman"/>
          <w:sz w:val="24"/>
          <w:szCs w:val="24"/>
        </w:rPr>
        <w:t xml:space="preserve"> programme. According to Sukma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(2019), Ansoff Matrix can help a company to gain insights regarding the market for its fundamental growth.</w:t>
      </w:r>
    </w:p>
    <w:p w14:paraId="00000122">
      <w:pPr>
        <w:pStyle w:val="Heading2"/>
        <w:rPr/>
      </w:pPr>
      <w:r>
        <w:t>Slide 4: Communication Mix</w:t>
      </w:r>
      <w:r>
        <w:t xml:space="preserve"> </w:t>
      </w:r>
    </w:p>
    <w:tbl>
      <w:tblPr>
        <w:tblStyle w:val="A8"/>
        <w:tblW w:w="90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tblPr>
      <w:tblGrid>
        <w:gridCol w:w="2115"/>
        <w:gridCol w:w="6885"/>
      </w:tblGrid>
      <w:tr>
        <w:trPr/>
        <w:tc>
          <w:tcPr>
            <w:cnfStyle w:val="000000000000"/>
            <w:tcW w:w="2115" w:type="dxa"/>
            <w:shd w:val="clear" w:color="auto" w:fill="cfe2f3"/>
            <w:tcMar>
              <w:top w:w="100" w:type="dxa"/>
              <w:left w:w="100" w:type="dxa"/>
              <w:bottom w:w="100" w:type="dxa"/>
              <w:right w:w="100" w:type="dxa"/>
            </w:tcMar>
          </w:tcPr>
          <w:p w14:paraId="00000123">
            <w:pPr>
              <w:widowControl w:val="off"/>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Advertising </w:t>
            </w:r>
          </w:p>
        </w:tc>
        <w:tc>
          <w:tcPr>
            <w:cnfStyle w:val="000000000000"/>
            <w:tcW w:w="6885" w:type="dxa"/>
            <w:shd w:val="clear" w:color="auto" w:fill="ead1dc"/>
            <w:tcMar>
              <w:top w:w="100" w:type="dxa"/>
              <w:left w:w="100" w:type="dxa"/>
              <w:bottom w:w="100" w:type="dxa"/>
              <w:right w:w="100" w:type="dxa"/>
            </w:tcMar>
          </w:tcPr>
          <w:p w14:paraId="00000124">
            <w:pPr>
              <w:widowControl w:val="off"/>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Influencer marketing </w:t>
            </w:r>
          </w:p>
        </w:tc>
      </w:tr>
      <w:tr>
        <w:trPr/>
        <w:tc>
          <w:tcPr>
            <w:cnfStyle w:val="000000000000"/>
            <w:tcW w:w="2115" w:type="dxa"/>
            <w:shd w:val="clear" w:color="auto" w:fill="cfe2f3"/>
            <w:tcMar>
              <w:top w:w="100" w:type="dxa"/>
              <w:left w:w="100" w:type="dxa"/>
              <w:bottom w:w="100" w:type="dxa"/>
              <w:right w:w="100" w:type="dxa"/>
            </w:tcMar>
          </w:tcPr>
          <w:p w14:paraId="00000125">
            <w:pPr>
              <w:widowControl w:val="off"/>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Personal selling </w:t>
            </w:r>
          </w:p>
        </w:tc>
        <w:tc>
          <w:tcPr>
            <w:cnfStyle w:val="000000000000"/>
            <w:tcW w:w="6885" w:type="dxa"/>
            <w:shd w:val="clear" w:color="auto" w:fill="ead1dc"/>
            <w:tcMar>
              <w:top w:w="100" w:type="dxa"/>
              <w:left w:w="100" w:type="dxa"/>
              <w:bottom w:w="100" w:type="dxa"/>
              <w:right w:w="100" w:type="dxa"/>
            </w:tcMar>
          </w:tcPr>
          <w:p w14:paraId="00000126">
            <w:pPr>
              <w:widowControl w:val="off"/>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Social media marketing </w:t>
            </w:r>
          </w:p>
        </w:tc>
      </w:tr>
      <w:tr>
        <w:trPr/>
        <w:tc>
          <w:tcPr>
            <w:cnfStyle w:val="000000000000"/>
            <w:tcW w:w="2115" w:type="dxa"/>
            <w:shd w:val="clear" w:color="auto" w:fill="cfe2f3"/>
            <w:tcMar>
              <w:top w:w="100" w:type="dxa"/>
              <w:left w:w="100" w:type="dxa"/>
              <w:bottom w:w="100" w:type="dxa"/>
              <w:right w:w="100" w:type="dxa"/>
            </w:tcMar>
          </w:tcPr>
          <w:p w14:paraId="00000127">
            <w:pPr>
              <w:widowControl w:val="off"/>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Public relation </w:t>
            </w:r>
          </w:p>
        </w:tc>
        <w:tc>
          <w:tcPr>
            <w:cnfStyle w:val="000000000000"/>
            <w:tcW w:w="6885" w:type="dxa"/>
            <w:shd w:val="clear" w:color="auto" w:fill="ead1dc"/>
            <w:tcMar>
              <w:top w:w="100" w:type="dxa"/>
              <w:left w:w="100" w:type="dxa"/>
              <w:bottom w:w="100" w:type="dxa"/>
              <w:right w:w="100" w:type="dxa"/>
            </w:tcMar>
          </w:tcPr>
          <w:p w14:paraId="00000128">
            <w:pPr>
              <w:widowControl w:val="off"/>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Press conference</w:t>
            </w:r>
          </w:p>
        </w:tc>
      </w:tr>
      <w:tr>
        <w:trPr/>
        <w:tc>
          <w:tcPr>
            <w:cnfStyle w:val="000000000000"/>
            <w:tcW w:w="2115" w:type="dxa"/>
            <w:shd w:val="clear" w:color="auto" w:fill="cfe2f3"/>
            <w:tcMar>
              <w:top w:w="100" w:type="dxa"/>
              <w:left w:w="100" w:type="dxa"/>
              <w:bottom w:w="100" w:type="dxa"/>
              <w:right w:w="100" w:type="dxa"/>
            </w:tcMar>
          </w:tcPr>
          <w:p w14:paraId="00000129">
            <w:pPr>
              <w:widowControl w:val="off"/>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Direct marketing </w:t>
            </w:r>
          </w:p>
        </w:tc>
        <w:tc>
          <w:tcPr>
            <w:cnfStyle w:val="000000000000"/>
            <w:tcW w:w="6885" w:type="dxa"/>
            <w:shd w:val="clear" w:color="auto" w:fill="ead1dc"/>
            <w:tcMar>
              <w:top w:w="100" w:type="dxa"/>
              <w:left w:w="100" w:type="dxa"/>
              <w:bottom w:w="100" w:type="dxa"/>
              <w:right w:w="100" w:type="dxa"/>
            </w:tcMar>
          </w:tcPr>
          <w:p w14:paraId="0000012A">
            <w:pPr>
              <w:widowControl w:val="off"/>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In-person selling </w:t>
            </w:r>
          </w:p>
        </w:tc>
      </w:tr>
      <w:tr>
        <w:trPr/>
        <w:tc>
          <w:tcPr>
            <w:cnfStyle w:val="000000000000"/>
            <w:tcW w:w="2115" w:type="dxa"/>
            <w:shd w:val="clear" w:color="auto" w:fill="cfe2f3"/>
            <w:tcMar>
              <w:top w:w="100" w:type="dxa"/>
              <w:left w:w="100" w:type="dxa"/>
              <w:bottom w:w="100" w:type="dxa"/>
              <w:right w:w="100" w:type="dxa"/>
            </w:tcMar>
          </w:tcPr>
          <w:p w14:paraId="0000012B">
            <w:pPr>
              <w:widowControl w:val="off"/>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Sales promotion </w:t>
            </w:r>
          </w:p>
        </w:tc>
        <w:tc>
          <w:tcPr>
            <w:cnfStyle w:val="000000000000"/>
            <w:tcW w:w="6885" w:type="dxa"/>
            <w:shd w:val="clear" w:color="auto" w:fill="ead1dc"/>
            <w:tcMar>
              <w:top w:w="100" w:type="dxa"/>
              <w:left w:w="100" w:type="dxa"/>
              <w:bottom w:w="100" w:type="dxa"/>
              <w:right w:w="100" w:type="dxa"/>
            </w:tcMar>
          </w:tcPr>
          <w:p w14:paraId="0000012C">
            <w:pPr>
              <w:widowControl w:val="off"/>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Holiday coupons</w:t>
            </w:r>
          </w:p>
        </w:tc>
      </w:tr>
    </w:tbl>
    <w:p w14:paraId="0000012D">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br w:type="page"/>
      </w:r>
    </w:p>
    <w:p w14:paraId="0000012E">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 xml:space="preserve">SN: </w:t>
      </w:r>
      <w:r>
        <w:rPr>
          <w:rFonts w:ascii="Times New Roman" w:cs="Times New Roman" w:eastAsia="Times New Roman" w:hAnsi="Times New Roman"/>
          <w:sz w:val="24"/>
          <w:szCs w:val="24"/>
        </w:rPr>
        <w:t>As stated by Chifu and Simons (2023), communication mix helps in understanding the importance of communication channels regarding a company. Therefore, the appropriate implementation of suggested communication channels will help Hilton Hotel to gain competitive advantage.</w:t>
      </w:r>
    </w:p>
    <w:p w14:paraId="0000012F">
      <w:pPr>
        <w:pStyle w:val="Heading2"/>
        <w:rPr/>
      </w:pPr>
      <w:r>
        <w:t>Slide 5: Action Plan</w:t>
      </w:r>
      <w:r>
        <w:t xml:space="preserve"> </w:t>
      </w:r>
    </w:p>
    <w:p w14:paraId="00000130">
      <w:pPr>
        <w:numPr>
          <w:ilvl w:val="0"/>
          <w:numId w:val="14"/>
        </w:num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action plan is focused on the marketing communication channels of Hilton Hotel. </w:t>
      </w:r>
    </w:p>
    <w:p w14:paraId="00000131">
      <w:pPr>
        <w:numPr>
          <w:ilvl w:val="0"/>
          <w:numId w:val="14"/>
        </w:num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Action </w:t>
      </w:r>
      <w:r>
        <w:rPr>
          <w:rFonts w:ascii="Times New Roman" w:cs="Times New Roman" w:eastAsia="Times New Roman" w:hAnsi="Times New Roman"/>
          <w:sz w:val="24"/>
          <w:szCs w:val="24"/>
        </w:rPr>
        <w:t>plans</w:t>
      </w:r>
      <w:r>
        <w:rPr>
          <w:rFonts w:ascii="Times New Roman" w:cs="Times New Roman" w:eastAsia="Times New Roman" w:hAnsi="Times New Roman"/>
          <w:sz w:val="24"/>
          <w:szCs w:val="24"/>
        </w:rPr>
        <w:t xml:space="preserve"> clarify the use of resources and required time to reach business goals (Grafakos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xml:space="preserve"> 2020)</w:t>
      </w:r>
    </w:p>
    <w:p w14:paraId="00000132">
      <w:pPr>
        <w:numPr>
          <w:ilvl w:val="0"/>
          <w:numId w:val="14"/>
        </w:num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It will help in gaining competitive advantage by increasing annual profit positively.</w:t>
      </w:r>
    </w:p>
    <w:p w14:paraId="00000133">
      <w:pP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drawing xmlns:mc="http://schemas.openxmlformats.org/markup-compatibility/2006">
          <wp:inline distT="0" distB="0" distL="0" distR="0">
            <wp:extent cx="5731200" cy="1790700"/>
            <wp:effectExtent l="0" t="0" r="25400" b="25400"/>
            <wp:docPr id="34" name="image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15.png"/>
                    <pic:cNvPicPr preferRelativeResize="0"/>
                  </pic:nvPicPr>
                  <pic:blipFill>
                    <a:blip r:embed="rId32"/>
                    <a:srcRect/>
                    <a:stretch>
                      <a:fillRect/>
                    </a:stretch>
                  </pic:blipFill>
                  <pic:spPr>
                    <a:xfrm>
                      <a:off x="0" y="0"/>
                      <a:ext cx="5731200" cy="1790700"/>
                    </a:xfrm>
                    <a:prstGeom prst="rect">
                      <a:avLst/>
                    </a:prstGeom>
                    <a:ln w="12700">
                      <a:solidFill>
                        <a:srgbClr val="000000"/>
                      </a:solidFill>
                      <a:prstDash val="solid"/>
                    </a:ln>
                  </pic:spPr>
                </pic:pic>
              </a:graphicData>
            </a:graphic>
          </wp:inline>
        </w:drawing>
      </w:r>
    </w:p>
    <w:p w14:paraId="00000134">
      <w:pP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drawing xmlns:mc="http://schemas.openxmlformats.org/markup-compatibility/2006">
          <wp:inline distT="0" distB="0" distL="0" distR="0">
            <wp:extent cx="5731200" cy="1346200"/>
            <wp:effectExtent l="0" t="0" r="25400" b="25400"/>
            <wp:docPr id="35" name="image1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18.png"/>
                    <pic:cNvPicPr preferRelativeResize="0"/>
                  </pic:nvPicPr>
                  <pic:blipFill>
                    <a:blip r:embed="rId33"/>
                    <a:srcRect/>
                    <a:stretch>
                      <a:fillRect/>
                    </a:stretch>
                  </pic:blipFill>
                  <pic:spPr>
                    <a:xfrm>
                      <a:off x="0" y="0"/>
                      <a:ext cx="5731200" cy="1346200"/>
                    </a:xfrm>
                    <a:prstGeom prst="rect">
                      <a:avLst/>
                    </a:prstGeom>
                    <a:ln w="12700">
                      <a:solidFill>
                        <a:srgbClr val="000000"/>
                      </a:solidFill>
                      <a:prstDash val="solid"/>
                    </a:ln>
                  </pic:spPr>
                </pic:pic>
              </a:graphicData>
            </a:graphic>
          </wp:inline>
        </w:drawing>
      </w:r>
    </w:p>
    <w:p w14:paraId="00000135">
      <w:pP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drawing xmlns:mc="http://schemas.openxmlformats.org/markup-compatibility/2006">
          <wp:inline distT="0" distB="0" distL="0" distR="0">
            <wp:extent cx="5731200" cy="723900"/>
            <wp:effectExtent l="0" t="0" r="25400" b="25400"/>
            <wp:docPr id="36" name="image1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14.png"/>
                    <pic:cNvPicPr preferRelativeResize="0"/>
                  </pic:nvPicPr>
                  <pic:blipFill>
                    <a:blip r:embed="rId34"/>
                    <a:srcRect/>
                    <a:stretch>
                      <a:fillRect/>
                    </a:stretch>
                  </pic:blipFill>
                  <pic:spPr>
                    <a:xfrm>
                      <a:off x="0" y="0"/>
                      <a:ext cx="5731200" cy="723900"/>
                    </a:xfrm>
                    <a:prstGeom prst="rect">
                      <a:avLst/>
                    </a:prstGeom>
                    <a:ln w="12700">
                      <a:solidFill>
                        <a:srgbClr val="000000"/>
                      </a:solidFill>
                      <a:prstDash val="solid"/>
                    </a:ln>
                  </pic:spPr>
                </pic:pic>
              </a:graphicData>
            </a:graphic>
          </wp:inline>
        </w:drawing>
      </w:r>
    </w:p>
    <w:p w14:paraId="00000136">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Figure 2: Action Plan </w:t>
      </w:r>
    </w:p>
    <w:p w14:paraId="00000137">
      <w:pPr>
        <w:spacing w:line="360" w:lineRule="auto"/>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(Source: Self-created)</w:t>
      </w:r>
    </w:p>
    <w:p w14:paraId="00000138">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SN: Action plan will help in outlining the marketing plan of Hilton Hotel in the UK market. The benefits of action plan </w:t>
      </w:r>
      <w:r>
        <w:rPr>
          <w:rFonts w:ascii="Times New Roman" w:cs="Times New Roman" w:eastAsia="Times New Roman" w:hAnsi="Times New Roman"/>
          <w:sz w:val="24"/>
          <w:szCs w:val="24"/>
        </w:rPr>
        <w:t>are</w:t>
      </w:r>
      <w:r>
        <w:rPr>
          <w:rFonts w:ascii="Times New Roman" w:cs="Times New Roman" w:eastAsia="Times New Roman" w:hAnsi="Times New Roman"/>
          <w:sz w:val="24"/>
          <w:szCs w:val="24"/>
        </w:rPr>
        <w:t xml:space="preserve"> that it has provided an opportunity of reflection regarding the marketing activities of a company (Grafakos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xml:space="preserve"> 2020)</w:t>
      </w:r>
    </w:p>
    <w:p w14:paraId="00000139">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br w:type="page"/>
      </w:r>
    </w:p>
    <w:p w14:paraId="0000013A">
      <w:pPr>
        <w:pStyle w:val="Heading2"/>
        <w:rPr/>
      </w:pPr>
      <w:r>
        <w:t>Slide 6: References</w:t>
      </w:r>
      <w:r>
        <w:t xml:space="preserve"> </w:t>
      </w:r>
    </w:p>
    <w:p w14:paraId="0000013B">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Chifu, I. and Simons, G., (2023). Rethinking Warfare in the 21st Century: The Influence and Effects of the Politics, Information and Communication Mix. Cambridge University Press.</w:t>
      </w:r>
    </w:p>
    <w:p w14:paraId="0000013C">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Grafakos, S., Viero, G., Reckien, D., Trigg, K., Viguie, V., Sudmant, A., Graves, C., Foley, A., Heidrich, O., Mirailles, J.M. and Carter, J., (2020). Integration of mitigation and adaptation in urban climate change action plans in Europe: A systematic assessment. Renewable and Sustainable Energy Reviews, 121, p.109623.</w:t>
      </w:r>
    </w:p>
    <w:p w14:paraId="0000013D">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Mintel.com, (2023), </w:t>
      </w:r>
      <w:r>
        <w:rPr>
          <w:rFonts w:ascii="Times New Roman" w:cs="Times New Roman" w:eastAsia="Times New Roman" w:hAnsi="Times New Roman"/>
          <w:i/>
          <w:sz w:val="24"/>
          <w:szCs w:val="24"/>
        </w:rPr>
        <w:t>UK Hotels Market Report 2022</w:t>
      </w:r>
      <w:r>
        <w:rPr>
          <w:rFonts w:ascii="Times New Roman" w:cs="Times New Roman" w:eastAsia="Times New Roman" w:hAnsi="Times New Roman"/>
          <w:sz w:val="24"/>
          <w:szCs w:val="24"/>
        </w:rPr>
        <w:t xml:space="preserve"> Available at: https://store.mintel.com/report/uk-hotels-market-report [Accessed on: 20th October, 2023]</w:t>
      </w:r>
    </w:p>
    <w:p w14:paraId="0000013E">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Sukma, D., Lubis, P.H. and Utami, S., (2019). Analysis of Marketing Strategy of Minyeuk Pret Using STP, Ansoff Matrix, and Marketing Mix.</w:t>
      </w:r>
    </w:p>
    <w:p w14:paraId="0000013F">
      <w:p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Wrathall, C (2023), </w:t>
      </w:r>
      <w:r>
        <w:rPr>
          <w:rFonts w:ascii="Times New Roman" w:cs="Times New Roman" w:eastAsia="Times New Roman" w:hAnsi="Times New Roman"/>
          <w:i/>
          <w:sz w:val="24"/>
          <w:szCs w:val="24"/>
        </w:rPr>
        <w:t>The big hotel openings of 2023</w:t>
      </w:r>
      <w:r>
        <w:rPr>
          <w:rFonts w:ascii="Times New Roman" w:cs="Times New Roman" w:eastAsia="Times New Roman" w:hAnsi="Times New Roman"/>
          <w:sz w:val="24"/>
          <w:szCs w:val="24"/>
        </w:rPr>
        <w:t xml:space="preserve"> Available at: https://www.ft.com/content/b0f5a2f9-9b31-406e-972b-7856341134f9 [Accessed on: 20th October, 2023]</w:t>
      </w:r>
    </w:p>
    <w:p w14:paraId="00000140">
      <w:pPr>
        <w:spacing w:line="360" w:lineRule="auto"/>
        <w:jc w:val="center"/>
        <w:rPr>
          <w:rFonts w:ascii="Times New Roman" w:cs="Times New Roman" w:eastAsia="Times New Roman" w:hAnsi="Times New Roman"/>
          <w:b/>
          <w:sz w:val="24"/>
          <w:szCs w:val="24"/>
        </w:rPr>
      </w:pPr>
    </w:p>
    <w:sectPr>
      <w:footerReference w:type="default" r:id="rId35"/>
      <w:pgSz w:w="11909" w:h="16834"/>
      <w:pgMar w:top="1440" w:right="1440" w:bottom="1440" w:left="1440" w:header="720" w:footer="720" w:gutter="0"/>
      <w:pgBorders w:display="allPages" w:offsetFrom="page" w:zOrder="front">
        <w:top w:val="single" w:color="auto" w:sz="4" w:space="24"/>
        <w:left w:val="single" w:color="auto" w:sz="4" w:space="24"/>
        <w:right w:val="single" w:color="auto" w:sz="4" w:space="24"/>
        <w:bottom w:val="single" w:color="auto" w:sz="4" w:space="24"/>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14:paraId="00000003">
      <w:pPr>
        <w:spacing w:line="240" w:lineRule="auto"/>
        <w:rPr/>
      </w:pPr>
      <w:r>
        <w:rPr/>
        <w:separator/>
      </w:r>
    </w:p>
  </w:endnote>
  <w:endnote w:type="continuationSeparator" w:id="1">
    <w:p w14:paraId="00000004">
      <w:pPr>
        <w:spacing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00000000" w:usb1="00000000" w:usb2="00000009" w:usb3="00000000" w:csb0="000001ff" w:csb1="00000000"/>
  </w:font>
  <w:font w:name="Arial">
    <w:panose1 w:val="020b0604020202020204"/>
    <w:charset w:val="00"/>
    <w:family w:val="swiss"/>
    <w:pitch w:val="variable"/>
    <w:sig w:usb0="00000000" w:usb1="00000000" w:usb2="00000009" w:usb3="00000000" w:csb0="000001ff" w:csb1="00000000"/>
  </w:font>
  <w:font w:name="Calibri">
    <w:panose1 w:val="020f0502020204030204"/>
    <w:charset w:val="00"/>
    <w:family w:val="swiss"/>
    <w:pitch w:val="variable"/>
    <w:sig w:usb0="00000000" w:usb1="00000000" w:usb2="00000009" w:usb3="00000000" w:csb0="000001ff" w:csb1="00000000"/>
  </w:font>
  <w:font w:name="Cambria">
    <w:panose1 w:val="02040503050406030204"/>
    <w:charset w:val="00"/>
    <w:family w:val="roman"/>
    <w:pitch w:val="variable"/>
    <w:sig w:usb0="00000000" w:usb1="420024ff" w:usb2="02000000"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141">
    <w:pPr>
      <w:pStyle w:val="Footer"/>
      <w:jc w:val="right"/>
      <w:rPr>
        <w:rFonts w:ascii="Times New Roman" w:cs="Times New Roman" w:hAnsi="Times New Roman"/>
        <w:sz w:val="20"/>
        <w:szCs w:val="20"/>
      </w:rPr>
    </w:pPr>
    <w:r>
      <w:fldChar w:fldCharType="begin"/>
    </w:r>
    <w:r>
      <w:instrText xml:space="preserve"> PAGE   \* MERGEFORMAT </w:instrText>
    </w:r>
    <w:r>
      <w:fldChar w:fldCharType="separate"/>
    </w:r>
    <w:r>
      <w:rPr>
        <w:rFonts w:ascii="Times New Roman" w:cs="Times New Roman" w:hAnsi="Times New Roman"/>
        <w:sz w:val="20"/>
        <w:szCs w:val="20"/>
      </w:rPr>
      <w:t>2</w:t>
    </w:r>
    <w:r>
      <w:fldChar w:fldCharType="end"/>
    </w:r>
  </w:p>
  <w:p w14:paraId="00000142">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14:paraId="00000001">
      <w:pPr>
        <w:spacing w:line="240" w:lineRule="auto"/>
        <w:rPr/>
      </w:pPr>
      <w:r>
        <w:rPr/>
        <w:separator/>
      </w:r>
    </w:p>
  </w:footnote>
  <w:footnote w:type="continuationSeparator" w:id="1">
    <w:p w14:paraId="00000002">
      <w:pPr>
        <w:spacing w:line="240" w:lineRule="auto"/>
        <w:rPr/>
      </w:pPr>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4">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5">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6">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7">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8">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9">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0">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1">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2">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3">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10"/>
  </w:num>
  <w:num w:numId="2">
    <w:abstractNumId w:val="1"/>
  </w:num>
  <w:num w:numId="3">
    <w:abstractNumId w:val="9"/>
  </w:num>
  <w:num w:numId="4">
    <w:abstractNumId w:val="6"/>
  </w:num>
  <w:num w:numId="5">
    <w:abstractNumId w:val="7"/>
  </w:num>
  <w:num w:numId="6">
    <w:abstractNumId w:val="5"/>
  </w:num>
  <w:num w:numId="7">
    <w:abstractNumId w:val="8"/>
  </w:num>
  <w:num w:numId="8">
    <w:abstractNumId w:val="4"/>
  </w:num>
  <w:num w:numId="9">
    <w:abstractNumId w:val="11"/>
  </w:num>
  <w:num w:numId="10">
    <w:abstractNumId w:val="3"/>
  </w:num>
  <w:num w:numId="11">
    <w:abstractNumId w:val="0"/>
  </w:num>
  <w:num w:numId="12">
    <w:abstractNumId w:val="2"/>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BF4"/>
    <w:rsid w:val="00013918"/>
    <w:rsid w:val="00032BA4"/>
    <w:rsid w:val="00056958"/>
    <w:rsid w:val="0031109A"/>
    <w:rsid w:val="004118D9"/>
    <w:rsid w:val="009C0864"/>
    <w:rsid w:val="00D40BF4"/>
    <w:rsid w:val="00E41D47"/>
    <w:rsid w:val="00EA3379"/>
    <w:rsid w:val="00F32A4E"/>
    <w:rsid w:val="00FE4858"/>
    <w:rsid w:val="00FF6B3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F88B92"/>
  <w15:docId w15:val="{F7A06B8D-B91A-4288-A088-6DB53B7A61B2}"/>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Arial" w:cs="Arial" w:eastAsia="Arial" w:hAnsi="Arial"/>
        <w:sz w:val="22"/>
        <w:szCs w:val="22"/>
        <w:lang w:val="en-GB" w:bidi="ar-SA" w:eastAsia="en-IN"/>
      </w:rPr>
    </w:rPrDefault>
    <w:pPrDefault>
      <w:pPr>
        <w:spacing w:line="276" w:lineRule="auto"/>
      </w:pPr>
    </w:pPrDefault>
  </w:docDefaults>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376091"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f81bd"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f81bd"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f81bd"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243f60"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character" w:customStyle="1" w:styleId="TitleChar">
    <w:name w:val="Title Char"/>
    <w:basedOn w:val="DefaultParagraphFont"/>
    <w:link w:val="Title"/>
    <w:uiPriority w:val="10"/>
    <w:rPr>
      <w:rFonts w:asciiTheme="majorHAnsi" w:cstheme="majorBidi" w:eastAsiaTheme="majorEastAsia" w:hAnsiTheme="majorHAnsi"/>
      <w:color w:val="17375d" w:themeColor="text2" w:themeShade="bf"/>
      <w:spacing w:val="5"/>
      <w:sz w:val="52"/>
      <w:szCs w:val="52"/>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f81bd"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f81bd"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val="on"/>
    <w:rPr>
      <w:smallCaps/>
      <w:color w:val="c0504d" w:themeColor="accent2"/>
      <w:u w:val="single"/>
    </w:rPr>
  </w:style>
  <w:style w:type="character" w:styleId="IntenseReference">
    <w:name w:val="Intense Reference"/>
    <w:basedOn w:val="DefaultParagraphFont"/>
    <w:uiPriority w:val="32"/>
    <w:qFormat w:val="on"/>
    <w:rPr>
      <w:b/>
      <w:bCs/>
      <w:smallCaps/>
      <w:color w:val="c0504d"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1f497d" w:themeColor="text2"/>
      <w:sz w:val="18"/>
      <w:szCs w:val="18"/>
    </w:rPr>
  </w:style>
  <w:style w:type="paragraph" w:default="1" w:styleId="Normal">
    <w:name w:val="Normal"/>
    <w:uiPriority w:val="99"/>
    <w:qFormat w:val="on"/>
  </w:style>
  <w:style w:type="paragraph" w:styleId="Heading1">
    <w:name w:val="Heading 1"/>
    <w:basedOn w:val="Normal"/>
    <w:next w:val="Normal"/>
    <w:uiPriority w:val="9"/>
    <w:qFormat w:val="on"/>
    <w:pPr>
      <w:keepNext w:val="on"/>
      <w:keepLines w:val="on"/>
      <w:spacing w:before="400" w:after="120" w:line="360" w:lineRule="auto"/>
      <w:jc w:val="both"/>
    </w:pPr>
    <w:rPr>
      <w:rFonts w:ascii="Times New Roman" w:hAnsi="Times New Roman"/>
      <w:b/>
      <w:sz w:val="24"/>
      <w:szCs w:val="40"/>
    </w:rPr>
  </w:style>
  <w:style w:type="paragraph" w:styleId="Heading2">
    <w:name w:val="Heading 2"/>
    <w:basedOn w:val="Normal"/>
    <w:next w:val="Normal"/>
    <w:uiPriority w:val="9"/>
    <w:unhideWhenUsed w:val="on"/>
    <w:qFormat w:val="on"/>
    <w:pPr>
      <w:keepNext w:val="on"/>
      <w:keepLines w:val="on"/>
      <w:spacing w:before="360" w:after="120" w:line="360" w:lineRule="auto"/>
      <w:jc w:val="both"/>
    </w:pPr>
    <w:rPr>
      <w:rFonts w:ascii="Times New Roman" w:hAnsi="Times New Roman"/>
      <w:b/>
      <w:sz w:val="24"/>
      <w:szCs w:val="32"/>
    </w:rPr>
  </w:style>
  <w:style w:type="paragraph" w:styleId="Heading3">
    <w:name w:val="Heading 3"/>
    <w:basedOn w:val="Normal"/>
    <w:next w:val="Normal"/>
    <w:uiPriority w:val="9"/>
    <w:unhideWhenUsed w:val="on"/>
    <w:qFormat w:val="on"/>
    <w:pPr>
      <w:keepNext w:val="on"/>
      <w:keepLines w:val="on"/>
      <w:spacing w:before="320" w:after="80" w:line="360" w:lineRule="auto"/>
      <w:jc w:val="both"/>
    </w:pPr>
    <w:rPr>
      <w:rFonts w:ascii="Times New Roman" w:hAnsi="Times New Roman"/>
      <w:b/>
      <w:i/>
      <w:color w:val="000000" w:themeColor="text1"/>
      <w:sz w:val="24"/>
      <w:szCs w:val="28"/>
    </w:rPr>
  </w:style>
  <w:style w:type="paragraph" w:styleId="Heading4">
    <w:name w:val="Heading 4"/>
    <w:basedOn w:val="Normal"/>
    <w:next w:val="Normal"/>
    <w:uiPriority w:val="9"/>
    <w:semiHidden w:val="on"/>
    <w:unhideWhenUsed w:val="on"/>
    <w:qFormat w:val="on"/>
    <w:pPr>
      <w:keepNext w:val="on"/>
      <w:keepLines w:val="on"/>
      <w:spacing w:before="280" w:after="80"/>
    </w:pPr>
    <w:rPr>
      <w:color w:val="666666"/>
      <w:sz w:val="24"/>
      <w:szCs w:val="24"/>
    </w:rPr>
  </w:style>
  <w:style w:type="paragraph" w:styleId="Heading5">
    <w:name w:val="Heading 5"/>
    <w:basedOn w:val="Normal"/>
    <w:next w:val="Normal"/>
    <w:uiPriority w:val="9"/>
    <w:semiHidden w:val="on"/>
    <w:unhideWhenUsed w:val="on"/>
    <w:qFormat w:val="on"/>
    <w:pPr>
      <w:keepNext w:val="on"/>
      <w:keepLines w:val="on"/>
      <w:spacing w:before="240" w:after="80"/>
    </w:pPr>
    <w:rPr>
      <w:color w:val="666666"/>
    </w:rPr>
  </w:style>
  <w:style w:type="paragraph" w:styleId="Heading6">
    <w:name w:val="Heading 6"/>
    <w:basedOn w:val="Normal"/>
    <w:next w:val="Normal"/>
    <w:uiPriority w:val="9"/>
    <w:semiHidden w:val="on"/>
    <w:unhideWhenUsed w:val="on"/>
    <w:qFormat w:val="on"/>
    <w:pPr>
      <w:keepNext w:val="on"/>
      <w:keepLines w:val="on"/>
      <w:spacing w:before="240" w:after="80"/>
    </w:pPr>
    <w:rPr>
      <w:i/>
      <w:color w:val="666666"/>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Title">
    <w:name w:val="Title"/>
    <w:basedOn w:val="Normal"/>
    <w:next w:val="Normal"/>
    <w:uiPriority w:val="10"/>
    <w:qFormat w:val="on"/>
    <w:pPr>
      <w:keepNext w:val="on"/>
      <w:keepLines w:val="on"/>
      <w:spacing w:after="60"/>
    </w:pPr>
    <w:rPr>
      <w:sz w:val="52"/>
      <w:szCs w:val="52"/>
    </w:rPr>
  </w:style>
  <w:style w:type="paragraph" w:styleId="Subtitle">
    <w:name w:val="Subtitle"/>
    <w:basedOn w:val="Normal"/>
    <w:next w:val="Normal"/>
    <w:uiPriority w:val="11"/>
    <w:qFormat w:val="on"/>
    <w:pPr>
      <w:keepNext w:val="on"/>
      <w:keepLines w:val="on"/>
      <w:spacing w:after="320"/>
    </w:pPr>
    <w:rPr>
      <w:color w:val="666666"/>
      <w:sz w:val="30"/>
      <w:szCs w:val="30"/>
    </w:rPr>
  </w:style>
  <w:style w:type="table" w:customStyle="1" w:styleId="A">
    <w:name w:val="A"/>
    <w:basedOn w:val="NormalTable"/>
    <w:uiPriority w:val="99"/>
    <w:tblPr>
      <w:tblStyleRowBandSize w:val="1"/>
      <w:tblStyleColBandSize w:val="1"/>
      <w:tblCellMar>
        <w:top w:w="100" w:type="dxa"/>
        <w:left w:w="100" w:type="dxa"/>
        <w:bottom w:w="100" w:type="dxa"/>
        <w:right w:w="100" w:type="dxa"/>
      </w:tblCellMar>
    </w:tblPr>
  </w:style>
  <w:style w:type="table" w:customStyle="1" w:styleId="A0">
    <w:name w:val="A0"/>
    <w:basedOn w:val="NormalTable"/>
    <w:uiPriority w:val="99"/>
    <w:tblPr>
      <w:tblStyleRowBandSize w:val="1"/>
      <w:tblStyleColBandSize w:val="1"/>
      <w:tblCellMar>
        <w:top w:w="100" w:type="dxa"/>
        <w:left w:w="100" w:type="dxa"/>
        <w:bottom w:w="100" w:type="dxa"/>
        <w:right w:w="100" w:type="dxa"/>
      </w:tblCellMar>
    </w:tblPr>
  </w:style>
  <w:style w:type="table" w:customStyle="1" w:styleId="A1">
    <w:name w:val="A1"/>
    <w:basedOn w:val="NormalTable"/>
    <w:uiPriority w:val="99"/>
    <w:tblPr>
      <w:tblStyleRowBandSize w:val="1"/>
      <w:tblStyleColBandSize w:val="1"/>
      <w:tblCellMar>
        <w:top w:w="100" w:type="dxa"/>
        <w:left w:w="100" w:type="dxa"/>
        <w:bottom w:w="100" w:type="dxa"/>
        <w:right w:w="100" w:type="dxa"/>
      </w:tblCellMar>
    </w:tblPr>
  </w:style>
  <w:style w:type="table" w:customStyle="1" w:styleId="A2">
    <w:name w:val="A2"/>
    <w:basedOn w:val="NormalTable"/>
    <w:uiPriority w:val="99"/>
    <w:tblPr>
      <w:tblStyleRowBandSize w:val="1"/>
      <w:tblStyleColBandSize w:val="1"/>
      <w:tblCellMar>
        <w:top w:w="100" w:type="dxa"/>
        <w:left w:w="100" w:type="dxa"/>
        <w:bottom w:w="100" w:type="dxa"/>
        <w:right w:w="100" w:type="dxa"/>
      </w:tblCellMar>
    </w:tblPr>
  </w:style>
  <w:style w:type="table" w:customStyle="1" w:styleId="A3">
    <w:name w:val="A3"/>
    <w:basedOn w:val="NormalTable"/>
    <w:uiPriority w:val="99"/>
    <w:tblPr>
      <w:tblStyleRowBandSize w:val="1"/>
      <w:tblStyleColBandSize w:val="1"/>
      <w:tblCellMar>
        <w:top w:w="100" w:type="dxa"/>
        <w:left w:w="100" w:type="dxa"/>
        <w:bottom w:w="100" w:type="dxa"/>
        <w:right w:w="100" w:type="dxa"/>
      </w:tblCellMar>
    </w:tblPr>
  </w:style>
  <w:style w:type="table" w:customStyle="1" w:styleId="A4">
    <w:name w:val="A4"/>
    <w:basedOn w:val="NormalTable"/>
    <w:uiPriority w:val="99"/>
    <w:tblPr>
      <w:tblStyleRowBandSize w:val="1"/>
      <w:tblStyleColBandSize w:val="1"/>
      <w:tblCellMar>
        <w:top w:w="100" w:type="dxa"/>
        <w:left w:w="100" w:type="dxa"/>
        <w:bottom w:w="100" w:type="dxa"/>
        <w:right w:w="100" w:type="dxa"/>
      </w:tblCellMar>
    </w:tblPr>
  </w:style>
  <w:style w:type="table" w:customStyle="1" w:styleId="A5">
    <w:name w:val="A5"/>
    <w:basedOn w:val="NormalTable"/>
    <w:uiPriority w:val="99"/>
    <w:tblPr>
      <w:tblStyleRowBandSize w:val="1"/>
      <w:tblStyleColBandSize w:val="1"/>
      <w:tblCellMar>
        <w:top w:w="100" w:type="dxa"/>
        <w:left w:w="100" w:type="dxa"/>
        <w:bottom w:w="100" w:type="dxa"/>
        <w:right w:w="100" w:type="dxa"/>
      </w:tblCellMar>
    </w:tblPr>
  </w:style>
  <w:style w:type="table" w:customStyle="1" w:styleId="A6">
    <w:name w:val="A6"/>
    <w:basedOn w:val="NormalTable"/>
    <w:uiPriority w:val="99"/>
    <w:tblPr>
      <w:tblStyleRowBandSize w:val="1"/>
      <w:tblStyleColBandSize w:val="1"/>
      <w:tblCellMar>
        <w:top w:w="100" w:type="dxa"/>
        <w:left w:w="100" w:type="dxa"/>
        <w:bottom w:w="100" w:type="dxa"/>
        <w:right w:w="100" w:type="dxa"/>
      </w:tblCellMar>
    </w:tblPr>
  </w:style>
  <w:style w:type="table" w:customStyle="1" w:styleId="A7">
    <w:name w:val="A7"/>
    <w:basedOn w:val="NormalTable"/>
    <w:uiPriority w:val="99"/>
    <w:tblPr>
      <w:tblStyleRowBandSize w:val="1"/>
      <w:tblStyleColBandSize w:val="1"/>
      <w:tblCellMar>
        <w:top w:w="100" w:type="dxa"/>
        <w:left w:w="100" w:type="dxa"/>
        <w:bottom w:w="100" w:type="dxa"/>
        <w:right w:w="100" w:type="dxa"/>
      </w:tblCellMar>
    </w:tblPr>
  </w:style>
  <w:style w:type="table" w:customStyle="1" w:styleId="A8">
    <w:name w:val="A8"/>
    <w:basedOn w:val="NormalTable"/>
    <w:uiPriority w:val="99"/>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val="on"/>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tabs>
        <w:tab w:val="center" w:pos="4513"/>
        <w:tab w:val="right" w:pos="9026"/>
      </w:tabs>
      <w:spacing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unhideWhenUsed w:val="on"/>
    <w:qFormat w:val="on"/>
    <w:pPr>
      <w:spacing w:before="240" w:after="0" w:line="259" w:lineRule="auto"/>
      <w:jc w:val="left"/>
    </w:pPr>
    <w:rPr>
      <w:rFonts w:asciiTheme="majorHAnsi" w:cstheme="majorBidi" w:eastAsiaTheme="majorEastAsia" w:hAnsiTheme="majorHAnsi"/>
      <w:b w:val="off"/>
      <w:color w:val="376091" w:themeColor="accent1" w:themeShade="bf"/>
      <w:sz w:val="32"/>
      <w:szCs w:val="32"/>
      <w:lang w:val="en-US" w:eastAsia="en-US"/>
    </w:rPr>
  </w:style>
  <w:style w:type="paragraph" w:styleId="Toc1">
    <w:name w:val="Toc 1"/>
    <w:basedOn w:val="Normal"/>
    <w:next w:val="Normal"/>
    <w:uiPriority w:val="39"/>
    <w:unhideWhenUsed w:val="on"/>
    <w:pPr>
      <w:spacing w:after="100"/>
    </w:pPr>
  </w:style>
  <w:style w:type="paragraph" w:styleId="Toc2">
    <w:name w:val="Toc 2"/>
    <w:basedOn w:val="Normal"/>
    <w:next w:val="Normal"/>
    <w:uiPriority w:val="39"/>
    <w:unhideWhenUsed w:val="on"/>
    <w:pPr>
      <w:spacing w:after="100"/>
      <w:ind w:left="220"/>
    </w:pPr>
  </w:style>
  <w:style w:type="paragraph" w:styleId="Toc3">
    <w:name w:val="Toc 3"/>
    <w:basedOn w:val="Normal"/>
    <w:next w:val="Normal"/>
    <w:uiPriority w:val="39"/>
    <w:unhideWhenUsed w:val="on"/>
    <w:pPr>
      <w:spacing w:after="100"/>
      <w:ind w:left="440"/>
    </w:pPr>
  </w:style>
  <w:style w:type="character" w:styleId="Hyperlink">
    <w:name w:val="Hyperlink"/>
    <w:basedOn w:val="DefaultParagraphFont"/>
    <w:uiPriority w:val="99"/>
    <w:unhideWhenUsed w:val="on"/>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9" Type="http://schemas.openxmlformats.org/officeDocument/2006/relationships/fontTable" Target="fontTable.xml"/><Relationship Id="rId2" Type="http://schemas.openxmlformats.org/officeDocument/2006/relationships/numbering" Target="numbering.xml"/><Relationship Id="rId20" Type="http://schemas.openxmlformats.org/officeDocument/2006/relationships/theme" Target="theme/theme1.xml"/><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 Type="http://schemas.openxmlformats.org/officeDocument/2006/relationships/styles" Target="styles.xml"/><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footer" Target="footer1.xml"/><Relationship Id="rId4" Type="http://schemas.openxmlformats.org/officeDocument/2006/relationships/settings" Target="settings.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5" Type="http://schemas.openxmlformats.org/officeDocument/2006/relationships/webSettings" Target="webSettings.xm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mbria"/>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42B9D-9D92-457E-AC16-93F111294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19</Pages>
  <Words>2570</Words>
  <Characters>17430</Characters>
  <Application>Microsoft Office Word</Application>
  <DocSecurity>0</DocSecurity>
  <Lines>446</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Author</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976d8b0b1a0283137557620ac270aab98671fd56fff428b489fd8f28c3bfe37f</vt:lpwstr>
  </property>
</Properties>
</file>