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E9665" w14:textId="06440AB0" w:rsidR="00981401" w:rsidRPr="00981401" w:rsidRDefault="00981401" w:rsidP="00981401">
      <w:pPr>
        <w:pStyle w:val="IntenseQuote"/>
      </w:pPr>
      <w:r w:rsidRPr="00981401">
        <w:t>1.</w:t>
      </w:r>
    </w:p>
    <w:p w14:paraId="5D561796"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Wales was the first country in the world that introduced a play policy in 2002, it places emphasis on the importance of </w:t>
      </w:r>
      <w:proofErr w:type="gramStart"/>
      <w:r w:rsidRPr="00981401">
        <w:rPr>
          <w:rFonts w:ascii="Arial" w:hAnsi="Arial" w:cs="Arial"/>
          <w:sz w:val="24"/>
          <w:szCs w:val="24"/>
        </w:rPr>
        <w:t>play</w:t>
      </w:r>
      <w:proofErr w:type="gramEnd"/>
      <w:r w:rsidRPr="00981401">
        <w:rPr>
          <w:rFonts w:ascii="Arial" w:hAnsi="Arial" w:cs="Arial"/>
          <w:sz w:val="24"/>
          <w:szCs w:val="24"/>
        </w:rPr>
        <w:t xml:space="preserve"> and it is based on the United Nations Convention on the Rights of a child [hereafter UNRCC].  Article 31 states that every child has the right to play no matter the culture, religion, gender, disability, </w:t>
      </w:r>
      <w:proofErr w:type="gramStart"/>
      <w:r w:rsidRPr="00981401">
        <w:rPr>
          <w:rFonts w:ascii="Arial" w:hAnsi="Arial" w:cs="Arial"/>
          <w:sz w:val="24"/>
          <w:szCs w:val="24"/>
        </w:rPr>
        <w:t>language</w:t>
      </w:r>
      <w:proofErr w:type="gramEnd"/>
      <w:r w:rsidRPr="00981401">
        <w:rPr>
          <w:rFonts w:ascii="Arial" w:hAnsi="Arial" w:cs="Arial"/>
          <w:sz w:val="24"/>
          <w:szCs w:val="24"/>
        </w:rPr>
        <w:t xml:space="preserve"> or background to ‘rest and leisure, to engage in play and recreational activities appropriate to the age of the child and to participate freely in cultural life and the arts.’ (UNICEF. 1989 pp 8).  The Welsh Governments Play policy focuses on every child’s individual needs and making sure there are sufficient provisions to meet these needs.  The Welsh Government passed a law in 2010 that protects children’s rights to play (</w:t>
      </w:r>
      <w:proofErr w:type="spellStart"/>
      <w:r w:rsidRPr="00981401">
        <w:rPr>
          <w:rFonts w:ascii="Arial" w:hAnsi="Arial" w:cs="Arial"/>
          <w:sz w:val="24"/>
          <w:szCs w:val="24"/>
        </w:rPr>
        <w:t>Llywodraeth</w:t>
      </w:r>
      <w:proofErr w:type="spellEnd"/>
      <w:r w:rsidRPr="00981401">
        <w:rPr>
          <w:rFonts w:ascii="Arial" w:hAnsi="Arial" w:cs="Arial"/>
          <w:sz w:val="24"/>
          <w:szCs w:val="24"/>
        </w:rPr>
        <w:t xml:space="preserve"> </w:t>
      </w:r>
      <w:proofErr w:type="spellStart"/>
      <w:r w:rsidRPr="00981401">
        <w:rPr>
          <w:rFonts w:ascii="Arial" w:hAnsi="Arial" w:cs="Arial"/>
          <w:sz w:val="24"/>
          <w:szCs w:val="24"/>
        </w:rPr>
        <w:t>Cynulliad</w:t>
      </w:r>
      <w:proofErr w:type="spellEnd"/>
      <w:r w:rsidRPr="00981401">
        <w:rPr>
          <w:rFonts w:ascii="Arial" w:hAnsi="Arial" w:cs="Arial"/>
          <w:sz w:val="24"/>
          <w:szCs w:val="24"/>
        </w:rPr>
        <w:t xml:space="preserve"> Cymru Welsh Assembly Government Welsh Assembly Government Play Policy, 2002.)</w:t>
      </w:r>
    </w:p>
    <w:p w14:paraId="4AD3C1D7"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Play is difficult to define due to it being a personal activity, play means something different to everybody.  Dowling and Walsh cited in Brodie, K (2018 pp99) discusses play as ‘an effective way for most children to learn, solve problems, have social interactions, and express their own personalities’. </w:t>
      </w:r>
    </w:p>
    <w:p w14:paraId="38C0219C"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There are many theorists who have researched the importance of play in the Early Years, they have similarities on their views of play.  Frobel and Piaget believed in the power of children playing and learning through hands on experience.  Piaget created a developmental stage theory that speaks about experiences and stimuli around the children that will give them the skills to succeed.  Froebel believed that the environment and natural play was how children learnt and they should have ‘open-ended, real experiences’ (Howard and McInnes, 2013, p. 9).</w:t>
      </w:r>
    </w:p>
    <w:p w14:paraId="5AFA7258"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Role play is a form of play where children undertake a role for example, a fireman, or act out different role and scenarios, a daddy at home.  Role play has many benefits for a child’s holistic development.  Children use items that represent something else, this is called symbolic play.  Piaget’s stages of play theory states that children develop this skill around two years of age (Cherry 2023).</w:t>
      </w:r>
    </w:p>
    <w:p w14:paraId="5501723C"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lastRenderedPageBreak/>
        <w:t>Imaginative play provides opportunities for children to enhance their language skills through communication, expressing their views and describing the action.  This helps them to develop new vocabulary and language comprehension.</w:t>
      </w:r>
    </w:p>
    <w:p w14:paraId="33884097"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Role play develops the children’s emotional and social development.  The children learn to express feelings and to be empathetic to other people’s views and feelings. Children may act of scenarios that mirror real life scenarios which will help them to manage their own feelings and emotions. Brodie, K. (2018 p.116) say that ‘Young children use play to work through emotions, explore situations in a safe, play environment and re-enact situations.’</w:t>
      </w:r>
    </w:p>
    <w:p w14:paraId="0D229DB3"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The learn to play collaboratively and to take it in turns.  This all helps to create relationships.</w:t>
      </w:r>
    </w:p>
    <w:p w14:paraId="0408A264"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The adult has the role to ensure that children can learn about different cultures.  Scenarios can be set up to show cultural awareness enabling the children to broaden their knowledge of the world around them.</w:t>
      </w:r>
    </w:p>
    <w:p w14:paraId="5A4A78F2"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Children are developing early mathematical skills for example one thing stands for another, Brodie K (2018, p.138) comment that children ‘are laying the foundations for representing quantities using other objects’ for example counting out change in a shop. They are also developing their physical and gross motor skills by getting dressed up in costumes and using props.</w:t>
      </w:r>
    </w:p>
    <w:p w14:paraId="760EB29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Imaginative play encourages independence and does not need ‘resources’ for children to enjoy this form of play.  Role play provides opportunities for children to begin early literacy skills (Bayley and Featherstone, 2009 p.34) says that if children can act out fictional characters and stories then they can then write stories in later life. </w:t>
      </w:r>
    </w:p>
    <w:p w14:paraId="2C025F01"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Another great play provision that develops children’s holistic development is block play. </w:t>
      </w:r>
      <w:proofErr w:type="spellStart"/>
      <w:r w:rsidRPr="00981401">
        <w:rPr>
          <w:rFonts w:ascii="Arial" w:hAnsi="Arial" w:cs="Arial"/>
          <w:sz w:val="24"/>
          <w:szCs w:val="24"/>
        </w:rPr>
        <w:t>Whinnett</w:t>
      </w:r>
      <w:proofErr w:type="spellEnd"/>
      <w:r w:rsidRPr="00981401">
        <w:rPr>
          <w:rFonts w:ascii="Arial" w:hAnsi="Arial" w:cs="Arial"/>
          <w:sz w:val="24"/>
          <w:szCs w:val="24"/>
        </w:rPr>
        <w:t>, J (2020) focuses on Froebel’s wooden block practise and how he introduced block play to children.</w:t>
      </w:r>
    </w:p>
    <w:p w14:paraId="720367D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Block play allows children to be independent and develop their own learning which encourages them to think creatively and critically.</w:t>
      </w:r>
    </w:p>
    <w:p w14:paraId="07B402C5"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lastRenderedPageBreak/>
        <w:t xml:space="preserve">Fine motor skills are being developed through handling a variety of sizes of blocks, this helps the children to manipulate the blocks to build, arrange and stack.  </w:t>
      </w:r>
    </w:p>
    <w:p w14:paraId="1FDAFAB0"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Children learn to play collaboratively by sharing blocks and building together, they problem solve finding ways to build various things. </w:t>
      </w:r>
      <w:proofErr w:type="spellStart"/>
      <w:r w:rsidRPr="00981401">
        <w:rPr>
          <w:rFonts w:ascii="Arial" w:hAnsi="Arial" w:cs="Arial"/>
          <w:sz w:val="24"/>
          <w:szCs w:val="24"/>
        </w:rPr>
        <w:t>Whinnett</w:t>
      </w:r>
      <w:proofErr w:type="spellEnd"/>
      <w:r w:rsidRPr="00981401">
        <w:rPr>
          <w:rFonts w:ascii="Arial" w:hAnsi="Arial" w:cs="Arial"/>
          <w:sz w:val="24"/>
          <w:szCs w:val="24"/>
        </w:rPr>
        <w:t xml:space="preserve"> (2020 p.6) stated ‘Children do not have to share the same language to play together with blocks.’ This enables children to gain the confidence to play together without the need for language, they are using play to communicate.</w:t>
      </w:r>
    </w:p>
    <w:p w14:paraId="2ECFF17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Early mathematical skills are enhanced in this area.  Hutchin 2012, cited in Brodie, K (2018, p.137) show the concepts learnt from block play ‘The combination of lifting, </w:t>
      </w:r>
      <w:proofErr w:type="gramStart"/>
      <w:r w:rsidRPr="00981401">
        <w:rPr>
          <w:rFonts w:ascii="Arial" w:hAnsi="Arial" w:cs="Arial"/>
          <w:sz w:val="24"/>
          <w:szCs w:val="24"/>
        </w:rPr>
        <w:t>handling</w:t>
      </w:r>
      <w:proofErr w:type="gramEnd"/>
      <w:r w:rsidRPr="00981401">
        <w:rPr>
          <w:rFonts w:ascii="Arial" w:hAnsi="Arial" w:cs="Arial"/>
          <w:sz w:val="24"/>
          <w:szCs w:val="24"/>
        </w:rPr>
        <w:t xml:space="preserve"> and manipulating blocks makes the links between physical shape, size and weight. </w:t>
      </w:r>
    </w:p>
    <w:p w14:paraId="1B259A13" w14:textId="77777777" w:rsidR="00BD5D3F" w:rsidRPr="00981401" w:rsidRDefault="00BD5D3F" w:rsidP="00981401">
      <w:pPr>
        <w:spacing w:line="360" w:lineRule="auto"/>
        <w:rPr>
          <w:rFonts w:ascii="Arial" w:hAnsi="Arial" w:cs="Arial"/>
          <w:sz w:val="24"/>
          <w:szCs w:val="24"/>
        </w:rPr>
      </w:pPr>
    </w:p>
    <w:p w14:paraId="4E33F139" w14:textId="4521B434" w:rsidR="00BD4A98" w:rsidRPr="00981401" w:rsidRDefault="00981401" w:rsidP="00981401">
      <w:pPr>
        <w:pStyle w:val="IntenseQuote"/>
      </w:pPr>
      <w:r w:rsidRPr="00981401">
        <w:t>2.</w:t>
      </w:r>
    </w:p>
    <w:p w14:paraId="18ED514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Children need to have the freedom to choose their own play as this can promote holistic development and helps them to build skills and qualities for lifelong learning.  Brodie, K (2018) says that through play children show who they really are as their personalities and abilities emerge. Self-directed play refers to children being given the opportunity to independently choose their own activity without interference from an adult.  Play Wales report that all children have the need to play, and that play is a ‘biological, psychological and social necessity’ (Play Wales, </w:t>
      </w:r>
      <w:proofErr w:type="spellStart"/>
      <w:r w:rsidRPr="00981401">
        <w:rPr>
          <w:rFonts w:ascii="Arial" w:hAnsi="Arial" w:cs="Arial"/>
          <w:sz w:val="24"/>
          <w:szCs w:val="24"/>
        </w:rPr>
        <w:t>n.d</w:t>
      </w:r>
      <w:proofErr w:type="spellEnd"/>
      <w:r w:rsidRPr="00981401">
        <w:rPr>
          <w:rFonts w:ascii="Arial" w:hAnsi="Arial" w:cs="Arial"/>
          <w:sz w:val="24"/>
          <w:szCs w:val="24"/>
        </w:rPr>
        <w:t xml:space="preserve">) and that children should choose to play freely from personal choice not directed by someone. </w:t>
      </w:r>
    </w:p>
    <w:p w14:paraId="6354484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Through self-direction, children learn to make decisions regarding their likes and preferences, play allows children to explore their own interests and to set their own boundaries, while also defining the rules. They learn to problem solve and to take turns, resolving conflicts as and when they arise, all key development points for children. </w:t>
      </w:r>
    </w:p>
    <w:p w14:paraId="336638DE"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When children choose to </w:t>
      </w:r>
      <w:proofErr w:type="gramStart"/>
      <w:r w:rsidRPr="00981401">
        <w:rPr>
          <w:rFonts w:ascii="Arial" w:hAnsi="Arial" w:cs="Arial"/>
          <w:sz w:val="24"/>
          <w:szCs w:val="24"/>
        </w:rPr>
        <w:t>play</w:t>
      </w:r>
      <w:proofErr w:type="gramEnd"/>
      <w:r w:rsidRPr="00981401">
        <w:rPr>
          <w:rFonts w:ascii="Arial" w:hAnsi="Arial" w:cs="Arial"/>
          <w:sz w:val="24"/>
          <w:szCs w:val="24"/>
        </w:rPr>
        <w:t xml:space="preserve"> they are developing the confidence to explore their surroundings; to problem solve using the resources around them, to discover what they want to build or create. Through self-directed play, children can make decisions </w:t>
      </w:r>
      <w:r w:rsidRPr="00981401">
        <w:rPr>
          <w:rFonts w:ascii="Arial" w:hAnsi="Arial" w:cs="Arial"/>
          <w:sz w:val="24"/>
          <w:szCs w:val="24"/>
        </w:rPr>
        <w:lastRenderedPageBreak/>
        <w:t xml:space="preserve">and choose if they want to play independently or with their peers. Social interactions are learnt and developed through play and friendships are formed. When a child is provided with the opportunity to choose what they want to play with, they learn naturally while they are having the experience and opportunity to explore and experiment with the resources in an enjoyable way. </w:t>
      </w:r>
    </w:p>
    <w:p w14:paraId="73A06B65"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sz w:val="24"/>
          <w:szCs w:val="24"/>
        </w:rPr>
        <w:t>Maria Montessori advocated self-directed play,</w:t>
      </w:r>
      <w:r w:rsidRPr="00981401">
        <w:rPr>
          <w:rFonts w:ascii="Arial" w:hAnsi="Arial" w:cs="Arial"/>
          <w:color w:val="000000"/>
          <w:sz w:val="24"/>
          <w:szCs w:val="24"/>
        </w:rPr>
        <w:t xml:space="preserve"> Lillard and Else-Quest (2006) describe the Montessori setting to be child directed where the resources are freely available for the child to select, the </w:t>
      </w:r>
      <w:proofErr w:type="gramStart"/>
      <w:r w:rsidRPr="00981401">
        <w:rPr>
          <w:rFonts w:ascii="Arial" w:hAnsi="Arial" w:cs="Arial"/>
          <w:color w:val="000000"/>
          <w:sz w:val="24"/>
          <w:szCs w:val="24"/>
        </w:rPr>
        <w:t>adults</w:t>
      </w:r>
      <w:proofErr w:type="gramEnd"/>
      <w:r w:rsidRPr="00981401">
        <w:rPr>
          <w:rFonts w:ascii="Arial" w:hAnsi="Arial" w:cs="Arial"/>
          <w:color w:val="000000"/>
          <w:sz w:val="24"/>
          <w:szCs w:val="24"/>
        </w:rPr>
        <w:t xml:space="preserve"> role is to supervise and reinforce learning.  However, Montessori settings are not necessarily child led, the children are encouraged not to play with items that they have not been shown and the practitioner prepares the environment ready for the children with a learning outcome in mind (Lillard and Else-Quest 2006).</w:t>
      </w:r>
    </w:p>
    <w:p w14:paraId="6C44FE38"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The role of the adult supporting self-directed play is to be a facilitator, the practitioner needs to provide resources, set up an inviting environment which sparks the children’s interests and imaginations. Additionally, Brodie (2018) agrees that the practitioner is there to provide challenges in the play area that result in learning being stretched. Bruner takes this point one step further saying that when children are introduced to a new play concept the adult is there to support the learning, ‘scaffolding’ on what they have learnt before, creating opportunities for them learn by making mistakes (Main, 2023).</w:t>
      </w:r>
    </w:p>
    <w:p w14:paraId="2DD9A65A"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Practitioners need to be aware of theories and pedagogy behind play.  Many practitioners do not understand the importance of play in the Early years, McInnes et al., 2011 (cited from Moyes et al. 2001: Stephen 2010b) state that research has shown a lack of training in play and the holistic development of children, McInnes et al., 2011 further this by saying that adults are unfamiliar with how to play with children and that they are uncomfortable when playing.</w:t>
      </w:r>
    </w:p>
    <w:p w14:paraId="11CF95DA"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 xml:space="preserve">However, with frameworks such as the Welsh Curriculum and the non-maintained nursery curriculum, play is now at the centre and the adult’s role has changed from ‘teaching’ and letting the children free play to adults being involved in the play process. It has been said (McInnes et </w:t>
      </w:r>
      <w:proofErr w:type="gramStart"/>
      <w:r w:rsidRPr="00981401">
        <w:rPr>
          <w:rFonts w:ascii="Arial" w:hAnsi="Arial" w:cs="Arial"/>
          <w:color w:val="000000"/>
          <w:sz w:val="24"/>
          <w:szCs w:val="24"/>
        </w:rPr>
        <w:t>al,.</w:t>
      </w:r>
      <w:proofErr w:type="gramEnd"/>
      <w:r w:rsidRPr="00981401">
        <w:rPr>
          <w:rFonts w:ascii="Arial" w:hAnsi="Arial" w:cs="Arial"/>
          <w:color w:val="000000"/>
          <w:sz w:val="24"/>
          <w:szCs w:val="24"/>
        </w:rPr>
        <w:t xml:space="preserve"> 2011) that when an adult is present, children perceive the play as work and the learning performance is decreased, when </w:t>
      </w:r>
      <w:r w:rsidRPr="00981401">
        <w:rPr>
          <w:rFonts w:ascii="Arial" w:hAnsi="Arial" w:cs="Arial"/>
          <w:color w:val="000000"/>
          <w:sz w:val="24"/>
          <w:szCs w:val="24"/>
        </w:rPr>
        <w:lastRenderedPageBreak/>
        <w:t>children see the play as play and with no adult intervening then the outcomes of the learning performance is higher.</w:t>
      </w:r>
    </w:p>
    <w:p w14:paraId="63B486CA"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Practitioners need to be aware of ‘cues’ (</w:t>
      </w:r>
      <w:proofErr w:type="spellStart"/>
      <w:r w:rsidRPr="00981401">
        <w:rPr>
          <w:rFonts w:ascii="Arial" w:hAnsi="Arial" w:cs="Arial"/>
          <w:color w:val="000000"/>
          <w:sz w:val="24"/>
          <w:szCs w:val="24"/>
        </w:rPr>
        <w:t>Karrby</w:t>
      </w:r>
      <w:proofErr w:type="spellEnd"/>
      <w:r w:rsidRPr="00981401">
        <w:rPr>
          <w:rFonts w:ascii="Arial" w:hAnsi="Arial" w:cs="Arial"/>
          <w:color w:val="000000"/>
          <w:sz w:val="24"/>
          <w:szCs w:val="24"/>
        </w:rPr>
        <w:t xml:space="preserve"> 1989; Wing 1995; Howard 2002) cited in McInnes et </w:t>
      </w:r>
      <w:proofErr w:type="gramStart"/>
      <w:r w:rsidRPr="00981401">
        <w:rPr>
          <w:rFonts w:ascii="Arial" w:hAnsi="Arial" w:cs="Arial"/>
          <w:color w:val="000000"/>
          <w:sz w:val="24"/>
          <w:szCs w:val="24"/>
        </w:rPr>
        <w:t>al,.</w:t>
      </w:r>
      <w:proofErr w:type="gramEnd"/>
      <w:r w:rsidRPr="00981401">
        <w:rPr>
          <w:rFonts w:ascii="Arial" w:hAnsi="Arial" w:cs="Arial"/>
          <w:color w:val="000000"/>
          <w:sz w:val="24"/>
          <w:szCs w:val="24"/>
        </w:rPr>
        <w:t xml:space="preserve"> 2011.  Cues are the way that children communicate and invite the adult to join them in play, these could be a child making eye contact or having a closeness to the adult.  Pyle and Danniels (2017) found that practitioners; looked at finding a balance between children interests when playing and the coverage of the curriculum.  </w:t>
      </w:r>
      <w:proofErr w:type="spellStart"/>
      <w:r w:rsidRPr="00981401">
        <w:rPr>
          <w:rFonts w:ascii="Arial" w:hAnsi="Arial" w:cs="Arial"/>
          <w:color w:val="000000"/>
          <w:sz w:val="24"/>
          <w:szCs w:val="24"/>
        </w:rPr>
        <w:t>Lendendecker</w:t>
      </w:r>
      <w:proofErr w:type="spellEnd"/>
      <w:r w:rsidRPr="00981401">
        <w:rPr>
          <w:rFonts w:ascii="Arial" w:hAnsi="Arial" w:cs="Arial"/>
          <w:color w:val="000000"/>
          <w:sz w:val="24"/>
          <w:szCs w:val="24"/>
        </w:rPr>
        <w:t xml:space="preserve"> (2020) supports this by saying that adults should not hijack the activity and take over, controlling the activity by making it have an outcome.</w:t>
      </w:r>
    </w:p>
    <w:p w14:paraId="1FA3CEDF"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 xml:space="preserve"> The practitioner must actively listen to the children, allowing them to be in control of their play and being in the moment with them, giving the children independence and only supporting them when they are needed, asked or if the element of risk is high.  </w:t>
      </w:r>
    </w:p>
    <w:p w14:paraId="6A441288"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Vygotsky introduced the Zone of Proximal Development that shows how and when a practitioner interacts in an activity, Vygotsky believed that the adult works alongside the child, scaffolding and guiding to uplevel an activity (Kurt. 2020).</w:t>
      </w:r>
    </w:p>
    <w:p w14:paraId="770A4339" w14:textId="77777777" w:rsidR="00981401" w:rsidRPr="00981401" w:rsidRDefault="00981401" w:rsidP="00981401">
      <w:pPr>
        <w:spacing w:line="360" w:lineRule="auto"/>
        <w:rPr>
          <w:rFonts w:ascii="Arial" w:hAnsi="Arial" w:cs="Arial"/>
          <w:sz w:val="24"/>
          <w:szCs w:val="24"/>
        </w:rPr>
      </w:pPr>
    </w:p>
    <w:p w14:paraId="2D1B3D8B" w14:textId="22721E10" w:rsidR="00BD4A98" w:rsidRPr="00981401" w:rsidRDefault="00981401" w:rsidP="00981401">
      <w:pPr>
        <w:pStyle w:val="IntenseQuote"/>
      </w:pPr>
      <w:r w:rsidRPr="00981401">
        <w:t>3.</w:t>
      </w:r>
    </w:p>
    <w:p w14:paraId="7A47E4FB"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Birth to five matters (2021) say that ‘</w:t>
      </w:r>
      <w:r w:rsidRPr="00981401">
        <w:rPr>
          <w:rFonts w:ascii="Arial" w:hAnsi="Arial" w:cs="Arial"/>
          <w:sz w:val="24"/>
          <w:szCs w:val="24"/>
        </w:rPr>
        <w:t xml:space="preserve">Observation of children is a fundamental professional skill, used in everyday practice in the Early Years Foundation Stage’.  </w:t>
      </w:r>
      <w:r w:rsidRPr="00981401">
        <w:rPr>
          <w:rFonts w:ascii="Arial" w:hAnsi="Arial" w:cs="Arial"/>
          <w:spacing w:val="-7"/>
          <w:sz w:val="24"/>
          <w:szCs w:val="24"/>
          <w:shd w:val="clear" w:color="auto" w:fill="FEFEFE"/>
        </w:rPr>
        <w:t xml:space="preserve">To observe a child is to look, listen and record what they are doing.  Observations in the Early Years are used in many ways to help the practitioner know the child in more depth. Howard and McInnes points out that observations </w:t>
      </w:r>
      <w:r w:rsidRPr="00981401">
        <w:rPr>
          <w:rFonts w:ascii="Arial" w:hAnsi="Arial" w:cs="Arial"/>
          <w:sz w:val="24"/>
          <w:szCs w:val="24"/>
        </w:rPr>
        <w:t xml:space="preserve">‘ensure that children are provided with the best possible play experiences, whether these be from an educational, therapeutic or recreational perspective’ </w:t>
      </w:r>
      <w:bookmarkStart w:id="0" w:name="_Hlk158563240"/>
      <w:r w:rsidRPr="00981401">
        <w:rPr>
          <w:rFonts w:ascii="Arial" w:hAnsi="Arial" w:cs="Arial"/>
          <w:sz w:val="24"/>
          <w:szCs w:val="24"/>
        </w:rPr>
        <w:t>(Howard and McInnes, 2013. P. 102)</w:t>
      </w:r>
      <w:bookmarkEnd w:id="0"/>
      <w:r w:rsidRPr="00981401">
        <w:rPr>
          <w:rFonts w:ascii="Arial" w:hAnsi="Arial" w:cs="Arial"/>
          <w:spacing w:val="-7"/>
          <w:sz w:val="24"/>
          <w:szCs w:val="24"/>
          <w:shd w:val="clear" w:color="auto" w:fill="FEFEFE"/>
        </w:rPr>
        <w:t xml:space="preserve"> this is backed up by Early Years Matters (2021)  who states that ‘observations are vital’ as they can provide information regarding the child, such </w:t>
      </w:r>
      <w:r w:rsidRPr="00981401">
        <w:rPr>
          <w:rFonts w:ascii="Arial" w:hAnsi="Arial" w:cs="Arial"/>
          <w:color w:val="233D4D"/>
          <w:spacing w:val="-7"/>
          <w:sz w:val="24"/>
          <w:szCs w:val="24"/>
          <w:shd w:val="clear" w:color="auto" w:fill="FEFEFE"/>
        </w:rPr>
        <w:t xml:space="preserve">as </w:t>
      </w:r>
      <w:r w:rsidRPr="00981401">
        <w:rPr>
          <w:rFonts w:ascii="Arial" w:hAnsi="Arial" w:cs="Arial"/>
          <w:spacing w:val="-7"/>
          <w:sz w:val="24"/>
          <w:szCs w:val="24"/>
          <w:shd w:val="clear" w:color="auto" w:fill="FEFEFE"/>
        </w:rPr>
        <w:t xml:space="preserve">their interests, emotional state; Furthermore The Foundation Phase curriculum and the non-maintained curriculum for nursery settings all share the view that observations should advocate the child’s needs and </w:t>
      </w:r>
      <w:r w:rsidRPr="00981401">
        <w:rPr>
          <w:rFonts w:ascii="Arial" w:hAnsi="Arial" w:cs="Arial"/>
          <w:spacing w:val="-7"/>
          <w:sz w:val="24"/>
          <w:szCs w:val="24"/>
          <w:shd w:val="clear" w:color="auto" w:fill="FEFEFE"/>
        </w:rPr>
        <w:lastRenderedPageBreak/>
        <w:t>interests and should ‘</w:t>
      </w:r>
      <w:r w:rsidRPr="00981401">
        <w:rPr>
          <w:rFonts w:ascii="Arial" w:hAnsi="Arial" w:cs="Arial"/>
          <w:sz w:val="24"/>
          <w:szCs w:val="24"/>
        </w:rPr>
        <w:t xml:space="preserve">be grounded in our thorough knowledge of child development and the child should be at the centre of the process.’ (Welsh Government, </w:t>
      </w:r>
      <w:proofErr w:type="spellStart"/>
      <w:r w:rsidRPr="00981401">
        <w:rPr>
          <w:rFonts w:ascii="Arial" w:hAnsi="Arial" w:cs="Arial"/>
          <w:sz w:val="24"/>
          <w:szCs w:val="24"/>
        </w:rPr>
        <w:t>nd</w:t>
      </w:r>
      <w:proofErr w:type="spellEnd"/>
      <w:r w:rsidRPr="00981401">
        <w:rPr>
          <w:rFonts w:ascii="Arial" w:hAnsi="Arial" w:cs="Arial"/>
          <w:sz w:val="24"/>
          <w:szCs w:val="24"/>
        </w:rPr>
        <w:t>).</w:t>
      </w:r>
      <w:r w:rsidRPr="00981401">
        <w:rPr>
          <w:rFonts w:ascii="Arial" w:hAnsi="Arial" w:cs="Arial"/>
          <w:spacing w:val="-7"/>
          <w:sz w:val="24"/>
          <w:szCs w:val="24"/>
          <w:shd w:val="clear" w:color="auto" w:fill="FEFEFE"/>
        </w:rPr>
        <w:t xml:space="preserve"> </w:t>
      </w:r>
    </w:p>
    <w:p w14:paraId="33285AFC"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 xml:space="preserve">Observations also assess children’s development, enabling the practitioner to monitor progress, ensuring individual needs are being met whilst also identifying difficulties or where challenge might be required. Therefore, using observation </w:t>
      </w:r>
      <w:proofErr w:type="gramStart"/>
      <w:r w:rsidRPr="00981401">
        <w:rPr>
          <w:rFonts w:ascii="Arial" w:hAnsi="Arial" w:cs="Arial"/>
          <w:spacing w:val="-7"/>
          <w:sz w:val="24"/>
          <w:szCs w:val="24"/>
          <w:shd w:val="clear" w:color="auto" w:fill="FEFEFE"/>
        </w:rPr>
        <w:t>as a way to</w:t>
      </w:r>
      <w:proofErr w:type="gramEnd"/>
      <w:r w:rsidRPr="00981401">
        <w:rPr>
          <w:rFonts w:ascii="Arial" w:hAnsi="Arial" w:cs="Arial"/>
          <w:spacing w:val="-7"/>
          <w:sz w:val="24"/>
          <w:szCs w:val="24"/>
          <w:shd w:val="clear" w:color="auto" w:fill="FEFEFE"/>
        </w:rPr>
        <w:t xml:space="preserve"> plan next steps in a child’s learning. </w:t>
      </w:r>
    </w:p>
    <w:p w14:paraId="2E373B4E"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The Foundation Phase Framework (Welsh Government 2017) state that observations need to be completed in different areas inside and out of the setting as well as during different times of the day.  This is to ensure that observations are true to the child and not as a one-off situation. In other words, can a child show that they have retained that skill in other areas.</w:t>
      </w:r>
    </w:p>
    <w:p w14:paraId="17EAFD4C"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There are many ways and methods that one can observe a child such as running records, written records.  It is at the discretion of the setting as to which they choose to use.</w:t>
      </w:r>
    </w:p>
    <w:p w14:paraId="2D041DE8"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 xml:space="preserve">The ‘Leuven Scale’ is a method used to score the emotional wellbeing of a child.  Early Years Excellence ltd (2020) considers the enjoyment of the children participating in an activity and looks at how children learn though play; if the activity is not enjoyable, too </w:t>
      </w:r>
      <w:proofErr w:type="gramStart"/>
      <w:r w:rsidRPr="00981401">
        <w:rPr>
          <w:rFonts w:ascii="Arial" w:hAnsi="Arial" w:cs="Arial"/>
          <w:spacing w:val="-7"/>
          <w:sz w:val="24"/>
          <w:szCs w:val="24"/>
          <w:shd w:val="clear" w:color="auto" w:fill="FEFEFE"/>
        </w:rPr>
        <w:t>hard</w:t>
      </w:r>
      <w:proofErr w:type="gramEnd"/>
      <w:r w:rsidRPr="00981401">
        <w:rPr>
          <w:rFonts w:ascii="Arial" w:hAnsi="Arial" w:cs="Arial"/>
          <w:spacing w:val="-7"/>
          <w:sz w:val="24"/>
          <w:szCs w:val="24"/>
          <w:shd w:val="clear" w:color="auto" w:fill="FEFEFE"/>
        </w:rPr>
        <w:t xml:space="preserve"> or too easy, then the children will not be focused or motivated to remain with that activity.</w:t>
      </w:r>
    </w:p>
    <w:p w14:paraId="11FC2A32"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 xml:space="preserve">According to </w:t>
      </w:r>
      <w:proofErr w:type="spellStart"/>
      <w:r w:rsidRPr="00981401">
        <w:rPr>
          <w:rFonts w:ascii="Arial" w:hAnsi="Arial" w:cs="Arial"/>
          <w:spacing w:val="-7"/>
          <w:sz w:val="24"/>
          <w:szCs w:val="24"/>
          <w:shd w:val="clear" w:color="auto" w:fill="FEFEFE"/>
        </w:rPr>
        <w:t>MacRae</w:t>
      </w:r>
      <w:proofErr w:type="spellEnd"/>
      <w:r w:rsidRPr="00981401">
        <w:rPr>
          <w:rFonts w:ascii="Arial" w:hAnsi="Arial" w:cs="Arial"/>
          <w:spacing w:val="-7"/>
          <w:sz w:val="24"/>
          <w:szCs w:val="24"/>
          <w:shd w:val="clear" w:color="auto" w:fill="FEFEFE"/>
        </w:rPr>
        <w:t xml:space="preserve"> and Jones (2020) the Leuven Scale enables practitioners to gauge the ‘involvement in a self-chosen activity’ and then be able to measure the </w:t>
      </w:r>
      <w:proofErr w:type="spellStart"/>
      <w:r w:rsidRPr="00981401">
        <w:rPr>
          <w:rFonts w:ascii="Arial" w:hAnsi="Arial" w:cs="Arial"/>
          <w:spacing w:val="-7"/>
          <w:sz w:val="24"/>
          <w:szCs w:val="24"/>
          <w:shd w:val="clear" w:color="auto" w:fill="FEFEFE"/>
        </w:rPr>
        <w:t>well being</w:t>
      </w:r>
      <w:proofErr w:type="spellEnd"/>
      <w:r w:rsidRPr="00981401">
        <w:rPr>
          <w:rFonts w:ascii="Arial" w:hAnsi="Arial" w:cs="Arial"/>
          <w:spacing w:val="-7"/>
          <w:sz w:val="24"/>
          <w:szCs w:val="24"/>
          <w:shd w:val="clear" w:color="auto" w:fill="FEFEFE"/>
        </w:rPr>
        <w:t xml:space="preserve"> of the child, which can then be used to provide the practitioner with a score to measure well-being. The higher the level, of well-being, the stronger the learning is.  As with other methods of observations there are positives, </w:t>
      </w:r>
      <w:proofErr w:type="gramStart"/>
      <w:r w:rsidRPr="00981401">
        <w:rPr>
          <w:rFonts w:ascii="Arial" w:hAnsi="Arial" w:cs="Arial"/>
          <w:spacing w:val="-7"/>
          <w:sz w:val="24"/>
          <w:szCs w:val="24"/>
          <w:shd w:val="clear" w:color="auto" w:fill="FEFEFE"/>
        </w:rPr>
        <w:t>negatives</w:t>
      </w:r>
      <w:proofErr w:type="gramEnd"/>
      <w:r w:rsidRPr="00981401">
        <w:rPr>
          <w:rFonts w:ascii="Arial" w:hAnsi="Arial" w:cs="Arial"/>
          <w:spacing w:val="-7"/>
          <w:sz w:val="24"/>
          <w:szCs w:val="24"/>
          <w:shd w:val="clear" w:color="auto" w:fill="FEFEFE"/>
        </w:rPr>
        <w:t xml:space="preserve"> and limitations to this method:</w:t>
      </w:r>
    </w:p>
    <w:p w14:paraId="11EB7CA2"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 xml:space="preserve">The Leuven scale is simple to use and can therefore be used by all in the setting. This method focuses purely on the needs of the child, </w:t>
      </w:r>
      <w:proofErr w:type="gramStart"/>
      <w:r w:rsidRPr="00981401">
        <w:rPr>
          <w:rFonts w:ascii="Arial" w:hAnsi="Arial" w:cs="Arial"/>
          <w:spacing w:val="-7"/>
          <w:sz w:val="24"/>
          <w:szCs w:val="24"/>
          <w:shd w:val="clear" w:color="auto" w:fill="FEFEFE"/>
        </w:rPr>
        <w:t>therefore  it</w:t>
      </w:r>
      <w:proofErr w:type="gramEnd"/>
      <w:r w:rsidRPr="00981401">
        <w:rPr>
          <w:rFonts w:ascii="Arial" w:hAnsi="Arial" w:cs="Arial"/>
          <w:spacing w:val="-7"/>
          <w:sz w:val="24"/>
          <w:szCs w:val="24"/>
          <w:shd w:val="clear" w:color="auto" w:fill="FEFEFE"/>
        </w:rPr>
        <w:t xml:space="preserve"> allows practitioners to identify ways to support individual children. </w:t>
      </w:r>
    </w:p>
    <w:p w14:paraId="12191CBC" w14:textId="77777777" w:rsidR="00981401" w:rsidRPr="00981401" w:rsidRDefault="00981401" w:rsidP="00981401">
      <w:pPr>
        <w:spacing w:line="360" w:lineRule="auto"/>
        <w:rPr>
          <w:rFonts w:ascii="Arial" w:hAnsi="Arial" w:cs="Arial"/>
          <w:sz w:val="24"/>
          <w:szCs w:val="24"/>
          <w:shd w:val="clear" w:color="auto" w:fill="FFFFFF"/>
        </w:rPr>
      </w:pPr>
      <w:r w:rsidRPr="00981401">
        <w:rPr>
          <w:rFonts w:ascii="Arial" w:hAnsi="Arial" w:cs="Arial"/>
          <w:spacing w:val="-7"/>
          <w:sz w:val="24"/>
          <w:szCs w:val="24"/>
          <w:shd w:val="clear" w:color="auto" w:fill="FEFEFE"/>
        </w:rPr>
        <w:t xml:space="preserve"> It can be argued that The Leuven Scale does not show the holistic development of the child due to the scale only looking at emotional well-being, but it is a well-known fact that children learn holistically through play. Froebel </w:t>
      </w:r>
      <w:r w:rsidRPr="00981401">
        <w:rPr>
          <w:rFonts w:ascii="Arial" w:hAnsi="Arial" w:cs="Arial"/>
          <w:sz w:val="24"/>
          <w:szCs w:val="24"/>
        </w:rPr>
        <w:t>said that children ‘thrive when they are emotionally secure’ (</w:t>
      </w:r>
      <w:r w:rsidRPr="00981401">
        <w:rPr>
          <w:rFonts w:ascii="Arial" w:hAnsi="Arial" w:cs="Arial"/>
          <w:sz w:val="24"/>
          <w:szCs w:val="24"/>
          <w:shd w:val="clear" w:color="auto" w:fill="FFFFFF"/>
        </w:rPr>
        <w:t>A Froebelian approach, n.d.) as did Piaget, who believed that children learnt from doing.</w:t>
      </w:r>
    </w:p>
    <w:p w14:paraId="68700F84" w14:textId="77777777" w:rsidR="00981401" w:rsidRPr="00981401" w:rsidRDefault="00981401" w:rsidP="00981401">
      <w:pPr>
        <w:spacing w:line="360" w:lineRule="auto"/>
        <w:rPr>
          <w:rFonts w:ascii="Arial" w:hAnsi="Arial" w:cs="Arial"/>
          <w:sz w:val="24"/>
          <w:szCs w:val="24"/>
          <w:shd w:val="clear" w:color="auto" w:fill="FFFFFF"/>
        </w:rPr>
      </w:pPr>
      <w:r w:rsidRPr="00981401">
        <w:rPr>
          <w:rFonts w:ascii="Arial" w:hAnsi="Arial" w:cs="Arial"/>
          <w:sz w:val="24"/>
          <w:szCs w:val="24"/>
          <w:shd w:val="clear" w:color="auto" w:fill="FFFFFF"/>
        </w:rPr>
        <w:lastRenderedPageBreak/>
        <w:t>The Leuven Scale is versatile and can be used anywhere and at any time, this helps the practitioner to see areas or activities in the setting that children may not be engaged and can therefore reflect and adapt the environment to best suit the children’s individual needs.</w:t>
      </w:r>
    </w:p>
    <w:p w14:paraId="2E103623" w14:textId="77777777" w:rsidR="00981401" w:rsidRPr="00981401" w:rsidRDefault="00981401" w:rsidP="00981401">
      <w:pPr>
        <w:spacing w:line="360" w:lineRule="auto"/>
        <w:rPr>
          <w:rFonts w:ascii="Arial" w:hAnsi="Arial" w:cs="Arial"/>
          <w:sz w:val="24"/>
          <w:szCs w:val="24"/>
          <w:shd w:val="clear" w:color="auto" w:fill="FFFFFF"/>
        </w:rPr>
      </w:pPr>
      <w:r w:rsidRPr="00981401">
        <w:rPr>
          <w:rFonts w:ascii="Arial" w:hAnsi="Arial" w:cs="Arial"/>
          <w:sz w:val="24"/>
          <w:szCs w:val="24"/>
          <w:shd w:val="clear" w:color="auto" w:fill="FFFFFF"/>
        </w:rPr>
        <w:t>When used as a one-off observation the Leuven scale is not an accurate method to use, as emotions change throughout the day and are dependent on the mood of the child on that day.  Additionally, this method is not suitable for certain children who have additional learning needs as some of the characteristics in the scale are not presented by these children, such as facial expressions and verbal cues (Learning Journals, 2021).</w:t>
      </w:r>
    </w:p>
    <w:p w14:paraId="76894951" w14:textId="64074D0A" w:rsidR="00981401" w:rsidRPr="00981401" w:rsidRDefault="00981401" w:rsidP="00981401">
      <w:pPr>
        <w:spacing w:line="360" w:lineRule="auto"/>
        <w:rPr>
          <w:rFonts w:ascii="Arial" w:hAnsi="Arial" w:cs="Arial"/>
          <w:sz w:val="24"/>
          <w:szCs w:val="24"/>
          <w:shd w:val="clear" w:color="auto" w:fill="FFFFFF"/>
        </w:rPr>
      </w:pPr>
      <w:r w:rsidRPr="00981401">
        <w:rPr>
          <w:rFonts w:ascii="Arial" w:hAnsi="Arial" w:cs="Arial"/>
          <w:sz w:val="24"/>
          <w:szCs w:val="24"/>
          <w:shd w:val="clear" w:color="auto" w:fill="FFFFFF"/>
        </w:rPr>
        <w:t>When the children are settling into a new setting this observation method is a good way of engaging the children’s emotional wellbeing and can be used to support children who may need extra help</w:t>
      </w:r>
      <w:r w:rsidRPr="00981401">
        <w:rPr>
          <w:rFonts w:ascii="Arial" w:hAnsi="Arial" w:cs="Arial"/>
          <w:sz w:val="24"/>
          <w:szCs w:val="24"/>
          <w:shd w:val="clear" w:color="auto" w:fill="FFFFFF"/>
        </w:rPr>
        <w:t>.</w:t>
      </w:r>
    </w:p>
    <w:p w14:paraId="71399C76" w14:textId="77777777" w:rsidR="00981401" w:rsidRPr="00981401" w:rsidRDefault="00981401" w:rsidP="00981401">
      <w:pPr>
        <w:spacing w:line="360" w:lineRule="auto"/>
        <w:rPr>
          <w:rFonts w:ascii="Arial" w:hAnsi="Arial" w:cs="Arial"/>
          <w:sz w:val="24"/>
          <w:szCs w:val="24"/>
          <w:shd w:val="clear" w:color="auto" w:fill="FFFFFF"/>
        </w:rPr>
      </w:pPr>
    </w:p>
    <w:p w14:paraId="0F9897BA" w14:textId="0BF64A68" w:rsidR="00981401" w:rsidRPr="00981401" w:rsidRDefault="00981401" w:rsidP="00981401">
      <w:pPr>
        <w:pStyle w:val="IntenseQuote"/>
        <w:rPr>
          <w:shd w:val="clear" w:color="auto" w:fill="FFFFFF"/>
        </w:rPr>
      </w:pPr>
      <w:r w:rsidRPr="00981401">
        <w:rPr>
          <w:shd w:val="clear" w:color="auto" w:fill="FFFFFF"/>
        </w:rPr>
        <w:t>4.</w:t>
      </w:r>
    </w:p>
    <w:p w14:paraId="4B255C0B" w14:textId="77777777" w:rsidR="00981401" w:rsidRPr="00981401" w:rsidRDefault="00981401" w:rsidP="00981401">
      <w:pPr>
        <w:spacing w:line="360" w:lineRule="auto"/>
        <w:rPr>
          <w:rFonts w:ascii="Arial" w:hAnsi="Arial" w:cs="Arial"/>
          <w:sz w:val="24"/>
          <w:szCs w:val="24"/>
        </w:rPr>
      </w:pPr>
      <w:bookmarkStart w:id="1" w:name="_Hlk158988211"/>
      <w:r w:rsidRPr="00981401">
        <w:rPr>
          <w:rFonts w:ascii="Arial" w:hAnsi="Arial" w:cs="Arial"/>
          <w:sz w:val="24"/>
          <w:szCs w:val="24"/>
        </w:rPr>
        <w:t xml:space="preserve">Play is a crucial and natural activity for children, the </w:t>
      </w:r>
      <w:proofErr w:type="spellStart"/>
      <w:r w:rsidRPr="00981401">
        <w:rPr>
          <w:rFonts w:ascii="Arial" w:hAnsi="Arial" w:cs="Arial"/>
          <w:sz w:val="24"/>
          <w:szCs w:val="24"/>
        </w:rPr>
        <w:t>Playwork</w:t>
      </w:r>
      <w:proofErr w:type="spellEnd"/>
      <w:r w:rsidRPr="00981401">
        <w:rPr>
          <w:rFonts w:ascii="Arial" w:hAnsi="Arial" w:cs="Arial"/>
          <w:sz w:val="24"/>
          <w:szCs w:val="24"/>
        </w:rPr>
        <w:t xml:space="preserve"> Principles say that children have a need to play and that it is built in them (play </w:t>
      </w:r>
      <w:proofErr w:type="spellStart"/>
      <w:r w:rsidRPr="00981401">
        <w:rPr>
          <w:rFonts w:ascii="Arial" w:hAnsi="Arial" w:cs="Arial"/>
          <w:sz w:val="24"/>
          <w:szCs w:val="24"/>
        </w:rPr>
        <w:t>wales</w:t>
      </w:r>
      <w:proofErr w:type="spellEnd"/>
      <w:r w:rsidRPr="00981401">
        <w:rPr>
          <w:rFonts w:ascii="Arial" w:hAnsi="Arial" w:cs="Arial"/>
          <w:sz w:val="24"/>
          <w:szCs w:val="24"/>
        </w:rPr>
        <w:t>, 2022).  When undertaking observations and assessments play is seen as a powerful tool, according to United Nations Children’s Fund (UNICEF, 2018) Play should be seen as an important part of monitoring tools because they consider play to be a ‘consistent element of defining pre-primary quality’ (UNICEF, 2018 pp. 28).</w:t>
      </w:r>
    </w:p>
    <w:p w14:paraId="7348DE92"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Play is a time where children can be themselves, where they get lost in their own world, Howard and McIn</w:t>
      </w:r>
      <w:bookmarkEnd w:id="1"/>
      <w:r w:rsidRPr="00981401">
        <w:rPr>
          <w:rFonts w:ascii="Arial" w:hAnsi="Arial" w:cs="Arial"/>
          <w:sz w:val="24"/>
          <w:szCs w:val="24"/>
        </w:rPr>
        <w:t xml:space="preserve">nes (2013) state that when authentic play is chosen and directed by the child, then the concentration, interest and attention span is higher than when a child is told what to do and how to do it. McInnes, et al (2011) support this by stating that children who are ‘framed’ by others, lose the control of play and the interest is either no longer there or is weakened. If children are aware when they are being observed and if an adult is completing a checklist or is stood over and watching them then it is likely that the child behaviour will change and not act as how they would naturally act. This can be perceived as The Hawthorne effect which </w:t>
      </w:r>
      <w:r w:rsidRPr="00981401">
        <w:rPr>
          <w:rFonts w:ascii="Arial" w:hAnsi="Arial" w:cs="Arial"/>
          <w:color w:val="000000"/>
          <w:sz w:val="24"/>
          <w:szCs w:val="24"/>
        </w:rPr>
        <w:lastRenderedPageBreak/>
        <w:t>Perera (2023) says that this is when a person’s performance alters, and the result may not be accurate.</w:t>
      </w:r>
    </w:p>
    <w:p w14:paraId="4D8F794E" w14:textId="77777777" w:rsidR="00981401" w:rsidRPr="00981401" w:rsidRDefault="00981401" w:rsidP="00981401">
      <w:pPr>
        <w:pStyle w:val="NormalWeb"/>
        <w:spacing w:before="0" w:beforeAutospacing="0" w:after="0" w:afterAutospacing="0" w:line="360" w:lineRule="auto"/>
        <w:rPr>
          <w:rFonts w:ascii="Arial" w:hAnsi="Arial" w:cs="Arial"/>
        </w:rPr>
      </w:pPr>
      <w:r w:rsidRPr="00981401">
        <w:rPr>
          <w:rFonts w:ascii="Arial" w:hAnsi="Arial" w:cs="Arial"/>
        </w:rPr>
        <w:t xml:space="preserve"> Howard and McInnes (2013) go in to say that, when practitioners are participating in an observation and assessment, one gets better results and a truer reflection of the child’s abilities and development when the child sees the activity as play.  Gray, Lancy. &amp; Bjorklund (2023) support this by saying that when children choose their own play their learning is enhanced which </w:t>
      </w:r>
      <w:proofErr w:type="gramStart"/>
      <w:r w:rsidRPr="00981401">
        <w:rPr>
          <w:rFonts w:ascii="Arial" w:hAnsi="Arial" w:cs="Arial"/>
        </w:rPr>
        <w:t>makes the observation</w:t>
      </w:r>
      <w:proofErr w:type="gramEnd"/>
      <w:r w:rsidRPr="00981401">
        <w:rPr>
          <w:rFonts w:ascii="Arial" w:hAnsi="Arial" w:cs="Arial"/>
        </w:rPr>
        <w:t xml:space="preserve"> more effective and able to see the skills and development.</w:t>
      </w:r>
    </w:p>
    <w:p w14:paraId="142D7F54"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Practitioners can reflect on their own setting and ensure experiences and environments are fun and authentic.  Howard and McInnes (2013) say that one gets the best results when the children are provided with positive experiences, making sure that the child has had input into their own play experiences and resources that spark their interests. </w:t>
      </w:r>
    </w:p>
    <w:p w14:paraId="307A72C3"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Practitioners need to aware of The Play cycle, which will help them to support play and when the time is right to intervene.  Adults observe the role and wait for a cue to be invited into the play, the adult can then become a partner in the play alongside the child and then takes cues from the child.  The adult must not take over or control the play (Swansea University, </w:t>
      </w:r>
      <w:proofErr w:type="spellStart"/>
      <w:r w:rsidRPr="00981401">
        <w:rPr>
          <w:rFonts w:ascii="Arial" w:hAnsi="Arial" w:cs="Arial"/>
          <w:sz w:val="24"/>
          <w:szCs w:val="24"/>
        </w:rPr>
        <w:t>n.d</w:t>
      </w:r>
      <w:proofErr w:type="spellEnd"/>
      <w:r w:rsidRPr="00981401">
        <w:rPr>
          <w:rFonts w:ascii="Arial" w:hAnsi="Arial" w:cs="Arial"/>
          <w:sz w:val="24"/>
          <w:szCs w:val="24"/>
        </w:rPr>
        <w:t>).  This evidence is backed up by Pyle and Danniels (2017) who agree that the role of the adult needs to change from helping when they need to helping when they ask.</w:t>
      </w:r>
    </w:p>
    <w:p w14:paraId="649173FC"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Additionally, Howard and McInnes (2013) report that to get an accurate and effective assessment of the children, then the observation should be completed a few times, at different times of the day and participating in various activities.</w:t>
      </w:r>
    </w:p>
    <w:p w14:paraId="3B1B7FE3"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Practitioners should provide the time for children to have free-play, Gray, Lancy, and Bjorklund (2023) shared a report that showed a vast decline in children having the freedom to play, to have unstructured and unsupervised play.  This decline has led to an increase of children having mental health, well-being issues.  This has led to a cohort of children unable to play without the guidance of an adult.</w:t>
      </w:r>
    </w:p>
    <w:p w14:paraId="2905EC2D"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However, when an adult is present children perceive the activity as work this is why the adult needs to be the facilitator and to ensure the environment and resources are available to provide a great learning experience.  Children learn from doing, when </w:t>
      </w:r>
      <w:r w:rsidRPr="00981401">
        <w:rPr>
          <w:rFonts w:ascii="Arial" w:hAnsi="Arial" w:cs="Arial"/>
          <w:sz w:val="24"/>
          <w:szCs w:val="24"/>
        </w:rPr>
        <w:lastRenderedPageBreak/>
        <w:t xml:space="preserve">children are active in </w:t>
      </w:r>
      <w:proofErr w:type="gramStart"/>
      <w:r w:rsidRPr="00981401">
        <w:rPr>
          <w:rFonts w:ascii="Arial" w:hAnsi="Arial" w:cs="Arial"/>
          <w:sz w:val="24"/>
          <w:szCs w:val="24"/>
        </w:rPr>
        <w:t>play</w:t>
      </w:r>
      <w:proofErr w:type="gramEnd"/>
      <w:r w:rsidRPr="00981401">
        <w:rPr>
          <w:rFonts w:ascii="Arial" w:hAnsi="Arial" w:cs="Arial"/>
          <w:sz w:val="24"/>
          <w:szCs w:val="24"/>
        </w:rPr>
        <w:t xml:space="preserve"> they learn more than from sitting at a table (UNICEF, 2018).</w:t>
      </w:r>
    </w:p>
    <w:p w14:paraId="6342437A" w14:textId="77777777" w:rsidR="00981401" w:rsidRPr="00981401" w:rsidRDefault="00981401" w:rsidP="00981401">
      <w:pPr>
        <w:spacing w:line="360" w:lineRule="auto"/>
        <w:rPr>
          <w:rFonts w:ascii="Arial" w:hAnsi="Arial" w:cs="Arial"/>
          <w:sz w:val="24"/>
          <w:szCs w:val="24"/>
        </w:rPr>
      </w:pPr>
    </w:p>
    <w:p w14:paraId="19826EA1" w14:textId="77777777" w:rsidR="00981401" w:rsidRPr="00981401" w:rsidRDefault="00981401" w:rsidP="00981401">
      <w:pPr>
        <w:spacing w:line="360" w:lineRule="auto"/>
        <w:rPr>
          <w:rFonts w:ascii="Arial" w:hAnsi="Arial" w:cs="Arial"/>
          <w:sz w:val="24"/>
          <w:szCs w:val="24"/>
          <w:shd w:val="clear" w:color="auto" w:fill="FFFFFF"/>
        </w:rPr>
      </w:pPr>
    </w:p>
    <w:p w14:paraId="12D54147" w14:textId="77777777" w:rsidR="00BD4A98" w:rsidRPr="00981401" w:rsidRDefault="00BD4A98" w:rsidP="00981401">
      <w:pPr>
        <w:spacing w:line="360" w:lineRule="auto"/>
        <w:rPr>
          <w:rFonts w:ascii="Arial" w:hAnsi="Arial" w:cs="Arial"/>
          <w:sz w:val="24"/>
          <w:szCs w:val="24"/>
        </w:rPr>
      </w:pPr>
    </w:p>
    <w:p w14:paraId="23BAA34D" w14:textId="77777777" w:rsidR="00BD4A98" w:rsidRPr="00981401" w:rsidRDefault="00BD4A98" w:rsidP="00981401">
      <w:pPr>
        <w:spacing w:line="360" w:lineRule="auto"/>
        <w:rPr>
          <w:rFonts w:ascii="Arial" w:hAnsi="Arial" w:cs="Arial"/>
          <w:sz w:val="24"/>
          <w:szCs w:val="24"/>
        </w:rPr>
      </w:pPr>
    </w:p>
    <w:p w14:paraId="01B2C7C1" w14:textId="77777777" w:rsidR="00BD4A98" w:rsidRPr="00981401" w:rsidRDefault="00BD4A98" w:rsidP="00981401">
      <w:pPr>
        <w:spacing w:line="360" w:lineRule="auto"/>
        <w:rPr>
          <w:rFonts w:ascii="Arial" w:hAnsi="Arial" w:cs="Arial"/>
          <w:sz w:val="24"/>
          <w:szCs w:val="24"/>
        </w:rPr>
      </w:pPr>
    </w:p>
    <w:p w14:paraId="71C0D90E" w14:textId="77777777" w:rsidR="00BD4A98" w:rsidRPr="00981401" w:rsidRDefault="00BD4A98" w:rsidP="00981401">
      <w:pPr>
        <w:spacing w:line="360" w:lineRule="auto"/>
        <w:rPr>
          <w:rFonts w:ascii="Arial" w:hAnsi="Arial" w:cs="Arial"/>
          <w:sz w:val="24"/>
          <w:szCs w:val="24"/>
        </w:rPr>
      </w:pPr>
    </w:p>
    <w:p w14:paraId="3F3A2DB8" w14:textId="2322C4C2" w:rsidR="00A60792" w:rsidRPr="00981401" w:rsidRDefault="00A60792" w:rsidP="00981401">
      <w:pPr>
        <w:spacing w:line="360" w:lineRule="auto"/>
        <w:rPr>
          <w:rFonts w:ascii="Arial" w:hAnsi="Arial" w:cs="Arial"/>
          <w:sz w:val="24"/>
          <w:szCs w:val="24"/>
        </w:rPr>
      </w:pPr>
    </w:p>
    <w:sectPr w:rsidR="00A60792" w:rsidRPr="00981401" w:rsidSect="00DC7AC3">
      <w:headerReference w:type="default" r:id="rId8"/>
      <w:footerReference w:type="default" r:id="rId9"/>
      <w:pgSz w:w="11906" w:h="16838"/>
      <w:pgMar w:top="1440" w:right="1440" w:bottom="1440" w:left="1440" w:header="170" w:footer="0" w:gutter="0"/>
      <w:pgBorders w:offsetFrom="page">
        <w:top w:val="dotDash" w:sz="24" w:space="24" w:color="auto"/>
        <w:left w:val="dotDash" w:sz="24" w:space="24" w:color="auto"/>
        <w:bottom w:val="dotDash" w:sz="24" w:space="24" w:color="auto"/>
        <w:right w:val="dotDash"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82107" w14:textId="77777777" w:rsidR="00DC7AC3" w:rsidRDefault="00DC7AC3" w:rsidP="00DC7AC3">
      <w:pPr>
        <w:spacing w:after="0" w:line="240" w:lineRule="auto"/>
      </w:pPr>
      <w:r>
        <w:separator/>
      </w:r>
    </w:p>
  </w:endnote>
  <w:endnote w:type="continuationSeparator" w:id="0">
    <w:p w14:paraId="5E8B7614" w14:textId="77777777" w:rsidR="00DC7AC3" w:rsidRDefault="00DC7AC3" w:rsidP="00DC7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550050"/>
      <w:docPartObj>
        <w:docPartGallery w:val="Page Numbers (Bottom of Page)"/>
        <w:docPartUnique/>
      </w:docPartObj>
    </w:sdtPr>
    <w:sdtEndPr>
      <w:rPr>
        <w:noProof/>
      </w:rPr>
    </w:sdtEndPr>
    <w:sdtContent>
      <w:p w14:paraId="0DC28C4A" w14:textId="06F0D3AC" w:rsidR="00DC7AC3" w:rsidRDefault="00DC7A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D684C2" w14:textId="77777777" w:rsidR="00DC7AC3" w:rsidRDefault="00DC7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D5348" w14:textId="77777777" w:rsidR="00DC7AC3" w:rsidRDefault="00DC7AC3" w:rsidP="00DC7AC3">
      <w:pPr>
        <w:spacing w:after="0" w:line="240" w:lineRule="auto"/>
      </w:pPr>
      <w:r>
        <w:separator/>
      </w:r>
    </w:p>
  </w:footnote>
  <w:footnote w:type="continuationSeparator" w:id="0">
    <w:p w14:paraId="36095CEC" w14:textId="77777777" w:rsidR="00DC7AC3" w:rsidRDefault="00DC7AC3" w:rsidP="00DC7A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B262F" w14:textId="230D1373" w:rsidR="00DC7AC3" w:rsidRPr="00DC7AC3" w:rsidRDefault="00DC7AC3">
    <w:pPr>
      <w:pStyle w:val="Header"/>
      <w:rPr>
        <w:rFonts w:ascii="Arial" w:hAnsi="Arial" w:cs="Arial"/>
      </w:rPr>
    </w:pPr>
    <w:r>
      <w:rPr>
        <w:rFonts w:ascii="Arial" w:hAnsi="Arial" w:cs="Arial"/>
      </w:rPr>
      <w:t xml:space="preserve">  </w:t>
    </w:r>
    <w:r w:rsidRPr="00DC7AC3">
      <w:rPr>
        <w:rFonts w:ascii="Arial" w:hAnsi="Arial" w:cs="Arial"/>
      </w:rPr>
      <w:t>Student Number: 2312455</w:t>
    </w:r>
    <w:r w:rsidRPr="00DC7AC3">
      <w:rPr>
        <w:rFonts w:ascii="Arial" w:hAnsi="Arial" w:cs="Arial"/>
      </w:rPr>
      <w:tab/>
    </w:r>
    <w:r w:rsidR="00FE4288">
      <w:rPr>
        <w:rFonts w:ascii="Arial" w:hAnsi="Arial" w:cs="Arial"/>
      </w:rPr>
      <w:t xml:space="preserve">            </w:t>
    </w:r>
    <w:r w:rsidRPr="00DC7AC3">
      <w:rPr>
        <w:rFonts w:ascii="Arial" w:hAnsi="Arial" w:cs="Arial"/>
      </w:rPr>
      <w:t>Module Code:</w:t>
    </w:r>
    <w:r w:rsidR="00EB2C1A">
      <w:rPr>
        <w:rFonts w:ascii="Arial" w:hAnsi="Arial" w:cs="Arial"/>
      </w:rPr>
      <w:t xml:space="preserve">  </w:t>
    </w:r>
    <w:r w:rsidRPr="00DC7AC3">
      <w:rPr>
        <w:rFonts w:ascii="Arial" w:hAnsi="Arial" w:cs="Arial"/>
      </w:rPr>
      <w:t>ECEY4003</w:t>
    </w:r>
    <w:r w:rsidR="002022BD">
      <w:rPr>
        <w:rFonts w:ascii="Arial" w:hAnsi="Arial" w:cs="Arial"/>
      </w:rPr>
      <w:t xml:space="preserve"> C</w:t>
    </w:r>
    <w:r w:rsidR="00FE4288">
      <w:rPr>
        <w:rFonts w:ascii="Arial" w:hAnsi="Arial" w:cs="Arial"/>
      </w:rPr>
      <w:tab/>
    </w:r>
    <w:r w:rsidRPr="00DC7AC3">
      <w:rPr>
        <w:rFonts w:ascii="Arial" w:hAnsi="Arial" w:cs="Arial"/>
      </w:rPr>
      <w:t>Word Count:</w:t>
    </w:r>
    <w:r w:rsidR="00981401">
      <w:rPr>
        <w:rFonts w:ascii="Arial" w:hAnsi="Arial" w:cs="Arial"/>
      </w:rPr>
      <w:t xml:space="preserve"> 2890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75F50"/>
    <w:multiLevelType w:val="hybridMultilevel"/>
    <w:tmpl w:val="F5869B58"/>
    <w:lvl w:ilvl="0" w:tplc="1938D1E6">
      <w:start w:val="1"/>
      <w:numFmt w:val="bullet"/>
      <w:lvlText w:val=""/>
      <w:lvlJc w:val="left"/>
      <w:pPr>
        <w:ind w:left="720" w:hanging="360"/>
      </w:pPr>
      <w:rPr>
        <w:rFonts w:ascii="Symbol" w:hAnsi="Symbol" w:hint="default"/>
      </w:rPr>
    </w:lvl>
    <w:lvl w:ilvl="1" w:tplc="250825A0">
      <w:start w:val="1"/>
      <w:numFmt w:val="bullet"/>
      <w:lvlText w:val="o"/>
      <w:lvlJc w:val="left"/>
      <w:pPr>
        <w:ind w:left="1440" w:hanging="360"/>
      </w:pPr>
      <w:rPr>
        <w:rFonts w:ascii="Courier New" w:hAnsi="Courier New" w:hint="default"/>
      </w:rPr>
    </w:lvl>
    <w:lvl w:ilvl="2" w:tplc="BAC0DAF2">
      <w:start w:val="1"/>
      <w:numFmt w:val="bullet"/>
      <w:lvlText w:val=""/>
      <w:lvlJc w:val="left"/>
      <w:pPr>
        <w:ind w:left="2160" w:hanging="360"/>
      </w:pPr>
      <w:rPr>
        <w:rFonts w:ascii="Wingdings" w:hAnsi="Wingdings" w:hint="default"/>
      </w:rPr>
    </w:lvl>
    <w:lvl w:ilvl="3" w:tplc="FCB41F4A">
      <w:start w:val="1"/>
      <w:numFmt w:val="bullet"/>
      <w:lvlText w:val=""/>
      <w:lvlJc w:val="left"/>
      <w:pPr>
        <w:ind w:left="2880" w:hanging="360"/>
      </w:pPr>
      <w:rPr>
        <w:rFonts w:ascii="Symbol" w:hAnsi="Symbol" w:hint="default"/>
      </w:rPr>
    </w:lvl>
    <w:lvl w:ilvl="4" w:tplc="DFA675FC">
      <w:start w:val="1"/>
      <w:numFmt w:val="bullet"/>
      <w:lvlText w:val="o"/>
      <w:lvlJc w:val="left"/>
      <w:pPr>
        <w:ind w:left="3600" w:hanging="360"/>
      </w:pPr>
      <w:rPr>
        <w:rFonts w:ascii="Courier New" w:hAnsi="Courier New" w:hint="default"/>
      </w:rPr>
    </w:lvl>
    <w:lvl w:ilvl="5" w:tplc="DED422BE">
      <w:start w:val="1"/>
      <w:numFmt w:val="bullet"/>
      <w:lvlText w:val=""/>
      <w:lvlJc w:val="left"/>
      <w:pPr>
        <w:ind w:left="4320" w:hanging="360"/>
      </w:pPr>
      <w:rPr>
        <w:rFonts w:ascii="Wingdings" w:hAnsi="Wingdings" w:hint="default"/>
      </w:rPr>
    </w:lvl>
    <w:lvl w:ilvl="6" w:tplc="4358F3E0">
      <w:start w:val="1"/>
      <w:numFmt w:val="bullet"/>
      <w:lvlText w:val=""/>
      <w:lvlJc w:val="left"/>
      <w:pPr>
        <w:ind w:left="5040" w:hanging="360"/>
      </w:pPr>
      <w:rPr>
        <w:rFonts w:ascii="Symbol" w:hAnsi="Symbol" w:hint="default"/>
      </w:rPr>
    </w:lvl>
    <w:lvl w:ilvl="7" w:tplc="6F5A61F6">
      <w:start w:val="1"/>
      <w:numFmt w:val="bullet"/>
      <w:lvlText w:val="o"/>
      <w:lvlJc w:val="left"/>
      <w:pPr>
        <w:ind w:left="5760" w:hanging="360"/>
      </w:pPr>
      <w:rPr>
        <w:rFonts w:ascii="Courier New" w:hAnsi="Courier New" w:hint="default"/>
      </w:rPr>
    </w:lvl>
    <w:lvl w:ilvl="8" w:tplc="99302F30">
      <w:start w:val="1"/>
      <w:numFmt w:val="bullet"/>
      <w:lvlText w:val=""/>
      <w:lvlJc w:val="left"/>
      <w:pPr>
        <w:ind w:left="6480" w:hanging="360"/>
      </w:pPr>
      <w:rPr>
        <w:rFonts w:ascii="Wingdings" w:hAnsi="Wingdings" w:hint="default"/>
      </w:rPr>
    </w:lvl>
  </w:abstractNum>
  <w:abstractNum w:abstractNumId="1" w15:restartNumberingAfterBreak="0">
    <w:nsid w:val="261474F4"/>
    <w:multiLevelType w:val="multilevel"/>
    <w:tmpl w:val="F2ECF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7919AF"/>
    <w:multiLevelType w:val="hybridMultilevel"/>
    <w:tmpl w:val="0EF67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4472290">
    <w:abstractNumId w:val="2"/>
  </w:num>
  <w:num w:numId="2" w16cid:durableId="1652951089">
    <w:abstractNumId w:val="1"/>
  </w:num>
  <w:num w:numId="3" w16cid:durableId="437650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C10"/>
    <w:rsid w:val="000B1DB6"/>
    <w:rsid w:val="002022BD"/>
    <w:rsid w:val="00265EEC"/>
    <w:rsid w:val="002B3DA2"/>
    <w:rsid w:val="002B6A78"/>
    <w:rsid w:val="00352E33"/>
    <w:rsid w:val="004C772F"/>
    <w:rsid w:val="0063398F"/>
    <w:rsid w:val="00661C79"/>
    <w:rsid w:val="006B0B65"/>
    <w:rsid w:val="006C76CC"/>
    <w:rsid w:val="006E50DF"/>
    <w:rsid w:val="007146BB"/>
    <w:rsid w:val="00794072"/>
    <w:rsid w:val="00876B34"/>
    <w:rsid w:val="008D5056"/>
    <w:rsid w:val="0095187D"/>
    <w:rsid w:val="00970933"/>
    <w:rsid w:val="00981401"/>
    <w:rsid w:val="009B133A"/>
    <w:rsid w:val="009B165A"/>
    <w:rsid w:val="009B7976"/>
    <w:rsid w:val="009F2DCD"/>
    <w:rsid w:val="00A06197"/>
    <w:rsid w:val="00A126D2"/>
    <w:rsid w:val="00A202C7"/>
    <w:rsid w:val="00A260C1"/>
    <w:rsid w:val="00A555CA"/>
    <w:rsid w:val="00A60792"/>
    <w:rsid w:val="00A60C10"/>
    <w:rsid w:val="00A91F74"/>
    <w:rsid w:val="00AA7E9C"/>
    <w:rsid w:val="00AF2492"/>
    <w:rsid w:val="00B17577"/>
    <w:rsid w:val="00B432DD"/>
    <w:rsid w:val="00B92E92"/>
    <w:rsid w:val="00BD4A98"/>
    <w:rsid w:val="00BD5D3F"/>
    <w:rsid w:val="00CB5C78"/>
    <w:rsid w:val="00CC2D1C"/>
    <w:rsid w:val="00D03E76"/>
    <w:rsid w:val="00DC7AC3"/>
    <w:rsid w:val="00DF15B4"/>
    <w:rsid w:val="00E344D1"/>
    <w:rsid w:val="00EB2C1A"/>
    <w:rsid w:val="00ED605B"/>
    <w:rsid w:val="00F61024"/>
    <w:rsid w:val="00FB5EEC"/>
    <w:rsid w:val="00FC7E88"/>
    <w:rsid w:val="00FD2D6C"/>
    <w:rsid w:val="00FE4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2C983"/>
  <w15:chartTrackingRefBased/>
  <w15:docId w15:val="{7CBDABF1-26AE-4C00-9E22-0AD19909E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C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0C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C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C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C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C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C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C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C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C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0C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0C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C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C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C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C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C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C10"/>
    <w:rPr>
      <w:rFonts w:eastAsiaTheme="majorEastAsia" w:cstheme="majorBidi"/>
      <w:color w:val="272727" w:themeColor="text1" w:themeTint="D8"/>
    </w:rPr>
  </w:style>
  <w:style w:type="paragraph" w:styleId="Title">
    <w:name w:val="Title"/>
    <w:basedOn w:val="Normal"/>
    <w:next w:val="Normal"/>
    <w:link w:val="TitleChar"/>
    <w:uiPriority w:val="10"/>
    <w:qFormat/>
    <w:rsid w:val="00A60C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C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C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C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C10"/>
    <w:pPr>
      <w:spacing w:before="160"/>
      <w:jc w:val="center"/>
    </w:pPr>
    <w:rPr>
      <w:i/>
      <w:iCs/>
      <w:color w:val="404040" w:themeColor="text1" w:themeTint="BF"/>
    </w:rPr>
  </w:style>
  <w:style w:type="character" w:customStyle="1" w:styleId="QuoteChar">
    <w:name w:val="Quote Char"/>
    <w:basedOn w:val="DefaultParagraphFont"/>
    <w:link w:val="Quote"/>
    <w:uiPriority w:val="29"/>
    <w:rsid w:val="00A60C10"/>
    <w:rPr>
      <w:i/>
      <w:iCs/>
      <w:color w:val="404040" w:themeColor="text1" w:themeTint="BF"/>
    </w:rPr>
  </w:style>
  <w:style w:type="paragraph" w:styleId="ListParagraph">
    <w:name w:val="List Paragraph"/>
    <w:basedOn w:val="Normal"/>
    <w:uiPriority w:val="34"/>
    <w:qFormat/>
    <w:rsid w:val="00A60C10"/>
    <w:pPr>
      <w:ind w:left="720"/>
      <w:contextualSpacing/>
    </w:pPr>
  </w:style>
  <w:style w:type="character" w:styleId="IntenseEmphasis">
    <w:name w:val="Intense Emphasis"/>
    <w:basedOn w:val="DefaultParagraphFont"/>
    <w:uiPriority w:val="21"/>
    <w:qFormat/>
    <w:rsid w:val="00A60C10"/>
    <w:rPr>
      <w:i/>
      <w:iCs/>
      <w:color w:val="0F4761" w:themeColor="accent1" w:themeShade="BF"/>
    </w:rPr>
  </w:style>
  <w:style w:type="paragraph" w:styleId="IntenseQuote">
    <w:name w:val="Intense Quote"/>
    <w:basedOn w:val="Normal"/>
    <w:next w:val="Normal"/>
    <w:link w:val="IntenseQuoteChar"/>
    <w:uiPriority w:val="30"/>
    <w:qFormat/>
    <w:rsid w:val="00A60C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C10"/>
    <w:rPr>
      <w:i/>
      <w:iCs/>
      <w:color w:val="0F4761" w:themeColor="accent1" w:themeShade="BF"/>
    </w:rPr>
  </w:style>
  <w:style w:type="character" w:styleId="IntenseReference">
    <w:name w:val="Intense Reference"/>
    <w:basedOn w:val="DefaultParagraphFont"/>
    <w:uiPriority w:val="32"/>
    <w:qFormat/>
    <w:rsid w:val="00A60C10"/>
    <w:rPr>
      <w:b/>
      <w:bCs/>
      <w:smallCaps/>
      <w:color w:val="0F4761" w:themeColor="accent1" w:themeShade="BF"/>
      <w:spacing w:val="5"/>
    </w:rPr>
  </w:style>
  <w:style w:type="paragraph" w:styleId="Header">
    <w:name w:val="header"/>
    <w:basedOn w:val="Normal"/>
    <w:link w:val="HeaderChar"/>
    <w:uiPriority w:val="99"/>
    <w:unhideWhenUsed/>
    <w:rsid w:val="00DC7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AC3"/>
  </w:style>
  <w:style w:type="paragraph" w:styleId="Footer">
    <w:name w:val="footer"/>
    <w:basedOn w:val="Normal"/>
    <w:link w:val="FooterChar"/>
    <w:uiPriority w:val="99"/>
    <w:unhideWhenUsed/>
    <w:rsid w:val="00DC7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AC3"/>
  </w:style>
  <w:style w:type="character" w:styleId="Hyperlink">
    <w:name w:val="Hyperlink"/>
    <w:basedOn w:val="DefaultParagraphFont"/>
    <w:uiPriority w:val="99"/>
    <w:semiHidden/>
    <w:unhideWhenUsed/>
    <w:rsid w:val="00ED605B"/>
    <w:rPr>
      <w:color w:val="0000FF"/>
      <w:u w:val="single"/>
    </w:rPr>
  </w:style>
  <w:style w:type="paragraph" w:styleId="NormalWeb">
    <w:name w:val="Normal (Web)"/>
    <w:basedOn w:val="Normal"/>
    <w:uiPriority w:val="99"/>
    <w:unhideWhenUsed/>
    <w:rsid w:val="00661C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315448">
      <w:bodyDiv w:val="1"/>
      <w:marLeft w:val="0"/>
      <w:marRight w:val="0"/>
      <w:marTop w:val="0"/>
      <w:marBottom w:val="0"/>
      <w:divBdr>
        <w:top w:val="none" w:sz="0" w:space="0" w:color="auto"/>
        <w:left w:val="none" w:sz="0" w:space="0" w:color="auto"/>
        <w:bottom w:val="none" w:sz="0" w:space="0" w:color="auto"/>
        <w:right w:val="none" w:sz="0" w:space="0" w:color="auto"/>
      </w:divBdr>
    </w:div>
    <w:div w:id="791359607">
      <w:bodyDiv w:val="1"/>
      <w:marLeft w:val="0"/>
      <w:marRight w:val="0"/>
      <w:marTop w:val="0"/>
      <w:marBottom w:val="0"/>
      <w:divBdr>
        <w:top w:val="none" w:sz="0" w:space="0" w:color="auto"/>
        <w:left w:val="none" w:sz="0" w:space="0" w:color="auto"/>
        <w:bottom w:val="none" w:sz="0" w:space="0" w:color="auto"/>
        <w:right w:val="none" w:sz="0" w:space="0" w:color="auto"/>
      </w:divBdr>
    </w:div>
    <w:div w:id="1410154527">
      <w:bodyDiv w:val="1"/>
      <w:marLeft w:val="0"/>
      <w:marRight w:val="0"/>
      <w:marTop w:val="0"/>
      <w:marBottom w:val="0"/>
      <w:divBdr>
        <w:top w:val="none" w:sz="0" w:space="0" w:color="auto"/>
        <w:left w:val="none" w:sz="0" w:space="0" w:color="auto"/>
        <w:bottom w:val="none" w:sz="0" w:space="0" w:color="auto"/>
        <w:right w:val="none" w:sz="0" w:space="0" w:color="auto"/>
      </w:divBdr>
    </w:div>
    <w:div w:id="1519001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7F8C4-5874-4D97-A7EF-6575F76F0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9</Pages>
  <Words>2651</Words>
  <Characters>15114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 (2312455)</dc:creator>
  <cp:keywords/>
  <dc:description/>
  <cp:lastModifiedBy>Gemma Williams (2312455)</cp:lastModifiedBy>
  <cp:revision>10</cp:revision>
  <dcterms:created xsi:type="dcterms:W3CDTF">2024-02-04T17:37:00Z</dcterms:created>
  <dcterms:modified xsi:type="dcterms:W3CDTF">2024-03-02T13:53:00Z</dcterms:modified>
</cp:coreProperties>
</file>