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Default Extension="gif" ContentType="image/gif"/>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xmlns:a14="http://schemas.microsoft.com/office/drawing/2010/main" mc:Ignorable="w14 wp14">
  <w:body>
    <w:p xmlns:wp14="http://schemas.microsoft.com/office/word/2010/wordml" w14:paraId="672A6659" wp14:textId="77777777">
      <w:pPr>
        <w:pStyle w:val="Normal"/>
        <w:jc w:val="center"/>
        <w:rPr/>
      </w:pPr>
      <w:r>
        <w:rPr/>
        <w:drawing>
          <wp:inline xmlns:wp14="http://schemas.microsoft.com/office/word/2010/wordprocessingDrawing" distT="0" distB="0" distL="0" distR="0" wp14:anchorId="6E0A2B4A" wp14:editId="7777777">
            <wp:extent cx="3381375" cy="135255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3381375" cy="1352550"/>
                    </a:xfrm>
                    <a:prstGeom prst="rect">
                      <a:avLst/>
                    </a:prstGeom>
                  </pic:spPr>
                </pic:pic>
              </a:graphicData>
            </a:graphic>
          </wp:inline>
        </w:drawing>
      </w:r>
    </w:p>
    <w:p xmlns:wp14="http://schemas.microsoft.com/office/word/2010/wordml" w14:paraId="0A37501D" wp14:textId="77777777">
      <w:pPr>
        <w:pStyle w:val="Normal"/>
        <w:jc w:val="center"/>
        <w:rPr/>
      </w:pPr>
      <w:r>
        <w:rPr/>
      </w:r>
    </w:p>
    <w:p xmlns:wp14="http://schemas.microsoft.com/office/word/2010/wordml" w14:paraId="5DAB6C7B" wp14:textId="77777777">
      <w:pPr>
        <w:pStyle w:val="Normal"/>
        <w:jc w:val="center"/>
        <w:rPr/>
      </w:pPr>
      <w:r>
        <w:rPr/>
      </w:r>
    </w:p>
    <w:p xmlns:wp14="http://schemas.microsoft.com/office/word/2010/wordml" w14:paraId="02EB378F" wp14:textId="77777777">
      <w:pPr>
        <w:pStyle w:val="Normal"/>
        <w:jc w:val="center"/>
        <w:rPr/>
      </w:pPr>
      <w:r>
        <w:rPr/>
      </w:r>
    </w:p>
    <w:p xmlns:wp14="http://schemas.microsoft.com/office/word/2010/wordml" w14:paraId="6A05A809" wp14:textId="77777777">
      <w:pPr>
        <w:pStyle w:val="Normal"/>
        <w:jc w:val="center"/>
        <w:rPr/>
      </w:pPr>
      <w:r>
        <w:rPr/>
      </w:r>
    </w:p>
    <w:p xmlns:wp14="http://schemas.microsoft.com/office/word/2010/wordml" w14:paraId="5A39BBE3" wp14:textId="77777777">
      <w:pPr>
        <w:pStyle w:val="Normal"/>
        <w:jc w:val="center"/>
        <w:rPr/>
      </w:pPr>
      <w:r>
        <w:rPr/>
      </w:r>
    </w:p>
    <w:p xmlns:wp14="http://schemas.microsoft.com/office/word/2010/wordml" w14:paraId="75D10220" wp14:textId="77777777">
      <w:pPr>
        <w:pStyle w:val="Normal"/>
        <w:jc w:val="center"/>
        <w:rPr/>
      </w:pPr>
      <w:r>
        <w:rPr>
          <w:rFonts w:ascii="Arial" w:hAnsi="Arial" w:cs="Arial"/>
          <w:b/>
          <w:bCs/>
        </w:rPr>
        <w:t>Student Name:</w:t>
      </w:r>
      <w:r>
        <w:rPr>
          <w:rFonts w:ascii="Arial" w:hAnsi="Arial" w:cs="Arial"/>
          <w:b/>
          <w:bCs/>
        </w:rPr>
        <w:t>Luca Gerardi</w:t>
      </w:r>
    </w:p>
    <w:p xmlns:wp14="http://schemas.microsoft.com/office/word/2010/wordml" w14:paraId="41C8F396" wp14:textId="77777777">
      <w:pPr>
        <w:pStyle w:val="Normal"/>
        <w:jc w:val="center"/>
        <w:rPr>
          <w:rFonts w:ascii="Arial" w:hAnsi="Arial" w:cs="Arial"/>
          <w:b/>
          <w:b/>
          <w:bCs/>
        </w:rPr>
      </w:pPr>
      <w:r>
        <w:rPr>
          <w:rFonts w:ascii="Arial" w:hAnsi="Arial" w:cs="Arial"/>
          <w:b/>
          <w:bCs/>
        </w:rPr>
      </w:r>
    </w:p>
    <w:p xmlns:wp14="http://schemas.microsoft.com/office/word/2010/wordml" w14:paraId="44FDF7B9" wp14:textId="77777777">
      <w:pPr>
        <w:pStyle w:val="Normal"/>
        <w:jc w:val="center"/>
        <w:rPr/>
      </w:pPr>
      <w:r>
        <w:rPr>
          <w:rFonts w:ascii="Arial" w:hAnsi="Arial" w:cs="Arial"/>
          <w:b/>
          <w:bCs/>
        </w:rPr>
        <w:t>Student ID:</w:t>
      </w:r>
      <w:r>
        <w:rPr>
          <w:rFonts w:ascii="Arial" w:hAnsi="Arial" w:cs="Arial"/>
          <w:b/>
          <w:bCs/>
        </w:rPr>
        <w:t>2219573</w:t>
      </w:r>
    </w:p>
    <w:p xmlns:wp14="http://schemas.microsoft.com/office/word/2010/wordml" w14:paraId="72A3D3EC" wp14:textId="77777777">
      <w:pPr>
        <w:pStyle w:val="Normal"/>
        <w:jc w:val="center"/>
        <w:rPr>
          <w:rFonts w:ascii="Arial" w:hAnsi="Arial" w:cs="Arial"/>
        </w:rPr>
      </w:pPr>
      <w:r>
        <w:rPr>
          <w:rFonts w:ascii="Arial" w:hAnsi="Arial" w:cs="Arial"/>
        </w:rPr>
      </w:r>
    </w:p>
    <w:p xmlns:wp14="http://schemas.microsoft.com/office/word/2010/wordml" w14:paraId="0D0B940D" wp14:textId="77777777">
      <w:pPr>
        <w:pStyle w:val="Normal"/>
        <w:jc w:val="center"/>
        <w:rPr>
          <w:rFonts w:ascii="Arial" w:hAnsi="Arial" w:cs="Arial"/>
        </w:rPr>
      </w:pPr>
      <w:r>
        <w:rPr>
          <w:rFonts w:ascii="Arial" w:hAnsi="Arial" w:cs="Arial"/>
        </w:rPr>
      </w:r>
    </w:p>
    <w:p xmlns:wp14="http://schemas.microsoft.com/office/word/2010/wordml" w14:paraId="7DD4B9E5" wp14:textId="592289FD">
      <w:pPr>
        <w:pStyle w:val="Normal"/>
        <w:jc w:val="center"/>
        <w:rPr>
          <w:rFonts w:ascii="Arial" w:hAnsi="Arial" w:cs="Arial"/>
          <w:b w:val="1"/>
          <w:b/>
          <w:bCs w:val="1"/>
        </w:rPr>
      </w:pPr>
      <w:r w:rsidRPr="4DF95668" w:rsidR="24D733EA">
        <w:rPr>
          <w:rFonts w:ascii="Arial" w:hAnsi="Arial" w:cs="Arial"/>
          <w:b w:val="1"/>
          <w:bCs w:val="1"/>
        </w:rPr>
        <w:t>Module Name:</w:t>
      </w:r>
      <w:r w:rsidRPr="4DF95668" w:rsidR="5C11528C">
        <w:rPr>
          <w:rFonts w:ascii="Arial" w:hAnsi="Arial" w:eastAsia="Arial" w:cs="Arial"/>
          <w:noProof w:val="0"/>
          <w:sz w:val="24"/>
          <w:szCs w:val="24"/>
          <w:lang w:val="en-GB"/>
        </w:rPr>
        <w:t xml:space="preserve"> </w:t>
      </w:r>
      <w:r w:rsidRPr="4DF95668" w:rsidR="1262C962">
        <w:rPr>
          <w:rFonts w:ascii="Arial" w:hAnsi="Arial" w:eastAsia="Arial" w:cs="Arial"/>
          <w:b w:val="1"/>
          <w:bCs w:val="1"/>
          <w:noProof w:val="0"/>
          <w:sz w:val="24"/>
          <w:szCs w:val="24"/>
          <w:lang w:val="en-GB"/>
        </w:rPr>
        <w:t>International Business Concepts</w:t>
      </w:r>
    </w:p>
    <w:p xmlns:wp14="http://schemas.microsoft.com/office/word/2010/wordml" w14:paraId="0E27B00A" wp14:textId="77777777">
      <w:pPr>
        <w:pStyle w:val="Normal"/>
        <w:jc w:val="center"/>
        <w:rPr>
          <w:rFonts w:ascii="Arial" w:hAnsi="Arial" w:cs="Arial"/>
          <w:b/>
          <w:b/>
          <w:bCs/>
        </w:rPr>
      </w:pPr>
      <w:r>
        <w:rPr>
          <w:rFonts w:ascii="Arial" w:hAnsi="Arial" w:cs="Arial"/>
          <w:b/>
          <w:bCs/>
        </w:rPr>
      </w:r>
    </w:p>
    <w:p xmlns:wp14="http://schemas.microsoft.com/office/word/2010/wordml" w14:paraId="11B222F2" wp14:textId="047C6156">
      <w:pPr>
        <w:pStyle w:val="Normal"/>
        <w:jc w:val="center"/>
        <w:rPr>
          <w:rFonts w:ascii="Arial" w:hAnsi="Arial" w:cs="Arial"/>
          <w:b w:val="1"/>
          <w:b/>
          <w:bCs w:val="1"/>
        </w:rPr>
      </w:pPr>
      <w:r w:rsidRPr="4DF95668" w:rsidR="49E66D2A">
        <w:rPr>
          <w:rFonts w:ascii="Arial" w:hAnsi="Arial" w:cs="Arial"/>
          <w:b w:val="1"/>
          <w:bCs w:val="1"/>
        </w:rPr>
        <w:t>Module Code: LCMB70</w:t>
      </w:r>
      <w:r w:rsidRPr="4DF95668" w:rsidR="14F56255">
        <w:rPr>
          <w:rFonts w:ascii="Arial" w:hAnsi="Arial" w:cs="Arial"/>
          <w:b w:val="1"/>
          <w:bCs w:val="1"/>
        </w:rPr>
        <w:t>34</w:t>
      </w:r>
    </w:p>
    <w:p xmlns:wp14="http://schemas.microsoft.com/office/word/2010/wordml" w14:paraId="60061E4C" wp14:textId="77777777">
      <w:pPr>
        <w:pStyle w:val="Normal"/>
        <w:jc w:val="center"/>
        <w:rPr>
          <w:rFonts w:ascii="Arial" w:hAnsi="Arial" w:cs="Arial"/>
          <w:b/>
          <w:b/>
          <w:bCs/>
        </w:rPr>
      </w:pPr>
      <w:r>
        <w:rPr>
          <w:rFonts w:ascii="Arial" w:hAnsi="Arial" w:cs="Arial"/>
          <w:b/>
          <w:bCs/>
        </w:rPr>
      </w:r>
    </w:p>
    <w:p xmlns:wp14="http://schemas.microsoft.com/office/word/2010/wordml" w14:paraId="44EAFD9C" wp14:textId="77777777">
      <w:pPr>
        <w:pStyle w:val="Normal"/>
        <w:jc w:val="center"/>
        <w:rPr>
          <w:rFonts w:ascii="Arial" w:hAnsi="Arial" w:cs="Arial"/>
          <w:b/>
          <w:b/>
          <w:bCs/>
        </w:rPr>
      </w:pPr>
      <w:r>
        <w:rPr>
          <w:rFonts w:ascii="Arial" w:hAnsi="Arial" w:cs="Arial"/>
          <w:b/>
          <w:bCs/>
        </w:rPr>
      </w:r>
    </w:p>
    <w:p xmlns:wp14="http://schemas.microsoft.com/office/word/2010/wordml" w14:paraId="4B94D5A5" wp14:textId="77777777">
      <w:pPr>
        <w:pStyle w:val="Normal"/>
        <w:jc w:val="center"/>
        <w:rPr>
          <w:rFonts w:ascii="Arial" w:hAnsi="Arial" w:cs="Arial"/>
          <w:b/>
          <w:b/>
          <w:bCs/>
        </w:rPr>
      </w:pPr>
      <w:r>
        <w:rPr>
          <w:rFonts w:ascii="Arial" w:hAnsi="Arial" w:cs="Arial"/>
          <w:b/>
          <w:bCs/>
        </w:rPr>
      </w:r>
    </w:p>
    <w:p xmlns:wp14="http://schemas.microsoft.com/office/word/2010/wordml" w14:paraId="3DEEC669" wp14:textId="77777777">
      <w:pPr>
        <w:pStyle w:val="Normal"/>
        <w:jc w:val="center"/>
        <w:rPr>
          <w:rFonts w:ascii="Arial" w:hAnsi="Arial" w:cs="Arial"/>
          <w:b/>
          <w:b/>
          <w:bCs/>
        </w:rPr>
      </w:pPr>
      <w:r>
        <w:rPr>
          <w:rFonts w:ascii="Arial" w:hAnsi="Arial" w:cs="Arial"/>
          <w:b/>
          <w:bCs/>
        </w:rPr>
      </w:r>
    </w:p>
    <w:p xmlns:wp14="http://schemas.microsoft.com/office/word/2010/wordml" w14:paraId="089A2277" wp14:textId="296DD7CD">
      <w:pPr>
        <w:pStyle w:val="Normal"/>
        <w:jc w:val="center"/>
        <w:rPr>
          <w:rFonts w:ascii="Arial" w:hAnsi="Arial" w:cs="Arial"/>
          <w:b w:val="1"/>
          <w:b/>
          <w:bCs w:val="1"/>
        </w:rPr>
      </w:pPr>
      <w:r w:rsidRPr="24D733EA" w:rsidR="49E66D2A">
        <w:rPr>
          <w:rFonts w:ascii="Arial" w:hAnsi="Arial" w:cs="Arial"/>
          <w:b w:val="1"/>
          <w:bCs w:val="1"/>
        </w:rPr>
        <w:t>Lecturer</w:t>
      </w:r>
      <w:r w:rsidRPr="24D733EA" w:rsidR="49E66D2A">
        <w:rPr>
          <w:rFonts w:ascii="Arial" w:hAnsi="Arial" w:cs="Arial"/>
          <w:b w:val="1"/>
          <w:bCs w:val="1"/>
        </w:rPr>
        <w:t>:</w:t>
      </w:r>
    </w:p>
    <w:p w:rsidR="24D733EA" w:rsidP="24D733EA" w:rsidRDefault="24D733EA" w14:paraId="79028C45" w14:textId="0D546787">
      <w:pPr>
        <w:pStyle w:val="Normal"/>
        <w:jc w:val="center"/>
        <w:rPr>
          <w:rFonts w:ascii="Arial" w:hAnsi="Arial" w:eastAsia="Arial" w:cs="Arial"/>
          <w:noProof w:val="0"/>
          <w:sz w:val="24"/>
          <w:szCs w:val="24"/>
          <w:lang w:val="en-GB"/>
        </w:rPr>
      </w:pPr>
    </w:p>
    <w:p w:rsidR="2F01C14B" w:rsidP="4DF95668" w:rsidRDefault="2F01C14B" w14:paraId="77CDFBAF" w14:textId="2D84286B">
      <w:pPr>
        <w:pStyle w:val="Normal"/>
        <w:jc w:val="center"/>
        <w:rPr>
          <w:rFonts w:ascii="Arial" w:hAnsi="Arial" w:eastAsia="Arial" w:cs="Arial"/>
          <w:b w:val="1"/>
          <w:bCs w:val="1"/>
          <w:noProof w:val="0"/>
          <w:sz w:val="24"/>
          <w:szCs w:val="24"/>
          <w:lang w:val="en-GB"/>
        </w:rPr>
      </w:pPr>
      <w:r w:rsidRPr="4DF95668" w:rsidR="2F01C14B">
        <w:rPr>
          <w:rFonts w:ascii="Segoe UI" w:hAnsi="Segoe UI" w:eastAsia="Segoe UI" w:cs="Segoe UI"/>
          <w:b w:val="1"/>
          <w:bCs w:val="1"/>
          <w:i w:val="0"/>
          <w:iCs w:val="0"/>
          <w:caps w:val="0"/>
          <w:smallCaps w:val="0"/>
          <w:noProof w:val="0"/>
          <w:color w:val="1D2125"/>
          <w:sz w:val="24"/>
          <w:szCs w:val="24"/>
          <w:lang w:val="en-GB"/>
        </w:rPr>
        <w:t>Jean Wang</w:t>
      </w:r>
    </w:p>
    <w:p w:rsidR="2F01C14B" w:rsidP="4DF95668" w:rsidRDefault="2F01C14B" w14:paraId="07AA7666" w14:textId="06880ECB">
      <w:pPr>
        <w:pStyle w:val="Normal"/>
        <w:jc w:val="center"/>
        <w:rPr>
          <w:rFonts w:ascii="Arial" w:hAnsi="Arial" w:eastAsia="Arial" w:cs="Arial"/>
          <w:b w:val="1"/>
          <w:bCs w:val="1"/>
          <w:noProof w:val="0"/>
          <w:sz w:val="24"/>
          <w:szCs w:val="24"/>
          <w:lang w:val="en-GB"/>
        </w:rPr>
      </w:pPr>
      <w:r w:rsidRPr="4DF95668" w:rsidR="2F01C14B">
        <w:rPr>
          <w:rFonts w:ascii="Arial" w:hAnsi="Arial" w:eastAsia="Arial" w:cs="Arial"/>
          <w:b w:val="1"/>
          <w:bCs w:val="1"/>
          <w:noProof w:val="0"/>
          <w:sz w:val="24"/>
          <w:szCs w:val="24"/>
          <w:lang w:val="en-GB"/>
        </w:rPr>
        <w:t>Akshay Narayanan</w:t>
      </w:r>
    </w:p>
    <w:p w:rsidR="46059CF6" w:rsidP="24D733EA" w:rsidRDefault="46059CF6" w14:paraId="36BFDFA4" w14:textId="2D59E2FE">
      <w:pPr>
        <w:pStyle w:val="Normal"/>
        <w:jc w:val="center"/>
        <w:rPr>
          <w:rFonts w:ascii="Arial" w:hAnsi="Arial" w:eastAsia="Arial" w:cs="Arial"/>
          <w:b w:val="1"/>
          <w:bCs w:val="1"/>
          <w:noProof w:val="0"/>
          <w:sz w:val="24"/>
          <w:szCs w:val="24"/>
          <w:lang w:val="en-GB"/>
        </w:rPr>
      </w:pPr>
    </w:p>
    <w:p w:rsidR="24D733EA" w:rsidP="24D733EA" w:rsidRDefault="24D733EA" w14:paraId="7C68D718" w14:textId="2FA2A213">
      <w:pPr>
        <w:pStyle w:val="Normal"/>
        <w:jc w:val="center"/>
        <w:rPr>
          <w:rFonts w:ascii="Arial" w:hAnsi="Arial" w:eastAsia="Arial" w:cs="Arial"/>
          <w:b w:val="1"/>
          <w:bCs w:val="1"/>
          <w:noProof w:val="0"/>
          <w:sz w:val="24"/>
          <w:szCs w:val="24"/>
          <w:lang w:val="en-GB"/>
        </w:rPr>
      </w:pPr>
    </w:p>
    <w:p w:rsidR="46059CF6" w:rsidP="24D733EA" w:rsidRDefault="46059CF6" w14:paraId="3A559FC8" w14:textId="06B4E2E3">
      <w:pPr>
        <w:pStyle w:val="Normal"/>
        <w:jc w:val="center"/>
        <w:rPr>
          <w:rFonts w:ascii="Arial" w:hAnsi="Arial" w:eastAsia="Arial" w:cs="Arial"/>
          <w:b w:val="1"/>
          <w:bCs w:val="1"/>
          <w:noProof w:val="0"/>
          <w:sz w:val="24"/>
          <w:szCs w:val="24"/>
          <w:lang w:val="en-GB"/>
        </w:rPr>
      </w:pPr>
      <w:r w:rsidRPr="24D733EA" w:rsidR="46059CF6">
        <w:rPr>
          <w:rFonts w:ascii="Arial" w:hAnsi="Arial" w:eastAsia="Arial" w:cs="Arial"/>
          <w:b w:val="1"/>
          <w:bCs w:val="1"/>
          <w:noProof w:val="0"/>
          <w:sz w:val="24"/>
          <w:szCs w:val="24"/>
          <w:lang w:val="en-GB"/>
        </w:rPr>
        <w:t>Internal Verifier: Vasilios</w:t>
      </w:r>
      <w:r w:rsidRPr="24D733EA" w:rsidR="46059CF6">
        <w:rPr>
          <w:rFonts w:ascii="Arial" w:hAnsi="Arial" w:eastAsia="Arial" w:cs="Arial"/>
          <w:b w:val="1"/>
          <w:bCs w:val="1"/>
          <w:noProof w:val="0"/>
          <w:sz w:val="24"/>
          <w:szCs w:val="24"/>
          <w:lang w:val="en-GB"/>
        </w:rPr>
        <w:t xml:space="preserve"> </w:t>
      </w:r>
      <w:r w:rsidRPr="24D733EA" w:rsidR="46059CF6">
        <w:rPr>
          <w:rFonts w:ascii="Arial" w:hAnsi="Arial" w:eastAsia="Arial" w:cs="Arial"/>
          <w:b w:val="1"/>
          <w:bCs w:val="1"/>
          <w:noProof w:val="0"/>
          <w:sz w:val="24"/>
          <w:szCs w:val="24"/>
          <w:lang w:val="en-GB"/>
        </w:rPr>
        <w:t>Tavlaridi</w:t>
      </w:r>
      <w:r w:rsidRPr="24D733EA" w:rsidR="46059CF6">
        <w:rPr>
          <w:rFonts w:ascii="Arial" w:hAnsi="Arial" w:eastAsia="Arial" w:cs="Arial"/>
          <w:b w:val="1"/>
          <w:bCs w:val="1"/>
          <w:noProof w:val="0"/>
          <w:sz w:val="24"/>
          <w:szCs w:val="24"/>
          <w:lang w:val="en-GB"/>
        </w:rPr>
        <w:t>s</w:t>
      </w:r>
      <w:r w:rsidRPr="24D733EA" w:rsidR="46059CF6">
        <w:rPr>
          <w:rFonts w:ascii="Arial" w:hAnsi="Arial" w:eastAsia="Arial" w:cs="Arial"/>
          <w:b w:val="1"/>
          <w:bCs w:val="1"/>
          <w:noProof w:val="0"/>
          <w:sz w:val="24"/>
          <w:szCs w:val="24"/>
          <w:lang w:val="en-GB"/>
        </w:rPr>
        <w:t xml:space="preserve"> </w:t>
      </w:r>
    </w:p>
    <w:p w:rsidR="46059CF6" w:rsidP="24D733EA" w:rsidRDefault="46059CF6" w14:paraId="003B99E9" w14:textId="450FC039">
      <w:pPr>
        <w:pStyle w:val="Normal"/>
        <w:jc w:val="center"/>
        <w:rPr>
          <w:rFonts w:ascii="Arial" w:hAnsi="Arial" w:eastAsia="Arial" w:cs="Arial"/>
          <w:b w:val="1"/>
          <w:bCs w:val="1"/>
          <w:noProof w:val="0"/>
          <w:sz w:val="24"/>
          <w:szCs w:val="24"/>
          <w:lang w:val="en-GB"/>
        </w:rPr>
      </w:pPr>
      <w:r w:rsidRPr="24D733EA" w:rsidR="46059CF6">
        <w:rPr>
          <w:rFonts w:ascii="Arial" w:hAnsi="Arial" w:eastAsia="Arial" w:cs="Arial"/>
          <w:b w:val="1"/>
          <w:bCs w:val="1"/>
          <w:noProof w:val="0"/>
          <w:sz w:val="24"/>
          <w:szCs w:val="24"/>
          <w:lang w:val="en-GB"/>
        </w:rPr>
        <w:t>Hoang Nguyen</w:t>
      </w:r>
    </w:p>
    <w:p w:rsidR="5F996B3E" w:rsidP="5F996B3E" w:rsidRDefault="5F996B3E" w14:paraId="600F0B0D" w14:textId="1CA33583">
      <w:pPr>
        <w:pStyle w:val="Normal"/>
        <w:jc w:val="center"/>
        <w:rPr>
          <w:rFonts w:ascii="Arial" w:hAnsi="Arial" w:cs="Arial"/>
          <w:b w:val="1"/>
          <w:bCs w:val="1"/>
        </w:rPr>
      </w:pPr>
    </w:p>
    <w:p xmlns:wp14="http://schemas.microsoft.com/office/word/2010/wordml" w14:paraId="3656B9AB" wp14:textId="77777777">
      <w:pPr>
        <w:pStyle w:val="Normal"/>
        <w:jc w:val="center"/>
        <w:rPr>
          <w:rFonts w:ascii="Arial" w:hAnsi="Arial" w:cs="Arial"/>
          <w:b/>
          <w:b/>
          <w:bCs/>
        </w:rPr>
      </w:pPr>
    </w:p>
    <w:p xmlns:wp14="http://schemas.microsoft.com/office/word/2010/wordml" w:rsidP="5F996B3E" w14:paraId="45FB0818" wp14:textId="05A298AD">
      <w:pPr>
        <w:pStyle w:val="Normal"/>
        <w:jc w:val="center"/>
        <w:rPr>
          <w:rFonts w:ascii="Arial" w:hAnsi="Arial" w:eastAsia="Arial" w:cs="Arial"/>
          <w:b w:val="1"/>
          <w:b/>
          <w:bCs w:val="1"/>
          <w:noProof w:val="0"/>
          <w:sz w:val="24"/>
          <w:szCs w:val="24"/>
          <w:lang w:val="en-GB"/>
        </w:rPr>
      </w:pPr>
      <w:r w:rsidRPr="5F996B3E" w:rsidR="5FDA7AAE">
        <w:rPr>
          <w:rFonts w:ascii="Arial" w:hAnsi="Arial" w:eastAsia="Arial" w:cs="Arial"/>
          <w:b w:val="1"/>
          <w:bCs w:val="1"/>
          <w:noProof w:val="0"/>
          <w:sz w:val="24"/>
          <w:szCs w:val="24"/>
          <w:lang w:val="en-GB"/>
        </w:rPr>
        <w:t>Master of Business Administration</w:t>
      </w:r>
    </w:p>
    <w:p w:rsidR="5232A654" w:rsidP="24D733EA" w:rsidRDefault="5232A654" w14:paraId="7DF35DD3" w14:textId="3963EC5A">
      <w:pPr>
        <w:pStyle w:val="Normal"/>
        <w:rPr>
          <w:rFonts w:ascii="Arial" w:hAnsi="Arial" w:cs="Arial"/>
          <w:b w:val="0"/>
          <w:bCs w:val="0"/>
          <w:noProof w:val="0"/>
          <w:lang w:val="en-GB"/>
        </w:rPr>
      </w:pPr>
    </w:p>
    <w:p w:rsidR="50A2DE47" w:rsidP="24D733EA" w:rsidRDefault="50A2DE47" w14:paraId="2EB5441C" w14:textId="4F091CCA">
      <w:pPr>
        <w:pStyle w:val="Normal"/>
        <w:jc w:val="center"/>
      </w:pPr>
      <w:r w:rsidRPr="0BE43A9D" w:rsidR="17D74ADB">
        <w:rPr>
          <w:rFonts w:ascii="Arial" w:hAnsi="Arial" w:eastAsia="Arial" w:cs="Arial"/>
          <w:b w:val="1"/>
          <w:bCs w:val="1"/>
          <w:noProof w:val="0"/>
          <w:sz w:val="24"/>
          <w:szCs w:val="24"/>
          <w:lang w:val="en-GB"/>
        </w:rPr>
        <w:t xml:space="preserve">Assessment </w:t>
      </w:r>
      <w:r w:rsidRPr="0BE43A9D" w:rsidR="17D74ADB">
        <w:rPr>
          <w:rFonts w:ascii="Arial" w:hAnsi="Arial" w:eastAsia="Arial" w:cs="Arial"/>
          <w:b w:val="1"/>
          <w:bCs w:val="1"/>
          <w:noProof w:val="0"/>
          <w:sz w:val="24"/>
          <w:szCs w:val="24"/>
          <w:lang w:val="en-GB"/>
        </w:rPr>
        <w:t>component</w:t>
      </w:r>
      <w:r w:rsidRPr="0BE43A9D" w:rsidR="17D74ADB">
        <w:rPr>
          <w:rFonts w:ascii="Arial" w:hAnsi="Arial" w:eastAsia="Arial" w:cs="Arial"/>
          <w:b w:val="1"/>
          <w:bCs w:val="1"/>
          <w:noProof w:val="0"/>
          <w:sz w:val="24"/>
          <w:szCs w:val="24"/>
          <w:lang w:val="en-GB"/>
        </w:rPr>
        <w:t xml:space="preserve"> :</w:t>
      </w:r>
      <w:r w:rsidRPr="0BE43A9D" w:rsidR="00B24FE9">
        <w:rPr>
          <w:rFonts w:ascii="Arial" w:hAnsi="Arial" w:eastAsia="Arial" w:cs="Arial"/>
          <w:b w:val="1"/>
          <w:bCs w:val="1"/>
          <w:noProof w:val="0"/>
          <w:sz w:val="24"/>
          <w:szCs w:val="24"/>
          <w:lang w:val="en-GB"/>
        </w:rPr>
        <w:t>R</w:t>
      </w:r>
      <w:r w:rsidRPr="0BE43A9D" w:rsidR="17D74ADB">
        <w:rPr>
          <w:rFonts w:ascii="Arial" w:hAnsi="Arial" w:eastAsia="Arial" w:cs="Arial"/>
          <w:b w:val="1"/>
          <w:bCs w:val="1"/>
          <w:noProof w:val="0"/>
          <w:sz w:val="24"/>
          <w:szCs w:val="24"/>
          <w:lang w:val="en-GB"/>
        </w:rPr>
        <w:t>eport</w:t>
      </w:r>
    </w:p>
    <w:p w:rsidR="0BE43A9D" w:rsidP="0BE43A9D" w:rsidRDefault="0BE43A9D" w14:paraId="5CE5CDA8" w14:textId="260B880E">
      <w:pPr>
        <w:pStyle w:val="Normal"/>
        <w:jc w:val="center"/>
        <w:rPr>
          <w:rFonts w:ascii="Arial" w:hAnsi="Arial" w:eastAsia="Arial" w:cs="Arial"/>
          <w:b w:val="1"/>
          <w:bCs w:val="1"/>
          <w:noProof w:val="0"/>
          <w:sz w:val="24"/>
          <w:szCs w:val="24"/>
          <w:lang w:val="en-GB"/>
        </w:rPr>
      </w:pPr>
    </w:p>
    <w:p w:rsidR="6446D568" w:rsidP="0BE43A9D" w:rsidRDefault="6446D568" w14:paraId="65D88FA0" w14:textId="3E0807E1">
      <w:pPr>
        <w:pStyle w:val="Normal"/>
        <w:jc w:val="center"/>
      </w:pPr>
      <w:r w:rsidRPr="0BE43A9D" w:rsidR="6446D568">
        <w:rPr>
          <w:rFonts w:ascii="Arial" w:hAnsi="Arial" w:eastAsia="Arial" w:cs="Arial"/>
          <w:b w:val="1"/>
          <w:bCs w:val="1"/>
          <w:noProof w:val="0"/>
          <w:sz w:val="24"/>
          <w:szCs w:val="24"/>
          <w:lang w:val="en-GB"/>
        </w:rPr>
        <w:t>Word count:</w:t>
      </w:r>
      <w:r w:rsidRPr="0BE43A9D" w:rsidR="1719305E">
        <w:rPr>
          <w:rFonts w:ascii="Arial" w:hAnsi="Arial" w:eastAsia="Arial" w:cs="Arial"/>
          <w:b w:val="1"/>
          <w:bCs w:val="1"/>
          <w:noProof w:val="0"/>
          <w:sz w:val="24"/>
          <w:szCs w:val="24"/>
          <w:lang w:val="en-GB"/>
        </w:rPr>
        <w:t xml:space="preserve"> 5621</w:t>
      </w:r>
    </w:p>
    <w:p xmlns:wp14="http://schemas.microsoft.com/office/word/2010/wordml" w14:paraId="53128261" wp14:textId="77777777">
      <w:pPr>
        <w:pStyle w:val="Normal"/>
        <w:jc w:val="center"/>
        <w:rPr>
          <w:rFonts w:ascii="Arial" w:hAnsi="Arial" w:cs="Arial"/>
          <w:b/>
          <w:b/>
          <w:bCs/>
        </w:rPr>
      </w:pPr>
      <w:r>
        <w:rPr>
          <w:rFonts w:ascii="Arial" w:hAnsi="Arial" w:cs="Arial"/>
          <w:b/>
          <w:bCs/>
        </w:rPr>
      </w:r>
    </w:p>
    <w:p xmlns:wp14="http://schemas.microsoft.com/office/word/2010/wordml" w14:paraId="62486C05" wp14:textId="77777777">
      <w:pPr>
        <w:pStyle w:val="Normal"/>
        <w:jc w:val="center"/>
        <w:rPr>
          <w:rFonts w:ascii="Arial" w:hAnsi="Arial" w:cs="Arial"/>
          <w:b/>
          <w:b/>
          <w:bCs/>
        </w:rPr>
      </w:pPr>
      <w:r>
        <w:rPr>
          <w:rFonts w:ascii="Arial" w:hAnsi="Arial" w:cs="Arial"/>
          <w:b/>
          <w:bCs/>
        </w:rPr>
      </w:r>
    </w:p>
    <w:p xmlns:wp14="http://schemas.microsoft.com/office/word/2010/wordml" w14:paraId="4101652C" wp14:textId="77777777">
      <w:pPr>
        <w:pStyle w:val="Normal"/>
        <w:jc w:val="center"/>
        <w:rPr>
          <w:rFonts w:ascii="Arial" w:hAnsi="Arial" w:cs="Arial"/>
          <w:b/>
          <w:b/>
          <w:bCs/>
        </w:rPr>
      </w:pPr>
      <w:r>
        <w:rPr>
          <w:rFonts w:ascii="Arial" w:hAnsi="Arial" w:cs="Arial"/>
          <w:b/>
          <w:bCs/>
        </w:rPr>
      </w:r>
    </w:p>
    <w:p xmlns:wp14="http://schemas.microsoft.com/office/word/2010/wordml" w14:paraId="4B99056E" wp14:textId="77777777">
      <w:pPr>
        <w:pStyle w:val="Normal"/>
        <w:jc w:val="center"/>
        <w:rPr>
          <w:rFonts w:ascii="Arial" w:hAnsi="Arial" w:cs="Arial"/>
          <w:b/>
          <w:b/>
          <w:bCs/>
        </w:rPr>
      </w:pPr>
      <w:r>
        <w:rPr>
          <w:rFonts w:ascii="Arial" w:hAnsi="Arial" w:cs="Arial"/>
          <w:b/>
          <w:bCs/>
        </w:rPr>
      </w:r>
    </w:p>
    <w:p xmlns:wp14="http://schemas.microsoft.com/office/word/2010/wordml" w14:paraId="489EC70D" wp14:textId="27A2661D">
      <w:pPr>
        <w:pStyle w:val="Normal"/>
        <w:jc w:val="center"/>
        <w:rPr>
          <w:rFonts w:ascii="Arial" w:hAnsi="Arial" w:cs="Arial"/>
          <w:b w:val="1"/>
          <w:b/>
          <w:bCs w:val="1"/>
        </w:rPr>
      </w:pPr>
    </w:p>
    <w:p xmlns:wp14="http://schemas.microsoft.com/office/word/2010/wordml" w14:paraId="1299C43A" wp14:textId="77777777">
      <w:pPr>
        <w:pStyle w:val="Normal"/>
        <w:rPr>
          <w:b/>
          <w:b/>
          <w:bCs/>
        </w:rPr>
      </w:pPr>
    </w:p>
    <w:p w:rsidR="4DF95668" w:rsidP="4DF95668" w:rsidRDefault="4DF95668" w14:paraId="43A5F540" w14:textId="333ACD88">
      <w:pPr>
        <w:pStyle w:val="Normal"/>
        <w:rPr>
          <w:rFonts w:ascii="Consolas" w:hAnsi="Consolas" w:eastAsia="Consolas" w:cs="Consolas"/>
          <w:noProof w:val="0"/>
          <w:sz w:val="24"/>
          <w:szCs w:val="24"/>
          <w:lang w:val="en-GB"/>
        </w:rPr>
      </w:pPr>
    </w:p>
    <w:p w:rsidR="4DF95668" w:rsidP="4DF95668" w:rsidRDefault="4DF95668" w14:paraId="12D754D4" w14:textId="24371FDA">
      <w:pPr>
        <w:pStyle w:val="Normal"/>
        <w:spacing w:before="0" w:beforeAutospacing="off" w:after="0" w:afterAutospacing="off"/>
        <w:ind w:left="720"/>
        <w:rPr>
          <w:rFonts w:ascii="Arial" w:hAnsi="Arial" w:eastAsia="Arial" w:cs="Arial"/>
          <w:b w:val="1"/>
          <w:bCs w:val="1"/>
          <w:i w:val="0"/>
          <w:iCs w:val="0"/>
          <w:noProof w:val="0"/>
          <w:sz w:val="24"/>
          <w:szCs w:val="24"/>
          <w:lang w:val="en-GB"/>
        </w:rPr>
      </w:pPr>
    </w:p>
    <w:p w:rsidR="4DF95668" w:rsidP="4DF95668" w:rsidRDefault="4DF95668" w14:paraId="0F012ED5" w14:textId="1D0E1ED7">
      <w:pPr>
        <w:pStyle w:val="Normal"/>
        <w:spacing w:before="0" w:beforeAutospacing="off" w:after="0" w:afterAutospacing="off"/>
        <w:ind w:left="720"/>
        <w:rPr>
          <w:rFonts w:ascii="Arial" w:hAnsi="Arial" w:eastAsia="Arial" w:cs="Arial"/>
          <w:b w:val="1"/>
          <w:bCs w:val="1"/>
          <w:i w:val="0"/>
          <w:iCs w:val="0"/>
          <w:noProof w:val="0"/>
          <w:sz w:val="20"/>
          <w:szCs w:val="20"/>
          <w:lang w:val="en-GB"/>
        </w:rPr>
      </w:pPr>
    </w:p>
    <w:p w:rsidR="660D5C3C" w:rsidP="4DF95668" w:rsidRDefault="660D5C3C" w14:paraId="5FEFA8A8" w14:textId="33A0E5B3">
      <w:pPr>
        <w:pStyle w:val="Normal"/>
        <w:spacing w:before="0" w:beforeAutospacing="off" w:after="0" w:afterAutospacing="off"/>
        <w:ind w:left="720"/>
        <w:rPr>
          <w:rFonts w:ascii="Arial" w:hAnsi="Arial" w:eastAsia="Arial" w:cs="Arial"/>
          <w:b w:val="1"/>
          <w:bCs w:val="1"/>
          <w:i w:val="0"/>
          <w:iCs w:val="0"/>
          <w:noProof w:val="0"/>
          <w:sz w:val="20"/>
          <w:szCs w:val="20"/>
          <w:lang w:val="en-GB"/>
        </w:rPr>
      </w:pPr>
      <w:r w:rsidRPr="4DF95668" w:rsidR="660D5C3C">
        <w:rPr>
          <w:rFonts w:ascii="Arial" w:hAnsi="Arial" w:eastAsia="Arial" w:cs="Arial"/>
          <w:b w:val="1"/>
          <w:bCs w:val="1"/>
          <w:i w:val="0"/>
          <w:iCs w:val="0"/>
          <w:noProof w:val="0"/>
          <w:sz w:val="20"/>
          <w:szCs w:val="20"/>
          <w:lang w:val="en-GB"/>
        </w:rPr>
        <w:t>Table of Contents</w:t>
      </w:r>
    </w:p>
    <w:p w:rsidR="4DF95668" w:rsidP="4DF95668" w:rsidRDefault="4DF95668" w14:paraId="27AEA2BD" w14:textId="7C4EE8C1">
      <w:pPr>
        <w:pStyle w:val="Normal"/>
        <w:spacing w:before="0" w:beforeAutospacing="off" w:after="0" w:afterAutospacing="off"/>
        <w:ind w:left="720"/>
        <w:rPr>
          <w:rFonts w:ascii="Arial" w:hAnsi="Arial" w:eastAsia="Arial" w:cs="Arial"/>
          <w:b w:val="1"/>
          <w:bCs w:val="1"/>
          <w:i w:val="0"/>
          <w:iCs w:val="0"/>
          <w:noProof w:val="0"/>
          <w:sz w:val="20"/>
          <w:szCs w:val="20"/>
          <w:lang w:val="en-GB"/>
        </w:rPr>
      </w:pPr>
    </w:p>
    <w:p w:rsidR="660D5C3C" w:rsidP="4DF95668" w:rsidRDefault="660D5C3C" w14:paraId="54865EC5" w14:textId="09DD3035">
      <w:pPr>
        <w:pStyle w:val="Normal"/>
        <w:spacing w:before="0" w:beforeAutospacing="off" w:after="0" w:afterAutospacing="off"/>
        <w:ind w:left="0"/>
        <w:jc w:val="left"/>
        <w:rPr>
          <w:rFonts w:ascii="Arial" w:hAnsi="Arial" w:eastAsia="Arial" w:cs="Arial"/>
          <w:b w:val="1"/>
          <w:bCs w:val="1"/>
          <w:i w:val="0"/>
          <w:iCs w:val="0"/>
          <w:noProof w:val="0"/>
          <w:sz w:val="20"/>
          <w:szCs w:val="20"/>
          <w:lang w:val="en-GB"/>
        </w:rPr>
      </w:pPr>
      <w:r w:rsidRPr="4DF95668" w:rsidR="660D5C3C">
        <w:rPr>
          <w:rFonts w:ascii="Arial" w:hAnsi="Arial" w:eastAsia="Arial" w:cs="Arial"/>
          <w:b w:val="1"/>
          <w:bCs w:val="1"/>
          <w:i w:val="0"/>
          <w:iCs w:val="0"/>
          <w:noProof w:val="0"/>
          <w:sz w:val="20"/>
          <w:szCs w:val="20"/>
          <w:lang w:val="en-GB"/>
        </w:rPr>
        <w:t xml:space="preserve">Section 1: Business Report     </w:t>
      </w:r>
      <w:r w:rsidRPr="4DF95668" w:rsidR="5BF34707">
        <w:rPr>
          <w:rFonts w:ascii="Arial" w:hAnsi="Arial" w:eastAsia="Arial" w:cs="Arial"/>
          <w:b w:val="1"/>
          <w:bCs w:val="1"/>
          <w:i w:val="0"/>
          <w:iCs w:val="0"/>
          <w:noProof w:val="0"/>
          <w:sz w:val="20"/>
          <w:szCs w:val="20"/>
          <w:lang w:val="en-GB"/>
        </w:rPr>
        <w:t>Australia’s Competitive Edge in Critical Minerals Processing: Rare Earths, Lithium Hydroxide and Tianqi Lithium’s Operations in Australia</w:t>
      </w:r>
    </w:p>
    <w:p w:rsidR="660D5C3C" w:rsidP="4DF95668" w:rsidRDefault="660D5C3C" w14:paraId="1038F10F" w14:textId="7DEDFD1C">
      <w:pPr>
        <w:pStyle w:val="Normal"/>
        <w:jc w:val="left"/>
        <w:rPr>
          <w:rFonts w:ascii="Arial" w:hAnsi="Arial" w:eastAsia="Arial" w:cs="Arial"/>
          <w:b w:val="1"/>
          <w:bCs w:val="1"/>
          <w:i w:val="0"/>
          <w:iCs w:val="0"/>
          <w:noProof w:val="0"/>
          <w:sz w:val="20"/>
          <w:szCs w:val="20"/>
          <w:lang w:val="en-GB"/>
        </w:rPr>
      </w:pPr>
      <w:r w:rsidRPr="4DF95668" w:rsidR="660D5C3C">
        <w:rPr>
          <w:rFonts w:ascii="Arial" w:hAnsi="Arial" w:eastAsia="Arial" w:cs="Arial"/>
          <w:b w:val="1"/>
          <w:bCs w:val="1"/>
          <w:i w:val="0"/>
          <w:iCs w:val="0"/>
          <w:noProof w:val="0"/>
          <w:sz w:val="20"/>
          <w:szCs w:val="20"/>
          <w:lang w:val="en-GB"/>
        </w:rPr>
        <w:t xml:space="preserve">                                 </w:t>
      </w:r>
      <w:r>
        <w:br/>
      </w:r>
      <w:r w:rsidRPr="4DF95668" w:rsidR="660D5C3C">
        <w:rPr>
          <w:rFonts w:ascii="Arial" w:hAnsi="Arial" w:eastAsia="Arial" w:cs="Arial"/>
          <w:b w:val="1"/>
          <w:bCs w:val="1"/>
          <w:i w:val="0"/>
          <w:iCs w:val="0"/>
          <w:noProof w:val="0"/>
          <w:sz w:val="20"/>
          <w:szCs w:val="20"/>
          <w:lang w:val="en-GB"/>
        </w:rPr>
        <w:t xml:space="preserve"> Introduction                                                </w:t>
      </w:r>
      <w:r w:rsidRPr="4DF95668" w:rsidR="4A259790">
        <w:rPr>
          <w:rFonts w:ascii="Arial" w:hAnsi="Arial" w:eastAsia="Arial" w:cs="Arial"/>
          <w:b w:val="1"/>
          <w:bCs w:val="1"/>
          <w:i w:val="0"/>
          <w:iCs w:val="0"/>
          <w:noProof w:val="0"/>
          <w:sz w:val="20"/>
          <w:szCs w:val="20"/>
          <w:lang w:val="en-GB"/>
        </w:rPr>
        <w:t xml:space="preserve">                                                                                    </w:t>
      </w:r>
      <w:r w:rsidRPr="4DF95668" w:rsidR="43FA690A">
        <w:rPr>
          <w:rFonts w:ascii="Arial" w:hAnsi="Arial" w:eastAsia="Arial" w:cs="Arial"/>
          <w:b w:val="1"/>
          <w:bCs w:val="1"/>
          <w:i w:val="0"/>
          <w:iCs w:val="0"/>
          <w:noProof w:val="0"/>
          <w:sz w:val="20"/>
          <w:szCs w:val="20"/>
          <w:lang w:val="en-GB"/>
        </w:rPr>
        <w:t xml:space="preserve"> </w:t>
      </w:r>
      <w:r w:rsidRPr="4DF95668" w:rsidR="4A259790">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3</w:t>
      </w:r>
      <w:r>
        <w:br/>
      </w:r>
      <w:r>
        <w:br/>
      </w:r>
      <w:r w:rsidRPr="4DF95668" w:rsidR="660D5C3C">
        <w:rPr>
          <w:rFonts w:ascii="Arial" w:hAnsi="Arial" w:eastAsia="Arial" w:cs="Arial"/>
          <w:b w:val="1"/>
          <w:bCs w:val="1"/>
          <w:i w:val="0"/>
          <w:iCs w:val="0"/>
          <w:noProof w:val="0"/>
          <w:sz w:val="20"/>
          <w:szCs w:val="20"/>
          <w:lang w:val="en-GB"/>
        </w:rPr>
        <w:t xml:space="preserve"> Industry and Country Overview                             </w:t>
      </w:r>
      <w:r w:rsidRPr="4DF95668" w:rsidR="4A2EA5B6">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4</w:t>
      </w:r>
      <w:r>
        <w:br/>
      </w:r>
      <w:r>
        <w:br/>
      </w:r>
      <w:r w:rsidRPr="4DF95668" w:rsidR="19CB793B">
        <w:rPr>
          <w:rFonts w:ascii="Arial" w:hAnsi="Arial" w:eastAsia="Arial" w:cs="Arial"/>
          <w:b w:val="1"/>
          <w:bCs w:val="1"/>
          <w:i w:val="0"/>
          <w:iCs w:val="0"/>
          <w:noProof w:val="0"/>
          <w:sz w:val="20"/>
          <w:szCs w:val="20"/>
          <w:lang w:val="en-GB"/>
        </w:rPr>
        <w:t xml:space="preserve"> </w:t>
      </w:r>
      <w:r w:rsidRPr="4DF95668" w:rsidR="2CA62DAA">
        <w:rPr>
          <w:rFonts w:ascii="Arial" w:hAnsi="Arial" w:eastAsia="Arial" w:cs="Arial"/>
          <w:b w:val="1"/>
          <w:bCs w:val="1"/>
          <w:i w:val="0"/>
          <w:iCs w:val="0"/>
          <w:noProof w:val="0"/>
          <w:sz w:val="20"/>
          <w:szCs w:val="20"/>
          <w:lang w:val="en-GB"/>
        </w:rPr>
        <w:t xml:space="preserve">Overview of </w:t>
      </w:r>
      <w:r w:rsidRPr="4DF95668" w:rsidR="4B191B1C">
        <w:rPr>
          <w:rFonts w:ascii="Arial" w:hAnsi="Arial" w:eastAsia="Arial" w:cs="Arial"/>
          <w:b w:val="1"/>
          <w:bCs w:val="1"/>
          <w:i w:val="0"/>
          <w:iCs w:val="0"/>
          <w:noProof w:val="0"/>
          <w:sz w:val="20"/>
          <w:szCs w:val="20"/>
          <w:lang w:val="en-GB"/>
        </w:rPr>
        <w:t xml:space="preserve">the </w:t>
      </w:r>
      <w:r w:rsidRPr="4DF95668" w:rsidR="2CA62DAA">
        <w:rPr>
          <w:rFonts w:ascii="Arial" w:hAnsi="Arial" w:eastAsia="Arial" w:cs="Arial"/>
          <w:b w:val="1"/>
          <w:bCs w:val="1"/>
          <w:i w:val="0"/>
          <w:iCs w:val="0"/>
          <w:noProof w:val="0"/>
          <w:sz w:val="20"/>
          <w:szCs w:val="20"/>
          <w:lang w:val="en-GB"/>
        </w:rPr>
        <w:t>Australian</w:t>
      </w:r>
      <w:r w:rsidRPr="4DF95668" w:rsidR="620A6924">
        <w:rPr>
          <w:rFonts w:ascii="Arial" w:hAnsi="Arial" w:eastAsia="Arial" w:cs="Arial"/>
          <w:b w:val="1"/>
          <w:bCs w:val="1"/>
          <w:i w:val="0"/>
          <w:iCs w:val="0"/>
          <w:noProof w:val="0"/>
          <w:sz w:val="20"/>
          <w:szCs w:val="20"/>
          <w:lang w:val="en-GB"/>
        </w:rPr>
        <w:t xml:space="preserve"> industry</w:t>
      </w:r>
      <w:r w:rsidRPr="4DF95668" w:rsidR="660D5C3C">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0FF71880">
        <w:rPr>
          <w:rFonts w:ascii="Arial" w:hAnsi="Arial" w:eastAsia="Arial" w:cs="Arial"/>
          <w:b w:val="1"/>
          <w:bCs w:val="1"/>
          <w:i w:val="0"/>
          <w:iCs w:val="0"/>
          <w:noProof w:val="0"/>
          <w:sz w:val="20"/>
          <w:szCs w:val="20"/>
          <w:lang w:val="en-GB"/>
        </w:rPr>
        <w:t xml:space="preserve">                   </w:t>
      </w:r>
      <w:r w:rsidRPr="4DF95668" w:rsidR="00C32BD3">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4</w:t>
      </w:r>
      <w:r>
        <w:br/>
      </w:r>
      <w:r>
        <w:br/>
      </w:r>
      <w:r w:rsidRPr="4DF95668" w:rsidR="660D5C3C">
        <w:rPr>
          <w:rFonts w:ascii="Arial" w:hAnsi="Arial" w:eastAsia="Arial" w:cs="Arial"/>
          <w:b w:val="1"/>
          <w:bCs w:val="1"/>
          <w:i w:val="0"/>
          <w:iCs w:val="0"/>
          <w:noProof w:val="0"/>
          <w:sz w:val="20"/>
          <w:szCs w:val="20"/>
          <w:lang w:val="en-GB"/>
        </w:rPr>
        <w:t xml:space="preserve"> Size, Scope and Economic importance </w:t>
      </w:r>
      <w:r w:rsidRPr="4DF95668" w:rsidR="50106411">
        <w:rPr>
          <w:rFonts w:ascii="Arial" w:hAnsi="Arial" w:eastAsia="Arial" w:cs="Arial"/>
          <w:b w:val="1"/>
          <w:bCs w:val="1"/>
          <w:i w:val="0"/>
          <w:iCs w:val="0"/>
          <w:noProof w:val="0"/>
          <w:sz w:val="20"/>
          <w:szCs w:val="20"/>
          <w:lang w:val="en-GB"/>
        </w:rPr>
        <w:t xml:space="preserve">of the industry </w:t>
      </w:r>
      <w:r w:rsidRPr="4DF95668" w:rsidR="660D5C3C">
        <w:rPr>
          <w:rFonts w:ascii="Arial" w:hAnsi="Arial" w:eastAsia="Arial" w:cs="Arial"/>
          <w:b w:val="1"/>
          <w:bCs w:val="1"/>
          <w:i w:val="0"/>
          <w:iCs w:val="0"/>
          <w:noProof w:val="0"/>
          <w:sz w:val="20"/>
          <w:szCs w:val="20"/>
          <w:lang w:val="en-GB"/>
        </w:rPr>
        <w:t xml:space="preserve">                </w:t>
      </w:r>
      <w:r w:rsidRPr="4DF95668" w:rsidR="1154A62A">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6869B1D4">
        <w:rPr>
          <w:rFonts w:ascii="Arial" w:hAnsi="Arial" w:eastAsia="Arial" w:cs="Arial"/>
          <w:b w:val="1"/>
          <w:bCs w:val="1"/>
          <w:i w:val="0"/>
          <w:iCs w:val="0"/>
          <w:noProof w:val="0"/>
          <w:sz w:val="20"/>
          <w:szCs w:val="20"/>
          <w:lang w:val="en-GB"/>
        </w:rPr>
        <w:t xml:space="preserve">   6</w:t>
      </w:r>
      <w:r>
        <w:br/>
      </w:r>
      <w:r>
        <w:br/>
      </w:r>
      <w:r w:rsidRPr="4DF95668" w:rsidR="660D5C3C">
        <w:rPr>
          <w:rFonts w:ascii="Arial" w:hAnsi="Arial" w:eastAsia="Arial" w:cs="Arial"/>
          <w:b w:val="1"/>
          <w:bCs w:val="1"/>
          <w:i w:val="0"/>
          <w:iCs w:val="0"/>
          <w:noProof w:val="0"/>
          <w:sz w:val="20"/>
          <w:szCs w:val="20"/>
          <w:lang w:val="en-GB"/>
        </w:rPr>
        <w:t xml:space="preserve">  Major Domestic and Multinational Firms                      </w:t>
      </w:r>
      <w:r w:rsidRPr="4DF95668" w:rsidR="612C1505">
        <w:rPr>
          <w:rFonts w:ascii="Arial" w:hAnsi="Arial" w:eastAsia="Arial" w:cs="Arial"/>
          <w:b w:val="1"/>
          <w:bCs w:val="1"/>
          <w:i w:val="0"/>
          <w:iCs w:val="0"/>
          <w:noProof w:val="0"/>
          <w:sz w:val="20"/>
          <w:szCs w:val="20"/>
          <w:lang w:val="en-GB"/>
        </w:rPr>
        <w:t xml:space="preserve">                                                               8</w:t>
      </w:r>
      <w:r>
        <w:br/>
      </w:r>
      <w:r>
        <w:br/>
      </w:r>
      <w:r w:rsidRPr="4DF95668" w:rsidR="660D5C3C">
        <w:rPr>
          <w:rFonts w:ascii="Arial" w:hAnsi="Arial" w:eastAsia="Arial" w:cs="Arial"/>
          <w:b w:val="1"/>
          <w:bCs w:val="1"/>
          <w:i w:val="0"/>
          <w:iCs w:val="0"/>
          <w:noProof w:val="0"/>
          <w:sz w:val="20"/>
          <w:szCs w:val="20"/>
          <w:lang w:val="en-GB"/>
        </w:rPr>
        <w:t xml:space="preserve"> </w:t>
      </w:r>
      <w:r w:rsidRPr="4DF95668" w:rsidR="4979558F">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Porter’s Diamond Model of National Advantage             </w:t>
      </w:r>
      <w:r w:rsidRPr="4DF95668" w:rsidR="3BF2B684">
        <w:rPr>
          <w:rFonts w:ascii="Arial" w:hAnsi="Arial" w:eastAsia="Arial" w:cs="Arial"/>
          <w:b w:val="1"/>
          <w:bCs w:val="1"/>
          <w:i w:val="0"/>
          <w:iCs w:val="0"/>
          <w:noProof w:val="0"/>
          <w:sz w:val="20"/>
          <w:szCs w:val="20"/>
          <w:lang w:val="en-GB"/>
        </w:rPr>
        <w:t xml:space="preserve">                                                            9</w:t>
      </w:r>
      <w:r>
        <w:br/>
      </w:r>
      <w:r w:rsidRPr="4DF95668" w:rsidR="660D5C3C">
        <w:rPr>
          <w:rFonts w:ascii="Arial" w:hAnsi="Arial" w:eastAsia="Arial" w:cs="Arial"/>
          <w:b w:val="1"/>
          <w:bCs w:val="1"/>
          <w:i w:val="0"/>
          <w:iCs w:val="0"/>
          <w:noProof w:val="0"/>
          <w:sz w:val="20"/>
          <w:szCs w:val="20"/>
          <w:lang w:val="en-GB"/>
        </w:rPr>
        <w:t xml:space="preserve">    </w:t>
      </w:r>
    </w:p>
    <w:p w:rsidR="07ED4B40" w:rsidP="4DF95668" w:rsidRDefault="07ED4B40" w14:paraId="2FEEF342" w14:textId="085A5C21">
      <w:pPr>
        <w:pStyle w:val="Normal"/>
        <w:jc w:val="left"/>
        <w:rPr>
          <w:rFonts w:ascii="Arial" w:hAnsi="Arial" w:eastAsia="Arial" w:cs="Arial"/>
          <w:b w:val="1"/>
          <w:bCs w:val="1"/>
          <w:i w:val="0"/>
          <w:iCs w:val="0"/>
          <w:noProof w:val="0"/>
          <w:sz w:val="20"/>
          <w:szCs w:val="20"/>
          <w:lang w:val="en-GB"/>
        </w:rPr>
      </w:pPr>
      <w:r w:rsidRPr="4DF95668" w:rsidR="07ED4B40">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Factor conditions                                          </w:t>
      </w:r>
      <w:r w:rsidRPr="4DF95668" w:rsidR="746E66ED">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5A51C59E">
        <w:rPr>
          <w:rFonts w:ascii="Arial" w:hAnsi="Arial" w:eastAsia="Arial" w:cs="Arial"/>
          <w:b w:val="1"/>
          <w:bCs w:val="1"/>
          <w:i w:val="0"/>
          <w:iCs w:val="0"/>
          <w:noProof w:val="0"/>
          <w:sz w:val="20"/>
          <w:szCs w:val="20"/>
          <w:lang w:val="en-GB"/>
        </w:rPr>
        <w:t>10</w:t>
      </w:r>
      <w:r>
        <w:br/>
      </w:r>
      <w:r>
        <w:br/>
      </w:r>
      <w:r w:rsidRPr="4DF95668" w:rsidR="660D5C3C">
        <w:rPr>
          <w:rFonts w:ascii="Arial" w:hAnsi="Arial" w:eastAsia="Arial" w:cs="Arial"/>
          <w:b w:val="1"/>
          <w:bCs w:val="1"/>
          <w:i w:val="0"/>
          <w:iCs w:val="0"/>
          <w:noProof w:val="0"/>
          <w:sz w:val="20"/>
          <w:szCs w:val="20"/>
          <w:lang w:val="en-GB"/>
        </w:rPr>
        <w:t xml:space="preserve">  </w:t>
      </w:r>
      <w:r w:rsidRPr="4DF95668" w:rsidR="5F4C76B1">
        <w:rPr>
          <w:rFonts w:ascii="Arial" w:hAnsi="Arial" w:eastAsia="Arial" w:cs="Arial"/>
          <w:b w:val="1"/>
          <w:bCs w:val="1"/>
          <w:i w:val="0"/>
          <w:iCs w:val="0"/>
          <w:noProof w:val="0"/>
          <w:sz w:val="20"/>
          <w:szCs w:val="20"/>
          <w:lang w:val="en-GB"/>
        </w:rPr>
        <w:t>Conditions of demand</w:t>
      </w:r>
      <w:r w:rsidRPr="4DF95668" w:rsidR="660D5C3C">
        <w:rPr>
          <w:rFonts w:ascii="Arial" w:hAnsi="Arial" w:eastAsia="Arial" w:cs="Arial"/>
          <w:b w:val="1"/>
          <w:bCs w:val="1"/>
          <w:i w:val="0"/>
          <w:iCs w:val="0"/>
          <w:noProof w:val="0"/>
          <w:sz w:val="20"/>
          <w:szCs w:val="20"/>
          <w:lang w:val="en-GB"/>
        </w:rPr>
        <w:t xml:space="preserve">                                  </w:t>
      </w:r>
      <w:r w:rsidRPr="4DF95668" w:rsidR="65000E6B">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276E654F">
        <w:rPr>
          <w:rFonts w:ascii="Arial" w:hAnsi="Arial" w:eastAsia="Arial" w:cs="Arial"/>
          <w:b w:val="1"/>
          <w:bCs w:val="1"/>
          <w:i w:val="0"/>
          <w:iCs w:val="0"/>
          <w:noProof w:val="0"/>
          <w:sz w:val="20"/>
          <w:szCs w:val="20"/>
          <w:lang w:val="en-GB"/>
        </w:rPr>
        <w:t>10</w:t>
      </w:r>
      <w:r>
        <w:br/>
      </w:r>
      <w:r>
        <w:br/>
      </w:r>
      <w:r w:rsidRPr="4DF95668" w:rsidR="2C335110">
        <w:rPr>
          <w:rFonts w:ascii="Aptos" w:hAnsi="Aptos" w:eastAsia="Aptos" w:cs="Aptos"/>
          <w:b w:val="1"/>
          <w:bCs w:val="1"/>
          <w:noProof w:val="0"/>
          <w:sz w:val="20"/>
          <w:szCs w:val="20"/>
          <w:lang w:val="en-GB"/>
        </w:rPr>
        <w:t xml:space="preserve">   Associated and auxiliary sectors</w:t>
      </w:r>
      <w:r w:rsidRPr="4DF95668" w:rsidR="660D5C3C">
        <w:rPr>
          <w:rFonts w:ascii="Arial" w:hAnsi="Arial" w:eastAsia="Arial" w:cs="Arial"/>
          <w:b w:val="1"/>
          <w:bCs w:val="1"/>
          <w:i w:val="0"/>
          <w:iCs w:val="0"/>
          <w:noProof w:val="0"/>
          <w:sz w:val="20"/>
          <w:szCs w:val="20"/>
          <w:lang w:val="en-GB"/>
        </w:rPr>
        <w:t xml:space="preserve">                          </w:t>
      </w:r>
      <w:r w:rsidRPr="4DF95668" w:rsidR="07C85945">
        <w:rPr>
          <w:rFonts w:ascii="Arial" w:hAnsi="Arial" w:eastAsia="Arial" w:cs="Arial"/>
          <w:b w:val="1"/>
          <w:bCs w:val="1"/>
          <w:i w:val="0"/>
          <w:iCs w:val="0"/>
          <w:noProof w:val="0"/>
          <w:sz w:val="20"/>
          <w:szCs w:val="20"/>
          <w:lang w:val="en-GB"/>
        </w:rPr>
        <w:t xml:space="preserve">                                                                         11</w:t>
      </w:r>
      <w:r>
        <w:br/>
      </w:r>
      <w:r>
        <w:br/>
      </w:r>
      <w:r w:rsidRPr="4DF95668" w:rsidR="660D5C3C">
        <w:rPr>
          <w:rFonts w:ascii="Arial" w:hAnsi="Arial" w:eastAsia="Arial" w:cs="Arial"/>
          <w:b w:val="1"/>
          <w:bCs w:val="1"/>
          <w:i w:val="0"/>
          <w:iCs w:val="0"/>
          <w:noProof w:val="0"/>
          <w:sz w:val="20"/>
          <w:szCs w:val="20"/>
          <w:lang w:val="en-GB"/>
        </w:rPr>
        <w:t xml:space="preserve">  </w:t>
      </w:r>
      <w:r w:rsidRPr="4DF95668" w:rsidR="4F1E64F7">
        <w:rPr>
          <w:rFonts w:ascii="Arial" w:hAnsi="Arial" w:eastAsia="Arial" w:cs="Arial"/>
          <w:b w:val="1"/>
          <w:bCs w:val="1"/>
          <w:i w:val="0"/>
          <w:iCs w:val="0"/>
          <w:noProof w:val="0"/>
          <w:sz w:val="20"/>
          <w:szCs w:val="20"/>
          <w:lang w:val="en-GB"/>
        </w:rPr>
        <w:t>Structure, rivalry and firm strateg</w:t>
      </w:r>
      <w:r w:rsidRPr="4DF95668" w:rsidR="135BCE15">
        <w:rPr>
          <w:rFonts w:ascii="Arial" w:hAnsi="Arial" w:eastAsia="Arial" w:cs="Arial"/>
          <w:b w:val="1"/>
          <w:bCs w:val="1"/>
          <w:i w:val="0"/>
          <w:iCs w:val="0"/>
          <w:noProof w:val="0"/>
          <w:sz w:val="20"/>
          <w:szCs w:val="20"/>
          <w:lang w:val="en-GB"/>
        </w:rPr>
        <w:t>y</w:t>
      </w:r>
      <w:r w:rsidRPr="4DF95668" w:rsidR="660D5C3C">
        <w:rPr>
          <w:rFonts w:ascii="Arial" w:hAnsi="Arial" w:eastAsia="Arial" w:cs="Arial"/>
          <w:b w:val="1"/>
          <w:bCs w:val="1"/>
          <w:i w:val="0"/>
          <w:iCs w:val="0"/>
          <w:noProof w:val="0"/>
          <w:sz w:val="20"/>
          <w:szCs w:val="20"/>
          <w:lang w:val="en-GB"/>
        </w:rPr>
        <w:t xml:space="preserve">                 </w:t>
      </w:r>
      <w:r w:rsidRPr="4DF95668" w:rsidR="0B607D82">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1</w:t>
      </w:r>
      <w:r w:rsidRPr="4DF95668" w:rsidR="0B607D82">
        <w:rPr>
          <w:rFonts w:ascii="Arial" w:hAnsi="Arial" w:eastAsia="Arial" w:cs="Arial"/>
          <w:b w:val="1"/>
          <w:bCs w:val="1"/>
          <w:i w:val="0"/>
          <w:iCs w:val="0"/>
          <w:noProof w:val="0"/>
          <w:sz w:val="20"/>
          <w:szCs w:val="20"/>
          <w:lang w:val="en-GB"/>
        </w:rPr>
        <w:t>1</w:t>
      </w:r>
      <w:r>
        <w:br/>
      </w:r>
      <w:r w:rsidRPr="4DF95668" w:rsidR="0CDF752A">
        <w:rPr>
          <w:rFonts w:ascii="Arial" w:hAnsi="Arial" w:eastAsia="Arial" w:cs="Arial"/>
          <w:b w:val="1"/>
          <w:bCs w:val="1"/>
          <w:i w:val="0"/>
          <w:iCs w:val="0"/>
          <w:noProof w:val="0"/>
          <w:sz w:val="20"/>
          <w:szCs w:val="20"/>
          <w:lang w:val="en-GB"/>
        </w:rPr>
        <w:t xml:space="preserve"> </w:t>
      </w:r>
    </w:p>
    <w:p w:rsidR="0CDF752A" w:rsidP="4DF95668" w:rsidRDefault="0CDF752A" w14:paraId="62B439F5" w14:textId="29C57B80">
      <w:pPr>
        <w:pStyle w:val="Normal"/>
        <w:jc w:val="left"/>
        <w:rPr>
          <w:rFonts w:ascii="Arial" w:hAnsi="Arial" w:eastAsia="Arial" w:cs="Arial"/>
          <w:b w:val="1"/>
          <w:bCs w:val="1"/>
          <w:i w:val="0"/>
          <w:iCs w:val="0"/>
          <w:noProof w:val="0"/>
          <w:sz w:val="20"/>
          <w:szCs w:val="20"/>
          <w:lang w:val="en-GB"/>
        </w:rPr>
      </w:pPr>
      <w:r w:rsidRPr="4DF95668" w:rsidR="0CDF752A">
        <w:rPr>
          <w:rFonts w:ascii="Arial" w:hAnsi="Arial" w:eastAsia="Arial" w:cs="Arial"/>
          <w:b w:val="1"/>
          <w:bCs w:val="1"/>
          <w:i w:val="0"/>
          <w:iCs w:val="0"/>
          <w:noProof w:val="0"/>
          <w:sz w:val="20"/>
          <w:szCs w:val="20"/>
          <w:lang w:val="en-GB"/>
        </w:rPr>
        <w:t xml:space="preserve">  </w:t>
      </w:r>
      <w:r w:rsidRPr="4DF95668" w:rsidR="554CB51B">
        <w:rPr>
          <w:rFonts w:ascii="Arial" w:hAnsi="Arial" w:eastAsia="Arial" w:cs="Arial"/>
          <w:b w:val="1"/>
          <w:bCs w:val="1"/>
          <w:i w:val="0"/>
          <w:iCs w:val="0"/>
          <w:noProof w:val="0"/>
          <w:sz w:val="20"/>
          <w:szCs w:val="20"/>
          <w:lang w:val="en-GB"/>
        </w:rPr>
        <w:t>Government</w:t>
      </w:r>
      <w:r w:rsidRPr="4DF95668" w:rsidR="660D5C3C">
        <w:rPr>
          <w:rFonts w:ascii="Arial" w:hAnsi="Arial" w:eastAsia="Arial" w:cs="Arial"/>
          <w:b w:val="1"/>
          <w:bCs w:val="1"/>
          <w:i w:val="0"/>
          <w:iCs w:val="0"/>
          <w:noProof w:val="0"/>
          <w:sz w:val="20"/>
          <w:szCs w:val="20"/>
          <w:lang w:val="en-GB"/>
        </w:rPr>
        <w:t xml:space="preserve">                                      </w:t>
      </w:r>
      <w:r w:rsidRPr="4DF95668" w:rsidR="19BDC387">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 xml:space="preserve">   </w:t>
      </w:r>
      <w:r w:rsidRPr="4DF95668" w:rsidR="3D416E96">
        <w:rPr>
          <w:rFonts w:ascii="Arial" w:hAnsi="Arial" w:eastAsia="Arial" w:cs="Arial"/>
          <w:b w:val="1"/>
          <w:bCs w:val="1"/>
          <w:i w:val="0"/>
          <w:iCs w:val="0"/>
          <w:noProof w:val="0"/>
          <w:sz w:val="20"/>
          <w:szCs w:val="20"/>
          <w:lang w:val="en-GB"/>
        </w:rPr>
        <w:t xml:space="preserve"> </w:t>
      </w:r>
      <w:r w:rsidRPr="4DF95668" w:rsidR="660D5C3C">
        <w:rPr>
          <w:rFonts w:ascii="Arial" w:hAnsi="Arial" w:eastAsia="Arial" w:cs="Arial"/>
          <w:b w:val="1"/>
          <w:bCs w:val="1"/>
          <w:i w:val="0"/>
          <w:iCs w:val="0"/>
          <w:noProof w:val="0"/>
          <w:sz w:val="20"/>
          <w:szCs w:val="20"/>
          <w:lang w:val="en-GB"/>
        </w:rPr>
        <w:t>1</w:t>
      </w:r>
      <w:r w:rsidRPr="4DF95668" w:rsidR="7B4E63AB">
        <w:rPr>
          <w:rFonts w:ascii="Arial" w:hAnsi="Arial" w:eastAsia="Arial" w:cs="Arial"/>
          <w:b w:val="1"/>
          <w:bCs w:val="1"/>
          <w:i w:val="0"/>
          <w:iCs w:val="0"/>
          <w:noProof w:val="0"/>
          <w:sz w:val="20"/>
          <w:szCs w:val="20"/>
          <w:lang w:val="en-GB"/>
        </w:rPr>
        <w:t>2</w:t>
      </w:r>
      <w:r>
        <w:br/>
      </w:r>
    </w:p>
    <w:p w:rsidR="20420A4B" w:rsidP="4DF95668" w:rsidRDefault="20420A4B" w14:paraId="12853C39" w14:textId="46B44EA7">
      <w:pPr>
        <w:pStyle w:val="Normal"/>
        <w:jc w:val="left"/>
        <w:rPr>
          <w:rFonts w:ascii="Arial" w:hAnsi="Arial" w:eastAsia="Arial" w:cs="Arial"/>
          <w:b w:val="1"/>
          <w:bCs w:val="1"/>
          <w:i w:val="0"/>
          <w:iCs w:val="0"/>
          <w:noProof w:val="0"/>
          <w:sz w:val="20"/>
          <w:szCs w:val="20"/>
          <w:lang w:val="en-GB"/>
        </w:rPr>
      </w:pPr>
      <w:r w:rsidRPr="4DF95668" w:rsidR="20420A4B">
        <w:rPr>
          <w:rFonts w:ascii="Arial" w:hAnsi="Arial" w:eastAsia="Arial" w:cs="Arial"/>
          <w:b w:val="1"/>
          <w:bCs w:val="1"/>
          <w:i w:val="0"/>
          <w:iCs w:val="0"/>
          <w:noProof w:val="0"/>
          <w:sz w:val="20"/>
          <w:szCs w:val="20"/>
          <w:lang w:val="en-GB"/>
        </w:rPr>
        <w:t xml:space="preserve">  </w:t>
      </w:r>
      <w:r w:rsidRPr="4DF95668" w:rsidR="386AE35C">
        <w:rPr>
          <w:rFonts w:ascii="Arial" w:hAnsi="Arial" w:eastAsia="Arial" w:cs="Arial"/>
          <w:b w:val="1"/>
          <w:bCs w:val="1"/>
          <w:i w:val="0"/>
          <w:iCs w:val="0"/>
          <w:noProof w:val="0"/>
          <w:sz w:val="20"/>
          <w:szCs w:val="20"/>
          <w:lang w:val="en-GB"/>
        </w:rPr>
        <w:t>Chance and Porter Diamond Scorecard</w:t>
      </w:r>
      <w:r w:rsidRPr="4DF95668" w:rsidR="1648F4F9">
        <w:rPr>
          <w:rFonts w:ascii="Arial" w:hAnsi="Arial" w:eastAsia="Arial" w:cs="Arial"/>
          <w:b w:val="1"/>
          <w:bCs w:val="1"/>
          <w:i w:val="0"/>
          <w:iCs w:val="0"/>
          <w:noProof w:val="0"/>
          <w:sz w:val="20"/>
          <w:szCs w:val="20"/>
          <w:lang w:val="en-GB"/>
        </w:rPr>
        <w:t xml:space="preserve">                                            </w:t>
      </w:r>
      <w:r w:rsidRPr="4DF95668" w:rsidR="58809004">
        <w:rPr>
          <w:rFonts w:ascii="Arial" w:hAnsi="Arial" w:eastAsia="Arial" w:cs="Arial"/>
          <w:b w:val="1"/>
          <w:bCs w:val="1"/>
          <w:i w:val="0"/>
          <w:iCs w:val="0"/>
          <w:noProof w:val="0"/>
          <w:sz w:val="20"/>
          <w:szCs w:val="20"/>
          <w:lang w:val="en-GB"/>
        </w:rPr>
        <w:t xml:space="preserve">                                        </w:t>
      </w:r>
      <w:r w:rsidRPr="4DF95668" w:rsidR="1AB10935">
        <w:rPr>
          <w:rFonts w:ascii="Arial" w:hAnsi="Arial" w:eastAsia="Arial" w:cs="Arial"/>
          <w:b w:val="1"/>
          <w:bCs w:val="1"/>
          <w:i w:val="0"/>
          <w:iCs w:val="0"/>
          <w:noProof w:val="0"/>
          <w:sz w:val="20"/>
          <w:szCs w:val="20"/>
          <w:lang w:val="en-GB"/>
        </w:rPr>
        <w:t xml:space="preserve"> </w:t>
      </w:r>
      <w:r w:rsidRPr="4DF95668" w:rsidR="58809004">
        <w:rPr>
          <w:rFonts w:ascii="Arial" w:hAnsi="Arial" w:eastAsia="Arial" w:cs="Arial"/>
          <w:b w:val="1"/>
          <w:bCs w:val="1"/>
          <w:i w:val="0"/>
          <w:iCs w:val="0"/>
          <w:noProof w:val="0"/>
          <w:sz w:val="20"/>
          <w:szCs w:val="20"/>
          <w:lang w:val="en-GB"/>
        </w:rPr>
        <w:t>13</w:t>
      </w:r>
      <w:r w:rsidRPr="4DF95668" w:rsidR="1648F4F9">
        <w:rPr>
          <w:rFonts w:ascii="Arial" w:hAnsi="Arial" w:eastAsia="Arial" w:cs="Arial"/>
          <w:b w:val="1"/>
          <w:bCs w:val="1"/>
          <w:i w:val="0"/>
          <w:iCs w:val="0"/>
          <w:noProof w:val="0"/>
          <w:sz w:val="20"/>
          <w:szCs w:val="20"/>
          <w:lang w:val="en-GB"/>
        </w:rPr>
        <w:t xml:space="preserve">                                 </w:t>
      </w:r>
    </w:p>
    <w:p w:rsidR="76E74E04" w:rsidP="4DF95668" w:rsidRDefault="76E74E04" w14:paraId="3C064767" w14:textId="414FAFE6">
      <w:pPr>
        <w:pStyle w:val="Normal"/>
        <w:jc w:val="left"/>
        <w:rPr>
          <w:rFonts w:ascii="Aptos" w:hAnsi="Aptos" w:eastAsia="Aptos" w:cs="Aptos"/>
          <w:b w:val="1"/>
          <w:bCs w:val="1"/>
          <w:noProof w:val="0"/>
          <w:sz w:val="32"/>
          <w:szCs w:val="32"/>
          <w:lang w:val="en-GB"/>
        </w:rPr>
      </w:pPr>
      <w:r w:rsidRPr="4DF95668" w:rsidR="76E74E04">
        <w:rPr>
          <w:rFonts w:ascii="Aptos" w:hAnsi="Aptos" w:eastAsia="Aptos" w:cs="Aptos"/>
          <w:b w:val="1"/>
          <w:bCs w:val="1"/>
          <w:noProof w:val="0"/>
          <w:sz w:val="20"/>
          <w:szCs w:val="20"/>
          <w:lang w:val="en-GB"/>
        </w:rPr>
        <w:t xml:space="preserve">   </w:t>
      </w:r>
    </w:p>
    <w:p w:rsidR="366670BF" w:rsidP="4DF95668" w:rsidRDefault="366670BF" w14:paraId="03697810" w14:textId="58ABD971">
      <w:pPr>
        <w:pStyle w:val="Normal"/>
        <w:jc w:val="left"/>
        <w:rPr>
          <w:rFonts w:ascii="Aptos" w:hAnsi="Aptos" w:eastAsia="Aptos" w:cs="Aptos"/>
          <w:b w:val="1"/>
          <w:bCs w:val="1"/>
          <w:noProof w:val="0"/>
          <w:sz w:val="32"/>
          <w:szCs w:val="32"/>
          <w:lang w:val="en-GB"/>
        </w:rPr>
      </w:pPr>
      <w:r w:rsidRPr="4DF95668" w:rsidR="366670BF">
        <w:rPr>
          <w:rFonts w:ascii="Aptos" w:hAnsi="Aptos" w:eastAsia="Aptos" w:cs="Aptos"/>
          <w:b w:val="1"/>
          <w:bCs w:val="1"/>
          <w:noProof w:val="0"/>
          <w:sz w:val="20"/>
          <w:szCs w:val="20"/>
          <w:lang w:val="en-GB"/>
        </w:rPr>
        <w:t xml:space="preserve">  </w:t>
      </w:r>
      <w:r w:rsidRPr="4DF95668" w:rsidR="011EE8FE">
        <w:rPr>
          <w:rFonts w:ascii="Aptos" w:hAnsi="Aptos" w:eastAsia="Aptos" w:cs="Aptos"/>
          <w:b w:val="1"/>
          <w:bCs w:val="1"/>
          <w:noProof w:val="0"/>
          <w:sz w:val="20"/>
          <w:szCs w:val="20"/>
          <w:lang w:val="en-GB"/>
        </w:rPr>
        <w:t xml:space="preserve">Foreign MNC/TNC Analysis: Tianqi Lithium Corporation in Australia  </w:t>
      </w:r>
      <w:r w:rsidRPr="4DF95668" w:rsidR="0C17E67C">
        <w:rPr>
          <w:rFonts w:ascii="Aptos" w:hAnsi="Aptos" w:eastAsia="Aptos" w:cs="Aptos"/>
          <w:b w:val="1"/>
          <w:bCs w:val="1"/>
          <w:noProof w:val="0"/>
          <w:sz w:val="20"/>
          <w:szCs w:val="20"/>
          <w:lang w:val="en-GB"/>
        </w:rPr>
        <w:t xml:space="preserve">                                                       </w:t>
      </w:r>
      <w:r w:rsidRPr="4DF95668" w:rsidR="4E5828E9">
        <w:rPr>
          <w:rFonts w:ascii="Aptos" w:hAnsi="Aptos" w:eastAsia="Aptos" w:cs="Aptos"/>
          <w:b w:val="1"/>
          <w:bCs w:val="1"/>
          <w:noProof w:val="0"/>
          <w:sz w:val="20"/>
          <w:szCs w:val="20"/>
          <w:lang w:val="en-GB"/>
        </w:rPr>
        <w:t xml:space="preserve"> </w:t>
      </w:r>
      <w:r w:rsidRPr="4DF95668" w:rsidR="0C17E67C">
        <w:rPr>
          <w:rFonts w:ascii="Aptos" w:hAnsi="Aptos" w:eastAsia="Aptos" w:cs="Aptos"/>
          <w:b w:val="1"/>
          <w:bCs w:val="1"/>
          <w:noProof w:val="0"/>
          <w:sz w:val="20"/>
          <w:szCs w:val="20"/>
          <w:lang w:val="en-GB"/>
        </w:rPr>
        <w:t xml:space="preserve">  14</w:t>
      </w:r>
      <w:r>
        <w:br/>
      </w:r>
      <w:r>
        <w:br/>
      </w:r>
      <w:r w:rsidRPr="4DF95668" w:rsidR="660D5C3C">
        <w:rPr>
          <w:rFonts w:ascii="Arial" w:hAnsi="Arial" w:eastAsia="Arial" w:cs="Arial"/>
          <w:b w:val="1"/>
          <w:bCs w:val="1"/>
          <w:i w:val="0"/>
          <w:iCs w:val="0"/>
          <w:noProof w:val="0"/>
          <w:sz w:val="20"/>
          <w:szCs w:val="20"/>
          <w:lang w:val="en-GB"/>
        </w:rPr>
        <w:t xml:space="preserve"> </w:t>
      </w:r>
      <w:r w:rsidRPr="4DF95668" w:rsidR="0CEEC774">
        <w:rPr>
          <w:rFonts w:ascii="Arial" w:hAnsi="Arial" w:eastAsia="Arial" w:cs="Arial"/>
          <w:b w:val="1"/>
          <w:bCs w:val="1"/>
          <w:i w:val="0"/>
          <w:iCs w:val="0"/>
          <w:noProof w:val="0"/>
          <w:sz w:val="20"/>
          <w:szCs w:val="20"/>
          <w:lang w:val="en-GB"/>
        </w:rPr>
        <w:t xml:space="preserve">Conclusion                                                                                                                                      </w:t>
      </w:r>
      <w:r w:rsidRPr="4DF95668" w:rsidR="660D5C3C">
        <w:rPr>
          <w:rFonts w:ascii="Arial" w:hAnsi="Arial" w:eastAsia="Arial" w:cs="Arial"/>
          <w:b w:val="1"/>
          <w:bCs w:val="1"/>
          <w:i w:val="0"/>
          <w:iCs w:val="0"/>
          <w:noProof w:val="0"/>
          <w:sz w:val="20"/>
          <w:szCs w:val="20"/>
          <w:lang w:val="en-GB"/>
        </w:rPr>
        <w:t>19</w:t>
      </w:r>
      <w:r>
        <w:br/>
      </w:r>
      <w:r>
        <w:br/>
      </w:r>
      <w:r w:rsidRPr="4DF95668" w:rsidR="44F9C546">
        <w:rPr>
          <w:rFonts w:ascii="Aptos" w:hAnsi="Aptos" w:eastAsia="Aptos" w:cs="Aptos"/>
          <w:b w:val="1"/>
          <w:bCs w:val="1"/>
          <w:noProof w:val="0"/>
          <w:sz w:val="20"/>
          <w:szCs w:val="20"/>
          <w:lang w:val="en-GB"/>
        </w:rPr>
        <w:t xml:space="preserve"> </w:t>
      </w:r>
      <w:r w:rsidRPr="4DF95668" w:rsidR="4FFCC23E">
        <w:rPr>
          <w:rFonts w:ascii="Aptos" w:hAnsi="Aptos" w:eastAsia="Aptos" w:cs="Aptos"/>
          <w:b w:val="1"/>
          <w:bCs w:val="1"/>
          <w:noProof w:val="0"/>
          <w:sz w:val="20"/>
          <w:szCs w:val="20"/>
          <w:lang w:val="en-GB"/>
        </w:rPr>
        <w:t xml:space="preserve">SECTION </w:t>
      </w:r>
      <w:r w:rsidRPr="4DF95668" w:rsidR="4FFCC23E">
        <w:rPr>
          <w:rFonts w:ascii="Aptos" w:hAnsi="Aptos" w:eastAsia="Aptos" w:cs="Aptos"/>
          <w:b w:val="1"/>
          <w:bCs w:val="1"/>
          <w:noProof w:val="0"/>
          <w:sz w:val="20"/>
          <w:szCs w:val="20"/>
          <w:lang w:val="en-GB"/>
        </w:rPr>
        <w:t>2 :</w:t>
      </w:r>
      <w:r w:rsidRPr="4DF95668" w:rsidR="4FFCC23E">
        <w:rPr>
          <w:rFonts w:ascii="Aptos" w:hAnsi="Aptos" w:eastAsia="Aptos" w:cs="Aptos"/>
          <w:b w:val="1"/>
          <w:bCs w:val="1"/>
          <w:noProof w:val="0"/>
          <w:sz w:val="20"/>
          <w:szCs w:val="20"/>
          <w:lang w:val="en-GB"/>
        </w:rPr>
        <w:t xml:space="preserve"> Reflective Account Using Gibbs’ Reflective Cycle: Researching, Analysing, and </w:t>
      </w:r>
      <w:r w:rsidRPr="4DF95668" w:rsidR="717AE92C">
        <w:rPr>
          <w:rFonts w:ascii="Aptos" w:hAnsi="Aptos" w:eastAsia="Aptos" w:cs="Aptos"/>
          <w:b w:val="1"/>
          <w:bCs w:val="1"/>
          <w:noProof w:val="0"/>
          <w:sz w:val="20"/>
          <w:szCs w:val="20"/>
          <w:lang w:val="en-GB"/>
        </w:rPr>
        <w:t xml:space="preserve">   </w:t>
      </w:r>
      <w:r w:rsidRPr="4DF95668" w:rsidR="4FFCC23E">
        <w:rPr>
          <w:rFonts w:ascii="Aptos" w:hAnsi="Aptos" w:eastAsia="Aptos" w:cs="Aptos"/>
          <w:b w:val="1"/>
          <w:bCs w:val="1"/>
          <w:noProof w:val="0"/>
          <w:sz w:val="20"/>
          <w:szCs w:val="20"/>
          <w:lang w:val="en-GB"/>
        </w:rPr>
        <w:t>Preparing the Assessment Section</w:t>
      </w:r>
      <w:r w:rsidRPr="4DF95668" w:rsidR="5ADEF272">
        <w:rPr>
          <w:rFonts w:ascii="Aptos" w:hAnsi="Aptos" w:eastAsia="Aptos" w:cs="Aptos"/>
          <w:b w:val="1"/>
          <w:bCs w:val="1"/>
          <w:noProof w:val="0"/>
          <w:sz w:val="20"/>
          <w:szCs w:val="20"/>
          <w:lang w:val="en-GB"/>
        </w:rPr>
        <w:t xml:space="preserve">                                                                                                                                   </w:t>
      </w:r>
      <w:r w:rsidRPr="4DF95668" w:rsidR="16F177C5">
        <w:rPr>
          <w:rFonts w:ascii="Aptos" w:hAnsi="Aptos" w:eastAsia="Aptos" w:cs="Aptos"/>
          <w:b w:val="1"/>
          <w:bCs w:val="1"/>
          <w:noProof w:val="0"/>
          <w:sz w:val="20"/>
          <w:szCs w:val="20"/>
          <w:lang w:val="en-GB"/>
        </w:rPr>
        <w:t xml:space="preserve">  </w:t>
      </w:r>
      <w:r w:rsidRPr="4DF95668" w:rsidR="5ADEF272">
        <w:rPr>
          <w:rFonts w:ascii="Aptos" w:hAnsi="Aptos" w:eastAsia="Aptos" w:cs="Aptos"/>
          <w:b w:val="1"/>
          <w:bCs w:val="1"/>
          <w:noProof w:val="0"/>
          <w:sz w:val="20"/>
          <w:szCs w:val="20"/>
          <w:lang w:val="en-GB"/>
        </w:rPr>
        <w:t xml:space="preserve">  21</w:t>
      </w:r>
    </w:p>
    <w:p w:rsidR="4DF95668" w:rsidP="4DF95668" w:rsidRDefault="4DF95668" w14:paraId="6B15D2F9" w14:textId="264A73CA">
      <w:pPr>
        <w:pStyle w:val="Normal"/>
        <w:jc w:val="left"/>
        <w:rPr>
          <w:rFonts w:ascii="Aptos" w:hAnsi="Aptos" w:eastAsia="Aptos" w:cs="Aptos"/>
          <w:b w:val="1"/>
          <w:bCs w:val="1"/>
          <w:noProof w:val="0"/>
          <w:sz w:val="20"/>
          <w:szCs w:val="20"/>
          <w:lang w:val="en-GB"/>
        </w:rPr>
      </w:pPr>
    </w:p>
    <w:p w:rsidR="5ADEF272" w:rsidP="4DF95668" w:rsidRDefault="5ADEF272" w14:paraId="3B9C1967" w14:textId="53A65EA8">
      <w:pPr>
        <w:pStyle w:val="Normal"/>
        <w:jc w:val="left"/>
        <w:rPr>
          <w:rFonts w:ascii="Aptos" w:hAnsi="Aptos" w:eastAsia="Aptos" w:cs="Aptos"/>
          <w:b w:val="1"/>
          <w:bCs w:val="1"/>
          <w:noProof w:val="0"/>
          <w:sz w:val="20"/>
          <w:szCs w:val="20"/>
          <w:lang w:val="en-GB"/>
        </w:rPr>
      </w:pPr>
      <w:r w:rsidRPr="4DF95668" w:rsidR="5ADEF272">
        <w:rPr>
          <w:rFonts w:ascii="Aptos" w:hAnsi="Aptos" w:eastAsia="Aptos" w:cs="Aptos"/>
          <w:b w:val="1"/>
          <w:bCs w:val="1"/>
          <w:noProof w:val="0"/>
          <w:sz w:val="20"/>
          <w:szCs w:val="20"/>
          <w:lang w:val="en-GB"/>
        </w:rPr>
        <w:t xml:space="preserve">References </w:t>
      </w:r>
      <w:r w:rsidRPr="4DF95668" w:rsidR="3CE3A242">
        <w:rPr>
          <w:rFonts w:ascii="Aptos" w:hAnsi="Aptos" w:eastAsia="Aptos" w:cs="Aptos"/>
          <w:b w:val="1"/>
          <w:bCs w:val="1"/>
          <w:noProof w:val="0"/>
          <w:sz w:val="20"/>
          <w:szCs w:val="20"/>
          <w:lang w:val="en-GB"/>
        </w:rPr>
        <w:t xml:space="preserve">                                                                                                                                                                                         27</w:t>
      </w:r>
    </w:p>
    <w:p w:rsidR="4DF95668" w:rsidP="4DF95668" w:rsidRDefault="4DF95668" w14:paraId="0372236E" w14:textId="6AC5D0C1">
      <w:pPr>
        <w:pStyle w:val="Normal"/>
        <w:spacing w:before="240" w:beforeAutospacing="off" w:after="240" w:afterAutospacing="off"/>
        <w:rPr>
          <w:rFonts w:ascii="Arial" w:hAnsi="Arial" w:eastAsia="Arial" w:cs="Arial"/>
          <w:b w:val="1"/>
          <w:bCs w:val="1"/>
          <w:i w:val="0"/>
          <w:iCs w:val="0"/>
          <w:noProof w:val="0"/>
          <w:sz w:val="20"/>
          <w:szCs w:val="20"/>
          <w:lang w:val="en-GB"/>
        </w:rPr>
      </w:pPr>
    </w:p>
    <w:p w:rsidR="4DF95668" w:rsidP="4DF95668" w:rsidRDefault="4DF95668" w14:paraId="717E1B92" w14:textId="067D6771">
      <w:pPr>
        <w:pStyle w:val="Normal"/>
        <w:rPr>
          <w:b w:val="1"/>
          <w:bCs w:val="1"/>
        </w:rPr>
      </w:pPr>
    </w:p>
    <w:p w:rsidR="6C9A2BB4" w:rsidP="6C9A2BB4" w:rsidRDefault="6C9A2BB4" w14:paraId="52B2FA90" w14:textId="024D3BBE">
      <w:pPr>
        <w:pStyle w:val="Normal"/>
        <w:rPr>
          <w:b w:val="1"/>
          <w:bCs w:val="1"/>
        </w:rPr>
      </w:pPr>
    </w:p>
    <w:p w:rsidR="6C9A2BB4" w:rsidP="6C9A2BB4" w:rsidRDefault="6C9A2BB4" w14:paraId="2765E3C7" w14:textId="0866FC25">
      <w:pPr>
        <w:pStyle w:val="Normal"/>
        <w:rPr>
          <w:b w:val="1"/>
          <w:bCs w:val="1"/>
        </w:rPr>
      </w:pPr>
    </w:p>
    <w:p w:rsidR="6C9A2BB4" w:rsidP="6C9A2BB4" w:rsidRDefault="6C9A2BB4" w14:paraId="77924A1F" w14:textId="3872A3F4">
      <w:pPr>
        <w:pStyle w:val="Normal"/>
        <w:rPr>
          <w:b w:val="1"/>
          <w:bCs w:val="1"/>
        </w:rPr>
      </w:pPr>
    </w:p>
    <w:p w:rsidR="6C9A2BB4" w:rsidP="6C9A2BB4" w:rsidRDefault="6C9A2BB4" w14:paraId="159893C8" w14:textId="608DDB7C">
      <w:pPr>
        <w:pStyle w:val="Normal"/>
        <w:rPr>
          <w:b w:val="1"/>
          <w:bCs w:val="1"/>
        </w:rPr>
      </w:pPr>
    </w:p>
    <w:p w:rsidR="6C9A2BB4" w:rsidP="49E66D2A" w:rsidRDefault="6C9A2BB4" w14:paraId="16EA487E" w14:textId="1DFA2771">
      <w:pPr>
        <w:pStyle w:val="Normal"/>
        <w:rPr>
          <w:b w:val="1"/>
          <w:bCs w:val="1"/>
        </w:rPr>
      </w:pPr>
    </w:p>
    <w:p w:rsidR="3E63163B" w:rsidP="0BE43A9D" w:rsidRDefault="3E63163B" w14:paraId="4C5A2A02" w14:textId="2AF8BD6F">
      <w:pPr>
        <w:pStyle w:val="Normal"/>
        <w:spacing w:before="0" w:beforeAutospacing="off" w:after="0" w:afterAutospacing="off"/>
        <w:ind/>
        <w:rPr>
          <w:rFonts w:ascii="Aptos" w:hAnsi="Aptos" w:eastAsia="Aptos" w:cs="Aptos"/>
          <w:b w:val="1"/>
          <w:bCs w:val="1"/>
          <w:noProof w:val="0"/>
          <w:sz w:val="32"/>
          <w:szCs w:val="32"/>
          <w:lang w:val="en-GB"/>
        </w:rPr>
      </w:pPr>
      <w:r w:rsidRPr="0BE43A9D" w:rsidR="523E1D1A">
        <w:rPr>
          <w:rFonts w:ascii="Aptos" w:hAnsi="Aptos" w:eastAsia="Aptos" w:cs="Aptos"/>
          <w:b w:val="1"/>
          <w:bCs w:val="1"/>
          <w:noProof w:val="0"/>
          <w:sz w:val="32"/>
          <w:szCs w:val="32"/>
          <w:lang w:val="en-GB"/>
        </w:rPr>
        <w:t>Australia’s Competitive Edge in Critical Minerals Processing: Rare Earths, Lithium Hydroxide and Tianqi Lithium’s Operations in Australia</w:t>
      </w:r>
    </w:p>
    <w:p w:rsidR="1B0B79CD" w:rsidP="1B0B79CD" w:rsidRDefault="1B0B79CD" w14:paraId="3A38E9BC" w14:textId="66387BF9">
      <w:pPr>
        <w:spacing w:before="240" w:beforeAutospacing="off" w:after="240" w:afterAutospacing="off"/>
        <w:jc w:val="both"/>
        <w:rPr>
          <w:rFonts w:ascii="Aptos" w:hAnsi="Aptos" w:eastAsia="Aptos" w:cs="Aptos"/>
          <w:b w:val="1"/>
          <w:bCs w:val="1"/>
          <w:noProof w:val="0"/>
          <w:sz w:val="24"/>
          <w:szCs w:val="24"/>
          <w:lang w:val="en-GB"/>
        </w:rPr>
      </w:pPr>
    </w:p>
    <w:p w:rsidR="6C9A2BB4" w:rsidP="1B0B79CD" w:rsidRDefault="6C9A2BB4" w14:paraId="41DF68D7" w14:textId="0E655B48">
      <w:pPr>
        <w:spacing w:before="240" w:beforeAutospacing="off" w:after="240" w:afterAutospacing="off"/>
        <w:jc w:val="left"/>
        <w:rPr>
          <w:rFonts w:ascii="Aptos" w:hAnsi="Aptos" w:eastAsia="Aptos" w:cs="Aptos"/>
          <w:b w:val="1"/>
          <w:bCs w:val="1"/>
          <w:noProof w:val="0"/>
          <w:sz w:val="24"/>
          <w:szCs w:val="24"/>
          <w:lang w:val="en-GB"/>
        </w:rPr>
      </w:pPr>
      <w:r w:rsidRPr="1A5F3DDE" w:rsidR="66E3B7F5">
        <w:rPr>
          <w:rFonts w:ascii="Aptos" w:hAnsi="Aptos" w:eastAsia="Aptos" w:cs="Aptos"/>
          <w:b w:val="1"/>
          <w:bCs w:val="1"/>
          <w:noProof w:val="0"/>
          <w:sz w:val="24"/>
          <w:szCs w:val="24"/>
          <w:lang w:val="en-GB"/>
        </w:rPr>
        <w:t xml:space="preserve">1. </w:t>
      </w:r>
      <w:r w:rsidRPr="1A5F3DDE" w:rsidR="63348DB0">
        <w:rPr>
          <w:rFonts w:ascii="Aptos" w:hAnsi="Aptos" w:eastAsia="Aptos" w:cs="Aptos"/>
          <w:b w:val="1"/>
          <w:bCs w:val="1"/>
          <w:noProof w:val="0"/>
          <w:sz w:val="24"/>
          <w:szCs w:val="24"/>
          <w:lang w:val="en-GB"/>
        </w:rPr>
        <w:t>Introduction</w:t>
      </w:r>
    </w:p>
    <w:p w:rsidR="6C9A2BB4" w:rsidP="1A5F3DDE" w:rsidRDefault="6C9A2BB4" w14:paraId="2A67ABD6" w14:textId="323EFDBD">
      <w:pPr>
        <w:pStyle w:val="Normal"/>
        <w:spacing w:before="240" w:beforeAutospacing="off" w:after="240" w:afterAutospacing="off" w:line="276" w:lineRule="auto"/>
        <w:jc w:val="left"/>
      </w:pPr>
      <w:r w:rsidRPr="4DF95668" w:rsidR="37FEDB9F">
        <w:rPr>
          <w:rFonts w:ascii="Aptos" w:hAnsi="Aptos" w:eastAsia="Aptos" w:cs="Aptos"/>
          <w:noProof w:val="0"/>
          <w:sz w:val="24"/>
          <w:szCs w:val="24"/>
          <w:lang w:val="en-GB"/>
        </w:rPr>
        <w:t>With a focus on rare earth separation and lithium hydroxide refining, this study examines</w:t>
      </w:r>
      <w:r w:rsidRPr="4DF95668" w:rsidR="37FEDB9F">
        <w:rPr>
          <w:rFonts w:ascii="Aptos" w:hAnsi="Aptos" w:eastAsia="Aptos" w:cs="Aptos"/>
          <w:b w:val="1"/>
          <w:bCs w:val="1"/>
          <w:noProof w:val="0"/>
          <w:sz w:val="24"/>
          <w:szCs w:val="24"/>
          <w:lang w:val="en-GB"/>
        </w:rPr>
        <w:t xml:space="preserve"> Australia's competitive advantage in the critical minerals processing sector</w:t>
      </w:r>
      <w:r w:rsidRPr="4DF95668" w:rsidR="37FEDB9F">
        <w:rPr>
          <w:rFonts w:ascii="Aptos" w:hAnsi="Aptos" w:eastAsia="Aptos" w:cs="Aptos"/>
          <w:noProof w:val="0"/>
          <w:sz w:val="24"/>
          <w:szCs w:val="24"/>
          <w:lang w:val="en-GB"/>
        </w:rPr>
        <w:t xml:space="preserve">. Because they are necessary for electric cars, battery storage, wind turbines, military systems, semiconductors, and advanced manufacturing, critical minerals are strategically significant. Australia already ranks among the top five producers of cobalt, manganese, rare earths, rutile, tantalum, and zircon, and it was the world's top producer of lithium </w:t>
      </w:r>
      <w:r w:rsidRPr="4DF95668" w:rsidR="37FEDB9F">
        <w:rPr>
          <w:rFonts w:ascii="Aptos" w:hAnsi="Aptos" w:eastAsia="Aptos" w:cs="Aptos"/>
          <w:noProof w:val="0"/>
          <w:sz w:val="24"/>
          <w:szCs w:val="24"/>
          <w:lang w:val="en-GB"/>
        </w:rPr>
        <w:t>in</w:t>
      </w:r>
      <w:r w:rsidRPr="4DF95668" w:rsidR="37FEDB9F">
        <w:rPr>
          <w:rFonts w:ascii="Aptos" w:hAnsi="Aptos" w:eastAsia="Aptos" w:cs="Aptos"/>
          <w:noProof w:val="0"/>
          <w:sz w:val="24"/>
          <w:szCs w:val="24"/>
          <w:lang w:val="en-GB"/>
        </w:rPr>
        <w:t xml:space="preserve"> 2023 (</w:t>
      </w:r>
      <w:r w:rsidRPr="4DF95668" w:rsidR="48A6E187">
        <w:rPr>
          <w:rFonts w:ascii="Aptos" w:hAnsi="Aptos" w:eastAsia="Aptos" w:cs="Aptos"/>
          <w:noProof w:val="0"/>
          <w:sz w:val="24"/>
          <w:szCs w:val="24"/>
          <w:lang w:val="en-GB"/>
        </w:rPr>
        <w:t>Geoscience Australia 2</w:t>
      </w:r>
      <w:r w:rsidRPr="4DF95668" w:rsidR="268368D6">
        <w:rPr>
          <w:rFonts w:ascii="Aptos" w:hAnsi="Aptos" w:eastAsia="Aptos" w:cs="Aptos"/>
          <w:noProof w:val="0"/>
          <w:sz w:val="24"/>
          <w:szCs w:val="24"/>
          <w:lang w:val="en-GB"/>
        </w:rPr>
        <w:t>025)</w:t>
      </w:r>
      <w:r w:rsidRPr="4DF95668" w:rsidR="37FEDB9F">
        <w:rPr>
          <w:rFonts w:ascii="Aptos" w:hAnsi="Aptos" w:eastAsia="Aptos" w:cs="Aptos"/>
          <w:noProof w:val="0"/>
          <w:sz w:val="24"/>
          <w:szCs w:val="24"/>
          <w:lang w:val="en-GB"/>
        </w:rPr>
        <w:t xml:space="preserve">. Moving past the extraction of basic minerals and increasing value through downstream processing, however, is Australia's strategic challenge. This study assesses Australia's competitiveness in </w:t>
      </w:r>
      <w:r w:rsidRPr="4DF95668" w:rsidR="37FEDB9F">
        <w:rPr>
          <w:rFonts w:ascii="Aptos" w:hAnsi="Aptos" w:eastAsia="Aptos" w:cs="Aptos"/>
          <w:noProof w:val="0"/>
          <w:sz w:val="24"/>
          <w:szCs w:val="24"/>
          <w:lang w:val="en-GB"/>
        </w:rPr>
        <w:t>crucial minerals processing using Porter's Diamond Model of National Advantage.</w:t>
      </w:r>
    </w:p>
    <w:p w:rsidR="6C2E5753" w:rsidP="4DF95668" w:rsidRDefault="6C2E5753" w14:paraId="204F6880" w14:textId="54B8866F">
      <w:pPr>
        <w:pStyle w:val="Normal"/>
        <w:spacing w:before="240" w:beforeAutospacing="off" w:after="240" w:afterAutospacing="off" w:line="276" w:lineRule="auto"/>
        <w:jc w:val="both"/>
      </w:pPr>
      <w:r w:rsidRPr="0909F6A8" w:rsidR="6A457F29">
        <w:rPr>
          <w:rFonts w:ascii="Aptos" w:hAnsi="Aptos" w:eastAsia="Aptos" w:cs="Aptos"/>
          <w:noProof w:val="0"/>
          <w:sz w:val="24"/>
          <w:szCs w:val="24"/>
          <w:lang w:val="en-GB"/>
        </w:rPr>
        <w:t xml:space="preserve">Next, the report utilises PESTEL analysis, Hofstede’s cultural dimensions, and forward-market strategy to examine </w:t>
      </w:r>
      <w:r w:rsidRPr="0909F6A8" w:rsidR="445985C8">
        <w:rPr>
          <w:rFonts w:ascii="Aptos" w:hAnsi="Aptos" w:eastAsia="Aptos" w:cs="Aptos"/>
          <w:b w:val="1"/>
          <w:bCs w:val="1"/>
          <w:noProof w:val="0"/>
          <w:sz w:val="24"/>
          <w:szCs w:val="24"/>
          <w:lang w:val="en-GB"/>
        </w:rPr>
        <w:t>Tianqi Lithium Corporation, a Chinese multinational operating in Australia through Tianqi Lithium Energy Australia.</w:t>
      </w:r>
    </w:p>
    <w:p w:rsidR="6C9A2BB4" w:rsidP="1B0B79CD" w:rsidRDefault="6C9A2BB4" w14:paraId="557FBDE6" w14:textId="621D173F">
      <w:pPr>
        <w:spacing w:before="240" w:beforeAutospacing="off" w:after="240" w:afterAutospacing="off" w:line="276" w:lineRule="auto"/>
        <w:jc w:val="both"/>
        <w:rPr>
          <w:rFonts w:ascii="Aptos" w:hAnsi="Aptos" w:eastAsia="Aptos" w:cs="Aptos"/>
          <w:b w:val="1"/>
          <w:bCs w:val="1"/>
          <w:noProof w:val="0"/>
          <w:sz w:val="24"/>
          <w:szCs w:val="24"/>
          <w:lang w:val="en-GB"/>
        </w:rPr>
      </w:pPr>
    </w:p>
    <w:p w:rsidR="0909F6A8" w:rsidP="0909F6A8" w:rsidRDefault="0909F6A8" w14:paraId="59715523" w14:textId="05D75278">
      <w:pPr>
        <w:spacing w:before="240" w:beforeAutospacing="off" w:after="240" w:afterAutospacing="off" w:line="276" w:lineRule="auto"/>
        <w:jc w:val="both"/>
        <w:rPr>
          <w:rFonts w:ascii="Aptos" w:hAnsi="Aptos" w:eastAsia="Aptos" w:cs="Aptos"/>
          <w:b w:val="1"/>
          <w:bCs w:val="1"/>
          <w:noProof w:val="0"/>
          <w:sz w:val="24"/>
          <w:szCs w:val="24"/>
          <w:lang w:val="en-GB"/>
        </w:rPr>
      </w:pPr>
    </w:p>
    <w:p w:rsidR="0909F6A8" w:rsidP="0909F6A8" w:rsidRDefault="0909F6A8" w14:paraId="334242F0" w14:textId="556D66EE">
      <w:pPr>
        <w:spacing w:before="240" w:beforeAutospacing="off" w:after="240" w:afterAutospacing="off" w:line="276" w:lineRule="auto"/>
        <w:jc w:val="both"/>
        <w:rPr>
          <w:rFonts w:ascii="Aptos" w:hAnsi="Aptos" w:eastAsia="Aptos" w:cs="Aptos"/>
          <w:b w:val="1"/>
          <w:bCs w:val="1"/>
          <w:noProof w:val="0"/>
          <w:sz w:val="24"/>
          <w:szCs w:val="24"/>
          <w:lang w:val="en-GB"/>
        </w:rPr>
      </w:pPr>
    </w:p>
    <w:p w:rsidR="0909F6A8" w:rsidP="0909F6A8" w:rsidRDefault="0909F6A8" w14:paraId="58CEF11D" w14:textId="483FDD1D">
      <w:pPr>
        <w:spacing w:before="240" w:beforeAutospacing="off" w:after="240" w:afterAutospacing="off" w:line="276" w:lineRule="auto"/>
        <w:jc w:val="both"/>
        <w:rPr>
          <w:rFonts w:ascii="Aptos" w:hAnsi="Aptos" w:eastAsia="Aptos" w:cs="Aptos"/>
          <w:b w:val="1"/>
          <w:bCs w:val="1"/>
          <w:noProof w:val="0"/>
          <w:sz w:val="24"/>
          <w:szCs w:val="24"/>
          <w:lang w:val="en-GB"/>
        </w:rPr>
      </w:pPr>
    </w:p>
    <w:p w:rsidR="0909F6A8" w:rsidP="0909F6A8" w:rsidRDefault="0909F6A8" w14:paraId="4C392FB6" w14:textId="32029803">
      <w:pPr>
        <w:spacing w:before="240" w:beforeAutospacing="off" w:after="240" w:afterAutospacing="off" w:line="276" w:lineRule="auto"/>
        <w:jc w:val="both"/>
        <w:rPr>
          <w:rFonts w:ascii="Aptos" w:hAnsi="Aptos" w:eastAsia="Aptos" w:cs="Aptos"/>
          <w:b w:val="1"/>
          <w:bCs w:val="1"/>
          <w:noProof w:val="0"/>
          <w:sz w:val="24"/>
          <w:szCs w:val="24"/>
          <w:lang w:val="en-GB"/>
        </w:rPr>
      </w:pPr>
    </w:p>
    <w:p w:rsidR="0909F6A8" w:rsidP="0909F6A8" w:rsidRDefault="0909F6A8" w14:paraId="13EA1BED" w14:textId="1A04AA31">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149C10B5" w14:textId="174B11D0">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209FE261" w14:textId="475143C9">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18E8EBE5" w14:textId="507B6CB3">
      <w:pPr>
        <w:spacing w:before="240" w:beforeAutospacing="off" w:after="240" w:afterAutospacing="off" w:line="276" w:lineRule="auto"/>
        <w:jc w:val="both"/>
        <w:rPr>
          <w:rFonts w:ascii="Aptos" w:hAnsi="Aptos" w:eastAsia="Aptos" w:cs="Aptos"/>
          <w:b w:val="1"/>
          <w:bCs w:val="1"/>
          <w:noProof w:val="0"/>
          <w:sz w:val="24"/>
          <w:szCs w:val="24"/>
          <w:lang w:val="en-GB"/>
        </w:rPr>
      </w:pPr>
    </w:p>
    <w:p w:rsidR="0BE43A9D" w:rsidP="0BE43A9D" w:rsidRDefault="0BE43A9D" w14:paraId="0963D6AD" w14:textId="6543A66E">
      <w:pPr>
        <w:spacing w:before="240" w:beforeAutospacing="off" w:after="240" w:afterAutospacing="off" w:line="276" w:lineRule="auto"/>
        <w:jc w:val="both"/>
        <w:rPr>
          <w:rFonts w:ascii="Aptos" w:hAnsi="Aptos" w:eastAsia="Aptos" w:cs="Aptos"/>
          <w:b w:val="1"/>
          <w:bCs w:val="1"/>
          <w:noProof w:val="0"/>
          <w:sz w:val="24"/>
          <w:szCs w:val="24"/>
          <w:lang w:val="en-GB"/>
        </w:rPr>
      </w:pPr>
    </w:p>
    <w:p w:rsidR="0BE43A9D" w:rsidP="0BE43A9D" w:rsidRDefault="0BE43A9D" w14:paraId="106252AE" w14:textId="64435393">
      <w:pPr>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1B0B79CD" w:rsidRDefault="6C9A2BB4" w14:paraId="79185379" w14:textId="10C3E0F0">
      <w:pPr>
        <w:pStyle w:val="Normal"/>
        <w:spacing w:before="240" w:beforeAutospacing="off" w:after="240" w:afterAutospacing="off" w:line="276" w:lineRule="auto"/>
        <w:jc w:val="both"/>
        <w:rPr>
          <w:rFonts w:ascii="Aptos" w:hAnsi="Aptos" w:eastAsia="Aptos" w:cs="Aptos"/>
          <w:b w:val="1"/>
          <w:bCs w:val="1"/>
          <w:noProof w:val="0"/>
          <w:sz w:val="24"/>
          <w:szCs w:val="24"/>
          <w:lang w:val="en-GB"/>
        </w:rPr>
      </w:pPr>
    </w:p>
    <w:p w:rsidR="6C9A2BB4" w:rsidP="50CA1F5F" w:rsidRDefault="6C9A2BB4" w14:paraId="30AA8B7E" w14:textId="722BFC25">
      <w:pPr>
        <w:pStyle w:val="ListParagraph"/>
        <w:numPr>
          <w:ilvl w:val="0"/>
          <w:numId w:val="3"/>
        </w:numPr>
        <w:spacing w:before="0" w:beforeAutospacing="off" w:after="0" w:afterAutospacing="off" w:line="276" w:lineRule="auto"/>
        <w:jc w:val="left"/>
        <w:rPr>
          <w:b w:val="1"/>
          <w:bCs w:val="1"/>
          <w:noProof w:val="0"/>
          <w:sz w:val="32"/>
          <w:szCs w:val="32"/>
          <w:lang w:val="en-GB"/>
        </w:rPr>
      </w:pPr>
      <w:r w:rsidRPr="50CA1F5F" w:rsidR="3146D440">
        <w:rPr>
          <w:b w:val="1"/>
          <w:bCs w:val="1"/>
          <w:noProof w:val="0"/>
          <w:sz w:val="32"/>
          <w:szCs w:val="32"/>
          <w:lang w:val="en-GB"/>
        </w:rPr>
        <w:t>Industry and Country Overview</w:t>
      </w:r>
    </w:p>
    <w:p w:rsidR="6C9A2BB4" w:rsidP="31090FC7" w:rsidRDefault="6C9A2BB4" w14:paraId="0983F1D8" w14:textId="0F900E86">
      <w:pPr>
        <w:spacing w:before="240" w:beforeAutospacing="off" w:after="198" w:afterAutospacing="off" w:line="276" w:lineRule="auto"/>
        <w:jc w:val="both"/>
        <w:rPr>
          <w:b w:val="1"/>
          <w:bCs w:val="1"/>
          <w:noProof w:val="0"/>
          <w:lang w:val="en-GB"/>
        </w:rPr>
      </w:pPr>
      <w:r w:rsidRPr="31090FC7" w:rsidR="03E0F5F7">
        <w:rPr>
          <w:b w:val="1"/>
          <w:bCs w:val="1"/>
          <w:noProof w:val="0"/>
          <w:lang w:val="en-GB"/>
        </w:rPr>
        <w:t>2.1 Overview of the Australian industry</w:t>
      </w:r>
    </w:p>
    <w:p w:rsidR="6C9A2BB4" w:rsidP="31090FC7" w:rsidRDefault="6C9A2BB4" w14:paraId="6A2BEC35" w14:textId="15F7BA24">
      <w:pPr>
        <w:pStyle w:val="Normal"/>
        <w:spacing w:before="240" w:beforeAutospacing="off" w:after="198" w:afterAutospacing="off" w:line="276" w:lineRule="auto"/>
        <w:ind/>
        <w:jc w:val="both"/>
        <w:rPr>
          <w:rFonts w:ascii="Aptos" w:hAnsi="Aptos" w:eastAsia="Aptos" w:cs="Aptos" w:asciiTheme="minorAscii" w:hAnsiTheme="minorAscii" w:eastAsiaTheme="minorAscii" w:cstheme="minorAscii"/>
          <w:b w:val="0"/>
          <w:bCs w:val="0"/>
          <w:noProof w:val="0"/>
          <w:lang w:val="en-GB"/>
        </w:rPr>
      </w:pPr>
      <w:r w:rsidRPr="31090FC7" w:rsidR="43E71DE3">
        <w:rPr>
          <w:b w:val="0"/>
          <w:bCs w:val="0"/>
          <w:noProof w:val="0"/>
          <w:lang w:val="en-GB"/>
        </w:rPr>
        <w:t xml:space="preserve">Higher-value commodities like segregated rare-earth oxides and battery-grade lithium hydroxide are produced by Australia's critical-minerals processing sector from mined ores and concentrates. Because downstream conversion necessitates chemical engineering, hydrometallurgy, impurity control, dependable energy, and client qualification in addition to geology and bulk logistics, this research concentrates on processing rather than extraction. Porter's evaluation of advanced processing variables is connected to the overview through this distinction (Critical Minerals Office 2023; </w:t>
      </w:r>
      <w:r w:rsidRPr="31090FC7" w:rsidR="43E71DE3">
        <w:rPr>
          <w:rFonts w:ascii="Aptos" w:hAnsi="Aptos" w:eastAsia="Aptos" w:cs="Aptos" w:asciiTheme="minorAscii" w:hAnsiTheme="minorAscii" w:eastAsiaTheme="minorAscii" w:cstheme="minorAscii"/>
          <w:b w:val="0"/>
          <w:bCs w:val="0"/>
          <w:noProof w:val="0"/>
          <w:lang w:val="en-GB"/>
        </w:rPr>
        <w:t>Department of Jobs, Tourism, Science and Innovation 2024).</w:t>
      </w:r>
    </w:p>
    <w:p w:rsidR="6C9A2BB4" w:rsidP="31090FC7" w:rsidRDefault="6C9A2BB4" w14:paraId="4B92E611" w14:textId="6B36297F">
      <w:pPr>
        <w:spacing w:before="240" w:beforeAutospacing="off" w:after="119" w:afterAutospacing="off" w:line="360" w:lineRule="auto"/>
        <w:ind/>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1090FC7" w:rsidR="43E71D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The evidence supporting Australia's upstream resource advantage is strengthened by GlobalData. According to its January 2025 report, Australia is the world's top mine producer with 6.2 million tonnes of lithium reserves in 2024, or 22.1% of the total worldwide. Although this scale offers safe feedstock, it does not create globally competitive lithium-hydroxide conversion capacity on its own (GlobalData 2025a).</w:t>
      </w:r>
    </w:p>
    <w:p w:rsidR="6C9A2BB4" w:rsidP="31090FC7" w:rsidRDefault="6C9A2BB4" w14:paraId="244D8034" w14:textId="68F1F4F9">
      <w:pPr>
        <w:spacing w:before="240" w:beforeAutospacing="off" w:after="119" w:afterAutospacing="off" w:line="360" w:lineRule="auto"/>
        <w:ind/>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1090FC7" w:rsidR="43E71D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The market picture is both appealing and dangerous at the same time. GlobalData predicts a 14.5% compound annual growth rate in lithium output, from 243.6 kilotonnes in 2024 to 548.5 kilotonnes in 2030. But it also projects a 28-kilotonne surplus in 2024 and prices that are more than 70% lower than their high in 2022, which will put greater pressure on Australian processors' costs during the present adjustment (GlobalData 2025a).</w:t>
      </w:r>
    </w:p>
    <w:p w:rsidR="6C9A2BB4" w:rsidP="31090FC7" w:rsidRDefault="6C9A2BB4" w14:paraId="632BA8B5" w14:textId="44298510">
      <w:pPr>
        <w:pStyle w:val="Normal"/>
        <w:spacing w:before="0" w:beforeAutospacing="off" w:after="0" w:afterAutospacing="off" w:line="276" w:lineRule="auto"/>
        <w:ind w:left="0"/>
        <w:jc w:val="both"/>
        <w:rPr>
          <w:b w:val="0"/>
          <w:bCs w:val="0"/>
          <w:noProof w:val="0"/>
          <w:lang w:val="en-GB"/>
        </w:rPr>
      </w:pPr>
      <w:r w:rsidRPr="31090FC7" w:rsidR="16BA1DA3">
        <w:rPr>
          <w:b w:val="0"/>
          <w:bCs w:val="0"/>
          <w:noProof w:val="0"/>
          <w:lang w:val="en-GB"/>
        </w:rPr>
        <w:t>Environmental, societal and geopolitical expectations also shape the sector. The policy places a strong emphasis on supply chain security, environmental management, by-product recovery, traceability, and First Nations engagement. These regulations increase expenses, but they might make Australian products stand out to clients looking for auditable non-Chinese supplies. Their commercial value depends on credible proof and procurement demand (Critical Minerals Office 2023; OECD 2023).</w:t>
      </w:r>
    </w:p>
    <w:p w:rsidR="0C93E33A" w:rsidP="31090FC7" w:rsidRDefault="0C93E33A" w14:paraId="0EB36A3E" w14:textId="39FB13BA">
      <w:pPr>
        <w:pStyle w:val="Normal"/>
        <w:spacing w:before="0" w:beforeAutospacing="off" w:after="0" w:afterAutospacing="off" w:line="276" w:lineRule="auto"/>
        <w:ind w:left="0"/>
        <w:jc w:val="left"/>
        <w:rPr>
          <w:rFonts w:ascii="Aptos" w:hAnsi="Aptos" w:eastAsia="Aptos" w:cs="Aptos"/>
          <w:b w:val="0"/>
          <w:bCs w:val="0"/>
          <w:noProof w:val="0"/>
          <w:sz w:val="24"/>
          <w:szCs w:val="24"/>
          <w:lang w:val="en-GB"/>
        </w:rPr>
      </w:pPr>
      <w:r w:rsidRPr="31090FC7" w:rsidR="20B24352">
        <w:rPr>
          <w:rFonts w:ascii="Aptos" w:hAnsi="Aptos" w:eastAsia="Aptos" w:cs="Aptos"/>
          <w:b w:val="0"/>
          <w:bCs w:val="0"/>
          <w:noProof w:val="0"/>
          <w:sz w:val="24"/>
          <w:szCs w:val="24"/>
          <w:lang w:val="en-GB"/>
        </w:rPr>
        <w:t>The national policy framework for increasing production, processing, and supply-chain capacity is provided by the Critical Minerals Strategy 2023–2030. It integrates financing, international collaborations, project facilitation, and initiatives meant to advance Australia along the value chain (Critical Minerals Office 2023). The policy orientation is encouraging, but public backing cannot substitute for technical performance: factories still need to achieve stable output, battery-grade requirements and internationally competitive unit costs.</w:t>
      </w:r>
    </w:p>
    <w:p w:rsidR="6C9A2BB4" w:rsidP="1A5F3DDE" w:rsidRDefault="6C9A2BB4" w14:paraId="2ACA151D" w14:textId="4A8AA135">
      <w:pPr>
        <w:pStyle w:val="Normal"/>
        <w:spacing w:before="0" w:beforeAutospacing="off" w:after="0" w:afterAutospacing="off" w:line="276" w:lineRule="auto"/>
        <w:ind w:left="0"/>
        <w:jc w:val="left"/>
        <w:rPr>
          <w:rFonts w:ascii="Aptos" w:hAnsi="Aptos" w:eastAsia="Aptos" w:cs="Aptos"/>
          <w:b w:val="0"/>
          <w:bCs w:val="0"/>
          <w:noProof w:val="0"/>
          <w:sz w:val="24"/>
          <w:szCs w:val="24"/>
          <w:lang w:val="en-GB"/>
        </w:rPr>
      </w:pPr>
    </w:p>
    <w:p w:rsidR="6C9A2BB4" w:rsidP="1A5F3DDE" w:rsidRDefault="6C9A2BB4" w14:paraId="3A3D3018" w14:textId="0B88F746">
      <w:pPr>
        <w:spacing w:before="240" w:beforeAutospacing="off" w:after="198" w:afterAutospacing="off" w:line="276" w:lineRule="auto"/>
        <w:jc w:val="left"/>
      </w:pPr>
    </w:p>
    <w:p w:rsidR="6C9A2BB4" w:rsidP="31090FC7" w:rsidRDefault="6C9A2BB4" w14:paraId="5671F3F8" w14:textId="00513224">
      <w:pPr>
        <w:spacing w:before="240" w:beforeAutospacing="off" w:after="119" w:afterAutospacing="off" w:line="360" w:lineRule="auto"/>
        <w:ind/>
        <w:jc w:val="both"/>
        <w:rPr>
          <w:rFonts w:ascii="Arial" w:hAnsi="Arial" w:eastAsia="Arial" w:cs="Arial"/>
          <w:b w:val="0"/>
          <w:bCs w:val="0"/>
          <w:noProof w:val="0"/>
          <w:color w:val="000000" w:themeColor="text1" w:themeTint="FF" w:themeShade="FF"/>
          <w:sz w:val="24"/>
          <w:szCs w:val="24"/>
          <w:lang w:val="en-GB"/>
        </w:rPr>
      </w:pPr>
      <w:r w:rsidRPr="31090FC7" w:rsidR="20B24352">
        <w:rPr>
          <w:rFonts w:ascii="Arial" w:hAnsi="Arial" w:eastAsia="Arial" w:cs="Arial"/>
          <w:b w:val="0"/>
          <w:bCs w:val="0"/>
          <w:noProof w:val="0"/>
          <w:color w:val="000000" w:themeColor="text1" w:themeTint="FF" w:themeShade="FF"/>
          <w:sz w:val="24"/>
          <w:szCs w:val="24"/>
          <w:lang w:val="en-GB"/>
        </w:rPr>
        <w:t>Figure 1. Simplified critical-minerals value chain from extraction to higher-value products. Source: author's synthesis based on Critical Minerals Office (2023) and Department of Jobs, Tourism, Science and Innovation (2024).</w:t>
      </w:r>
    </w:p>
    <w:p w:rsidR="6C9A2BB4" w:rsidP="0909F6A8" w:rsidRDefault="6C9A2BB4" w14:paraId="45771DAC" w14:textId="1D3719D0">
      <w:pPr>
        <w:pStyle w:val="Normal"/>
        <w:spacing w:before="0" w:beforeAutospacing="off" w:after="0" w:afterAutospacing="off" w:line="276" w:lineRule="auto"/>
        <w:ind w:left="0"/>
        <w:jc w:val="left"/>
        <w:rPr>
          <w:rFonts w:ascii="Aptos" w:hAnsi="Aptos" w:eastAsia="Aptos" w:cs="Aptos"/>
          <w:noProof w:val="0"/>
          <w:sz w:val="24"/>
          <w:szCs w:val="24"/>
          <w:lang w:val="en-GB"/>
        </w:rPr>
      </w:pPr>
    </w:p>
    <w:p w:rsidR="6C9A2BB4" w:rsidP="31090FC7" w:rsidRDefault="6C9A2BB4" w14:paraId="6B6C7D8D" w14:textId="2035B041">
      <w:pPr>
        <w:pStyle w:val="Normal"/>
        <w:bidi w:val="0"/>
        <w:spacing w:before="240" w:beforeAutospacing="off" w:after="198" w:afterAutospacing="off" w:line="276" w:lineRule="auto"/>
        <w:jc w:val="left"/>
        <w:rPr>
          <w:rFonts w:ascii="Aptos" w:hAnsi="Aptos" w:eastAsia="Aptos" w:cs="Aptos" w:asciiTheme="minorAscii" w:hAnsiTheme="minorAscii" w:eastAsiaTheme="minorAscii" w:cstheme="minorAscii"/>
          <w:b w:val="1"/>
          <w:bCs w:val="1"/>
        </w:rPr>
      </w:pPr>
      <w:r w:rsidR="4C78D2A6">
        <w:drawing>
          <wp:inline wp14:editId="0F44A298" wp14:anchorId="3AB4EBEA">
            <wp:extent cx="5724525" cy="1743075"/>
            <wp:effectExtent l="0" t="0" r="0" b="0"/>
            <wp:docPr id="217078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707893" name="Picture 21707893"/>
                    <pic:cNvPicPr/>
                  </pic:nvPicPr>
                  <pic:blipFill>
                    <a:blip xmlns:r="http://schemas.openxmlformats.org/officeDocument/2006/relationships" r:embed="rId1382298176">
                      <a:extLst>
                        <a:ext uri="{28A0092B-C50C-407E-A947-70E740481C1C}">
                          <a14:useLocalDpi xmlns:a14="http://schemas.microsoft.com/office/drawing/2010/main"/>
                        </a:ext>
                      </a:extLst>
                    </a:blip>
                    <a:stretch>
                      <a:fillRect/>
                    </a:stretch>
                  </pic:blipFill>
                  <pic:spPr>
                    <a:xfrm>
                      <a:off x="0" y="0"/>
                      <a:ext cx="5724525" cy="1743075"/>
                    </a:xfrm>
                    <a:prstGeom prst="rect">
                      <a:avLst/>
                    </a:prstGeom>
                  </pic:spPr>
                </pic:pic>
              </a:graphicData>
            </a:graphic>
          </wp:inline>
        </w:drawing>
      </w:r>
    </w:p>
    <w:p w:rsidR="6C9A2BB4" w:rsidP="31090FC7" w:rsidRDefault="6C9A2BB4" w14:paraId="2FA0670F" w14:textId="1BDAE87C">
      <w:pPr>
        <w:pStyle w:val="Normal"/>
        <w:bidi w:val="0"/>
        <w:spacing w:before="238" w:beforeAutospacing="off" w:after="119" w:afterAutospacing="off" w:line="360" w:lineRule="auto"/>
        <w:ind/>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31090FC7" w:rsidR="5779B2B7">
        <w:rPr>
          <w:rFonts w:ascii="Aptos" w:hAnsi="Aptos" w:eastAsia="Aptos" w:cs="Aptos" w:asciiTheme="minorAscii" w:hAnsiTheme="minorAscii" w:eastAsiaTheme="minorAscii" w:cstheme="minorAscii"/>
          <w:b w:val="0"/>
          <w:bCs w:val="0"/>
          <w:noProof w:val="0"/>
          <w:sz w:val="24"/>
          <w:szCs w:val="24"/>
          <w:lang w:val="en-GB"/>
        </w:rPr>
        <w:t xml:space="preserve"> </w:t>
      </w:r>
      <w:r w:rsidRPr="31090FC7" w:rsidR="14D0A36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Figure 1 shows that Australia's established strength lies in mining and concentration, while the greatest capability gaps appear in chemical conversion, component manufacturing and final products. The remainder of the report therefore describes the industry's scale and participants before evaluating processing competitiveness and Tianqi Lithium's Australian operations, in line with the assessment brief.</w:t>
      </w:r>
    </w:p>
    <w:p w:rsidR="6C9A2BB4" w:rsidP="0909F6A8" w:rsidRDefault="6C9A2BB4" w14:paraId="474A65CF" w14:textId="583C80FC">
      <w:pPr>
        <w:pStyle w:val="Normal"/>
        <w:bidi w:val="0"/>
        <w:spacing w:before="240" w:beforeAutospacing="off" w:after="198" w:afterAutospacing="off" w:line="276" w:lineRule="auto"/>
        <w:ind w:left="0"/>
        <w:jc w:val="left"/>
        <w:rPr>
          <w:rFonts w:ascii="Aptos" w:hAnsi="Aptos" w:eastAsia="Aptos" w:cs="Aptos"/>
          <w:noProof w:val="0"/>
          <w:sz w:val="24"/>
          <w:szCs w:val="24"/>
          <w:lang w:val="en-GB"/>
        </w:rPr>
      </w:pPr>
    </w:p>
    <w:p w:rsidR="1A5F3DDE" w:rsidP="1A5F3DDE" w:rsidRDefault="1A5F3DDE" w14:paraId="7B7D3E29" w14:textId="1ACF385D">
      <w:pPr>
        <w:pStyle w:val="Normal"/>
        <w:bidi w:val="0"/>
        <w:spacing w:before="240" w:beforeAutospacing="off" w:after="198" w:afterAutospacing="off" w:line="276" w:lineRule="auto"/>
        <w:ind w:left="0"/>
        <w:jc w:val="left"/>
        <w:rPr>
          <w:rFonts w:ascii="Aptos" w:hAnsi="Aptos" w:eastAsia="Aptos" w:cs="Aptos"/>
          <w:noProof w:val="0"/>
          <w:sz w:val="24"/>
          <w:szCs w:val="24"/>
          <w:lang w:val="en-GB"/>
        </w:rPr>
      </w:pPr>
    </w:p>
    <w:p w:rsidR="1A5F3DDE" w:rsidP="1A5F3DDE" w:rsidRDefault="1A5F3DDE" w14:paraId="3DCFFD8B" w14:textId="7B28FF7D">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41AEE3BB" w14:textId="1C4119EB">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6B5BD225" w14:textId="777907A5">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62A72C87" w14:textId="68F8F8EE">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31090FC7" w:rsidP="31090FC7" w:rsidRDefault="31090FC7" w14:paraId="3CA09F18" w14:textId="343E8DC5">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31090FC7" w:rsidP="31090FC7" w:rsidRDefault="31090FC7" w14:paraId="19A4FD93" w14:textId="2ADDF5EF">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31090FC7" w:rsidP="31090FC7" w:rsidRDefault="31090FC7" w14:paraId="34DDBD31" w14:textId="723E6E81">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31090FC7" w:rsidP="31090FC7" w:rsidRDefault="31090FC7" w14:paraId="059E9936" w14:textId="0BD1B666">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1A5F3DDE" w:rsidP="1A5F3DDE" w:rsidRDefault="1A5F3DDE" w14:paraId="4EEA170A" w14:textId="2067ECC9">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p>
    <w:p w:rsidR="26C90932" w:rsidP="1A5F3DDE" w:rsidRDefault="26C90932" w14:paraId="71E0CBDE" w14:textId="306E2EDC">
      <w:pPr>
        <w:pStyle w:val="Normal"/>
        <w:bidi w:val="0"/>
        <w:spacing w:before="240" w:beforeAutospacing="off" w:after="198" w:afterAutospacing="off" w:line="276" w:lineRule="auto"/>
        <w:ind w:left="0"/>
        <w:jc w:val="left"/>
        <w:rPr>
          <w:rFonts w:ascii="Aptos" w:hAnsi="Aptos" w:eastAsia="Aptos" w:cs="Aptos"/>
          <w:b w:val="1"/>
          <w:bCs w:val="1"/>
          <w:noProof w:val="0"/>
          <w:sz w:val="24"/>
          <w:szCs w:val="24"/>
          <w:lang w:val="en-GB"/>
        </w:rPr>
      </w:pPr>
      <w:r w:rsidRPr="0909F6A8" w:rsidR="4EC8175A">
        <w:rPr>
          <w:rFonts w:ascii="Aptos" w:hAnsi="Aptos" w:eastAsia="Aptos" w:cs="Aptos"/>
          <w:b w:val="1"/>
          <w:bCs w:val="1"/>
          <w:noProof w:val="0"/>
          <w:sz w:val="24"/>
          <w:szCs w:val="24"/>
          <w:lang w:val="en-GB"/>
        </w:rPr>
        <w:t xml:space="preserve">2.2 Size, </w:t>
      </w:r>
      <w:r w:rsidRPr="0909F6A8" w:rsidR="4EC8175A">
        <w:rPr>
          <w:rFonts w:ascii="Aptos" w:hAnsi="Aptos" w:eastAsia="Aptos" w:cs="Aptos"/>
          <w:b w:val="1"/>
          <w:bCs w:val="1"/>
          <w:noProof w:val="0"/>
          <w:sz w:val="24"/>
          <w:szCs w:val="24"/>
          <w:lang w:val="en-GB"/>
        </w:rPr>
        <w:t>scope</w:t>
      </w:r>
      <w:r w:rsidRPr="0909F6A8" w:rsidR="4EC8175A">
        <w:rPr>
          <w:rFonts w:ascii="Aptos" w:hAnsi="Aptos" w:eastAsia="Aptos" w:cs="Aptos"/>
          <w:b w:val="1"/>
          <w:bCs w:val="1"/>
          <w:noProof w:val="0"/>
          <w:sz w:val="24"/>
          <w:szCs w:val="24"/>
          <w:lang w:val="en-GB"/>
        </w:rPr>
        <w:t xml:space="preserve"> and economic importance of the industry</w:t>
      </w:r>
    </w:p>
    <w:p w:rsidR="085E6AFA" w:rsidP="31090FC7" w:rsidRDefault="085E6AFA" w14:paraId="32CCDD7E" w14:textId="071CFEE2">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r w:rsidRPr="31090FC7" w:rsidR="7CBBF15E">
        <w:rPr>
          <w:rFonts w:ascii="Aptos" w:hAnsi="Aptos" w:eastAsia="Aptos" w:cs="Aptos"/>
          <w:b w:val="0"/>
          <w:bCs w:val="0"/>
          <w:noProof w:val="0"/>
          <w:sz w:val="24"/>
          <w:szCs w:val="24"/>
          <w:lang w:val="en-GB"/>
        </w:rPr>
        <w:t>Australia has a substantial economic position in the lithium industry. According to GlobalData, mine output will reach 112.5 kilotonnes in 2024—a 30.7% yearly rise and roughly 46.2% of global production. Australia's output is expected to reach 146.0 kilotonnes by 2030, but as Argentina, Canada, the United States, and other producers grow faster, Australia's world share may drop to 26.6%. Strong absolute growth and growing international competition are confirmed by this (GlobalData 2025a).</w:t>
      </w:r>
    </w:p>
    <w:p w:rsidR="085E6AFA" w:rsidP="31090FC7" w:rsidRDefault="085E6AFA" w14:paraId="1EF1DFB6" w14:textId="08D75FA5">
      <w:pPr>
        <w:pStyle w:val="Normal"/>
        <w:bidi w:val="0"/>
        <w:spacing w:before="240" w:beforeAutospacing="off" w:after="198" w:afterAutospacing="off" w:line="276" w:lineRule="auto"/>
        <w:ind w:left="0"/>
        <w:jc w:val="both"/>
        <w:rPr>
          <w:rFonts w:ascii="Aptos" w:hAnsi="Aptos" w:eastAsia="Aptos" w:cs="Aptos"/>
          <w:b w:val="1"/>
          <w:bCs w:val="1"/>
          <w:i w:val="0"/>
          <w:iCs w:val="0"/>
          <w:noProof w:val="0"/>
          <w:sz w:val="24"/>
          <w:szCs w:val="24"/>
          <w:lang w:val="en-GB"/>
        </w:rPr>
      </w:pPr>
      <w:r w:rsidRPr="31090FC7" w:rsidR="7CBBF15E">
        <w:rPr>
          <w:rFonts w:ascii="Aptos" w:hAnsi="Aptos" w:eastAsia="Aptos" w:cs="Aptos"/>
          <w:b w:val="0"/>
          <w:bCs w:val="0"/>
          <w:i w:val="0"/>
          <w:iCs w:val="0"/>
          <w:noProof w:val="0"/>
          <w:sz w:val="24"/>
          <w:szCs w:val="24"/>
          <w:lang w:val="en-GB"/>
        </w:rPr>
        <w:t>Figure 2: Mining and essential minerals snapshot for Australia in 2023–2024. Sources: Department of Industry, Science and Resources (2024) and Geoscience Australia (2025).</w:t>
      </w:r>
    </w:p>
    <w:p w:rsidR="7F3758CF" w:rsidP="1A5F3DDE" w:rsidRDefault="7F3758CF" w14:paraId="4270AD9F" w14:textId="2A0AB249">
      <w:pPr>
        <w:pStyle w:val="Normal"/>
        <w:bidi w:val="0"/>
        <w:spacing w:before="240" w:beforeAutospacing="off" w:after="198" w:afterAutospacing="off" w:line="276" w:lineRule="auto"/>
        <w:ind w:left="0"/>
        <w:jc w:val="left"/>
      </w:pPr>
      <w:r w:rsidR="7F3758CF">
        <w:drawing>
          <wp:inline wp14:editId="59C76FAB" wp14:anchorId="55E4BB23">
            <wp:extent cx="5724525" cy="3743325"/>
            <wp:effectExtent l="0" t="0" r="0" b="0"/>
            <wp:docPr id="17234937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3493793" name="Picture 1723493793"/>
                    <pic:cNvPicPr/>
                  </pic:nvPicPr>
                  <pic:blipFill>
                    <a:blip xmlns:r="http://schemas.openxmlformats.org/officeDocument/2006/relationships" r:embed="rId253622136">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p>
    <w:p w:rsidR="1A5F3DDE" w:rsidP="31090FC7" w:rsidRDefault="1A5F3DDE" w14:paraId="2AC6B568" w14:textId="58E3196F">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r w:rsidRPr="31090FC7" w:rsidR="74FF0EEC">
        <w:rPr>
          <w:rFonts w:ascii="Aptos" w:hAnsi="Aptos" w:eastAsia="Aptos" w:cs="Aptos"/>
          <w:b w:val="0"/>
          <w:bCs w:val="0"/>
          <w:noProof w:val="0"/>
          <w:sz w:val="24"/>
          <w:szCs w:val="24"/>
          <w:lang w:val="en-GB"/>
        </w:rPr>
        <w:t>Critical minerals are positioned within Australia's broader mining economy in the snapshot. The project pipeline reveals ongoing investment interest, and it displays the sector's contribution to GDP, employment, and export revenues. However, mining-wide totals are not a direct indicator of the value of the downstream industry; rather, they give national context and should not be reported as though they were produced exclusively by critical-minerals processing.</w:t>
      </w:r>
    </w:p>
    <w:p w:rsidR="38414C8D" w:rsidP="31090FC7" w:rsidRDefault="38414C8D" w14:paraId="2A71B31E" w14:textId="251D0CB5">
      <w:pPr>
        <w:pStyle w:val="Normal"/>
        <w:bidi w:val="0"/>
        <w:spacing w:before="240" w:beforeAutospacing="off" w:after="198" w:afterAutospacing="off" w:line="276" w:lineRule="auto"/>
        <w:ind w:left="0"/>
        <w:jc w:val="left"/>
        <w:rPr>
          <w:rFonts w:ascii="Aptos" w:hAnsi="Aptos" w:eastAsia="Aptos" w:cs="Aptos"/>
          <w:b w:val="0"/>
          <w:bCs w:val="0"/>
          <w:noProof w:val="0"/>
          <w:sz w:val="24"/>
          <w:szCs w:val="24"/>
          <w:lang w:val="en-GB"/>
        </w:rPr>
      </w:pPr>
      <w:r w:rsidRPr="31090FC7" w:rsidR="74FF0EEC">
        <w:rPr>
          <w:rFonts w:ascii="Aptos" w:hAnsi="Aptos" w:eastAsia="Aptos" w:cs="Aptos"/>
          <w:b w:val="0"/>
          <w:bCs w:val="0"/>
          <w:noProof w:val="0"/>
          <w:sz w:val="24"/>
          <w:szCs w:val="24"/>
          <w:lang w:val="en-GB"/>
        </w:rPr>
        <w:t>The industry's significance is further reinforced by the investment pipeline. As of October 31, 2024, the Department of Industry, Science, and Resources (2024) has identified 117 critical-minerals projects, including six completed projects and around A$20 billion in later-stage projected investment. The projected investment,</w:t>
      </w:r>
      <w:r w:rsidRPr="31090FC7" w:rsidR="74FF0EEC">
        <w:rPr>
          <w:rFonts w:ascii="Aptos" w:hAnsi="Aptos" w:eastAsia="Aptos" w:cs="Aptos"/>
          <w:b w:val="1"/>
          <w:bCs w:val="1"/>
          <w:noProof w:val="0"/>
          <w:sz w:val="24"/>
          <w:szCs w:val="24"/>
          <w:lang w:val="en-GB"/>
        </w:rPr>
        <w:t xml:space="preserve"> however, is </w:t>
      </w:r>
      <w:r w:rsidRPr="31090FC7" w:rsidR="74FF0EEC">
        <w:rPr>
          <w:rFonts w:ascii="Aptos" w:hAnsi="Aptos" w:eastAsia="Aptos" w:cs="Aptos"/>
          <w:b w:val="0"/>
          <w:bCs w:val="0"/>
          <w:noProof w:val="0"/>
          <w:sz w:val="24"/>
          <w:szCs w:val="24"/>
          <w:lang w:val="en-GB"/>
        </w:rPr>
        <w:t>not committed capital; delivery is still subject to construction risk, financing, permissions, commodity pricing, and customer qualification.</w:t>
      </w:r>
    </w:p>
    <w:p w:rsidR="3F62FFC0" w:rsidP="31090FC7" w:rsidRDefault="3F62FFC0" w14:paraId="6C8DC6FE" w14:textId="65B944FB">
      <w:pPr>
        <w:pStyle w:val="Normal"/>
        <w:bidi w:val="0"/>
        <w:spacing w:before="240" w:beforeAutospacing="off" w:after="198" w:afterAutospacing="off" w:line="276" w:lineRule="auto"/>
        <w:ind w:left="0"/>
        <w:jc w:val="left"/>
        <w:rPr>
          <w:rFonts w:ascii="Aptos" w:hAnsi="Aptos" w:eastAsia="Aptos" w:cs="Aptos"/>
          <w:b w:val="0"/>
          <w:bCs w:val="0"/>
          <w:noProof w:val="0"/>
          <w:sz w:val="24"/>
          <w:szCs w:val="24"/>
          <w:lang w:val="en-GB"/>
        </w:rPr>
      </w:pPr>
      <w:r w:rsidRPr="31090FC7" w:rsidR="3209A3F0">
        <w:rPr>
          <w:rFonts w:ascii="Aptos" w:hAnsi="Aptos" w:eastAsia="Aptos" w:cs="Aptos"/>
          <w:b w:val="0"/>
          <w:bCs w:val="0"/>
          <w:noProof w:val="0"/>
          <w:sz w:val="24"/>
          <w:szCs w:val="24"/>
          <w:lang w:val="en-GB"/>
        </w:rPr>
        <w:t xml:space="preserve">The primary processing </w:t>
      </w:r>
      <w:r w:rsidRPr="31090FC7" w:rsidR="13EDAFAC">
        <w:rPr>
          <w:rFonts w:ascii="Aptos" w:hAnsi="Aptos" w:eastAsia="Aptos" w:cs="Aptos"/>
          <w:b w:val="0"/>
          <w:bCs w:val="0"/>
          <w:noProof w:val="0"/>
          <w:sz w:val="24"/>
          <w:szCs w:val="24"/>
          <w:lang w:val="en-GB"/>
        </w:rPr>
        <w:t>centre</w:t>
      </w:r>
      <w:r w:rsidRPr="31090FC7" w:rsidR="3209A3F0">
        <w:rPr>
          <w:rFonts w:ascii="Aptos" w:hAnsi="Aptos" w:eastAsia="Aptos" w:cs="Aptos"/>
          <w:b w:val="0"/>
          <w:bCs w:val="0"/>
          <w:noProof w:val="0"/>
          <w:sz w:val="24"/>
          <w:szCs w:val="24"/>
          <w:lang w:val="en-GB"/>
        </w:rPr>
        <w:t xml:space="preserve"> for the sector is Western Australia. According to the WA Government, lithium hydroxide and nickel sulphate refineries </w:t>
      </w:r>
      <w:r w:rsidRPr="31090FC7" w:rsidR="3209A3F0">
        <w:rPr>
          <w:rFonts w:ascii="Aptos" w:hAnsi="Aptos" w:eastAsia="Aptos" w:cs="Aptos"/>
          <w:b w:val="0"/>
          <w:bCs w:val="0"/>
          <w:noProof w:val="0"/>
          <w:sz w:val="24"/>
          <w:szCs w:val="24"/>
          <w:lang w:val="en-GB"/>
        </w:rPr>
        <w:t>are located in</w:t>
      </w:r>
      <w:r w:rsidRPr="31090FC7" w:rsidR="3209A3F0">
        <w:rPr>
          <w:rFonts w:ascii="Aptos" w:hAnsi="Aptos" w:eastAsia="Aptos" w:cs="Aptos"/>
          <w:b w:val="0"/>
          <w:bCs w:val="0"/>
          <w:noProof w:val="0"/>
          <w:sz w:val="24"/>
          <w:szCs w:val="24"/>
          <w:lang w:val="en-GB"/>
        </w:rPr>
        <w:t xml:space="preserve"> the Kwinana Strategic Industrial Area near Perth, while lithium hydroxide is processed in the Kemerton Strategic Industrial Area near Bunbury. Energy, water, chemical handling systems, port access, trained labour, waste management, and industrial co-location are all necessary for processing, which makes these hubs crucial</w:t>
      </w:r>
      <w:r w:rsidRPr="31090FC7" w:rsidR="3F30F07A">
        <w:rPr>
          <w:rFonts w:ascii="Aptos" w:hAnsi="Aptos" w:eastAsia="Aptos" w:cs="Aptos"/>
          <w:b w:val="0"/>
          <w:bCs w:val="0"/>
          <w:noProof w:val="0"/>
          <w:sz w:val="24"/>
          <w:szCs w:val="24"/>
          <w:lang w:val="en-GB"/>
        </w:rPr>
        <w:t xml:space="preserve"> (Department of Jobs, Tourism, </w:t>
      </w:r>
      <w:r w:rsidRPr="31090FC7" w:rsidR="3F30F07A">
        <w:rPr>
          <w:rFonts w:ascii="Aptos" w:hAnsi="Aptos" w:eastAsia="Aptos" w:cs="Aptos"/>
          <w:b w:val="0"/>
          <w:bCs w:val="0"/>
          <w:noProof w:val="0"/>
          <w:sz w:val="24"/>
          <w:szCs w:val="24"/>
          <w:lang w:val="en-GB"/>
        </w:rPr>
        <w:t>Science</w:t>
      </w:r>
      <w:r w:rsidRPr="31090FC7" w:rsidR="3F30F07A">
        <w:rPr>
          <w:rFonts w:ascii="Aptos" w:hAnsi="Aptos" w:eastAsia="Aptos" w:cs="Aptos"/>
          <w:b w:val="0"/>
          <w:bCs w:val="0"/>
          <w:noProof w:val="0"/>
          <w:sz w:val="24"/>
          <w:szCs w:val="24"/>
          <w:lang w:val="en-GB"/>
        </w:rPr>
        <w:t xml:space="preserve"> and Innovation 2024).</w:t>
      </w:r>
    </w:p>
    <w:p w:rsidR="1EBCF505" w:rsidP="1EBCF505" w:rsidRDefault="1EBCF505" w14:paraId="1BF29135" w14:textId="3A062849">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641E9FFA" w14:textId="00731B68">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33CDDAC8" w14:textId="0319F968">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0158E886" w14:textId="1A093CCC">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08CE672B" w14:textId="173FB21B">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908851C" w14:textId="3F3A13D2">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21008F8F" w14:textId="72D63A35">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35DBE205" w14:textId="5E73972E">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1DF90CC1" w14:textId="0124E284">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745D0069" w14:textId="2EF5FD34">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9F0CD2D" w14:textId="0249C9D6">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2A4A9AF8" w14:textId="63FD7318">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F802282" w14:textId="65D997A4">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44724486" w14:textId="0656550F">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100F1823" w14:textId="6E5ACFA5">
      <w:pPr>
        <w:pStyle w:val="Normal"/>
        <w:bidi w:val="0"/>
        <w:spacing w:before="240" w:beforeAutospacing="off" w:after="198" w:afterAutospacing="off" w:line="276" w:lineRule="auto"/>
        <w:ind w:left="0"/>
        <w:jc w:val="both"/>
        <w:rPr>
          <w:rFonts w:ascii="Aptos" w:hAnsi="Aptos" w:eastAsia="Aptos" w:cs="Aptos"/>
          <w:b w:val="0"/>
          <w:bCs w:val="0"/>
          <w:noProof w:val="0"/>
          <w:sz w:val="24"/>
          <w:szCs w:val="24"/>
          <w:lang w:val="en-GB"/>
        </w:rPr>
      </w:pPr>
    </w:p>
    <w:p w:rsidR="1EBCF505" w:rsidP="1EBCF505" w:rsidRDefault="1EBCF505" w14:paraId="3C4C1280" w14:textId="5C281926">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28102773" w14:textId="6547D771">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2F01AA04" w14:textId="548569BC">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1EBCF505" w:rsidP="1EBCF505" w:rsidRDefault="1EBCF505" w14:paraId="3A9CE521" w14:textId="1FD56370">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p>
    <w:p w:rsidR="2165BF8F" w:rsidP="1EBCF505" w:rsidRDefault="2165BF8F" w14:paraId="322C782F" w14:textId="20A1E95A">
      <w:pPr>
        <w:pStyle w:val="Normal"/>
        <w:bidi w:val="0"/>
        <w:spacing w:before="240" w:beforeAutospacing="off" w:after="198" w:afterAutospacing="off" w:line="276" w:lineRule="auto"/>
        <w:ind w:left="0"/>
        <w:jc w:val="both"/>
        <w:rPr>
          <w:rFonts w:ascii="Aptos" w:hAnsi="Aptos" w:eastAsia="Aptos" w:cs="Aptos"/>
          <w:b w:val="1"/>
          <w:bCs w:val="1"/>
          <w:noProof w:val="0"/>
          <w:sz w:val="24"/>
          <w:szCs w:val="24"/>
          <w:lang w:val="en-GB"/>
        </w:rPr>
      </w:pPr>
      <w:r w:rsidRPr="0909F6A8" w:rsidR="19DA690F">
        <w:rPr>
          <w:rFonts w:ascii="Aptos" w:hAnsi="Aptos" w:eastAsia="Aptos" w:cs="Aptos"/>
          <w:b w:val="1"/>
          <w:bCs w:val="1"/>
          <w:noProof w:val="0"/>
          <w:sz w:val="24"/>
          <w:szCs w:val="24"/>
          <w:lang w:val="en-GB"/>
        </w:rPr>
        <w:t>2.3 Major domestic and multinational firms</w:t>
      </w:r>
    </w:p>
    <w:p w:rsidR="3C5D3213" w:rsidP="31090FC7" w:rsidRDefault="3C5D3213" w14:paraId="4845266B" w14:textId="3035A477">
      <w:pPr>
        <w:pStyle w:val="Normal"/>
        <w:bidi w:val="0"/>
        <w:spacing w:before="240" w:beforeAutospacing="off" w:after="198" w:afterAutospacing="off" w:line="276" w:lineRule="auto"/>
        <w:ind w:left="0"/>
        <w:jc w:val="both"/>
        <w:rPr>
          <w:rFonts w:ascii="Aptos" w:hAnsi="Aptos" w:eastAsia="Aptos" w:cs="Aptos" w:asciiTheme="minorAscii" w:hAnsiTheme="minorAscii" w:eastAsiaTheme="minorAscii" w:cstheme="minorAscii"/>
          <w:b w:val="0"/>
          <w:bCs w:val="0"/>
          <w:noProof w:val="0"/>
          <w:sz w:val="24"/>
          <w:szCs w:val="24"/>
          <w:lang w:val="en-GB"/>
        </w:rPr>
      </w:pPr>
      <w:r w:rsidRPr="31090FC7" w:rsidR="4E7A44F6">
        <w:rPr>
          <w:rFonts w:ascii="Aptos" w:hAnsi="Aptos" w:eastAsia="Aptos" w:cs="Aptos" w:asciiTheme="minorAscii" w:hAnsiTheme="minorAscii" w:eastAsiaTheme="minorAscii" w:cstheme="minorAscii"/>
          <w:b w:val="0"/>
          <w:bCs w:val="0"/>
          <w:noProof w:val="0"/>
          <w:sz w:val="24"/>
          <w:szCs w:val="24"/>
          <w:lang w:val="en-GB"/>
        </w:rPr>
        <w:t>Different roles</w:t>
      </w:r>
      <w:r w:rsidRPr="31090FC7" w:rsidR="4E7A44F6">
        <w:rPr>
          <w:rFonts w:ascii="Aptos" w:hAnsi="Aptos" w:eastAsia="Aptos" w:cs="Aptos" w:asciiTheme="minorAscii" w:hAnsiTheme="minorAscii" w:eastAsiaTheme="minorAscii" w:cstheme="minorAscii"/>
          <w:b w:val="0"/>
          <w:bCs w:val="0"/>
          <w:noProof w:val="0"/>
          <w:sz w:val="24"/>
          <w:szCs w:val="24"/>
          <w:lang w:val="en-GB"/>
        </w:rPr>
        <w:t xml:space="preserve"> are held by domestic and international businesses. Outside of China, Lynas uses an integrated mine-and-separation concept. The government-backed Eneabba refinery in Iluka is built to handle 23,000 tonnes of total rare-earth oxides per year, which includes 750 tonnes of Dy/Tb oxide and 5.5 </w:t>
      </w:r>
      <w:r w:rsidRPr="31090FC7" w:rsidR="4E7A44F6">
        <w:rPr>
          <w:rFonts w:ascii="Aptos" w:hAnsi="Aptos" w:eastAsia="Aptos" w:cs="Aptos" w:asciiTheme="minorAscii" w:hAnsiTheme="minorAscii" w:eastAsiaTheme="minorAscii" w:cstheme="minorAscii"/>
          <w:b w:val="0"/>
          <w:bCs w:val="0"/>
          <w:noProof w:val="0"/>
          <w:sz w:val="24"/>
          <w:szCs w:val="24"/>
          <w:lang w:val="en-GB"/>
        </w:rPr>
        <w:t>kilotonnes</w:t>
      </w:r>
      <w:r w:rsidRPr="31090FC7" w:rsidR="4E7A44F6">
        <w:rPr>
          <w:rFonts w:ascii="Aptos" w:hAnsi="Aptos" w:eastAsia="Aptos" w:cs="Aptos" w:asciiTheme="minorAscii" w:hAnsiTheme="minorAscii" w:eastAsiaTheme="minorAscii" w:cstheme="minorAscii"/>
          <w:b w:val="0"/>
          <w:bCs w:val="0"/>
          <w:noProof w:val="0"/>
          <w:sz w:val="24"/>
          <w:szCs w:val="24"/>
          <w:lang w:val="en-GB"/>
        </w:rPr>
        <w:t xml:space="preserve"> of </w:t>
      </w:r>
      <w:r w:rsidRPr="31090FC7" w:rsidR="4E7A44F6">
        <w:rPr>
          <w:rFonts w:ascii="Aptos" w:hAnsi="Aptos" w:eastAsia="Aptos" w:cs="Aptos" w:asciiTheme="minorAscii" w:hAnsiTheme="minorAscii" w:eastAsiaTheme="minorAscii" w:cstheme="minorAscii"/>
          <w:b w:val="0"/>
          <w:bCs w:val="0"/>
          <w:noProof w:val="0"/>
          <w:sz w:val="24"/>
          <w:szCs w:val="24"/>
          <w:lang w:val="en-GB"/>
        </w:rPr>
        <w:t>NdPr</w:t>
      </w:r>
      <w:r w:rsidRPr="31090FC7" w:rsidR="4E7A44F6">
        <w:rPr>
          <w:rFonts w:ascii="Aptos" w:hAnsi="Aptos" w:eastAsia="Aptos" w:cs="Aptos" w:asciiTheme="minorAscii" w:hAnsiTheme="minorAscii" w:eastAsiaTheme="minorAscii" w:cstheme="minorAscii"/>
          <w:b w:val="0"/>
          <w:bCs w:val="0"/>
          <w:noProof w:val="0"/>
          <w:sz w:val="24"/>
          <w:szCs w:val="24"/>
          <w:lang w:val="en-GB"/>
        </w:rPr>
        <w:t xml:space="preserve"> oxide. 4,440 tonnes of </w:t>
      </w:r>
      <w:r w:rsidRPr="31090FC7" w:rsidR="4E7A44F6">
        <w:rPr>
          <w:rFonts w:ascii="Aptos" w:hAnsi="Aptos" w:eastAsia="Aptos" w:cs="Aptos" w:asciiTheme="minorAscii" w:hAnsiTheme="minorAscii" w:eastAsiaTheme="minorAscii" w:cstheme="minorAscii"/>
          <w:b w:val="0"/>
          <w:bCs w:val="0"/>
          <w:noProof w:val="0"/>
          <w:sz w:val="24"/>
          <w:szCs w:val="24"/>
          <w:lang w:val="en-GB"/>
        </w:rPr>
        <w:t>NdPr</w:t>
      </w:r>
      <w:r w:rsidRPr="31090FC7" w:rsidR="4E7A44F6">
        <w:rPr>
          <w:rFonts w:ascii="Aptos" w:hAnsi="Aptos" w:eastAsia="Aptos" w:cs="Aptos" w:asciiTheme="minorAscii" w:hAnsiTheme="minorAscii" w:eastAsiaTheme="minorAscii" w:cstheme="minorAscii"/>
          <w:b w:val="0"/>
          <w:bCs w:val="0"/>
          <w:noProof w:val="0"/>
          <w:sz w:val="24"/>
          <w:szCs w:val="24"/>
          <w:lang w:val="en-GB"/>
        </w:rPr>
        <w:t xml:space="preserve"> oxide annually are the goal of Arafura's Nolans project (Lynas Rare Earths Limited 2025; Iluka Resources 2026; Arafura Rare Earths 2026 ).</w:t>
      </w:r>
    </w:p>
    <w:p w:rsidR="3C5D3213" w:rsidP="31090FC7" w:rsidRDefault="3C5D3213" w14:paraId="406730EB" w14:textId="672736D7">
      <w:pPr>
        <w:pStyle w:val="Normal"/>
        <w:bidi w:val="0"/>
        <w:spacing w:before="240" w:beforeAutospacing="off" w:after="198" w:afterAutospacing="off" w:line="276" w:lineRule="auto"/>
        <w:ind w:left="0"/>
        <w:jc w:val="both"/>
        <w:rPr>
          <w:rFonts w:ascii="Aptos" w:hAnsi="Aptos" w:eastAsia="Aptos" w:cs="Aptos" w:asciiTheme="minorAscii" w:hAnsiTheme="minorAscii" w:eastAsiaTheme="minorAscii" w:cstheme="minorAscii"/>
          <w:b w:val="0"/>
          <w:bCs w:val="0"/>
          <w:noProof w:val="0"/>
          <w:sz w:val="24"/>
          <w:szCs w:val="24"/>
          <w:lang w:val="en-GB"/>
        </w:rPr>
      </w:pPr>
      <w:r w:rsidRPr="31090FC7" w:rsidR="4E7A44F6">
        <w:rPr>
          <w:rFonts w:ascii="Aptos" w:hAnsi="Aptos" w:eastAsia="Aptos" w:cs="Aptos" w:asciiTheme="minorAscii" w:hAnsiTheme="minorAscii" w:eastAsiaTheme="minorAscii" w:cstheme="minorAscii"/>
          <w:b w:val="0"/>
          <w:bCs w:val="0"/>
          <w:noProof w:val="0"/>
          <w:sz w:val="24"/>
          <w:szCs w:val="24"/>
          <w:lang w:val="en-GB"/>
        </w:rPr>
        <w:t>Tianqi Lithium Energy Australia (TLEA), Albemarle, and Covalent Lithium are the main players in the lithium processing industry. The 24,000-ton-per-year Kwinana lithium-hydroxide refinery is run by TLEA, which is 51% owned by Tianqi Lithium Corporation and 49% by IGO. Wesfarmers and SQM own Covalent Lithium, which combines the Mt. Holland mine with a Kwinana refinery built to handle about 50,000 tonnes annually. These ownership arrangements show how crucial foreign capital, technology, feedstock integration, and Australian partners are to the development of downstream capacity (IGO Limited n.d.; Government of Western Australia 2022; D'Silva 2025).</w:t>
      </w:r>
    </w:p>
    <w:p w:rsidR="5510F28C" w:rsidP="1EBCF505" w:rsidRDefault="5510F28C" w14:paraId="693971BB" w14:textId="264B8B12">
      <w:pPr>
        <w:pStyle w:val="Normal"/>
        <w:bidi w:val="0"/>
        <w:spacing w:before="240" w:beforeAutospacing="off" w:after="198" w:afterAutospacing="off" w:line="276" w:lineRule="auto"/>
        <w:ind w:left="0"/>
        <w:jc w:val="left"/>
      </w:pPr>
      <w:r w:rsidR="42560930">
        <w:drawing>
          <wp:inline wp14:editId="0E8F1778" wp14:anchorId="3EB5EB74">
            <wp:extent cx="5724525" cy="3819525"/>
            <wp:effectExtent l="0" t="0" r="0" b="0"/>
            <wp:docPr id="1983688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3688173" name="Picture 1983688173"/>
                    <pic:cNvPicPr/>
                  </pic:nvPicPr>
                  <pic:blipFill>
                    <a:blip xmlns:r="http://schemas.openxmlformats.org/officeDocument/2006/relationships" r:embed="rId1112695652">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rsidR="6CD88B31" w:rsidP="31090FC7" w:rsidRDefault="6CD88B31" w14:paraId="3BB970C2" w14:textId="4338AA23">
      <w:pPr>
        <w:bidi w:val="0"/>
        <w:spacing w:before="238" w:beforeAutospacing="off" w:after="119" w:afterAutospacing="off" w:line="360" w:lineRule="auto"/>
        <w:ind/>
        <w:jc w:val="both"/>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31090FC7" w:rsidR="768A9B1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Figure 3. Selected Australian later-stage critical-minerals processing capacity targets. Sources: D'Silva (2025), Iluka Resources (2026), Arafura Rare Earths (2026) and Government of Western Australia (2022).</w:t>
      </w:r>
    </w:p>
    <w:p w:rsidR="6CD88B31" w:rsidP="31090FC7" w:rsidRDefault="6CD88B31" w14:paraId="33E76B14" w14:textId="5935F276">
      <w:pPr>
        <w:pStyle w:val="Normal"/>
        <w:bidi w:val="0"/>
        <w:spacing w:before="238" w:beforeAutospacing="off" w:after="119" w:afterAutospacing="off" w:line="360" w:lineRule="auto"/>
        <w:ind/>
        <w:jc w:val="left"/>
        <w:rPr>
          <w:rFonts w:ascii="Aptos" w:hAnsi="Aptos" w:eastAsia="Aptos" w:cs="Aptos" w:asciiTheme="minorAscii" w:hAnsiTheme="minorAscii" w:eastAsiaTheme="minorAscii" w:cstheme="minorAscii"/>
          <w:b w:val="0"/>
          <w:bCs w:val="0"/>
        </w:rPr>
      </w:pPr>
      <w:r w:rsidRPr="31090FC7" w:rsidR="768A9B10">
        <w:rPr>
          <w:rFonts w:ascii="Aptos" w:hAnsi="Aptos" w:eastAsia="Aptos" w:cs="Aptos" w:asciiTheme="minorAscii" w:hAnsiTheme="minorAscii" w:eastAsiaTheme="minorAscii" w:cstheme="minorAscii"/>
          <w:b w:val="0"/>
          <w:bCs w:val="0"/>
        </w:rPr>
        <w:t>Different positions are highlighted by the capacity comparison. While TLEA combines Greenbushes feedstock with an operational but underutilised refinery, Covalent Lithium has the largest planned capacity for lithium-hydroxide. Arafura aims for specialised NdPr production supported by offtake, Iluka is constructing a publically funded multi-feed refinery, and Lynas provides proven non-China separation. Therefore, rather than relying solely on nominal capacity, businesses compete through resource access, commissioning, product qualification, government support, and customer contracts.</w:t>
      </w:r>
    </w:p>
    <w:p w:rsidR="6CD88B31" w:rsidP="0909F6A8" w:rsidRDefault="6CD88B31" w14:paraId="6E7F2598" w14:textId="6DB57F15">
      <w:pPr>
        <w:pStyle w:val="Normal"/>
        <w:bidi w:val="0"/>
        <w:spacing w:before="240" w:beforeAutospacing="off" w:after="198" w:afterAutospacing="off" w:line="276" w:lineRule="auto"/>
        <w:ind w:left="0"/>
        <w:jc w:val="left"/>
      </w:pPr>
      <w:r w:rsidRPr="0909F6A8" w:rsidR="2E0A141E">
        <w:rPr>
          <w:rFonts w:ascii="Aptos" w:hAnsi="Aptos" w:eastAsia="Aptos" w:cs="Aptos"/>
          <w:noProof w:val="0"/>
          <w:sz w:val="24"/>
          <w:szCs w:val="24"/>
          <w:lang w:val="en-GB"/>
        </w:rPr>
        <w:t xml:space="preserve">The general trend is </w:t>
      </w:r>
      <w:r w:rsidRPr="0909F6A8" w:rsidR="2E0A141E">
        <w:rPr>
          <w:rFonts w:ascii="Aptos" w:hAnsi="Aptos" w:eastAsia="Aptos" w:cs="Aptos"/>
          <w:noProof w:val="0"/>
          <w:sz w:val="24"/>
          <w:szCs w:val="24"/>
          <w:lang w:val="en-GB"/>
        </w:rPr>
        <w:t>evident</w:t>
      </w:r>
      <w:r w:rsidRPr="0909F6A8" w:rsidR="2E0A141E">
        <w:rPr>
          <w:rFonts w:ascii="Aptos" w:hAnsi="Aptos" w:eastAsia="Aptos" w:cs="Aptos"/>
          <w:noProof w:val="0"/>
          <w:sz w:val="24"/>
          <w:szCs w:val="24"/>
          <w:lang w:val="en-GB"/>
        </w:rPr>
        <w:t>: Australia lacks China's complete downstream ecosystem in batteries, cathodes, magnets, and advanced components, despite having top-notch resources and developing processing capabilities.</w:t>
      </w:r>
    </w:p>
    <w:p w:rsidR="5DED3B75" w:rsidP="5DED3B75" w:rsidRDefault="5DED3B75" w14:paraId="1D1E1264" w14:textId="2F2E10D9">
      <w:pPr>
        <w:pStyle w:val="Normal"/>
        <w:bidi w:val="0"/>
        <w:spacing w:before="240" w:beforeAutospacing="off" w:after="198" w:afterAutospacing="off" w:line="276" w:lineRule="auto"/>
        <w:jc w:val="both"/>
        <w:rPr>
          <w:rFonts w:ascii="Aptos" w:hAnsi="Aptos" w:eastAsia="Aptos" w:cs="Aptos"/>
          <w:noProof w:val="0"/>
          <w:sz w:val="24"/>
          <w:szCs w:val="24"/>
          <w:lang w:val="en-US"/>
        </w:rPr>
      </w:pPr>
    </w:p>
    <w:p w:rsidR="6C9A2BB4" w:rsidP="1B0B79CD" w:rsidRDefault="6C9A2BB4" w14:paraId="3B742114" w14:textId="73899C4E">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22270B34" w14:textId="08D882D4">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05E085BF" w14:textId="51B41AA2">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69364296" w14:textId="74DF8F64">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17AE6C6A" w14:textId="79A8A39C">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6088FDA7" w14:textId="7B2E652C">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1A4488DB" w14:textId="70C15FA6">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20ABEBE2" w14:textId="64B739DD">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729AF8F7" w14:textId="719179E0">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4C982373" w14:textId="14F3E6C4">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1AA415C2" w14:textId="5131BF79">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1D190C44" w14:textId="531EC65F">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00B43A2B" w14:textId="70D7E25E">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405B418E" w14:textId="30A45DE8">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31090FC7" w:rsidP="31090FC7" w:rsidRDefault="31090FC7" w14:paraId="3C19F24F" w14:textId="3F8FEAF7">
      <w:pPr>
        <w:pStyle w:val="Normal"/>
        <w:bidi w:val="0"/>
        <w:spacing w:before="240" w:beforeAutospacing="off" w:after="240" w:afterAutospacing="off" w:line="259" w:lineRule="auto"/>
        <w:ind w:left="0" w:right="0"/>
        <w:jc w:val="left"/>
        <w:rPr>
          <w:rFonts w:ascii="Aptos" w:hAnsi="Aptos" w:eastAsia="Aptos" w:cs="Aptos"/>
          <w:noProof w:val="0"/>
          <w:sz w:val="24"/>
          <w:szCs w:val="24"/>
          <w:lang w:val="en-GB"/>
        </w:rPr>
      </w:pPr>
    </w:p>
    <w:p w:rsidR="5DED3B75" w:rsidP="0909F6A8" w:rsidRDefault="5DED3B75" w14:paraId="29FAA6A0" w14:textId="17540280">
      <w:pPr>
        <w:spacing w:before="240" w:beforeAutospacing="off" w:after="198" w:afterAutospacing="off" w:line="276" w:lineRule="auto"/>
        <w:jc w:val="left"/>
        <w:rPr>
          <w:rFonts w:ascii="Aptos" w:hAnsi="Aptos" w:eastAsia="Aptos" w:cs="Aptos"/>
          <w:b w:val="1"/>
          <w:bCs w:val="1"/>
          <w:noProof w:val="0"/>
          <w:sz w:val="32"/>
          <w:szCs w:val="32"/>
          <w:lang w:val="en-GB"/>
        </w:rPr>
      </w:pPr>
      <w:r w:rsidRPr="0909F6A8" w:rsidR="794211B7">
        <w:rPr>
          <w:rFonts w:ascii="Aptos" w:hAnsi="Aptos" w:eastAsia="Aptos" w:cs="Aptos"/>
          <w:b w:val="1"/>
          <w:bCs w:val="1"/>
          <w:noProof w:val="0"/>
          <w:sz w:val="32"/>
          <w:szCs w:val="32"/>
          <w:lang w:val="en-GB"/>
        </w:rPr>
        <w:t>3. Porter’s Diamond Model of National Advantage</w:t>
      </w:r>
    </w:p>
    <w:p w:rsidR="2D6B3519" w:rsidP="31090FC7" w:rsidRDefault="2D6B3519" w14:paraId="7E6B0E90" w14:textId="5688E0E8">
      <w:pPr>
        <w:pStyle w:val="Normal"/>
        <w:spacing w:before="240" w:beforeAutospacing="off" w:after="198" w:afterAutospacing="off" w:line="276" w:lineRule="auto"/>
        <w:jc w:val="left"/>
        <w:rPr>
          <w:rFonts w:ascii="Aptos" w:hAnsi="Aptos" w:eastAsia="Aptos" w:cs="Aptos"/>
          <w:b w:val="0"/>
          <w:bCs w:val="0"/>
          <w:noProof w:val="0"/>
          <w:sz w:val="24"/>
          <w:szCs w:val="24"/>
          <w:lang w:val="en-GB"/>
        </w:rPr>
      </w:pPr>
      <w:r w:rsidRPr="31090FC7" w:rsidR="49A46B9D">
        <w:rPr>
          <w:rFonts w:ascii="Aptos" w:hAnsi="Aptos" w:eastAsia="Aptos" w:cs="Aptos"/>
          <w:b w:val="0"/>
          <w:bCs w:val="0"/>
          <w:noProof w:val="0"/>
          <w:sz w:val="24"/>
          <w:szCs w:val="24"/>
          <w:lang w:val="en-GB"/>
        </w:rPr>
        <w:t>Four interrelated factors—factor conditions, demand conditions, related and supporting industries, and firm strategy, structure, and rivalry—are used by Porter's Diamond to explain national competitive advantage. Although they are not extra factors in the original model, government and chance have an impact on these determinants (Porter 1990). The methodology assesses whether Australia's mineral endowment is strengthened by specialised skills, processing technology, infrastructure, sophisticated demand, supporting clusters, and effective competitive pressure when applied to critical-minerals processing.</w:t>
      </w:r>
    </w:p>
    <w:p w:rsidR="4F2C3874" w:rsidP="31090FC7" w:rsidRDefault="4F2C3874" w14:paraId="0FE22FAF" w14:textId="342F307A">
      <w:pPr>
        <w:pStyle w:val="Normal"/>
        <w:spacing w:before="240" w:beforeAutospacing="off" w:after="198" w:afterAutospacing="off" w:line="276" w:lineRule="auto"/>
        <w:jc w:val="left"/>
      </w:pPr>
      <w:r w:rsidRPr="31090FC7" w:rsidR="40AD5E78">
        <w:rPr>
          <w:rFonts w:ascii="Aptos" w:hAnsi="Aptos" w:eastAsia="Aptos" w:cs="Aptos"/>
          <w:noProof w:val="0"/>
          <w:sz w:val="24"/>
          <w:szCs w:val="24"/>
          <w:lang w:val="en-GB"/>
        </w:rPr>
        <w:t>The original Diamond's heavy emphasis on the domestic environment is one of its drawbacks. According to Moon, Rugman, and Verbeke (1998), international factors such as foreign investment, the capacities of multinational corporations, and access to external markets also affect competitiveness in open economies. This extension is crucial since Australia's processing aspirations depend in part on capital, technology, and offtake demand from China, the United States, Japan, and Europe. Porter's four determinants serve as the organising framework for the analysis, which also examines whether foreign involvement creates long-lasting Australian capabilities or leaves downstream competitiveness reliant on foreign technology, financing, and consumers.</w:t>
      </w:r>
    </w:p>
    <w:p w:rsidR="1EBCF505" w:rsidP="1EBCF505" w:rsidRDefault="1EBCF505" w14:paraId="5ACBDB07" w14:textId="723FDE51">
      <w:pPr>
        <w:pStyle w:val="Normal"/>
        <w:rPr>
          <w:rFonts w:ascii="Aptos" w:hAnsi="Aptos" w:eastAsia="Aptos" w:cs="Aptos"/>
          <w:noProof w:val="0"/>
          <w:sz w:val="24"/>
          <w:szCs w:val="24"/>
          <w:lang w:val="en-GB"/>
        </w:rPr>
      </w:pPr>
    </w:p>
    <w:p w:rsidR="1EBCF505" w:rsidP="1EBCF505" w:rsidRDefault="1EBCF505" w14:paraId="143BA63B" w14:textId="66190C18">
      <w:pPr>
        <w:pStyle w:val="Normal"/>
        <w:rPr>
          <w:rFonts w:ascii="Aptos" w:hAnsi="Aptos" w:eastAsia="Aptos" w:cs="Aptos"/>
          <w:noProof w:val="0"/>
          <w:sz w:val="24"/>
          <w:szCs w:val="24"/>
          <w:lang w:val="en-GB"/>
        </w:rPr>
      </w:pPr>
    </w:p>
    <w:p w:rsidR="1EBCF505" w:rsidP="1EBCF505" w:rsidRDefault="1EBCF505" w14:paraId="5675D0B9" w14:textId="025E53E1">
      <w:pPr>
        <w:pStyle w:val="Normal"/>
        <w:rPr>
          <w:rFonts w:ascii="Aptos" w:hAnsi="Aptos" w:eastAsia="Aptos" w:cs="Aptos"/>
          <w:noProof w:val="0"/>
          <w:sz w:val="24"/>
          <w:szCs w:val="24"/>
          <w:lang w:val="en-GB"/>
        </w:rPr>
      </w:pPr>
    </w:p>
    <w:p w:rsidR="7A22B5C0" w:rsidP="4DF95668" w:rsidRDefault="7A22B5C0" w14:paraId="09048193" w14:textId="7C5756DD">
      <w:pPr>
        <w:pStyle w:val="Normal"/>
        <w:spacing w:before="240" w:beforeAutospacing="off" w:after="240" w:afterAutospacing="off"/>
        <w:rPr>
          <w:rFonts w:ascii="Aptos" w:hAnsi="Aptos" w:eastAsia="Aptos" w:cs="Aptos"/>
          <w:b w:val="1"/>
          <w:bCs w:val="1"/>
          <w:noProof w:val="0"/>
          <w:sz w:val="24"/>
          <w:szCs w:val="24"/>
          <w:lang w:val="en-GB"/>
        </w:rPr>
      </w:pPr>
      <w:r w:rsidRPr="0909F6A8" w:rsidR="5F045406">
        <w:rPr>
          <w:rFonts w:ascii="Aptos" w:hAnsi="Aptos" w:eastAsia="Aptos" w:cs="Aptos"/>
          <w:b w:val="1"/>
          <w:bCs w:val="1"/>
          <w:noProof w:val="0"/>
          <w:sz w:val="24"/>
          <w:szCs w:val="24"/>
          <w:lang w:val="en-GB"/>
        </w:rPr>
        <w:t>3.1 Factor conditions</w:t>
      </w:r>
    </w:p>
    <w:p w:rsidR="5727C7EB" w:rsidP="31090FC7" w:rsidRDefault="5727C7EB" w14:paraId="2ACB98BF" w14:textId="5D6DEDAF">
      <w:pPr>
        <w:pStyle w:val="Normal"/>
        <w:jc w:val="left"/>
        <w:rPr>
          <w:rFonts w:ascii="Aptos" w:hAnsi="Aptos" w:eastAsia="Aptos" w:cs="Aptos"/>
          <w:b w:val="0"/>
          <w:bCs w:val="0"/>
          <w:noProof w:val="0"/>
          <w:sz w:val="24"/>
          <w:szCs w:val="24"/>
          <w:lang w:val="en-GB"/>
        </w:rPr>
      </w:pPr>
      <w:r w:rsidRPr="31090FC7" w:rsidR="281DBD8C">
        <w:rPr>
          <w:rFonts w:ascii="Aptos" w:hAnsi="Aptos" w:eastAsia="Aptos" w:cs="Aptos"/>
          <w:b w:val="0"/>
          <w:bCs w:val="0"/>
          <w:noProof w:val="0"/>
          <w:sz w:val="24"/>
          <w:szCs w:val="24"/>
          <w:lang w:val="en-GB"/>
        </w:rPr>
        <w:t>Australia's geological endowment is its strongest fundamental factor condition. According to GlobalData's mining information, Greenbushes is the greatest active resource, with 6.2 million tonnes of lithium reserves in 2024, or 22.1% of the world's total. With an estimate of 112.5 kilotonnes for 2024, Australia continued to be the top producer (GlobalData 2025a). These numbers demonstrate the remarkable robustness of the national feedstock. However, advanced elements like chemical engineering, hydrometallurgy, low-carbon energy, infrastructure, technical training, customer qualification, and ongoing process optimisation are necessary for sustained processing advantage.</w:t>
      </w:r>
    </w:p>
    <w:p w:rsidR="1EBCF505" w:rsidP="31090FC7" w:rsidRDefault="1EBCF505" w14:paraId="0E261DC3" w14:textId="61A370A6">
      <w:pPr>
        <w:pStyle w:val="Normal"/>
        <w:jc w:val="left"/>
        <w:rPr>
          <w:rFonts w:ascii="Aptos" w:hAnsi="Aptos" w:eastAsia="Aptos" w:cs="Aptos"/>
          <w:noProof w:val="0"/>
          <w:sz w:val="24"/>
          <w:szCs w:val="24"/>
          <w:lang w:val="en-GB"/>
        </w:rPr>
      </w:pPr>
    </w:p>
    <w:p w:rsidR="4071A42F" w:rsidP="31090FC7" w:rsidRDefault="4071A42F" w14:paraId="6339E6EB" w14:textId="61743AB4">
      <w:pPr>
        <w:pStyle w:val="Normal"/>
        <w:jc w:val="left"/>
        <w:rPr>
          <w:rFonts w:ascii="Aptos" w:hAnsi="Aptos" w:eastAsia="Aptos" w:cs="Aptos"/>
          <w:noProof w:val="0"/>
          <w:sz w:val="24"/>
          <w:szCs w:val="24"/>
          <w:lang w:val="en-GB"/>
        </w:rPr>
      </w:pPr>
      <w:r w:rsidRPr="31090FC7" w:rsidR="657BA034">
        <w:rPr>
          <w:rFonts w:ascii="Aptos" w:hAnsi="Aptos" w:eastAsia="Aptos" w:cs="Aptos"/>
          <w:noProof w:val="0"/>
          <w:sz w:val="24"/>
          <w:szCs w:val="24"/>
          <w:lang w:val="en-GB"/>
        </w:rPr>
        <w:t xml:space="preserve">Although they are not yet fully developed, Australia's advanced factor conditions are getting better. The Kwinana and Kemerton hubs in Western Australia offer industrial infrastructure for the refining of lithium hydroxide (Department of Jobs, Tourism, </w:t>
      </w:r>
      <w:r w:rsidRPr="31090FC7" w:rsidR="657BA034">
        <w:rPr>
          <w:rFonts w:ascii="Aptos" w:hAnsi="Aptos" w:eastAsia="Aptos" w:cs="Aptos"/>
          <w:noProof w:val="0"/>
          <w:sz w:val="24"/>
          <w:szCs w:val="24"/>
          <w:lang w:val="en-GB"/>
        </w:rPr>
        <w:t>Science</w:t>
      </w:r>
      <w:r w:rsidRPr="31090FC7" w:rsidR="657BA034">
        <w:rPr>
          <w:rFonts w:ascii="Aptos" w:hAnsi="Aptos" w:eastAsia="Aptos" w:cs="Aptos"/>
          <w:noProof w:val="0"/>
          <w:sz w:val="24"/>
          <w:szCs w:val="24"/>
          <w:lang w:val="en-GB"/>
        </w:rPr>
        <w:t xml:space="preserve"> and Innovation 2024). However, TLEA's Kwinana refinery performance shows how difficult it is to convert lithium hydroxide technically: FY2025 lithium hydroxide production was 6,782 tonnes, up 93% from FY2024 but still well below the plant's 24,000 </w:t>
      </w:r>
      <w:r w:rsidRPr="31090FC7" w:rsidR="657BA034">
        <w:rPr>
          <w:rFonts w:ascii="Aptos" w:hAnsi="Aptos" w:eastAsia="Aptos" w:cs="Aptos"/>
          <w:noProof w:val="0"/>
          <w:sz w:val="24"/>
          <w:szCs w:val="24"/>
          <w:lang w:val="en-GB"/>
        </w:rPr>
        <w:t>tpa</w:t>
      </w:r>
      <w:r w:rsidRPr="31090FC7" w:rsidR="657BA034">
        <w:rPr>
          <w:rFonts w:ascii="Aptos" w:hAnsi="Aptos" w:eastAsia="Aptos" w:cs="Aptos"/>
          <w:noProof w:val="0"/>
          <w:sz w:val="24"/>
          <w:szCs w:val="24"/>
          <w:lang w:val="en-GB"/>
        </w:rPr>
        <w:t xml:space="preserve"> nameplate capacity (IGO Limited 2025).</w:t>
      </w:r>
    </w:p>
    <w:p w:rsidR="1EBCF505" w:rsidP="31090FC7" w:rsidRDefault="1EBCF505" w14:paraId="069C202D" w14:textId="2F937066">
      <w:pPr>
        <w:pStyle w:val="Normal"/>
        <w:jc w:val="left"/>
        <w:rPr>
          <w:rFonts w:ascii="Aptos" w:hAnsi="Aptos" w:eastAsia="Aptos" w:cs="Aptos"/>
          <w:noProof w:val="0"/>
          <w:sz w:val="24"/>
          <w:szCs w:val="24"/>
          <w:lang w:val="en-GB"/>
        </w:rPr>
      </w:pPr>
    </w:p>
    <w:p w:rsidR="1EBCF505" w:rsidP="1EBCF505" w:rsidRDefault="1EBCF505" w14:paraId="004C05E6" w14:textId="2666C28C">
      <w:pPr>
        <w:pStyle w:val="Normal"/>
        <w:rPr>
          <w:rFonts w:ascii="Aptos" w:hAnsi="Aptos" w:eastAsia="Aptos" w:cs="Aptos"/>
          <w:noProof w:val="0"/>
          <w:sz w:val="24"/>
          <w:szCs w:val="24"/>
          <w:lang w:val="en-GB"/>
        </w:rPr>
      </w:pPr>
    </w:p>
    <w:p w:rsidR="1EBCF505" w:rsidP="1EBCF505" w:rsidRDefault="1EBCF505" w14:paraId="175BFFFC" w14:textId="3607A16F">
      <w:pPr>
        <w:pStyle w:val="Normal"/>
        <w:rPr>
          <w:rFonts w:ascii="Aptos" w:hAnsi="Aptos" w:eastAsia="Aptos" w:cs="Aptos"/>
          <w:noProof w:val="0"/>
          <w:sz w:val="24"/>
          <w:szCs w:val="24"/>
          <w:lang w:val="en-GB"/>
        </w:rPr>
      </w:pPr>
    </w:p>
    <w:p w:rsidR="1EBCF505" w:rsidP="1EBCF505" w:rsidRDefault="1EBCF505" w14:paraId="1C29D678" w14:textId="4A9F5386">
      <w:pPr>
        <w:pStyle w:val="Normal"/>
        <w:rPr>
          <w:rFonts w:ascii="Aptos" w:hAnsi="Aptos" w:eastAsia="Aptos" w:cs="Aptos"/>
          <w:noProof w:val="0"/>
          <w:sz w:val="24"/>
          <w:szCs w:val="24"/>
          <w:lang w:val="en-GB"/>
        </w:rPr>
      </w:pPr>
    </w:p>
    <w:p w:rsidR="720B8BB1" w:rsidP="1EBCF505" w:rsidRDefault="720B8BB1" w14:paraId="3DDB9B47" w14:textId="060DECBC">
      <w:pPr>
        <w:spacing w:before="240" w:beforeAutospacing="off" w:after="240" w:afterAutospacing="off"/>
        <w:rPr>
          <w:rFonts w:ascii="Aptos" w:hAnsi="Aptos" w:eastAsia="Aptos" w:cs="Aptos"/>
          <w:b w:val="1"/>
          <w:bCs w:val="1"/>
          <w:noProof w:val="0"/>
          <w:sz w:val="24"/>
          <w:szCs w:val="24"/>
          <w:lang w:val="en-GB"/>
        </w:rPr>
      </w:pPr>
      <w:r w:rsidRPr="0909F6A8" w:rsidR="1D54FE68">
        <w:rPr>
          <w:rFonts w:ascii="Aptos" w:hAnsi="Aptos" w:eastAsia="Aptos" w:cs="Aptos"/>
          <w:b w:val="1"/>
          <w:bCs w:val="1"/>
          <w:noProof w:val="0"/>
          <w:sz w:val="24"/>
          <w:szCs w:val="24"/>
          <w:lang w:val="en-GB"/>
        </w:rPr>
        <w:t>3.2 Conditions of demand</w:t>
      </w:r>
    </w:p>
    <w:p w:rsidR="27906943" w:rsidP="31090FC7" w:rsidRDefault="27906943" w14:paraId="18E25722" w14:textId="1F009265">
      <w:pPr>
        <w:pStyle w:val="Normal"/>
        <w:spacing w:before="240" w:beforeAutospacing="off" w:after="240" w:afterAutospacing="off"/>
        <w:jc w:val="both"/>
        <w:rPr>
          <w:rFonts w:ascii="Aptos" w:hAnsi="Aptos" w:eastAsia="Aptos" w:cs="Aptos"/>
          <w:b w:val="1"/>
          <w:bCs w:val="1"/>
          <w:noProof w:val="0"/>
          <w:sz w:val="24"/>
          <w:szCs w:val="24"/>
          <w:lang w:val="en-GB"/>
        </w:rPr>
      </w:pPr>
      <w:r w:rsidRPr="31090FC7" w:rsidR="42F8B301">
        <w:rPr>
          <w:rFonts w:ascii="Aptos" w:hAnsi="Aptos" w:eastAsia="Aptos" w:cs="Aptos"/>
          <w:b w:val="0"/>
          <w:bCs w:val="0"/>
          <w:noProof w:val="0"/>
          <w:sz w:val="24"/>
          <w:szCs w:val="24"/>
          <w:lang w:val="en-GB"/>
        </w:rPr>
        <w:t>Although advantageous, demand is erratic. Lithium export revenue from Australia is expected to increase from A$9.9 billion in 2025–2026 to A$12.5 billion in 2026–2027. According to the Department of Industry, Science and Resources (2026a), global supply is expected to increase by roughly 10% while global demand is expected to expand by more than 11% annually and Australian mine output will be close to 8% annually until 2031. There is still a pricing and usage risk associated with the anticipated early-period excess.</w:t>
      </w:r>
    </w:p>
    <w:p w:rsidR="6591B8DF" w:rsidP="31090FC7" w:rsidRDefault="6591B8DF" w14:paraId="64A82E7E" w14:textId="0C9E0BAC">
      <w:pPr>
        <w:pStyle w:val="Normal"/>
        <w:spacing w:before="240" w:beforeAutospacing="off" w:after="240" w:afterAutospacing="off"/>
        <w:jc w:val="both"/>
        <w:rPr>
          <w:rFonts w:ascii="Aptos" w:hAnsi="Aptos" w:eastAsia="Aptos" w:cs="Aptos"/>
          <w:noProof w:val="0"/>
          <w:sz w:val="24"/>
          <w:szCs w:val="24"/>
          <w:lang w:val="en-GB"/>
        </w:rPr>
      </w:pPr>
      <w:r w:rsidRPr="31090FC7" w:rsidR="1C02EE1E">
        <w:rPr>
          <w:rFonts w:ascii="Aptos" w:hAnsi="Aptos" w:eastAsia="Aptos" w:cs="Aptos"/>
          <w:noProof w:val="0"/>
          <w:sz w:val="24"/>
          <w:szCs w:val="24"/>
          <w:lang w:val="en-GB"/>
        </w:rPr>
        <w:t xml:space="preserve">Domestic demand, however, is lower. Australia does not currently have a sizable domestic manufacturing base for batteries or rare earth magnets. This </w:t>
      </w:r>
      <w:r w:rsidRPr="31090FC7" w:rsidR="1C02EE1E">
        <w:rPr>
          <w:rFonts w:ascii="Aptos" w:hAnsi="Aptos" w:eastAsia="Aptos" w:cs="Aptos"/>
          <w:noProof w:val="0"/>
          <w:sz w:val="24"/>
          <w:szCs w:val="24"/>
          <w:lang w:val="en-GB"/>
        </w:rPr>
        <w:t>indicates</w:t>
      </w:r>
      <w:r w:rsidRPr="31090FC7" w:rsidR="1C02EE1E">
        <w:rPr>
          <w:rFonts w:ascii="Aptos" w:hAnsi="Aptos" w:eastAsia="Aptos" w:cs="Aptos"/>
          <w:noProof w:val="0"/>
          <w:sz w:val="24"/>
          <w:szCs w:val="24"/>
          <w:lang w:val="en-GB"/>
        </w:rPr>
        <w:t xml:space="preserve"> that overseas clients in China, Japan, Korea, Europe, and the US are crucial to Australian processors. According to Porter, the diamond's demand side is robust internationally but weaker at home.</w:t>
      </w:r>
    </w:p>
    <w:p w:rsidR="4DF95668" w:rsidP="4DF95668" w:rsidRDefault="4DF95668" w14:paraId="5712C47C" w14:textId="57264539">
      <w:pPr>
        <w:pStyle w:val="Normal"/>
        <w:spacing w:before="240" w:beforeAutospacing="off" w:after="240" w:afterAutospacing="off"/>
        <w:rPr>
          <w:rFonts w:ascii="Aptos" w:hAnsi="Aptos" w:eastAsia="Aptos" w:cs="Aptos"/>
          <w:b w:val="1"/>
          <w:bCs w:val="1"/>
          <w:noProof w:val="0"/>
          <w:sz w:val="24"/>
          <w:szCs w:val="24"/>
          <w:lang w:val="en-GB"/>
        </w:rPr>
      </w:pPr>
    </w:p>
    <w:p w:rsidR="42DD722F" w:rsidP="4DF95668" w:rsidRDefault="42DD722F" w14:paraId="2A2CCF9B" w14:textId="6EF05E17">
      <w:pPr>
        <w:pStyle w:val="Normal"/>
        <w:spacing w:before="240" w:beforeAutospacing="off" w:after="240" w:afterAutospacing="off"/>
        <w:rPr>
          <w:rFonts w:ascii="Aptos" w:hAnsi="Aptos" w:eastAsia="Aptos" w:cs="Aptos"/>
          <w:b w:val="1"/>
          <w:bCs w:val="1"/>
          <w:noProof w:val="0"/>
          <w:sz w:val="24"/>
          <w:szCs w:val="24"/>
          <w:lang w:val="en-GB"/>
        </w:rPr>
      </w:pPr>
      <w:r w:rsidRPr="0909F6A8" w:rsidR="268B8417">
        <w:rPr>
          <w:rFonts w:ascii="Aptos" w:hAnsi="Aptos" w:eastAsia="Aptos" w:cs="Aptos"/>
          <w:b w:val="1"/>
          <w:bCs w:val="1"/>
          <w:noProof w:val="0"/>
          <w:sz w:val="24"/>
          <w:szCs w:val="24"/>
          <w:lang w:val="en-GB"/>
        </w:rPr>
        <w:t>3.3 Associated and auxiliary sectors</w:t>
      </w:r>
    </w:p>
    <w:p w:rsidR="2F8E72E9" w:rsidP="31090FC7" w:rsidRDefault="2F8E72E9" w14:paraId="59A97CA6" w14:textId="6935F378">
      <w:pPr>
        <w:jc w:val="both"/>
        <w:rPr>
          <w:rFonts w:ascii="Aptos" w:hAnsi="Aptos" w:eastAsia="Aptos" w:cs="Aptos" w:asciiTheme="minorAscii" w:hAnsiTheme="minorAscii" w:eastAsiaTheme="minorAscii" w:cstheme="minorAscii"/>
          <w:b w:val="0"/>
          <w:bCs w:val="0"/>
          <w:i w:val="0"/>
          <w:iCs w:val="0"/>
          <w:noProof w:val="0"/>
          <w:sz w:val="24"/>
          <w:szCs w:val="24"/>
          <w:lang w:val="en-GB"/>
        </w:rPr>
      </w:pPr>
      <w:r w:rsidRPr="31090FC7" w:rsidR="3CD72234">
        <w:rPr>
          <w:rFonts w:ascii="Aptos" w:hAnsi="Aptos" w:eastAsia="Aptos" w:cs="Aptos" w:asciiTheme="minorAscii" w:hAnsiTheme="minorAscii" w:eastAsiaTheme="minorAscii" w:cstheme="minorAscii"/>
          <w:b w:val="0"/>
          <w:bCs w:val="0"/>
          <w:i w:val="0"/>
          <w:iCs w:val="0"/>
          <w:noProof w:val="0"/>
          <w:sz w:val="24"/>
          <w:szCs w:val="24"/>
          <w:lang w:val="en-GB"/>
        </w:rPr>
        <w:t>Mining services, engineering, logistics, environmental consulting, and resource finance are all strong points for Australia. Ports, utilities, chemical handling, and specialised contractors that lower some project risks are provided by Kwinana and Kemerton (Department of Jobs, Tourism, Science and Innovation 2024). Cathode materials, battery cells, rare-earth magnets, and precise chemicals continue to have lower capability.</w:t>
      </w:r>
    </w:p>
    <w:p w:rsidR="42DD722F" w:rsidP="31090FC7" w:rsidRDefault="42DD722F" w14:paraId="68C87879" w14:textId="1F799CFE">
      <w:pPr>
        <w:spacing w:before="240" w:beforeAutospacing="off" w:after="240" w:afterAutospacing="off"/>
        <w:jc w:val="both"/>
        <w:rPr>
          <w:rFonts w:ascii="Aptos" w:hAnsi="Aptos" w:eastAsia="Aptos" w:cs="Aptos"/>
          <w:b w:val="0"/>
          <w:bCs w:val="0"/>
          <w:noProof w:val="0"/>
          <w:sz w:val="24"/>
          <w:szCs w:val="24"/>
          <w:lang w:val="en-GB"/>
        </w:rPr>
      </w:pPr>
      <w:r w:rsidRPr="31090FC7" w:rsidR="7CBC5E5A">
        <w:rPr>
          <w:rFonts w:ascii="Aptos" w:hAnsi="Aptos" w:eastAsia="Aptos" w:cs="Aptos"/>
          <w:b w:val="0"/>
          <w:bCs w:val="0"/>
          <w:noProof w:val="0"/>
          <w:sz w:val="24"/>
          <w:szCs w:val="24"/>
          <w:lang w:val="en-GB"/>
        </w:rPr>
        <w:t>This disparity between upstream and downstream is crucial from a strategic standpoint. Although Australian refiners have access to high-quality feedstock and engineering support, they are nevertheless reliant on downstream manufacturers, foreign equipment suppliers, and consumers for product certification. As a result, while associated industries offer a reliable processing platform, they do not yet constitute a comprehensive ecosystem that can match China's size, accumulated knowledge, and integrated demand.</w:t>
      </w:r>
    </w:p>
    <w:p w:rsidR="1EBCF505" w:rsidP="1EBCF505" w:rsidRDefault="1EBCF505" w14:paraId="359E421E" w14:textId="7C6AF7A4">
      <w:pPr>
        <w:spacing w:before="240" w:beforeAutospacing="off" w:after="240" w:afterAutospacing="off"/>
        <w:rPr>
          <w:rFonts w:ascii="Aptos" w:hAnsi="Aptos" w:eastAsia="Aptos" w:cs="Aptos"/>
          <w:noProof w:val="0"/>
          <w:sz w:val="24"/>
          <w:szCs w:val="24"/>
          <w:lang w:val="en-GB"/>
        </w:rPr>
      </w:pPr>
    </w:p>
    <w:p w:rsidR="50CA1F5F" w:rsidP="50CA1F5F" w:rsidRDefault="50CA1F5F" w14:paraId="0D3B214F" w14:textId="1F059A69">
      <w:pPr>
        <w:spacing w:before="240" w:beforeAutospacing="off" w:after="240" w:afterAutospacing="off"/>
        <w:rPr>
          <w:rFonts w:ascii="Aptos" w:hAnsi="Aptos" w:eastAsia="Aptos" w:cs="Aptos"/>
          <w:b w:val="1"/>
          <w:bCs w:val="1"/>
          <w:noProof w:val="0"/>
          <w:sz w:val="24"/>
          <w:szCs w:val="24"/>
          <w:lang w:val="en-GB"/>
        </w:rPr>
      </w:pPr>
    </w:p>
    <w:p w:rsidR="50CA1F5F" w:rsidP="31090FC7" w:rsidRDefault="50CA1F5F" w14:paraId="046C14A8" w14:textId="1153B513">
      <w:pPr>
        <w:pStyle w:val="Normal"/>
        <w:spacing w:before="240" w:beforeAutospacing="off" w:after="240" w:afterAutospacing="off"/>
        <w:rPr>
          <w:rFonts w:ascii="Aptos" w:hAnsi="Aptos" w:eastAsia="Aptos" w:cs="Aptos"/>
          <w:b w:val="1"/>
          <w:bCs w:val="1"/>
          <w:noProof w:val="0"/>
          <w:sz w:val="24"/>
          <w:szCs w:val="24"/>
          <w:lang w:val="en-GB"/>
        </w:rPr>
      </w:pPr>
    </w:p>
    <w:p w:rsidR="102B41FA" w:rsidP="31090FC7" w:rsidRDefault="102B41FA" w14:paraId="1DE57F89" w14:textId="66A3CF15">
      <w:pPr>
        <w:pStyle w:val="Normal"/>
        <w:spacing w:before="240" w:beforeAutospacing="off" w:after="240" w:afterAutospacing="off"/>
        <w:rPr>
          <w:rFonts w:ascii="Aptos" w:hAnsi="Aptos" w:eastAsia="Aptos" w:cs="Aptos"/>
          <w:b w:val="1"/>
          <w:bCs w:val="1"/>
          <w:noProof w:val="0"/>
          <w:sz w:val="24"/>
          <w:szCs w:val="24"/>
          <w:lang w:val="en-GB"/>
        </w:rPr>
      </w:pPr>
      <w:r w:rsidRPr="31090FC7" w:rsidR="7E873288">
        <w:rPr>
          <w:rFonts w:ascii="Aptos" w:hAnsi="Aptos" w:eastAsia="Aptos" w:cs="Aptos"/>
          <w:b w:val="1"/>
          <w:bCs w:val="1"/>
          <w:noProof w:val="0"/>
          <w:sz w:val="24"/>
          <w:szCs w:val="24"/>
          <w:lang w:val="en-GB"/>
        </w:rPr>
        <w:t>3.4 Structure, rivalry, and firm strategy</w:t>
      </w:r>
    </w:p>
    <w:p w:rsidR="7C2ACD90" w:rsidP="31090FC7" w:rsidRDefault="7C2ACD90" w14:paraId="33AAF987" w14:textId="5B610C39">
      <w:pPr>
        <w:pStyle w:val="Normal"/>
        <w:spacing w:before="240" w:beforeAutospacing="off" w:after="240" w:afterAutospacing="off"/>
        <w:jc w:val="both"/>
        <w:rPr>
          <w:rFonts w:ascii="Aptos" w:hAnsi="Aptos" w:eastAsia="Aptos" w:cs="Aptos"/>
          <w:b w:val="0"/>
          <w:bCs w:val="0"/>
          <w:noProof w:val="0"/>
          <w:sz w:val="24"/>
          <w:szCs w:val="24"/>
          <w:lang w:val="en-GB"/>
        </w:rPr>
      </w:pPr>
      <w:r w:rsidRPr="31090FC7" w:rsidR="3E516985">
        <w:rPr>
          <w:rFonts w:ascii="Aptos" w:hAnsi="Aptos" w:eastAsia="Aptos" w:cs="Aptos"/>
          <w:b w:val="0"/>
          <w:bCs w:val="0"/>
          <w:noProof w:val="0"/>
          <w:sz w:val="24"/>
          <w:szCs w:val="24"/>
          <w:lang w:val="en-GB"/>
        </w:rPr>
        <w:t>Joint ventures, government involvement, and offtake-backed development have been promoted by capital intensity and technical risk. Government funding supports Iluka's Eneabba refinery; Tianqi collaborates with IGO through TLEA; SQM collaborates with Wesfarmers through Covalent Lithium; and Arafura is creating Nolans with customer commitments (IGO Limited n.d.; Iluka Resources 2026; Arafura Rare Earths n.d.; D'Silva 2025). Therefore, businesses compete not just on price but also on technology, feedstock security, commissioning competence, ESG reputation, and strategic customer relationships.</w:t>
      </w:r>
    </w:p>
    <w:p w:rsidR="6D23DF68" w:rsidP="31090FC7" w:rsidRDefault="6D23DF68" w14:paraId="7BD5E63B" w14:textId="3F06AAB9">
      <w:pPr>
        <w:pStyle w:val="Normal"/>
        <w:spacing w:before="240" w:beforeAutospacing="off" w:after="240" w:afterAutospacing="off"/>
        <w:jc w:val="both"/>
        <w:rPr>
          <w:rFonts w:ascii="Aptos" w:hAnsi="Aptos" w:eastAsia="Aptos" w:cs="Aptos"/>
          <w:b w:val="0"/>
          <w:bCs w:val="0"/>
          <w:noProof w:val="0"/>
          <w:sz w:val="24"/>
          <w:szCs w:val="24"/>
          <w:lang w:val="en-GB"/>
        </w:rPr>
      </w:pPr>
      <w:r w:rsidRPr="31090FC7" w:rsidR="36D5F4D3">
        <w:rPr>
          <w:rFonts w:ascii="Aptos" w:hAnsi="Aptos" w:eastAsia="Aptos" w:cs="Aptos"/>
          <w:b w:val="0"/>
          <w:bCs w:val="0"/>
          <w:noProof w:val="0"/>
          <w:sz w:val="24"/>
          <w:szCs w:val="24"/>
          <w:lang w:val="en-GB"/>
        </w:rPr>
        <w:t>Because processing projects are capital-intensive and only a small number of businesses have the funding, technology, and feedstock necessary to compete, domestic competition is limited. Therefore, rather than a dense Australian set of competitors, the main pressure comes from global processors, especially China. Porter's predicted domestic learning impact is weakened as a result. Joint ventures can make up for this by sharing risk and transferring technology, but they can also increase reliance on foreign partners. As a result, rather than relying on resource ownership to offset its cost disadvantage, Australia must compete through dependability, traceability, product quality, and geopolitical diversification (IEA 2024).</w:t>
      </w:r>
    </w:p>
    <w:p w:rsidR="6D23DF68" w:rsidP="1EBCF505" w:rsidRDefault="6D23DF68" w14:paraId="68CB9EAA" w14:textId="69AC2333">
      <w:pPr>
        <w:pStyle w:val="Normal"/>
        <w:spacing w:before="240" w:beforeAutospacing="off" w:after="240" w:afterAutospacing="off"/>
        <w:rPr>
          <w:rFonts w:ascii="Aptos" w:hAnsi="Aptos" w:eastAsia="Aptos" w:cs="Aptos"/>
          <w:noProof w:val="0"/>
          <w:sz w:val="24"/>
          <w:szCs w:val="24"/>
          <w:lang w:val="en-GB"/>
        </w:rPr>
      </w:pPr>
      <w:r w:rsidRPr="50CA1F5F" w:rsidR="2AA0E703">
        <w:rPr>
          <w:rFonts w:ascii="Aptos" w:hAnsi="Aptos" w:eastAsia="Aptos" w:cs="Aptos"/>
          <w:noProof w:val="0"/>
          <w:sz w:val="24"/>
          <w:szCs w:val="24"/>
          <w:lang w:val="en-GB"/>
        </w:rPr>
        <w:t>.</w:t>
      </w:r>
    </w:p>
    <w:p w:rsidR="1EBCF505" w:rsidP="1EBCF505" w:rsidRDefault="1EBCF505" w14:paraId="75AD06D5" w14:textId="28B0DDC1">
      <w:pPr>
        <w:pStyle w:val="Normal"/>
        <w:spacing w:before="240" w:beforeAutospacing="off" w:after="240" w:afterAutospacing="off"/>
        <w:rPr>
          <w:rFonts w:ascii="Aptos" w:hAnsi="Aptos" w:eastAsia="Aptos" w:cs="Aptos"/>
          <w:noProof w:val="0"/>
          <w:sz w:val="24"/>
          <w:szCs w:val="24"/>
          <w:lang w:val="en-GB"/>
        </w:rPr>
      </w:pPr>
    </w:p>
    <w:p w:rsidR="1EBCF505" w:rsidP="1EBCF505" w:rsidRDefault="1EBCF505" w14:paraId="660FD13E" w14:textId="27AB3FFD">
      <w:pPr>
        <w:pStyle w:val="Normal"/>
        <w:spacing w:before="240" w:beforeAutospacing="off" w:after="240" w:afterAutospacing="off"/>
        <w:rPr>
          <w:rFonts w:ascii="Aptos" w:hAnsi="Aptos" w:eastAsia="Aptos" w:cs="Aptos"/>
          <w:noProof w:val="0"/>
          <w:sz w:val="24"/>
          <w:szCs w:val="24"/>
          <w:lang w:val="en-GB"/>
        </w:rPr>
      </w:pPr>
    </w:p>
    <w:p w:rsidR="35FB0622" w:rsidP="1EBCF505" w:rsidRDefault="35FB0622" w14:paraId="13102E01" w14:textId="3CBED932">
      <w:pPr>
        <w:spacing w:before="240" w:beforeAutospacing="off" w:after="240" w:afterAutospacing="off"/>
        <w:rPr>
          <w:rFonts w:ascii="Aptos" w:hAnsi="Aptos" w:eastAsia="Aptos" w:cs="Aptos"/>
          <w:b w:val="1"/>
          <w:bCs w:val="1"/>
          <w:noProof w:val="0"/>
          <w:sz w:val="24"/>
          <w:szCs w:val="24"/>
          <w:lang w:val="en-GB"/>
        </w:rPr>
      </w:pPr>
      <w:r w:rsidRPr="1EBCF505" w:rsidR="35FB0622">
        <w:rPr>
          <w:rFonts w:ascii="Aptos" w:hAnsi="Aptos" w:eastAsia="Aptos" w:cs="Aptos"/>
          <w:b w:val="1"/>
          <w:bCs w:val="1"/>
          <w:noProof w:val="0"/>
          <w:sz w:val="24"/>
          <w:szCs w:val="24"/>
          <w:lang w:val="en-GB"/>
        </w:rPr>
        <w:t>3.5 Government</w:t>
      </w:r>
    </w:p>
    <w:p w:rsidR="35FB0622" w:rsidP="31090FC7" w:rsidRDefault="35FB0622" w14:paraId="53F1DC8E" w14:textId="1ABC14AD">
      <w:pPr>
        <w:pStyle w:val="Normal"/>
        <w:spacing w:before="240" w:beforeAutospacing="off" w:after="240" w:afterAutospacing="off"/>
        <w:jc w:val="both"/>
      </w:pPr>
      <w:r w:rsidRPr="31090FC7" w:rsidR="7B618023">
        <w:rPr>
          <w:rFonts w:ascii="Aptos" w:hAnsi="Aptos" w:eastAsia="Aptos" w:cs="Aptos"/>
          <w:noProof w:val="0"/>
          <w:sz w:val="24"/>
          <w:szCs w:val="24"/>
          <w:lang w:val="en-GB"/>
        </w:rPr>
        <w:t>Although subsidies cannot replace competitive operations, the government can strengthen the Diamond by reducing investment risk and promoting the development of innovative factors. While the Critical Minerals Production Tax Incentive offers a refundable offset equal to 10% of eligible Australian processing expenditure starting on July 1, 2027, Australia's Critical Minerals Strategy 2023–2030 promotes processing and supply-chain development (Critical Minerals Office 2023; Department of Industry, Science and Resources 2026). The incentive enhances project economics, but how well it works will rely on whether businesses use the assistance to increase utilisation, improve skills, and lower unit costs instead of maintaining structurally uncompetitive capacity.</w:t>
      </w:r>
    </w:p>
    <w:p w:rsidR="6F8AC732" w:rsidP="31090FC7" w:rsidRDefault="6F8AC732" w14:paraId="2AF41E1C" w14:textId="5D52F0AA">
      <w:pPr>
        <w:pStyle w:val="Normal"/>
        <w:spacing w:before="240" w:beforeAutospacing="off" w:after="240" w:afterAutospacing="off"/>
        <w:jc w:val="both"/>
        <w:rPr>
          <w:rFonts w:ascii="Aptos" w:hAnsi="Aptos" w:eastAsia="Aptos" w:cs="Aptos"/>
          <w:noProof w:val="0"/>
          <w:sz w:val="24"/>
          <w:szCs w:val="24"/>
          <w:lang w:val="en-GB"/>
        </w:rPr>
      </w:pPr>
      <w:r w:rsidRPr="31090FC7" w:rsidR="054BC877">
        <w:rPr>
          <w:rFonts w:ascii="Aptos" w:hAnsi="Aptos" w:eastAsia="Aptos" w:cs="Aptos"/>
          <w:noProof w:val="0"/>
          <w:sz w:val="24"/>
          <w:szCs w:val="24"/>
          <w:lang w:val="en-GB"/>
        </w:rPr>
        <w:t xml:space="preserve">Additionally, the government has set aside A$1.2 billion to create a Critical Minerals Strategic Reserve, which is </w:t>
      </w:r>
      <w:r w:rsidRPr="31090FC7" w:rsidR="054BC877">
        <w:rPr>
          <w:rFonts w:ascii="Aptos" w:hAnsi="Aptos" w:eastAsia="Aptos" w:cs="Aptos"/>
          <w:noProof w:val="0"/>
          <w:sz w:val="24"/>
          <w:szCs w:val="24"/>
          <w:lang w:val="en-GB"/>
        </w:rPr>
        <w:t>anticipated</w:t>
      </w:r>
      <w:r w:rsidRPr="31090FC7" w:rsidR="054BC877">
        <w:rPr>
          <w:rFonts w:ascii="Aptos" w:hAnsi="Aptos" w:eastAsia="Aptos" w:cs="Aptos"/>
          <w:noProof w:val="0"/>
          <w:sz w:val="24"/>
          <w:szCs w:val="24"/>
          <w:lang w:val="en-GB"/>
        </w:rPr>
        <w:t xml:space="preserve"> to start operations in the second half of 2026 (Department of the Prime Minister and Cabinet 2025).</w:t>
      </w:r>
    </w:p>
    <w:p w:rsidR="1EBCF505" w:rsidP="1EBCF505" w:rsidRDefault="1EBCF505" w14:paraId="72883C6F" w14:textId="00B2B6E5">
      <w:pPr>
        <w:pStyle w:val="Normal"/>
        <w:spacing w:before="240" w:beforeAutospacing="off" w:after="240" w:afterAutospacing="off"/>
        <w:rPr>
          <w:rFonts w:ascii="Aptos" w:hAnsi="Aptos" w:eastAsia="Aptos" w:cs="Aptos"/>
          <w:noProof w:val="0"/>
          <w:sz w:val="24"/>
          <w:szCs w:val="24"/>
          <w:lang w:val="en-GB"/>
        </w:rPr>
      </w:pPr>
    </w:p>
    <w:p w:rsidR="1EBCF505" w:rsidP="1EBCF505" w:rsidRDefault="1EBCF505" w14:paraId="5D08B207" w14:textId="31E83D68">
      <w:pPr>
        <w:pStyle w:val="Normal"/>
        <w:spacing w:before="240" w:beforeAutospacing="off" w:after="240" w:afterAutospacing="off"/>
        <w:rPr>
          <w:rFonts w:ascii="Aptos" w:hAnsi="Aptos" w:eastAsia="Aptos" w:cs="Aptos"/>
          <w:noProof w:val="0"/>
          <w:sz w:val="24"/>
          <w:szCs w:val="24"/>
          <w:lang w:val="en-GB"/>
        </w:rPr>
      </w:pPr>
    </w:p>
    <w:p w:rsidR="31090FC7" w:rsidP="31090FC7" w:rsidRDefault="31090FC7" w14:paraId="0BE6A5B1" w14:textId="0B9ED19B">
      <w:pPr>
        <w:pStyle w:val="Normal"/>
        <w:spacing w:before="240" w:beforeAutospacing="off" w:after="240" w:afterAutospacing="off"/>
        <w:rPr>
          <w:rFonts w:ascii="Aptos" w:hAnsi="Aptos" w:eastAsia="Aptos" w:cs="Aptos"/>
          <w:b w:val="1"/>
          <w:bCs w:val="1"/>
          <w:noProof w:val="0"/>
          <w:sz w:val="24"/>
          <w:szCs w:val="24"/>
          <w:lang w:val="en-GB"/>
        </w:rPr>
      </w:pPr>
    </w:p>
    <w:p w:rsidR="2FF74345" w:rsidP="31090FC7" w:rsidRDefault="2FF74345" w14:paraId="3CA1F8B6" w14:textId="44BB5C28">
      <w:pPr>
        <w:pStyle w:val="Normal"/>
        <w:spacing w:before="240" w:beforeAutospacing="off" w:after="240" w:afterAutospacing="off"/>
        <w:rPr>
          <w:rFonts w:ascii="Aptos" w:hAnsi="Aptos" w:eastAsia="Aptos" w:cs="Aptos"/>
          <w:b w:val="1"/>
          <w:bCs w:val="1"/>
          <w:noProof w:val="0"/>
          <w:sz w:val="24"/>
          <w:szCs w:val="24"/>
          <w:lang w:val="en-GB"/>
        </w:rPr>
      </w:pPr>
      <w:r w:rsidRPr="31090FC7" w:rsidR="68D64F05">
        <w:rPr>
          <w:rFonts w:ascii="Aptos" w:hAnsi="Aptos" w:eastAsia="Aptos" w:cs="Aptos"/>
          <w:b w:val="1"/>
          <w:bCs w:val="1"/>
          <w:noProof w:val="0"/>
          <w:sz w:val="24"/>
          <w:szCs w:val="24"/>
          <w:lang w:val="en-GB"/>
        </w:rPr>
        <w:t xml:space="preserve">3.6 Chance and </w:t>
      </w:r>
      <w:r w:rsidRPr="31090FC7" w:rsidR="6C82452B">
        <w:rPr>
          <w:rFonts w:ascii="Aptos" w:hAnsi="Aptos" w:eastAsia="Aptos" w:cs="Aptos"/>
          <w:b w:val="1"/>
          <w:bCs w:val="1"/>
          <w:noProof w:val="0"/>
          <w:sz w:val="24"/>
          <w:szCs w:val="24"/>
          <w:lang w:val="en-GB"/>
        </w:rPr>
        <w:t xml:space="preserve">integrated </w:t>
      </w:r>
      <w:r w:rsidRPr="31090FC7" w:rsidR="68D64F05">
        <w:rPr>
          <w:rFonts w:ascii="Aptos" w:hAnsi="Aptos" w:eastAsia="Aptos" w:cs="Aptos"/>
          <w:b w:val="1"/>
          <w:bCs w:val="1"/>
          <w:noProof w:val="0"/>
          <w:sz w:val="24"/>
          <w:szCs w:val="24"/>
          <w:lang w:val="en-GB"/>
        </w:rPr>
        <w:t xml:space="preserve">Porter Diamond </w:t>
      </w:r>
      <w:r w:rsidRPr="31090FC7" w:rsidR="755CBF44">
        <w:rPr>
          <w:rFonts w:ascii="Aptos" w:hAnsi="Aptos" w:eastAsia="Aptos" w:cs="Aptos"/>
          <w:b w:val="1"/>
          <w:bCs w:val="1"/>
          <w:noProof w:val="0"/>
          <w:sz w:val="24"/>
          <w:szCs w:val="24"/>
          <w:lang w:val="en-GB"/>
        </w:rPr>
        <w:t>assessment</w:t>
      </w:r>
    </w:p>
    <w:p w:rsidR="1EBCF505" w:rsidP="31090FC7" w:rsidRDefault="1EBCF505" w14:paraId="304C8A59" w14:textId="4A510A4A">
      <w:pPr>
        <w:pStyle w:val="Normal"/>
        <w:jc w:val="both"/>
        <w:rPr>
          <w:rFonts w:ascii="Aptos" w:hAnsi="Aptos" w:eastAsia="Aptos" w:cs="Aptos"/>
          <w:b w:val="1"/>
          <w:bCs w:val="1"/>
          <w:noProof w:val="0"/>
          <w:sz w:val="24"/>
          <w:szCs w:val="24"/>
          <w:lang w:val="en-GB"/>
        </w:rPr>
      </w:pPr>
    </w:p>
    <w:p w:rsidR="5CCB4EF9" w:rsidP="31090FC7" w:rsidRDefault="5CCB4EF9" w14:paraId="705BA6D0" w14:textId="7E98A77C">
      <w:pPr>
        <w:pStyle w:val="Normal"/>
        <w:jc w:val="both"/>
      </w:pPr>
      <w:r w:rsidRPr="31090FC7" w:rsidR="3CB15940">
        <w:rPr>
          <w:rFonts w:ascii="Aptos" w:hAnsi="Aptos" w:eastAsia="Aptos" w:cs="Aptos"/>
          <w:b w:val="0"/>
          <w:bCs w:val="0"/>
          <w:noProof w:val="0"/>
          <w:sz w:val="24"/>
          <w:szCs w:val="24"/>
          <w:lang w:val="en-GB"/>
        </w:rPr>
        <w:t>Opportunity and danger are created by chance events. Refinery economics may be weakened by low mineral prices, alternative battery chemistries, and delayed adoption of electric vehicles, but export restrictions, geopolitical rivalry, and customer diversification policies may boost the value of Australian supply. These factors should be viewed as situations rather than as long-term sources of advantage because they are not directly under the control of businesses or the government.</w:t>
      </w:r>
    </w:p>
    <w:p w:rsidR="50CA1F5F" w:rsidP="31090FC7" w:rsidRDefault="50CA1F5F" w14:paraId="079B884E" w14:textId="1FE67C96">
      <w:pPr>
        <w:pStyle w:val="Normal"/>
        <w:jc w:val="both"/>
        <w:rPr>
          <w:rFonts w:ascii="Aptos" w:hAnsi="Aptos" w:eastAsia="Aptos" w:cs="Aptos"/>
          <w:b w:val="0"/>
          <w:bCs w:val="0"/>
          <w:noProof w:val="0"/>
          <w:sz w:val="24"/>
          <w:szCs w:val="24"/>
          <w:lang w:val="en-GB"/>
        </w:rPr>
      </w:pPr>
    </w:p>
    <w:p w:rsidR="4682C601" w:rsidP="31090FC7" w:rsidRDefault="4682C601" w14:paraId="29CE828E" w14:textId="7C1529D2">
      <w:pPr>
        <w:pStyle w:val="Normal"/>
        <w:jc w:val="both"/>
      </w:pPr>
      <w:r w:rsidRPr="31090FC7" w:rsidR="68E3011E">
        <w:rPr>
          <w:rFonts w:ascii="Aptos" w:hAnsi="Aptos" w:eastAsia="Aptos" w:cs="Aptos"/>
          <w:b w:val="0"/>
          <w:bCs w:val="0"/>
          <w:noProof w:val="0"/>
          <w:sz w:val="24"/>
          <w:szCs w:val="24"/>
          <w:lang w:val="en-GB"/>
        </w:rPr>
        <w:t>Since the report lacks an established weighing system, a qualitative judgement is more credible than the original numerical scoring. Firm strategy and rivalry are moderate because joint ventures facilitate investment while limited domestic rivalry lessens competitive pressure; demand conditions are strong globally but weak domestically; related industries are strong in mining and logistics but incomplete downstream; and factor conditions are strong at the basic level but only moderate at the advanced level.</w:t>
      </w:r>
    </w:p>
    <w:p w:rsidR="50CA1F5F" w:rsidP="31090FC7" w:rsidRDefault="50CA1F5F" w14:paraId="1B370131" w14:textId="235C6576">
      <w:pPr>
        <w:pStyle w:val="Normal"/>
        <w:jc w:val="both"/>
        <w:rPr>
          <w:rFonts w:ascii="Aptos" w:hAnsi="Aptos" w:eastAsia="Aptos" w:cs="Aptos"/>
          <w:b w:val="0"/>
          <w:bCs w:val="0"/>
          <w:noProof w:val="0"/>
          <w:sz w:val="24"/>
          <w:szCs w:val="24"/>
          <w:lang w:val="en-GB"/>
        </w:rPr>
      </w:pPr>
    </w:p>
    <w:p w:rsidR="4682C601" w:rsidP="31090FC7" w:rsidRDefault="4682C601" w14:paraId="79FB5FC1" w14:textId="5AC18A91">
      <w:pPr>
        <w:pStyle w:val="Normal"/>
        <w:jc w:val="both"/>
      </w:pPr>
      <w:r w:rsidRPr="31090FC7" w:rsidR="68E3011E">
        <w:rPr>
          <w:rFonts w:ascii="Aptos" w:hAnsi="Aptos" w:eastAsia="Aptos" w:cs="Aptos"/>
          <w:b w:val="0"/>
          <w:bCs w:val="0"/>
          <w:noProof w:val="0"/>
          <w:sz w:val="24"/>
          <w:szCs w:val="24"/>
          <w:lang w:val="en-GB"/>
        </w:rPr>
        <w:t>Additionally, the determinants interact. Inadequate domestic production of batteries and magnets limits supplier development and lowers sophisticated local demand. Consequently, the lack of a deep downstream cluster makes it more difficult to overcome high operational expenses and slows down technological learning. Although the Kwinana ramp-up shows that resource richness and policy support do not always result in internationally competitive conversion capabilities, government help can strengthen this position.</w:t>
      </w:r>
    </w:p>
    <w:p w:rsidR="50CA1F5F" w:rsidP="31090FC7" w:rsidRDefault="50CA1F5F" w14:paraId="6BFE5E6B" w14:textId="284F5841">
      <w:pPr>
        <w:pStyle w:val="Normal"/>
        <w:jc w:val="both"/>
        <w:rPr>
          <w:rFonts w:ascii="Aptos" w:hAnsi="Aptos" w:eastAsia="Aptos" w:cs="Aptos"/>
          <w:b w:val="0"/>
          <w:bCs w:val="0"/>
          <w:noProof w:val="0"/>
          <w:sz w:val="24"/>
          <w:szCs w:val="24"/>
          <w:lang w:val="en-GB"/>
        </w:rPr>
      </w:pPr>
    </w:p>
    <w:p w:rsidR="4682C601" w:rsidP="31090FC7" w:rsidRDefault="4682C601" w14:paraId="26089D38" w14:textId="42605191">
      <w:pPr>
        <w:pStyle w:val="Normal"/>
        <w:jc w:val="both"/>
      </w:pPr>
      <w:r w:rsidRPr="31090FC7" w:rsidR="68E3011E">
        <w:rPr>
          <w:rFonts w:ascii="Aptos" w:hAnsi="Aptos" w:eastAsia="Aptos" w:cs="Aptos"/>
          <w:b w:val="0"/>
          <w:bCs w:val="0"/>
          <w:noProof w:val="0"/>
          <w:sz w:val="24"/>
          <w:szCs w:val="24"/>
          <w:lang w:val="en-GB"/>
        </w:rPr>
        <w:t>In general, Australia does not have a clear cost advantage, but rather a conditional processing advantage. A distinctive position built on safe supply, confirmed ESG performance, and allied-market diversification is its best path to competitiveness. Measurable improvements in plant utilisation, conversion costs, product quality, skills, and downstream customer relationships are necessary for long-term success.</w:t>
      </w:r>
    </w:p>
    <w:p w:rsidR="1EBCF505" w:rsidP="31090FC7" w:rsidRDefault="1EBCF505" w14:paraId="3B55B383" w14:textId="3FF51C81">
      <w:pPr>
        <w:pStyle w:val="Normal"/>
        <w:jc w:val="both"/>
        <w:rPr>
          <w:rFonts w:ascii="Aptos" w:hAnsi="Aptos" w:eastAsia="Aptos" w:cs="Aptos"/>
          <w:b w:val="1"/>
          <w:bCs w:val="1"/>
          <w:noProof w:val="0"/>
          <w:sz w:val="24"/>
          <w:szCs w:val="24"/>
          <w:lang w:val="en-GB"/>
        </w:rPr>
      </w:pPr>
    </w:p>
    <w:p w:rsidR="6681407C" w:rsidP="31090FC7" w:rsidRDefault="6681407C" w14:paraId="26633E59" w14:textId="645D32D4">
      <w:pPr>
        <w:spacing w:before="240" w:beforeAutospacing="off" w:after="240" w:afterAutospacing="off"/>
        <w:jc w:val="both"/>
        <w:rPr>
          <w:rFonts w:ascii="Aptos" w:hAnsi="Aptos" w:eastAsia="Aptos" w:cs="Aptos"/>
          <w:noProof w:val="0"/>
          <w:sz w:val="24"/>
          <w:szCs w:val="24"/>
          <w:lang w:val="en-GB"/>
        </w:rPr>
      </w:pPr>
    </w:p>
    <w:p w:rsidR="1EBCF505" w:rsidP="1EBCF505" w:rsidRDefault="1EBCF505" w14:paraId="004F7248" w14:textId="67153999">
      <w:pPr>
        <w:pStyle w:val="Normal"/>
        <w:jc w:val="left"/>
        <w:rPr>
          <w:rFonts w:ascii="Aptos" w:hAnsi="Aptos" w:eastAsia="Aptos" w:cs="Aptos"/>
          <w:noProof w:val="0"/>
          <w:sz w:val="24"/>
          <w:szCs w:val="24"/>
          <w:lang w:val="en-GB"/>
        </w:rPr>
      </w:pPr>
    </w:p>
    <w:p w:rsidR="1EBCF505" w:rsidP="1EBCF505" w:rsidRDefault="1EBCF505" w14:paraId="6C5D0E6A" w14:textId="65C22AC2">
      <w:pPr>
        <w:pStyle w:val="Normal"/>
        <w:jc w:val="left"/>
        <w:rPr>
          <w:rFonts w:ascii="Aptos" w:hAnsi="Aptos" w:eastAsia="Aptos" w:cs="Aptos"/>
          <w:noProof w:val="0"/>
          <w:sz w:val="24"/>
          <w:szCs w:val="24"/>
          <w:lang w:val="en-GB"/>
        </w:rPr>
      </w:pPr>
    </w:p>
    <w:p w:rsidR="1EBCF505" w:rsidP="1EBCF505" w:rsidRDefault="1EBCF505" w14:paraId="5B4B1752" w14:textId="0EC4B9B7">
      <w:pPr>
        <w:pStyle w:val="Normal"/>
        <w:jc w:val="left"/>
        <w:rPr>
          <w:rFonts w:ascii="Aptos" w:hAnsi="Aptos" w:eastAsia="Aptos" w:cs="Aptos"/>
          <w:noProof w:val="0"/>
          <w:sz w:val="24"/>
          <w:szCs w:val="24"/>
          <w:lang w:val="en-GB"/>
        </w:rPr>
      </w:pPr>
    </w:p>
    <w:p w:rsidR="50CA1F5F" w:rsidP="50CA1F5F" w:rsidRDefault="50CA1F5F" w14:paraId="1E0A04F1" w14:textId="194F8FF0">
      <w:pPr>
        <w:pStyle w:val="Normal"/>
        <w:jc w:val="left"/>
        <w:rPr>
          <w:rFonts w:ascii="Aptos" w:hAnsi="Aptos" w:eastAsia="Aptos" w:cs="Aptos"/>
          <w:noProof w:val="0"/>
          <w:sz w:val="24"/>
          <w:szCs w:val="24"/>
          <w:lang w:val="en-GB"/>
        </w:rPr>
      </w:pPr>
    </w:p>
    <w:p w:rsidR="1EBCF505" w:rsidP="1EBCF505" w:rsidRDefault="1EBCF505" w14:paraId="2547E28F" w14:textId="0421EE23">
      <w:pPr>
        <w:pStyle w:val="Normal"/>
        <w:jc w:val="left"/>
        <w:rPr>
          <w:rFonts w:ascii="Aptos" w:hAnsi="Aptos" w:eastAsia="Aptos" w:cs="Aptos"/>
          <w:noProof w:val="0"/>
          <w:sz w:val="24"/>
          <w:szCs w:val="24"/>
          <w:lang w:val="en-GB"/>
        </w:rPr>
      </w:pPr>
    </w:p>
    <w:p w:rsidR="31090FC7" w:rsidP="31090FC7" w:rsidRDefault="31090FC7" w14:paraId="0B46BB51" w14:textId="5221B54F">
      <w:pPr>
        <w:pStyle w:val="Normal"/>
        <w:jc w:val="left"/>
        <w:rPr>
          <w:rFonts w:ascii="Aptos" w:hAnsi="Aptos" w:eastAsia="Aptos" w:cs="Aptos"/>
          <w:noProof w:val="0"/>
          <w:sz w:val="24"/>
          <w:szCs w:val="24"/>
          <w:lang w:val="en-GB"/>
        </w:rPr>
      </w:pPr>
    </w:p>
    <w:p w:rsidR="31090FC7" w:rsidP="31090FC7" w:rsidRDefault="31090FC7" w14:paraId="64430F08" w14:textId="7C1D90EB">
      <w:pPr>
        <w:pStyle w:val="Normal"/>
        <w:jc w:val="left"/>
        <w:rPr>
          <w:rFonts w:ascii="Aptos" w:hAnsi="Aptos" w:eastAsia="Aptos" w:cs="Aptos"/>
          <w:noProof w:val="0"/>
          <w:sz w:val="24"/>
          <w:szCs w:val="24"/>
          <w:lang w:val="en-GB"/>
        </w:rPr>
      </w:pPr>
    </w:p>
    <w:p w:rsidR="31090FC7" w:rsidP="31090FC7" w:rsidRDefault="31090FC7" w14:paraId="4D70A9B4" w14:textId="776664EF">
      <w:pPr>
        <w:pStyle w:val="Normal"/>
        <w:jc w:val="left"/>
        <w:rPr>
          <w:rFonts w:ascii="Aptos" w:hAnsi="Aptos" w:eastAsia="Aptos" w:cs="Aptos"/>
          <w:noProof w:val="0"/>
          <w:sz w:val="24"/>
          <w:szCs w:val="24"/>
          <w:lang w:val="en-GB"/>
        </w:rPr>
      </w:pPr>
    </w:p>
    <w:p w:rsidR="31090FC7" w:rsidP="31090FC7" w:rsidRDefault="31090FC7" w14:paraId="7672BE1F" w14:textId="62DC549B">
      <w:pPr>
        <w:pStyle w:val="Normal"/>
        <w:jc w:val="left"/>
        <w:rPr>
          <w:rFonts w:ascii="Aptos" w:hAnsi="Aptos" w:eastAsia="Aptos" w:cs="Aptos"/>
          <w:noProof w:val="0"/>
          <w:sz w:val="24"/>
          <w:szCs w:val="24"/>
          <w:lang w:val="en-GB"/>
        </w:rPr>
      </w:pPr>
    </w:p>
    <w:p w:rsidR="31090FC7" w:rsidP="31090FC7" w:rsidRDefault="31090FC7" w14:paraId="1AB2ED76" w14:textId="3A2F5674">
      <w:pPr>
        <w:pStyle w:val="Normal"/>
        <w:jc w:val="left"/>
        <w:rPr>
          <w:rFonts w:ascii="Aptos" w:hAnsi="Aptos" w:eastAsia="Aptos" w:cs="Aptos"/>
          <w:noProof w:val="0"/>
          <w:sz w:val="24"/>
          <w:szCs w:val="24"/>
          <w:lang w:val="en-GB"/>
        </w:rPr>
      </w:pPr>
    </w:p>
    <w:p w:rsidR="1EBCF505" w:rsidP="1EBCF505" w:rsidRDefault="1EBCF505" w14:paraId="06ACC226" w14:textId="7A952E5D">
      <w:pPr>
        <w:pStyle w:val="Normal"/>
        <w:jc w:val="left"/>
        <w:rPr>
          <w:rFonts w:ascii="Aptos" w:hAnsi="Aptos" w:eastAsia="Aptos" w:cs="Aptos"/>
          <w:noProof w:val="0"/>
          <w:sz w:val="24"/>
          <w:szCs w:val="24"/>
          <w:lang w:val="en-GB"/>
        </w:rPr>
      </w:pPr>
    </w:p>
    <w:p w:rsidR="40DFBA8D" w:rsidP="1EBCF505" w:rsidRDefault="40DFBA8D" w14:paraId="32D786C8" w14:textId="0F008FA9">
      <w:pPr>
        <w:pStyle w:val="Normal"/>
        <w:jc w:val="left"/>
        <w:rPr>
          <w:rFonts w:ascii="Aptos" w:hAnsi="Aptos" w:eastAsia="Aptos" w:cs="Aptos"/>
          <w:b w:val="1"/>
          <w:bCs w:val="1"/>
          <w:noProof w:val="0"/>
          <w:sz w:val="32"/>
          <w:szCs w:val="32"/>
          <w:lang w:val="en-GB"/>
        </w:rPr>
      </w:pPr>
      <w:r w:rsidRPr="1EBCF505" w:rsidR="40DFBA8D">
        <w:rPr>
          <w:rFonts w:ascii="Aptos" w:hAnsi="Aptos" w:eastAsia="Aptos" w:cs="Aptos"/>
          <w:b w:val="1"/>
          <w:bCs w:val="1"/>
          <w:noProof w:val="0"/>
          <w:sz w:val="32"/>
          <w:szCs w:val="32"/>
          <w:lang w:val="en-GB"/>
        </w:rPr>
        <w:t>4. Foreign MNC/TNC Analysis: Tianqi Lithium Corporation in Australia</w:t>
      </w:r>
    </w:p>
    <w:p w:rsidR="1EBCF505" w:rsidP="1EBCF505" w:rsidRDefault="1EBCF505" w14:paraId="5D8002F2" w14:textId="30E6E4D8">
      <w:pPr>
        <w:pStyle w:val="Normal"/>
        <w:jc w:val="left"/>
        <w:rPr>
          <w:rFonts w:ascii="Aptos" w:hAnsi="Aptos" w:eastAsia="Aptos" w:cs="Aptos"/>
          <w:noProof w:val="0"/>
          <w:sz w:val="24"/>
          <w:szCs w:val="24"/>
          <w:lang w:val="en-GB"/>
        </w:rPr>
      </w:pPr>
    </w:p>
    <w:p w:rsidR="68B8B56C" w:rsidP="4DF95668" w:rsidRDefault="68B8B56C" w14:paraId="6F108933" w14:textId="191068E6">
      <w:pPr>
        <w:pStyle w:val="Normal"/>
        <w:spacing w:before="240" w:beforeAutospacing="off" w:after="240" w:afterAutospacing="off"/>
        <w:jc w:val="both"/>
        <w:rPr>
          <w:rFonts w:ascii="Aptos" w:hAnsi="Aptos" w:eastAsia="Aptos" w:cs="Aptos"/>
          <w:b w:val="1"/>
          <w:bCs w:val="1"/>
          <w:noProof w:val="0"/>
          <w:sz w:val="24"/>
          <w:szCs w:val="24"/>
          <w:lang w:val="en-GB"/>
        </w:rPr>
      </w:pPr>
      <w:r w:rsidRPr="4DF95668" w:rsidR="68B8B56C">
        <w:rPr>
          <w:rFonts w:ascii="Aptos" w:hAnsi="Aptos" w:eastAsia="Aptos" w:cs="Aptos"/>
          <w:b w:val="1"/>
          <w:bCs w:val="1"/>
          <w:noProof w:val="0"/>
          <w:sz w:val="24"/>
          <w:szCs w:val="24"/>
          <w:lang w:val="en-GB"/>
        </w:rPr>
        <w:t xml:space="preserve">4.1 Company </w:t>
      </w:r>
      <w:r w:rsidRPr="4DF95668" w:rsidR="68B8B56C">
        <w:rPr>
          <w:rFonts w:ascii="Aptos" w:hAnsi="Aptos" w:eastAsia="Aptos" w:cs="Aptos"/>
          <w:b w:val="1"/>
          <w:bCs w:val="1"/>
          <w:noProof w:val="0"/>
          <w:sz w:val="24"/>
          <w:szCs w:val="24"/>
          <w:lang w:val="en-GB"/>
        </w:rPr>
        <w:t>selection</w:t>
      </w:r>
    </w:p>
    <w:p w:rsidR="3A999DE1" w:rsidP="31090FC7" w:rsidRDefault="3A999DE1" w14:paraId="50CE4A07" w14:textId="33EEBCEF">
      <w:pPr>
        <w:pStyle w:val="Normal"/>
        <w:spacing w:before="240" w:beforeAutospacing="off" w:after="240" w:afterAutospacing="off"/>
        <w:jc w:val="left"/>
        <w:rPr>
          <w:rFonts w:ascii="Aptos" w:hAnsi="Aptos" w:eastAsia="Aptos" w:cs="Aptos"/>
          <w:b w:val="0"/>
          <w:bCs w:val="0"/>
          <w:noProof w:val="0"/>
          <w:sz w:val="24"/>
          <w:szCs w:val="24"/>
          <w:lang w:val="en-GB"/>
        </w:rPr>
      </w:pPr>
      <w:r w:rsidRPr="31090FC7" w:rsidR="74E7BB5C">
        <w:rPr>
          <w:rFonts w:ascii="Aptos" w:hAnsi="Aptos" w:eastAsia="Aptos" w:cs="Aptos"/>
          <w:b w:val="0"/>
          <w:bCs w:val="0"/>
          <w:noProof w:val="0"/>
          <w:sz w:val="24"/>
          <w:szCs w:val="24"/>
          <w:lang w:val="en-GB"/>
        </w:rPr>
        <w:t xml:space="preserve">Tianqi Lithium Corporation, a Chinese multinational that </w:t>
      </w:r>
      <w:r w:rsidRPr="31090FC7" w:rsidR="74E7BB5C">
        <w:rPr>
          <w:rFonts w:ascii="Aptos" w:hAnsi="Aptos" w:eastAsia="Aptos" w:cs="Aptos"/>
          <w:b w:val="0"/>
          <w:bCs w:val="0"/>
          <w:noProof w:val="0"/>
          <w:sz w:val="24"/>
          <w:szCs w:val="24"/>
          <w:lang w:val="en-GB"/>
        </w:rPr>
        <w:t>operates</w:t>
      </w:r>
      <w:r w:rsidRPr="31090FC7" w:rsidR="74E7BB5C">
        <w:rPr>
          <w:rFonts w:ascii="Aptos" w:hAnsi="Aptos" w:eastAsia="Aptos" w:cs="Aptos"/>
          <w:b w:val="0"/>
          <w:bCs w:val="0"/>
          <w:noProof w:val="0"/>
          <w:sz w:val="24"/>
          <w:szCs w:val="24"/>
          <w:lang w:val="en-GB"/>
        </w:rPr>
        <w:t xml:space="preserve"> in Australia through Tianqi Lithium Energy Australia (TLEA), is the chosen foreign MNC. TLEA is significant since it </w:t>
      </w:r>
      <w:r w:rsidRPr="31090FC7" w:rsidR="74E7BB5C">
        <w:rPr>
          <w:rFonts w:ascii="Aptos" w:hAnsi="Aptos" w:eastAsia="Aptos" w:cs="Aptos"/>
          <w:b w:val="0"/>
          <w:bCs w:val="0"/>
          <w:noProof w:val="0"/>
          <w:sz w:val="24"/>
          <w:szCs w:val="24"/>
          <w:lang w:val="en-GB"/>
        </w:rPr>
        <w:t>participates</w:t>
      </w:r>
      <w:r w:rsidRPr="31090FC7" w:rsidR="74E7BB5C">
        <w:rPr>
          <w:rFonts w:ascii="Aptos" w:hAnsi="Aptos" w:eastAsia="Aptos" w:cs="Aptos"/>
          <w:b w:val="0"/>
          <w:bCs w:val="0"/>
          <w:noProof w:val="0"/>
          <w:sz w:val="24"/>
          <w:szCs w:val="24"/>
          <w:lang w:val="en-GB"/>
        </w:rPr>
        <w:t xml:space="preserve"> in both the mining of lithium and the processing of vital minerals. Australia's transition to downstream battery mineral processing is aided by its Kwinana lithium hydroxide refinery in Western Australia, which transforms spodumene concentrate into battery-grade lithium hydroxide.</w:t>
      </w:r>
      <w:r w:rsidRPr="31090FC7" w:rsidR="74E7BB5C">
        <w:rPr>
          <w:rFonts w:ascii="Aptos" w:hAnsi="Aptos" w:eastAsia="Aptos" w:cs="Aptos"/>
          <w:b w:val="0"/>
          <w:bCs w:val="0"/>
          <w:noProof w:val="0"/>
          <w:sz w:val="24"/>
          <w:szCs w:val="24"/>
          <w:lang w:val="en-GB"/>
        </w:rPr>
        <w:t xml:space="preserve"> Tianqi’s Australian operations are strategically significant because they connect the upstream </w:t>
      </w:r>
      <w:r w:rsidRPr="31090FC7" w:rsidR="74E7BB5C">
        <w:rPr>
          <w:rFonts w:ascii="Aptos" w:hAnsi="Aptos" w:eastAsia="Aptos" w:cs="Aptos"/>
          <w:b w:val="0"/>
          <w:bCs w:val="0"/>
          <w:noProof w:val="0"/>
          <w:sz w:val="24"/>
          <w:szCs w:val="24"/>
          <w:lang w:val="en-GB"/>
        </w:rPr>
        <w:t>Greenbushes lithium mine</w:t>
      </w:r>
      <w:r w:rsidRPr="31090FC7" w:rsidR="74E7BB5C">
        <w:rPr>
          <w:rFonts w:ascii="Aptos" w:hAnsi="Aptos" w:eastAsia="Aptos" w:cs="Aptos"/>
          <w:b w:val="0"/>
          <w:bCs w:val="0"/>
          <w:noProof w:val="0"/>
          <w:sz w:val="24"/>
          <w:szCs w:val="24"/>
          <w:lang w:val="en-GB"/>
        </w:rPr>
        <w:t xml:space="preserve">, one of the world’s most important lithium sources, with downstream processing at Kwinana. IGO states that Tianqi owns </w:t>
      </w:r>
      <w:r w:rsidRPr="31090FC7" w:rsidR="74E7BB5C">
        <w:rPr>
          <w:rFonts w:ascii="Aptos" w:hAnsi="Aptos" w:eastAsia="Aptos" w:cs="Aptos"/>
          <w:b w:val="0"/>
          <w:bCs w:val="0"/>
          <w:noProof w:val="0"/>
          <w:sz w:val="24"/>
          <w:szCs w:val="24"/>
          <w:lang w:val="en-GB"/>
        </w:rPr>
        <w:t>51% of TLEA</w:t>
      </w:r>
      <w:r w:rsidRPr="31090FC7" w:rsidR="74E7BB5C">
        <w:rPr>
          <w:rFonts w:ascii="Aptos" w:hAnsi="Aptos" w:eastAsia="Aptos" w:cs="Aptos"/>
          <w:b w:val="0"/>
          <w:bCs w:val="0"/>
          <w:noProof w:val="0"/>
          <w:sz w:val="24"/>
          <w:szCs w:val="24"/>
          <w:lang w:val="en-GB"/>
        </w:rPr>
        <w:t xml:space="preserve">, while </w:t>
      </w:r>
      <w:r w:rsidRPr="31090FC7" w:rsidR="74E7BB5C">
        <w:rPr>
          <w:rFonts w:ascii="Aptos" w:hAnsi="Aptos" w:eastAsia="Aptos" w:cs="Aptos"/>
          <w:b w:val="0"/>
          <w:bCs w:val="0"/>
          <w:noProof w:val="0"/>
          <w:sz w:val="24"/>
          <w:szCs w:val="24"/>
          <w:lang w:val="en-GB"/>
        </w:rPr>
        <w:t>IGO owns 49%</w:t>
      </w:r>
      <w:r w:rsidRPr="31090FC7" w:rsidR="133BF025">
        <w:rPr>
          <w:rFonts w:ascii="Aptos" w:hAnsi="Aptos" w:eastAsia="Aptos" w:cs="Aptos"/>
          <w:b w:val="0"/>
          <w:bCs w:val="0"/>
          <w:noProof w:val="0"/>
          <w:sz w:val="24"/>
          <w:szCs w:val="24"/>
          <w:lang w:val="en-GB"/>
        </w:rPr>
        <w:t xml:space="preserve"> </w:t>
      </w:r>
      <w:r w:rsidRPr="31090FC7" w:rsidR="133BF025">
        <w:rPr>
          <w:rFonts w:ascii="Aptos" w:hAnsi="Aptos" w:eastAsia="Aptos" w:cs="Aptos"/>
          <w:b w:val="0"/>
          <w:bCs w:val="0"/>
          <w:noProof w:val="0"/>
          <w:sz w:val="24"/>
          <w:szCs w:val="24"/>
          <w:lang w:val="en-GB"/>
        </w:rPr>
        <w:t xml:space="preserve">(IGO </w:t>
      </w:r>
      <w:r w:rsidRPr="31090FC7" w:rsidR="133BF025">
        <w:rPr>
          <w:rFonts w:ascii="Aptos" w:hAnsi="Aptos" w:eastAsia="Aptos" w:cs="Aptos"/>
          <w:b w:val="0"/>
          <w:bCs w:val="0"/>
          <w:noProof w:val="0"/>
          <w:sz w:val="24"/>
          <w:szCs w:val="24"/>
          <w:lang w:val="en-GB"/>
        </w:rPr>
        <w:t>Limited )</w:t>
      </w:r>
      <w:r w:rsidRPr="31090FC7" w:rsidR="133BF025">
        <w:rPr>
          <w:rFonts w:ascii="Aptos" w:hAnsi="Aptos" w:eastAsia="Aptos" w:cs="Aptos"/>
          <w:b w:val="0"/>
          <w:bCs w:val="0"/>
          <w:noProof w:val="0"/>
          <w:sz w:val="24"/>
          <w:szCs w:val="24"/>
          <w:lang w:val="en-GB"/>
        </w:rPr>
        <w:t>, (Young 2020) (Chemical Week 2021)</w:t>
      </w:r>
      <w:r w:rsidRPr="31090FC7" w:rsidR="74E7BB5C">
        <w:rPr>
          <w:rFonts w:ascii="Aptos" w:hAnsi="Aptos" w:eastAsia="Aptos" w:cs="Aptos"/>
          <w:b w:val="0"/>
          <w:bCs w:val="0"/>
          <w:noProof w:val="0"/>
          <w:sz w:val="24"/>
          <w:szCs w:val="24"/>
          <w:lang w:val="en-GB"/>
        </w:rPr>
        <w:t xml:space="preserve">, reflecting a major joint venture structure. The Western Australian Government has reported that the Kwinana plant has a </w:t>
      </w:r>
      <w:r w:rsidRPr="31090FC7" w:rsidR="74E7BB5C">
        <w:rPr>
          <w:rFonts w:ascii="Aptos" w:hAnsi="Aptos" w:eastAsia="Aptos" w:cs="Aptos"/>
          <w:b w:val="0"/>
          <w:bCs w:val="0"/>
          <w:noProof w:val="0"/>
          <w:sz w:val="24"/>
          <w:szCs w:val="24"/>
          <w:lang w:val="en-GB"/>
        </w:rPr>
        <w:t>24,000-tonne nameplate capacity</w:t>
      </w:r>
      <w:r w:rsidRPr="31090FC7" w:rsidR="74E7BB5C">
        <w:rPr>
          <w:rFonts w:ascii="Aptos" w:hAnsi="Aptos" w:eastAsia="Aptos" w:cs="Aptos"/>
          <w:b w:val="0"/>
          <w:bCs w:val="0"/>
          <w:noProof w:val="0"/>
          <w:sz w:val="24"/>
          <w:szCs w:val="24"/>
          <w:lang w:val="en-GB"/>
        </w:rPr>
        <w:t xml:space="preserve">, created more than </w:t>
      </w:r>
      <w:r w:rsidRPr="31090FC7" w:rsidR="74E7BB5C">
        <w:rPr>
          <w:rFonts w:ascii="Aptos" w:hAnsi="Aptos" w:eastAsia="Aptos" w:cs="Aptos"/>
          <w:b w:val="0"/>
          <w:bCs w:val="0"/>
          <w:noProof w:val="0"/>
          <w:sz w:val="24"/>
          <w:szCs w:val="24"/>
          <w:lang w:val="en-GB"/>
        </w:rPr>
        <w:t>900 construction jobs</w:t>
      </w:r>
      <w:r w:rsidRPr="31090FC7" w:rsidR="74E7BB5C">
        <w:rPr>
          <w:rFonts w:ascii="Aptos" w:hAnsi="Aptos" w:eastAsia="Aptos" w:cs="Aptos"/>
          <w:b w:val="0"/>
          <w:bCs w:val="0"/>
          <w:noProof w:val="0"/>
          <w:sz w:val="24"/>
          <w:szCs w:val="24"/>
          <w:lang w:val="en-GB"/>
        </w:rPr>
        <w:t xml:space="preserve">, and employed around </w:t>
      </w:r>
      <w:r w:rsidRPr="31090FC7" w:rsidR="74E7BB5C">
        <w:rPr>
          <w:rFonts w:ascii="Aptos" w:hAnsi="Aptos" w:eastAsia="Aptos" w:cs="Aptos"/>
          <w:b w:val="0"/>
          <w:bCs w:val="0"/>
          <w:noProof w:val="0"/>
          <w:sz w:val="24"/>
          <w:szCs w:val="24"/>
          <w:lang w:val="en-GB"/>
        </w:rPr>
        <w:t>200 staff</w:t>
      </w:r>
      <w:r w:rsidRPr="31090FC7" w:rsidR="74E7BB5C">
        <w:rPr>
          <w:rFonts w:ascii="Aptos" w:hAnsi="Aptos" w:eastAsia="Aptos" w:cs="Aptos"/>
          <w:b w:val="0"/>
          <w:bCs w:val="0"/>
          <w:noProof w:val="0"/>
          <w:sz w:val="24"/>
          <w:szCs w:val="24"/>
          <w:lang w:val="en-GB"/>
        </w:rPr>
        <w:t xml:space="preserve"> when it produced Australia’s first battery-grade lithium hydroxide</w:t>
      </w:r>
      <w:r w:rsidRPr="31090FC7" w:rsidR="6008749D">
        <w:rPr>
          <w:rFonts w:ascii="Aptos" w:hAnsi="Aptos" w:eastAsia="Aptos" w:cs="Aptos"/>
          <w:b w:val="0"/>
          <w:bCs w:val="0"/>
          <w:noProof w:val="0"/>
          <w:sz w:val="24"/>
          <w:szCs w:val="24"/>
          <w:lang w:val="en-GB"/>
        </w:rPr>
        <w:t xml:space="preserve"> (Government of Western Australia 2022).</w:t>
      </w:r>
    </w:p>
    <w:p w:rsidR="3A999DE1" w:rsidP="31090FC7" w:rsidRDefault="3A999DE1" w14:paraId="7B969253" w14:textId="6A52D2D7">
      <w:pPr>
        <w:spacing w:before="240" w:beforeAutospacing="off" w:after="240" w:afterAutospacing="off"/>
        <w:jc w:val="left"/>
      </w:pPr>
      <w:r w:rsidRPr="31090FC7" w:rsidR="74E7BB5C">
        <w:rPr>
          <w:rFonts w:ascii="Aptos" w:hAnsi="Aptos" w:eastAsia="Aptos" w:cs="Aptos"/>
          <w:noProof w:val="0"/>
          <w:sz w:val="24"/>
          <w:szCs w:val="24"/>
          <w:lang w:val="en-GB"/>
        </w:rPr>
        <w:t xml:space="preserve">Overall, Tianqi Lithium is a major foreign investor in Australia’s lithium sector. Through its stake in Greenbushes and its involvement in the Kwinana refinery, Tianqi plays </w:t>
      </w:r>
      <w:r w:rsidRPr="31090FC7" w:rsidR="74E7BB5C">
        <w:rPr>
          <w:rFonts w:ascii="Aptos" w:hAnsi="Aptos" w:eastAsia="Aptos" w:cs="Aptos"/>
          <w:noProof w:val="0"/>
          <w:sz w:val="24"/>
          <w:szCs w:val="24"/>
          <w:lang w:val="en-GB"/>
        </w:rPr>
        <w:t>an important role</w:t>
      </w:r>
      <w:r w:rsidRPr="31090FC7" w:rsidR="74E7BB5C">
        <w:rPr>
          <w:rFonts w:ascii="Aptos" w:hAnsi="Aptos" w:eastAsia="Aptos" w:cs="Aptos"/>
          <w:noProof w:val="0"/>
          <w:sz w:val="24"/>
          <w:szCs w:val="24"/>
          <w:lang w:val="en-GB"/>
        </w:rPr>
        <w:t xml:space="preserve"> in linking lithium mining with processing and strengthening Australia’s position in the global battery supply chain.</w:t>
      </w:r>
    </w:p>
    <w:p w:rsidR="1EBCF505" w:rsidP="1EBCF505" w:rsidRDefault="1EBCF505" w14:paraId="79AE24FE" w14:textId="64C81B20">
      <w:pPr>
        <w:spacing w:before="240" w:beforeAutospacing="off" w:after="240" w:afterAutospacing="off"/>
        <w:jc w:val="left"/>
        <w:rPr>
          <w:rFonts w:ascii="Aptos" w:hAnsi="Aptos" w:eastAsia="Aptos" w:cs="Aptos"/>
          <w:noProof w:val="0"/>
          <w:sz w:val="24"/>
          <w:szCs w:val="24"/>
          <w:lang w:val="en-GB"/>
        </w:rPr>
      </w:pPr>
    </w:p>
    <w:p w:rsidR="0B80DBAC" w:rsidP="1EBCF505" w:rsidRDefault="0B80DBAC" w14:paraId="5FE03366" w14:textId="7DC801F0">
      <w:pPr>
        <w:pStyle w:val="Normal"/>
        <w:spacing w:before="240" w:beforeAutospacing="off" w:after="240" w:afterAutospacing="off"/>
        <w:jc w:val="left"/>
        <w:rPr>
          <w:rFonts w:ascii="Aptos" w:hAnsi="Aptos" w:eastAsia="Aptos" w:cs="Aptos"/>
          <w:b w:val="1"/>
          <w:bCs w:val="1"/>
          <w:noProof w:val="0"/>
          <w:sz w:val="24"/>
          <w:szCs w:val="24"/>
          <w:lang w:val="en-GB"/>
        </w:rPr>
      </w:pPr>
      <w:r w:rsidRPr="1EBCF505" w:rsidR="0B80DBAC">
        <w:rPr>
          <w:rFonts w:ascii="Aptos" w:hAnsi="Aptos" w:eastAsia="Aptos" w:cs="Aptos"/>
          <w:b w:val="1"/>
          <w:bCs w:val="1"/>
          <w:noProof w:val="0"/>
          <w:sz w:val="24"/>
          <w:szCs w:val="24"/>
          <w:lang w:val="en-GB"/>
        </w:rPr>
        <w:t>4.2 Political factors</w:t>
      </w:r>
    </w:p>
    <w:p w:rsidR="1EBCF505" w:rsidP="31090FC7" w:rsidRDefault="1EBCF505" w14:paraId="31EE6253" w14:textId="0A2FD434">
      <w:pPr>
        <w:pStyle w:val="Normal"/>
        <w:spacing w:before="240" w:beforeAutospacing="off" w:after="240" w:afterAutospacing="off"/>
        <w:jc w:val="left"/>
        <w:rPr>
          <w:rFonts w:ascii="Aptos" w:hAnsi="Aptos" w:eastAsia="Aptos" w:cs="Aptos"/>
          <w:b w:val="1"/>
          <w:bCs w:val="1"/>
          <w:noProof w:val="0"/>
          <w:sz w:val="24"/>
          <w:szCs w:val="24"/>
          <w:lang w:val="en-GB"/>
        </w:rPr>
      </w:pPr>
    </w:p>
    <w:p w:rsidR="7F28F470" w:rsidP="31090FC7" w:rsidRDefault="7F28F470" w14:paraId="534496D0" w14:textId="2BFE1391">
      <w:pPr>
        <w:pStyle w:val="Normal"/>
        <w:spacing w:before="240" w:beforeAutospacing="off" w:after="240" w:afterAutospacing="off"/>
        <w:jc w:val="left"/>
        <w:rPr>
          <w:rFonts w:ascii="Aptos" w:hAnsi="Aptos" w:eastAsia="Aptos" w:cs="Aptos"/>
          <w:b w:val="1"/>
          <w:bCs w:val="1"/>
          <w:noProof w:val="0"/>
          <w:sz w:val="24"/>
          <w:szCs w:val="24"/>
          <w:lang w:val="en-GB"/>
        </w:rPr>
      </w:pPr>
      <w:r w:rsidRPr="31090FC7" w:rsidR="0DAE994D">
        <w:rPr>
          <w:rFonts w:ascii="Aptos" w:hAnsi="Aptos" w:eastAsia="Aptos" w:cs="Aptos"/>
          <w:b w:val="0"/>
          <w:bCs w:val="0"/>
          <w:noProof w:val="0"/>
          <w:sz w:val="24"/>
          <w:szCs w:val="24"/>
          <w:lang w:val="en-GB"/>
        </w:rPr>
        <w:t>Tianqi gains politically from Australia's robust backing of vital mineral processing. The Australian government aims to decrease reliance on concentrated global supply chains, boost supply-chain resilience, and promote downstream processing</w:t>
      </w:r>
      <w:r w:rsidRPr="31090FC7" w:rsidR="47ED7B4A">
        <w:rPr>
          <w:rFonts w:ascii="Aptos" w:hAnsi="Aptos" w:eastAsia="Aptos" w:cs="Aptos"/>
          <w:noProof w:val="0"/>
          <w:sz w:val="24"/>
          <w:szCs w:val="24"/>
          <w:lang w:val="en-GB"/>
        </w:rPr>
        <w:t xml:space="preserve"> (Critical Minerals Office 2023)</w:t>
      </w:r>
      <w:r w:rsidRPr="31090FC7" w:rsidR="0DAE994D">
        <w:rPr>
          <w:rFonts w:ascii="Aptos" w:hAnsi="Aptos" w:eastAsia="Aptos" w:cs="Aptos"/>
          <w:b w:val="0"/>
          <w:bCs w:val="0"/>
          <w:noProof w:val="0"/>
          <w:sz w:val="24"/>
          <w:szCs w:val="24"/>
          <w:lang w:val="en-GB"/>
        </w:rPr>
        <w:t>. Because Tianqi's Kwinana refinery complements Australia's goal to generate more value domestically, this creates a beneficial policy climate for the company.</w:t>
      </w:r>
    </w:p>
    <w:p w:rsidR="7432D632" w:rsidP="31090FC7" w:rsidRDefault="7432D632" w14:paraId="48248A12" w14:textId="081A0240">
      <w:pPr>
        <w:pStyle w:val="Normal"/>
        <w:spacing w:before="240" w:beforeAutospacing="off" w:after="240" w:afterAutospacing="off"/>
        <w:jc w:val="left"/>
        <w:rPr>
          <w:rFonts w:ascii="Aptos" w:hAnsi="Aptos" w:eastAsia="Aptos" w:cs="Aptos"/>
          <w:b w:val="0"/>
          <w:bCs w:val="0"/>
          <w:noProof w:val="0"/>
          <w:sz w:val="24"/>
          <w:szCs w:val="24"/>
          <w:lang w:val="en-GB"/>
        </w:rPr>
      </w:pPr>
      <w:r w:rsidRPr="31090FC7" w:rsidR="5736B4A5">
        <w:rPr>
          <w:rFonts w:ascii="Aptos" w:hAnsi="Aptos" w:eastAsia="Aptos" w:cs="Aptos"/>
          <w:b w:val="0"/>
          <w:bCs w:val="0"/>
          <w:noProof w:val="0"/>
          <w:sz w:val="24"/>
          <w:szCs w:val="24"/>
          <w:lang w:val="en-GB"/>
        </w:rPr>
        <w:t>But because Tianqi is a Chinese multinational corporation operating in a field that is becoming more and more connected to national security, it also confronts political danger. According to Australia's foreign investment guidelines, investments in key minerals are often scrutinised more closely during the screening process (Australian Government 2026). According to Australia's national security guidelines, foreign investment may be risky if it gives investors access to or influence over sensitive assets and organisations (Foreign Investment Review Board 2023).</w:t>
      </w:r>
    </w:p>
    <w:p w:rsidR="6AED1824" w:rsidP="31090FC7" w:rsidRDefault="6AED1824" w14:paraId="5D3069BE" w14:textId="224F31B5">
      <w:pPr>
        <w:pStyle w:val="Normal"/>
        <w:spacing w:before="240" w:beforeAutospacing="off" w:after="240" w:afterAutospacing="off"/>
        <w:jc w:val="both"/>
        <w:rPr>
          <w:rFonts w:ascii="Aptos" w:hAnsi="Aptos" w:eastAsia="Aptos" w:cs="Aptos"/>
          <w:b w:val="0"/>
          <w:bCs w:val="0"/>
          <w:noProof w:val="0"/>
          <w:sz w:val="24"/>
          <w:szCs w:val="24"/>
          <w:lang w:val="en-GB"/>
        </w:rPr>
      </w:pPr>
      <w:r w:rsidRPr="31090FC7" w:rsidR="66F9F1D0">
        <w:rPr>
          <w:rFonts w:ascii="Aptos" w:hAnsi="Aptos" w:eastAsia="Aptos" w:cs="Aptos"/>
          <w:b w:val="0"/>
          <w:bCs w:val="0"/>
          <w:noProof w:val="0"/>
          <w:sz w:val="24"/>
          <w:szCs w:val="24"/>
          <w:lang w:val="en-GB"/>
        </w:rPr>
        <w:t>TLEA must demonstrate how its operations safeguard national security interests while producing transparent Australian value. Timely clearance of foreign investments, open reporting on feedstock and processing, auditable local employment and procurement, unambiguous Tianqi-IGO governance, and environmental compliance are among the priorities. While these steps can lessen delays and improve alignment with Australian supply-chain goals, they cannot eliminate geopolitical scrutiny (Foreign Investment Review Board 2023; Australian Government 2026).</w:t>
      </w:r>
    </w:p>
    <w:p w:rsidR="5419C26A" w:rsidP="1EBCF505" w:rsidRDefault="5419C26A" w14:paraId="4AC7C24D" w14:textId="5F8A58E6">
      <w:pPr>
        <w:pStyle w:val="Normal"/>
        <w:spacing w:before="240" w:beforeAutospacing="off" w:after="240" w:afterAutospacing="off"/>
        <w:jc w:val="both"/>
        <w:rPr>
          <w:rFonts w:ascii="Aptos" w:hAnsi="Aptos" w:eastAsia="Aptos" w:cs="Aptos"/>
          <w:b w:val="1"/>
          <w:bCs w:val="1"/>
          <w:noProof w:val="0"/>
          <w:sz w:val="24"/>
          <w:szCs w:val="24"/>
          <w:lang w:val="en-GB"/>
        </w:rPr>
      </w:pPr>
      <w:r w:rsidRPr="0909F6A8" w:rsidR="0773F201">
        <w:rPr>
          <w:rFonts w:ascii="Aptos" w:hAnsi="Aptos" w:eastAsia="Aptos" w:cs="Aptos"/>
          <w:b w:val="1"/>
          <w:bCs w:val="1"/>
          <w:noProof w:val="0"/>
          <w:sz w:val="24"/>
          <w:szCs w:val="24"/>
          <w:lang w:val="en-GB"/>
        </w:rPr>
        <w:t>4.3 Economic factors</w:t>
      </w:r>
    </w:p>
    <w:p w:rsidR="41AB35F8" w:rsidP="31090FC7" w:rsidRDefault="41AB35F8" w14:paraId="06AB47A9" w14:textId="24D9FE89">
      <w:pPr>
        <w:pStyle w:val="Normal"/>
        <w:spacing w:before="240" w:beforeAutospacing="off" w:after="240" w:afterAutospacing="off"/>
        <w:jc w:val="both"/>
        <w:rPr>
          <w:rFonts w:ascii="Aptos" w:hAnsi="Aptos" w:eastAsia="Aptos" w:cs="Aptos"/>
          <w:b w:val="0"/>
          <w:bCs w:val="0"/>
          <w:noProof w:val="0"/>
          <w:sz w:val="24"/>
          <w:szCs w:val="24"/>
          <w:lang w:val="en-GB"/>
        </w:rPr>
      </w:pPr>
      <w:r w:rsidRPr="31090FC7" w:rsidR="10A21913">
        <w:rPr>
          <w:rFonts w:ascii="Aptos" w:hAnsi="Aptos" w:eastAsia="Aptos" w:cs="Aptos"/>
          <w:b w:val="0"/>
          <w:bCs w:val="0"/>
          <w:noProof w:val="0"/>
          <w:sz w:val="24"/>
          <w:szCs w:val="24"/>
          <w:lang w:val="en-GB"/>
        </w:rPr>
        <w:t>Australia has reliable institutions, but it's an expensive place for a refinery that requires a lot of capital. While the cash rate was 4.35% and annual CPI inflation was 4.0% in mid-2026, GDP increased by 2.5% over the year ending in March 2026 (Australian Bureau of Statistics 2026a; Reserve Bank of Australia 2026). Inflation raises operational costs, higher rates create obstacles to expansion, and changes in currency rates have an impact on imported equipment and export earnings.</w:t>
      </w:r>
    </w:p>
    <w:p w:rsidR="41AB35F8" w:rsidP="31090FC7" w:rsidRDefault="41AB35F8" w14:paraId="201C9D44" w14:textId="281ECABE">
      <w:pPr>
        <w:pStyle w:val="Normal"/>
        <w:spacing w:before="240" w:beforeAutospacing="off" w:after="240" w:afterAutospacing="off"/>
        <w:jc w:val="both"/>
        <w:rPr>
          <w:rFonts w:ascii="Aptos" w:hAnsi="Aptos" w:eastAsia="Aptos" w:cs="Aptos"/>
          <w:b w:val="1"/>
          <w:bCs w:val="1"/>
          <w:noProof w:val="0"/>
          <w:sz w:val="24"/>
          <w:szCs w:val="24"/>
          <w:lang w:val="en-GB"/>
        </w:rPr>
      </w:pPr>
      <w:r w:rsidRPr="31090FC7" w:rsidR="10A21913">
        <w:rPr>
          <w:rFonts w:ascii="Aptos" w:hAnsi="Aptos" w:eastAsia="Aptos" w:cs="Aptos"/>
          <w:b w:val="0"/>
          <w:bCs w:val="0"/>
          <w:noProof w:val="0"/>
          <w:sz w:val="24"/>
          <w:szCs w:val="24"/>
          <w:lang w:val="en-GB"/>
        </w:rPr>
        <w:t>Another source of cost pressure is labour. In November 2025, full-time miners made an average of A$3,174.40 per week, while manufacturing workers made A$1,833.40 (Australian Bureau of Statistics 2026b). Although Western Australian infrastructure and Greenbushes feedstock are beneficial to TLEA, Kwinana only generated 6,782 tonnes in FY2025. Despite its 24,000-ton capacity, conversion costs decreased from A$33,748 to A$22,748 per tonne (IGO Limited 2025).</w:t>
      </w:r>
    </w:p>
    <w:p w:rsidR="31090FC7" w:rsidP="31090FC7" w:rsidRDefault="31090FC7" w14:paraId="60456BE7" w14:textId="6A9C63B5">
      <w:pPr>
        <w:spacing w:before="238" w:beforeAutospacing="off" w:after="119" w:afterAutospacing="off" w:line="360" w:lineRule="auto"/>
        <w:jc w:val="left"/>
        <w:rPr>
          <w:rFonts w:ascii="Arial" w:hAnsi="Arial" w:eastAsia="Arial" w:cs="Arial"/>
          <w:b w:val="0"/>
          <w:bCs w:val="0"/>
          <w:noProof w:val="0"/>
          <w:color w:val="000000" w:themeColor="text1" w:themeTint="FF" w:themeShade="FF"/>
          <w:sz w:val="24"/>
          <w:szCs w:val="24"/>
          <w:lang w:val="en-GB"/>
        </w:rPr>
      </w:pPr>
    </w:p>
    <w:p w:rsidR="41AB35F8" w:rsidP="31090FC7" w:rsidRDefault="41AB35F8" w14:paraId="668EA976" w14:textId="11DAC7F7">
      <w:pPr>
        <w:spacing w:before="238" w:beforeAutospacing="off" w:after="119" w:afterAutospacing="off" w:line="360" w:lineRule="auto"/>
        <w:jc w:val="left"/>
        <w:rPr>
          <w:rFonts w:ascii="Arial" w:hAnsi="Arial" w:eastAsia="Arial" w:cs="Arial"/>
          <w:b w:val="0"/>
          <w:bCs w:val="0"/>
          <w:noProof w:val="0"/>
          <w:color w:val="000000" w:themeColor="text1" w:themeTint="FF" w:themeShade="FF"/>
          <w:sz w:val="24"/>
          <w:szCs w:val="24"/>
          <w:lang w:val="en-GB"/>
        </w:rPr>
      </w:pPr>
      <w:r w:rsidRPr="31090FC7" w:rsidR="10A21913">
        <w:rPr>
          <w:rFonts w:ascii="Arial" w:hAnsi="Arial" w:eastAsia="Arial" w:cs="Arial"/>
          <w:b w:val="0"/>
          <w:bCs w:val="0"/>
          <w:noProof w:val="0"/>
          <w:color w:val="000000" w:themeColor="text1" w:themeTint="FF" w:themeShade="FF"/>
          <w:sz w:val="24"/>
          <w:szCs w:val="24"/>
          <w:lang w:val="en-GB"/>
        </w:rPr>
        <w:t>Figure 4. Kwinana lithium-hydroxide production and FY2026 operating outlook. Sources: IGO Limited (2025) and Argus Media (2025).</w:t>
      </w:r>
    </w:p>
    <w:p w:rsidR="0909F6A8" w:rsidP="0909F6A8" w:rsidRDefault="0909F6A8" w14:paraId="2ECAC556" w14:textId="3BC2EC1F">
      <w:pPr>
        <w:pStyle w:val="Normal"/>
        <w:spacing w:before="240" w:beforeAutospacing="off" w:after="240" w:afterAutospacing="off"/>
        <w:jc w:val="left"/>
        <w:rPr>
          <w:rFonts w:ascii="Aptos" w:hAnsi="Aptos" w:eastAsia="Aptos" w:cs="Aptos"/>
          <w:b w:val="0"/>
          <w:bCs w:val="0"/>
          <w:noProof w:val="0"/>
          <w:sz w:val="24"/>
          <w:szCs w:val="24"/>
          <w:lang w:val="en-GB"/>
        </w:rPr>
      </w:pPr>
    </w:p>
    <w:p w:rsidR="2D70D009" w:rsidP="1EBCF505" w:rsidRDefault="2D70D009" w14:paraId="12D0EDA2" w14:textId="0D0E59A7">
      <w:pPr>
        <w:pStyle w:val="Normal"/>
        <w:spacing w:before="240" w:beforeAutospacing="off" w:after="240" w:afterAutospacing="off"/>
        <w:jc w:val="left"/>
      </w:pPr>
      <w:r w:rsidR="2A48D6B8">
        <w:drawing>
          <wp:inline wp14:editId="54D62DBA" wp14:anchorId="630CFB84">
            <wp:extent cx="5724525" cy="3581400"/>
            <wp:effectExtent l="0" t="0" r="0" b="0"/>
            <wp:docPr id="1669692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692596" name="Picture 1669692596"/>
                    <pic:cNvPicPr/>
                  </pic:nvPicPr>
                  <pic:blipFill>
                    <a:blip xmlns:r="http://schemas.openxmlformats.org/officeDocument/2006/relationships" r:embed="rId155533290">
                      <a:extLst>
                        <a:ext uri="{28A0092B-C50C-407E-A947-70E740481C1C}">
                          <a14:useLocalDpi xmlns:a14="http://schemas.microsoft.com/office/drawing/2010/main"/>
                        </a:ext>
                      </a:extLst>
                    </a:blip>
                    <a:stretch>
                      <a:fillRect/>
                    </a:stretch>
                  </pic:blipFill>
                  <pic:spPr>
                    <a:xfrm>
                      <a:off x="0" y="0"/>
                      <a:ext cx="5724525" cy="3581400"/>
                    </a:xfrm>
                    <a:prstGeom prst="rect">
                      <a:avLst/>
                    </a:prstGeom>
                  </pic:spPr>
                </pic:pic>
              </a:graphicData>
            </a:graphic>
          </wp:inline>
        </w:drawing>
      </w:r>
    </w:p>
    <w:p w:rsidR="2D70D009" w:rsidP="31090FC7" w:rsidRDefault="2D70D009" w14:paraId="755B7101" w14:textId="68ED15C6">
      <w:pPr>
        <w:pStyle w:val="Normal"/>
        <w:spacing w:before="240" w:beforeAutospacing="off" w:after="240" w:afterAutospacing="off"/>
        <w:jc w:val="both"/>
      </w:pPr>
      <w:r w:rsidR="7040748D">
        <w:rPr>
          <w:b w:val="0"/>
          <w:bCs w:val="0"/>
        </w:rPr>
        <w:t>Figure 4 illustrates both the size of the remaining utilisation gap and improving production and unit costs. The economic implication is that until TLEA produces stable battery-grade output, reduces conversion costs, and secures clients throughout the commodity cycle, expansion cannot be justified by strategic importance and demand growth</w:t>
      </w:r>
      <w:r w:rsidRPr="31090FC7" w:rsidR="03D3B69E">
        <w:rPr>
          <w:rFonts w:ascii="Aptos" w:hAnsi="Aptos" w:eastAsia="Aptos" w:cs="Aptos"/>
          <w:b w:val="0"/>
          <w:bCs w:val="0"/>
          <w:noProof w:val="0"/>
          <w:sz w:val="24"/>
          <w:szCs w:val="24"/>
          <w:lang w:val="en-GB"/>
        </w:rPr>
        <w:t>.</w:t>
      </w:r>
    </w:p>
    <w:p w:rsidR="0909F6A8" w:rsidP="0909F6A8" w:rsidRDefault="0909F6A8" w14:paraId="156A188C" w14:textId="269A7FC3">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1BEBA8D4" w14:textId="4F21549E">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2BD8BD85" w14:textId="05A84444">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0661B257" w14:textId="6C01FFE8">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5FB08046" w14:textId="72321B28">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582EF7AC" w14:textId="4FF11008">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58777214" w14:textId="4C69B3E3">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681CD559" w14:textId="2F44EFBB">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0F7FAED4" w14:textId="45E32A2D">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0CC83C6E" w14:textId="2AECFD73">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5FE3C44B" w14:textId="4956C3FC">
      <w:pPr>
        <w:pStyle w:val="Normal"/>
        <w:spacing w:before="240" w:beforeAutospacing="off" w:after="240" w:afterAutospacing="off"/>
        <w:jc w:val="left"/>
        <w:rPr>
          <w:rFonts w:ascii="Aptos" w:hAnsi="Aptos" w:eastAsia="Aptos" w:cs="Aptos"/>
          <w:b w:val="1"/>
          <w:bCs w:val="1"/>
          <w:noProof w:val="0"/>
          <w:sz w:val="24"/>
          <w:szCs w:val="24"/>
          <w:lang w:val="en-GB"/>
        </w:rPr>
      </w:pPr>
    </w:p>
    <w:p w:rsidR="0909F6A8" w:rsidP="0909F6A8" w:rsidRDefault="0909F6A8" w14:paraId="117BCE84" w14:textId="689C3642">
      <w:pPr>
        <w:pStyle w:val="Normal"/>
        <w:spacing w:before="240" w:beforeAutospacing="off" w:after="240" w:afterAutospacing="off"/>
        <w:jc w:val="left"/>
        <w:rPr>
          <w:rFonts w:ascii="Aptos" w:hAnsi="Aptos" w:eastAsia="Aptos" w:cs="Aptos"/>
          <w:b w:val="1"/>
          <w:bCs w:val="1"/>
          <w:noProof w:val="0"/>
          <w:sz w:val="24"/>
          <w:szCs w:val="24"/>
          <w:lang w:val="en-GB"/>
        </w:rPr>
      </w:pPr>
    </w:p>
    <w:p w:rsidR="5793D439" w:rsidP="1EBCF505" w:rsidRDefault="5793D439" w14:paraId="19492B17" w14:textId="12C2B6B0">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5793D439">
        <w:rPr>
          <w:rFonts w:ascii="Aptos" w:hAnsi="Aptos" w:eastAsia="Aptos" w:cs="Aptos"/>
          <w:b w:val="1"/>
          <w:bCs w:val="1"/>
          <w:noProof w:val="0"/>
          <w:sz w:val="24"/>
          <w:szCs w:val="24"/>
          <w:lang w:val="en-GB"/>
        </w:rPr>
        <w:t>4.4 Legal factors</w:t>
      </w:r>
    </w:p>
    <w:p w:rsidR="5793D439" w:rsidP="31090FC7" w:rsidRDefault="5793D439" w14:paraId="1079A39E" w14:textId="65F4C814">
      <w:pPr>
        <w:pStyle w:val="Normal"/>
        <w:spacing w:before="240" w:beforeAutospacing="off" w:after="240" w:afterAutospacing="off"/>
        <w:jc w:val="left"/>
        <w:rPr>
          <w:rFonts w:ascii="Aptos" w:hAnsi="Aptos" w:eastAsia="Aptos" w:cs="Aptos"/>
          <w:b w:val="0"/>
          <w:bCs w:val="0"/>
          <w:noProof w:val="0"/>
          <w:sz w:val="24"/>
          <w:szCs w:val="24"/>
          <w:lang w:val="en-GB"/>
        </w:rPr>
      </w:pPr>
      <w:r w:rsidRPr="31090FC7" w:rsidR="4CBA5E6F">
        <w:rPr>
          <w:rFonts w:ascii="Aptos" w:hAnsi="Aptos" w:eastAsia="Aptos" w:cs="Aptos"/>
          <w:b w:val="0"/>
          <w:bCs w:val="0"/>
          <w:noProof w:val="0"/>
          <w:sz w:val="24"/>
          <w:szCs w:val="24"/>
          <w:lang w:val="en-GB"/>
        </w:rPr>
        <w:t>Australia's legal system is appealing because it offers reliable contract enforcement, transparent regulation, and stable property rights. In contrast to certain mineral-rich states, this lowers sovereign risk. However, strict compliance requirements are also imposed by the same legal environment.</w:t>
      </w:r>
    </w:p>
    <w:p w:rsidR="5793D439" w:rsidP="31090FC7" w:rsidRDefault="5793D439" w14:paraId="1A8876F0" w14:textId="164A4B27">
      <w:pPr>
        <w:pStyle w:val="Normal"/>
        <w:spacing w:before="240" w:beforeAutospacing="off" w:after="240" w:afterAutospacing="off"/>
        <w:jc w:val="left"/>
      </w:pPr>
      <w:r w:rsidRPr="31090FC7" w:rsidR="4CBA5E6F">
        <w:rPr>
          <w:rFonts w:ascii="Aptos" w:hAnsi="Aptos" w:eastAsia="Aptos" w:cs="Aptos"/>
          <w:b w:val="0"/>
          <w:bCs w:val="0"/>
          <w:noProof w:val="0"/>
          <w:sz w:val="24"/>
          <w:szCs w:val="24"/>
          <w:lang w:val="en-GB"/>
        </w:rPr>
        <w:t xml:space="preserve"> </w:t>
      </w:r>
      <w:r w:rsidRPr="31090FC7" w:rsidR="4CBA5E6F">
        <w:rPr>
          <w:rFonts w:ascii="Aptos" w:hAnsi="Aptos" w:eastAsia="Aptos" w:cs="Aptos"/>
          <w:b w:val="0"/>
          <w:bCs w:val="0"/>
          <w:noProof w:val="0"/>
          <w:sz w:val="24"/>
          <w:szCs w:val="24"/>
          <w:lang w:val="en-GB"/>
        </w:rPr>
        <w:t xml:space="preserve">Tianqi </w:t>
      </w:r>
      <w:r w:rsidRPr="31090FC7" w:rsidR="4CBA5E6F">
        <w:rPr>
          <w:rFonts w:ascii="Aptos" w:hAnsi="Aptos" w:eastAsia="Aptos" w:cs="Aptos"/>
          <w:b w:val="0"/>
          <w:bCs w:val="0"/>
          <w:noProof w:val="0"/>
          <w:sz w:val="24"/>
          <w:szCs w:val="24"/>
          <w:lang w:val="en-GB"/>
        </w:rPr>
        <w:t>has to</w:t>
      </w:r>
      <w:r w:rsidRPr="31090FC7" w:rsidR="4CBA5E6F">
        <w:rPr>
          <w:rFonts w:ascii="Aptos" w:hAnsi="Aptos" w:eastAsia="Aptos" w:cs="Aptos"/>
          <w:b w:val="0"/>
          <w:bCs w:val="0"/>
          <w:noProof w:val="0"/>
          <w:sz w:val="24"/>
          <w:szCs w:val="24"/>
          <w:lang w:val="en-GB"/>
        </w:rPr>
        <w:t xml:space="preserve"> abide by regulations </w:t>
      </w:r>
      <w:r w:rsidRPr="31090FC7" w:rsidR="4CBA5E6F">
        <w:rPr>
          <w:rFonts w:ascii="Aptos" w:hAnsi="Aptos" w:eastAsia="Aptos" w:cs="Aptos"/>
          <w:b w:val="0"/>
          <w:bCs w:val="0"/>
          <w:noProof w:val="0"/>
          <w:sz w:val="24"/>
          <w:szCs w:val="24"/>
          <w:lang w:val="en-GB"/>
        </w:rPr>
        <w:t>pertaining to</w:t>
      </w:r>
      <w:r w:rsidRPr="31090FC7" w:rsidR="4CBA5E6F">
        <w:rPr>
          <w:rFonts w:ascii="Aptos" w:hAnsi="Aptos" w:eastAsia="Aptos" w:cs="Aptos"/>
          <w:b w:val="0"/>
          <w:bCs w:val="0"/>
          <w:noProof w:val="0"/>
          <w:sz w:val="24"/>
          <w:szCs w:val="24"/>
          <w:lang w:val="en-GB"/>
        </w:rPr>
        <w:t xml:space="preserve"> the environment, worker safety, taxation, corporate governance, foreign investment screening, industrial relations, and </w:t>
      </w:r>
      <w:r w:rsidRPr="31090FC7" w:rsidR="4CBA5E6F">
        <w:rPr>
          <w:rFonts w:ascii="Aptos" w:hAnsi="Aptos" w:eastAsia="Aptos" w:cs="Aptos"/>
          <w:b w:val="0"/>
          <w:bCs w:val="0"/>
          <w:noProof w:val="0"/>
          <w:sz w:val="24"/>
          <w:szCs w:val="24"/>
          <w:lang w:val="en-GB"/>
        </w:rPr>
        <w:t>maybe native</w:t>
      </w:r>
      <w:r w:rsidRPr="31090FC7" w:rsidR="4CBA5E6F">
        <w:rPr>
          <w:rFonts w:ascii="Aptos" w:hAnsi="Aptos" w:eastAsia="Aptos" w:cs="Aptos"/>
          <w:b w:val="0"/>
          <w:bCs w:val="0"/>
          <w:noProof w:val="0"/>
          <w:sz w:val="24"/>
          <w:szCs w:val="24"/>
          <w:lang w:val="en-GB"/>
        </w:rPr>
        <w:t xml:space="preserve"> title. Operational efficiency is still necessary, even though the 10% Critical Minerals Production Tax Incentive may support qualified processing expenditures from 2027–2028 to 2040–2041 (Reuters 2025).</w:t>
      </w:r>
    </w:p>
    <w:p w:rsidR="5793D439" w:rsidP="31090FC7" w:rsidRDefault="5793D439" w14:paraId="5764048D" w14:textId="3CC64E0F">
      <w:pPr>
        <w:pStyle w:val="Normal"/>
        <w:spacing w:before="240" w:beforeAutospacing="off" w:after="240" w:afterAutospacing="off"/>
        <w:jc w:val="left"/>
      </w:pPr>
      <w:r w:rsidRPr="31090FC7" w:rsidR="4CBA5E6F">
        <w:rPr>
          <w:rFonts w:ascii="Aptos" w:hAnsi="Aptos" w:eastAsia="Aptos" w:cs="Aptos"/>
          <w:b w:val="0"/>
          <w:bCs w:val="0"/>
          <w:noProof w:val="0"/>
          <w:sz w:val="24"/>
          <w:szCs w:val="24"/>
          <w:lang w:val="en-GB"/>
        </w:rPr>
        <w:t xml:space="preserve"> </w:t>
      </w:r>
      <w:r w:rsidRPr="31090FC7" w:rsidR="4CBA5E6F">
        <w:rPr>
          <w:rFonts w:ascii="Aptos" w:hAnsi="Aptos" w:eastAsia="Aptos" w:cs="Aptos"/>
          <w:b w:val="0"/>
          <w:bCs w:val="0"/>
          <w:noProof w:val="0"/>
          <w:sz w:val="24"/>
          <w:szCs w:val="24"/>
          <w:lang w:val="en-GB"/>
        </w:rPr>
        <w:t xml:space="preserve">As a result, the legal framework protects investors, but it also limits speed and cost. According to Tianqi, regulations should be viewed as both a burden for compliance and a tool for </w:t>
      </w:r>
      <w:r w:rsidRPr="31090FC7" w:rsidR="4CBA5E6F">
        <w:rPr>
          <w:rFonts w:ascii="Aptos" w:hAnsi="Aptos" w:eastAsia="Aptos" w:cs="Aptos"/>
          <w:b w:val="0"/>
          <w:bCs w:val="0"/>
          <w:noProof w:val="0"/>
          <w:sz w:val="24"/>
          <w:szCs w:val="24"/>
          <w:lang w:val="en-GB"/>
        </w:rPr>
        <w:t>establishing</w:t>
      </w:r>
      <w:r w:rsidRPr="31090FC7" w:rsidR="4CBA5E6F">
        <w:rPr>
          <w:rFonts w:ascii="Aptos" w:hAnsi="Aptos" w:eastAsia="Aptos" w:cs="Aptos"/>
          <w:b w:val="0"/>
          <w:bCs w:val="0"/>
          <w:noProof w:val="0"/>
          <w:sz w:val="24"/>
          <w:szCs w:val="24"/>
          <w:lang w:val="en-GB"/>
        </w:rPr>
        <w:t xml:space="preserve"> legitimacy.</w:t>
      </w:r>
    </w:p>
    <w:p w:rsidR="1EBCF505" w:rsidP="1EBCF505" w:rsidRDefault="1EBCF505" w14:paraId="77E575A8" w14:textId="24D85EEB">
      <w:pPr>
        <w:pStyle w:val="Normal"/>
        <w:spacing w:before="240" w:beforeAutospacing="off" w:after="240" w:afterAutospacing="off"/>
        <w:jc w:val="both"/>
        <w:rPr>
          <w:rFonts w:ascii="Aptos" w:hAnsi="Aptos" w:eastAsia="Aptos" w:cs="Aptos"/>
          <w:b w:val="0"/>
          <w:bCs w:val="0"/>
          <w:noProof w:val="0"/>
          <w:sz w:val="24"/>
          <w:szCs w:val="24"/>
          <w:lang w:val="en-GB"/>
        </w:rPr>
      </w:pPr>
    </w:p>
    <w:p w:rsidR="2BFBA5EF" w:rsidP="1EBCF505" w:rsidRDefault="2BFBA5EF" w14:paraId="6B011A58" w14:textId="48F87C4F">
      <w:pPr>
        <w:pStyle w:val="Normal"/>
        <w:spacing w:before="240" w:beforeAutospacing="off" w:after="240" w:afterAutospacing="off"/>
        <w:jc w:val="both"/>
        <w:rPr>
          <w:rFonts w:ascii="Aptos" w:hAnsi="Aptos" w:eastAsia="Aptos" w:cs="Aptos"/>
          <w:b w:val="1"/>
          <w:bCs w:val="1"/>
          <w:noProof w:val="0"/>
          <w:sz w:val="24"/>
          <w:szCs w:val="24"/>
          <w:lang w:val="en-GB"/>
        </w:rPr>
      </w:pPr>
      <w:r w:rsidRPr="1EBCF505" w:rsidR="2BFBA5EF">
        <w:rPr>
          <w:rFonts w:ascii="Aptos" w:hAnsi="Aptos" w:eastAsia="Aptos" w:cs="Aptos"/>
          <w:b w:val="1"/>
          <w:bCs w:val="1"/>
          <w:noProof w:val="0"/>
          <w:sz w:val="24"/>
          <w:szCs w:val="24"/>
          <w:lang w:val="en-GB"/>
        </w:rPr>
        <w:t>4.5 Cultural factors: Hofstede analysis</w:t>
      </w:r>
    </w:p>
    <w:p w:rsidR="36DE01B5" w:rsidP="31090FC7" w:rsidRDefault="36DE01B5" w14:paraId="7C424CEC" w14:textId="2AF1480C">
      <w:pPr>
        <w:pStyle w:val="Normal"/>
        <w:spacing w:before="240" w:beforeAutospacing="off" w:after="240" w:afterAutospacing="off"/>
        <w:jc w:val="both"/>
        <w:rPr>
          <w:rFonts w:ascii="Aptos" w:hAnsi="Aptos" w:eastAsia="Aptos" w:cs="Aptos"/>
          <w:b w:val="0"/>
          <w:bCs w:val="0"/>
          <w:noProof w:val="0"/>
          <w:sz w:val="24"/>
          <w:szCs w:val="24"/>
          <w:lang w:val="en-GB"/>
        </w:rPr>
      </w:pPr>
      <w:r w:rsidRPr="31090FC7" w:rsidR="229BCDDA">
        <w:rPr>
          <w:rFonts w:ascii="Aptos" w:hAnsi="Aptos" w:eastAsia="Aptos" w:cs="Aptos"/>
          <w:b w:val="0"/>
          <w:bCs w:val="0"/>
          <w:noProof w:val="0"/>
          <w:sz w:val="24"/>
          <w:szCs w:val="24"/>
          <w:lang w:val="en-GB"/>
        </w:rPr>
        <w:t xml:space="preserve">Hofstede's dimensions provide a foundation for </w:t>
      </w:r>
      <w:r w:rsidRPr="31090FC7" w:rsidR="229BCDDA">
        <w:rPr>
          <w:rFonts w:ascii="Aptos" w:hAnsi="Aptos" w:eastAsia="Aptos" w:cs="Aptos"/>
          <w:b w:val="0"/>
          <w:bCs w:val="0"/>
          <w:noProof w:val="0"/>
          <w:sz w:val="24"/>
          <w:szCs w:val="24"/>
          <w:lang w:val="en-GB"/>
        </w:rPr>
        <w:t>determining</w:t>
      </w:r>
      <w:r w:rsidRPr="31090FC7" w:rsidR="229BCDDA">
        <w:rPr>
          <w:rFonts w:ascii="Aptos" w:hAnsi="Aptos" w:eastAsia="Aptos" w:cs="Aptos"/>
          <w:b w:val="0"/>
          <w:bCs w:val="0"/>
          <w:noProof w:val="0"/>
          <w:sz w:val="24"/>
          <w:szCs w:val="24"/>
          <w:lang w:val="en-GB"/>
        </w:rPr>
        <w:t xml:space="preserve"> potential distinctions between Australian workplace norms and Chinese corporate practices. In contrast to a Chinese parent business that might adopt more hierarchical decision-making procedures, Australian employees may </w:t>
      </w:r>
      <w:r w:rsidRPr="31090FC7" w:rsidR="229BCDDA">
        <w:rPr>
          <w:rFonts w:ascii="Aptos" w:hAnsi="Aptos" w:eastAsia="Aptos" w:cs="Aptos"/>
          <w:b w:val="0"/>
          <w:bCs w:val="0"/>
          <w:noProof w:val="0"/>
          <w:sz w:val="24"/>
          <w:szCs w:val="24"/>
          <w:lang w:val="en-GB"/>
        </w:rPr>
        <w:t>anticipate</w:t>
      </w:r>
      <w:r w:rsidRPr="31090FC7" w:rsidR="229BCDDA">
        <w:rPr>
          <w:rFonts w:ascii="Aptos" w:hAnsi="Aptos" w:eastAsia="Aptos" w:cs="Aptos"/>
          <w:b w:val="0"/>
          <w:bCs w:val="0"/>
          <w:noProof w:val="0"/>
          <w:sz w:val="24"/>
          <w:szCs w:val="24"/>
          <w:lang w:val="en-GB"/>
        </w:rPr>
        <w:t xml:space="preserve"> consultation, direct contact, and personal accountability due to the country's lower power distance and greater individualism. These differences may have an impact on employee voice, safety reporting, joint venture governance, and how quickly operational issues are reported (Dolan et al.</w:t>
      </w:r>
      <w:r w:rsidRPr="31090FC7" w:rsidR="5321616A">
        <w:rPr>
          <w:rFonts w:ascii="Aptos" w:hAnsi="Aptos" w:eastAsia="Aptos" w:cs="Aptos"/>
          <w:b w:val="0"/>
          <w:bCs w:val="0"/>
          <w:noProof w:val="0"/>
          <w:sz w:val="24"/>
          <w:szCs w:val="24"/>
          <w:lang w:val="en-GB"/>
        </w:rPr>
        <w:t>)</w:t>
      </w:r>
    </w:p>
    <w:p w:rsidR="36DE01B5" w:rsidP="31090FC7" w:rsidRDefault="36DE01B5" w14:paraId="50840950" w14:textId="6EABD580">
      <w:pPr>
        <w:pStyle w:val="Normal"/>
        <w:spacing w:before="238" w:beforeAutospacing="off" w:after="119" w:afterAutospacing="off" w:line="360" w:lineRule="auto"/>
        <w:jc w:val="left"/>
        <w:rPr>
          <w:rFonts w:ascii="Arial" w:hAnsi="Arial" w:eastAsia="Arial" w:cs="Arial"/>
          <w:b w:val="0"/>
          <w:bCs w:val="0"/>
          <w:noProof w:val="0"/>
          <w:color w:val="000000" w:themeColor="text1" w:themeTint="FF" w:themeShade="FF"/>
          <w:sz w:val="24"/>
          <w:szCs w:val="24"/>
          <w:lang w:val="en-GB"/>
        </w:rPr>
      </w:pPr>
      <w:r w:rsidRPr="31090FC7" w:rsidR="229BCDDA">
        <w:rPr>
          <w:rFonts w:ascii="Aptos" w:hAnsi="Aptos" w:eastAsia="Aptos" w:cs="Aptos"/>
          <w:b w:val="0"/>
          <w:bCs w:val="0"/>
          <w:noProof w:val="0"/>
          <w:sz w:val="24"/>
          <w:szCs w:val="24"/>
          <w:lang w:val="en-GB"/>
        </w:rPr>
        <w:t xml:space="preserve"> </w:t>
      </w:r>
      <w:r w:rsidR="2084D636">
        <w:drawing>
          <wp:inline wp14:editId="017FCC78" wp14:anchorId="3CE53D81">
            <wp:extent cx="5724525" cy="2800350"/>
            <wp:effectExtent l="0" t="0" r="0" b="0"/>
            <wp:docPr id="9139794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3979472" name="Picture 913979472"/>
                    <pic:cNvPicPr/>
                  </pic:nvPicPr>
                  <pic:blipFill>
                    <a:blip xmlns:r="http://schemas.openxmlformats.org/officeDocument/2006/relationships" r:embed="rId865948599">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r w:rsidRPr="31090FC7" w:rsidR="1093DD0D">
        <w:rPr>
          <w:rFonts w:ascii="Arial" w:hAnsi="Arial" w:eastAsia="Arial" w:cs="Arial"/>
          <w:b w:val="0"/>
          <w:bCs w:val="0"/>
          <w:noProof w:val="0"/>
          <w:color w:val="000000" w:themeColor="text1" w:themeTint="FF" w:themeShade="FF"/>
          <w:sz w:val="24"/>
          <w:szCs w:val="24"/>
          <w:lang w:val="en-GB"/>
        </w:rPr>
        <w:t>Figure 5. Hofstede cultural-dimension comparison between Australia and China. Source: The Culture Factor Group (2026).</w:t>
      </w:r>
    </w:p>
    <w:p w:rsidR="36DE01B5" w:rsidP="31090FC7" w:rsidRDefault="36DE01B5" w14:paraId="6C80471C" w14:textId="28E4F536">
      <w:pPr>
        <w:pStyle w:val="Normal"/>
        <w:spacing w:before="240" w:beforeAutospacing="off" w:after="240" w:afterAutospacing="off"/>
        <w:jc w:val="both"/>
      </w:pPr>
      <w:r w:rsidRPr="31090FC7" w:rsidR="60D6FB17">
        <w:rPr>
          <w:rFonts w:ascii="Aptos" w:hAnsi="Aptos" w:eastAsia="Aptos" w:cs="Aptos"/>
          <w:b w:val="0"/>
          <w:bCs w:val="0"/>
          <w:noProof w:val="0"/>
          <w:sz w:val="24"/>
          <w:szCs w:val="24"/>
          <w:lang w:val="en-GB"/>
        </w:rPr>
        <w:t xml:space="preserve">However, the framework needs to be used carefully. National averages, according to McSweeney (2002), can oversimplify a variety of organisations and people. Therefore, Tianqi should refrain from </w:t>
      </w:r>
      <w:r w:rsidRPr="31090FC7" w:rsidR="60D6FB17">
        <w:rPr>
          <w:rFonts w:ascii="Aptos" w:hAnsi="Aptos" w:eastAsia="Aptos" w:cs="Aptos"/>
          <w:b w:val="0"/>
          <w:bCs w:val="0"/>
          <w:noProof w:val="0"/>
          <w:sz w:val="24"/>
          <w:szCs w:val="24"/>
          <w:lang w:val="en-GB"/>
        </w:rPr>
        <w:t>assuming that</w:t>
      </w:r>
      <w:r w:rsidRPr="31090FC7" w:rsidR="60D6FB17">
        <w:rPr>
          <w:rFonts w:ascii="Aptos" w:hAnsi="Aptos" w:eastAsia="Aptos" w:cs="Aptos"/>
          <w:b w:val="0"/>
          <w:bCs w:val="0"/>
          <w:noProof w:val="0"/>
          <w:sz w:val="24"/>
          <w:szCs w:val="24"/>
          <w:lang w:val="en-GB"/>
        </w:rPr>
        <w:t xml:space="preserve"> all Chinese and Australian managers share the same cultural background. When </w:t>
      </w:r>
      <w:r w:rsidRPr="31090FC7" w:rsidR="60D6FB17">
        <w:rPr>
          <w:rFonts w:ascii="Aptos" w:hAnsi="Aptos" w:eastAsia="Aptos" w:cs="Aptos"/>
          <w:b w:val="0"/>
          <w:bCs w:val="0"/>
          <w:noProof w:val="0"/>
          <w:sz w:val="24"/>
          <w:szCs w:val="24"/>
          <w:lang w:val="en-GB"/>
        </w:rPr>
        <w:t>identifying</w:t>
      </w:r>
      <w:r w:rsidRPr="31090FC7" w:rsidR="60D6FB17">
        <w:rPr>
          <w:rFonts w:ascii="Aptos" w:hAnsi="Aptos" w:eastAsia="Aptos" w:cs="Aptos"/>
          <w:b w:val="0"/>
          <w:bCs w:val="0"/>
          <w:noProof w:val="0"/>
          <w:sz w:val="24"/>
          <w:szCs w:val="24"/>
          <w:lang w:val="en-GB"/>
        </w:rPr>
        <w:t xml:space="preserve"> real behavioural variations, site-level evidence, employee surveys, safety observations, and joint venture experience are more trustworthy than national ratings alone.</w:t>
      </w:r>
    </w:p>
    <w:p w:rsidR="36DE01B5" w:rsidP="31090FC7" w:rsidRDefault="36DE01B5" w14:paraId="139DD865" w14:textId="2947AABB">
      <w:pPr>
        <w:pStyle w:val="Normal"/>
        <w:spacing w:before="240" w:beforeAutospacing="off" w:after="240" w:afterAutospacing="off"/>
        <w:jc w:val="both"/>
      </w:pPr>
      <w:r w:rsidRPr="31090FC7" w:rsidR="1B8C32E1">
        <w:rPr>
          <w:rFonts w:ascii="Aptos" w:hAnsi="Aptos" w:eastAsia="Aptos" w:cs="Aptos"/>
          <w:b w:val="0"/>
          <w:bCs w:val="0"/>
          <w:noProof w:val="0"/>
          <w:sz w:val="24"/>
          <w:szCs w:val="24"/>
          <w:lang w:val="en-GB"/>
        </w:rPr>
        <w:t>The managerial implication is to create governance mechanisms that function in both situations, such as a joint operating committee with clearly defined authority, bilingual reporting when needed, safe channels for workers to voice concerns about safety, and documentation of decisions based on technical, financial, and ESG standards. This satisfies Australian demands for openness and participation while maintaining Tianqi's ability to make long-term strategic investments.</w:t>
      </w:r>
    </w:p>
    <w:p w:rsidR="36DE01B5" w:rsidP="31090FC7" w:rsidRDefault="36DE01B5" w14:paraId="0F088BDC" w14:textId="245141DD">
      <w:pPr>
        <w:pStyle w:val="Normal"/>
        <w:spacing w:before="240" w:beforeAutospacing="off" w:after="240" w:afterAutospacing="off"/>
        <w:jc w:val="both"/>
      </w:pPr>
      <w:r w:rsidRPr="31090FC7" w:rsidR="1B8C32E1">
        <w:rPr>
          <w:rFonts w:ascii="Aptos" w:hAnsi="Aptos" w:eastAsia="Aptos" w:cs="Aptos"/>
          <w:b w:val="0"/>
          <w:bCs w:val="0"/>
          <w:noProof w:val="0"/>
          <w:sz w:val="24"/>
          <w:szCs w:val="24"/>
          <w:lang w:val="en-GB"/>
        </w:rPr>
        <w:t>Time horizon is still important because, although IGO and Australian investors could place more emphasis on impairment, cash flow, and return on capital, Tianqi might see Kwinana as a vital supply-chain asset even in the face of poor short-term results. If partners agree on staged performance gates, the disagreement can be productive; otherwise, it could exacerbate disagreements over decisions about closure or additional investment.</w:t>
      </w:r>
    </w:p>
    <w:p w:rsidR="5BDFB9BA" w:rsidP="1EBCF505" w:rsidRDefault="5BDFB9BA" w14:paraId="17C0A20E" w14:textId="45B5A7AA">
      <w:pPr>
        <w:spacing w:before="240" w:beforeAutospacing="off" w:after="240" w:afterAutospacing="off"/>
        <w:jc w:val="left"/>
        <w:rPr>
          <w:rFonts w:ascii="Aptos" w:hAnsi="Aptos" w:eastAsia="Aptos" w:cs="Aptos"/>
          <w:b w:val="1"/>
          <w:bCs w:val="1"/>
          <w:noProof w:val="0"/>
          <w:sz w:val="24"/>
          <w:szCs w:val="24"/>
          <w:lang w:val="en-GB"/>
        </w:rPr>
      </w:pPr>
      <w:r w:rsidRPr="1EBCF505" w:rsidR="5BDFB9BA">
        <w:rPr>
          <w:rFonts w:ascii="Aptos" w:hAnsi="Aptos" w:eastAsia="Aptos" w:cs="Aptos"/>
          <w:b w:val="1"/>
          <w:bCs w:val="1"/>
          <w:noProof w:val="0"/>
          <w:sz w:val="24"/>
          <w:szCs w:val="24"/>
          <w:lang w:val="en-GB"/>
        </w:rPr>
        <w:t>4.6 Operational and technological aspects</w:t>
      </w:r>
    </w:p>
    <w:p w:rsidR="5BDFB9BA" w:rsidP="31090FC7" w:rsidRDefault="5BDFB9BA" w14:paraId="739F0662" w14:textId="1D08353E">
      <w:pPr>
        <w:spacing w:before="240" w:beforeAutospacing="off" w:after="240" w:afterAutospacing="off"/>
        <w:jc w:val="left"/>
      </w:pPr>
      <w:r w:rsidRPr="31090FC7" w:rsidR="7798E885">
        <w:rPr>
          <w:rFonts w:ascii="Aptos" w:hAnsi="Aptos" w:eastAsia="Aptos" w:cs="Aptos"/>
          <w:noProof w:val="0"/>
          <w:sz w:val="24"/>
          <w:szCs w:val="24"/>
          <w:lang w:val="en-GB"/>
        </w:rPr>
        <w:t>Technically speaking, exporting spodumene concentrate is simpler than refining lithium hydroxide. Chemical conversion, impurity control, crystallisation, product validation, process stability, and battery-grade uniformity are all necessary. Although Australia has top-notch upstream mining capabilities, lithium chemical refining is still in its infancy.</w:t>
      </w:r>
    </w:p>
    <w:p w:rsidR="5BDFB9BA" w:rsidP="31090FC7" w:rsidRDefault="5BDFB9BA" w14:paraId="24AD6797" w14:textId="7698A7FA">
      <w:pPr>
        <w:spacing w:before="240" w:beforeAutospacing="off" w:after="240" w:afterAutospacing="off"/>
        <w:jc w:val="left"/>
      </w:pPr>
      <w:r w:rsidRPr="31090FC7" w:rsidR="7798E885">
        <w:rPr>
          <w:rFonts w:ascii="Aptos" w:hAnsi="Aptos" w:eastAsia="Aptos" w:cs="Aptos"/>
          <w:noProof w:val="0"/>
          <w:sz w:val="24"/>
          <w:szCs w:val="24"/>
          <w:lang w:val="en-GB"/>
        </w:rPr>
        <w:t xml:space="preserve">Kwinana's ramp-up </w:t>
      </w:r>
      <w:r w:rsidRPr="31090FC7" w:rsidR="7798E885">
        <w:rPr>
          <w:rFonts w:ascii="Aptos" w:hAnsi="Aptos" w:eastAsia="Aptos" w:cs="Aptos"/>
          <w:noProof w:val="0"/>
          <w:sz w:val="24"/>
          <w:szCs w:val="24"/>
          <w:lang w:val="en-GB"/>
        </w:rPr>
        <w:t>demonstrates</w:t>
      </w:r>
      <w:r w:rsidRPr="31090FC7" w:rsidR="7798E885">
        <w:rPr>
          <w:rFonts w:ascii="Aptos" w:hAnsi="Aptos" w:eastAsia="Aptos" w:cs="Aptos"/>
          <w:noProof w:val="0"/>
          <w:sz w:val="24"/>
          <w:szCs w:val="24"/>
          <w:lang w:val="en-GB"/>
        </w:rPr>
        <w:t xml:space="preserve"> that resource strength alone cannot be used to infer processing competitiveness. According to Porter, Australia still requires sophisticated processing power despite having strong basic characteristics. Australia would be able to compete in downstream lithium compounds if the Kwinana ramp-up was successful. The contrary claim—that Australia is still more competitive in mining than in chemical conversion—would be supported by an unsuccessful ramp-up.</w:t>
      </w:r>
    </w:p>
    <w:p w:rsidR="50CA1F5F" w:rsidP="50CA1F5F" w:rsidRDefault="50CA1F5F" w14:paraId="6B75EC87" w14:textId="1FA28474">
      <w:pPr>
        <w:pStyle w:val="Normal"/>
        <w:spacing w:before="240" w:beforeAutospacing="off" w:after="240" w:afterAutospacing="off"/>
        <w:jc w:val="left"/>
      </w:pPr>
    </w:p>
    <w:p w:rsidR="56532210" w:rsidP="1EBCF505" w:rsidRDefault="56532210" w14:paraId="0E513879" w14:textId="61AB7639">
      <w:pPr>
        <w:pStyle w:val="Normal"/>
        <w:spacing w:before="240" w:beforeAutospacing="off" w:after="240" w:afterAutospacing="off"/>
        <w:jc w:val="left"/>
      </w:pPr>
      <w:r w:rsidRPr="0909F6A8" w:rsidR="17149B64">
        <w:rPr>
          <w:rFonts w:ascii="Aptos" w:hAnsi="Aptos" w:eastAsia="Aptos" w:cs="Aptos"/>
          <w:b w:val="1"/>
          <w:bCs w:val="1"/>
          <w:noProof w:val="0"/>
          <w:sz w:val="24"/>
          <w:szCs w:val="24"/>
          <w:lang w:val="en-GB"/>
        </w:rPr>
        <w:t xml:space="preserve">4.7 Environmental and ESG factors ( </w:t>
      </w:r>
      <w:r w:rsidRPr="0909F6A8" w:rsidR="5416BFFD">
        <w:rPr>
          <w:rFonts w:ascii="Aptos" w:hAnsi="Aptos" w:eastAsia="Aptos" w:cs="Aptos"/>
          <w:b w:val="1"/>
          <w:bCs w:val="1"/>
          <w:noProof w:val="0"/>
          <w:sz w:val="24"/>
          <w:szCs w:val="24"/>
          <w:lang w:val="en-GB"/>
        </w:rPr>
        <w:t>Environmental</w:t>
      </w:r>
      <w:r w:rsidRPr="0909F6A8" w:rsidR="17149B64">
        <w:rPr>
          <w:rFonts w:ascii="Aptos" w:hAnsi="Aptos" w:eastAsia="Aptos" w:cs="Aptos"/>
          <w:b w:val="1"/>
          <w:bCs w:val="1"/>
          <w:noProof w:val="0"/>
          <w:sz w:val="24"/>
          <w:szCs w:val="24"/>
          <w:lang w:val="en-GB"/>
        </w:rPr>
        <w:t>, Social and Governance)</w:t>
      </w:r>
    </w:p>
    <w:p w:rsidR="2B7DA3CC" w:rsidP="31090FC7" w:rsidRDefault="2B7DA3CC" w14:paraId="3C63B4D4" w14:textId="08B733DB">
      <w:pPr>
        <w:pStyle w:val="Normal"/>
        <w:spacing w:before="240" w:beforeAutospacing="off" w:after="240" w:afterAutospacing="off"/>
        <w:jc w:val="both"/>
      </w:pPr>
      <w:r w:rsidRPr="31090FC7" w:rsidR="225DE072">
        <w:rPr>
          <w:rFonts w:ascii="Aptos" w:hAnsi="Aptos" w:eastAsia="Aptos" w:cs="Aptos"/>
          <w:b w:val="0"/>
          <w:bCs w:val="0"/>
          <w:noProof w:val="0"/>
          <w:sz w:val="24"/>
          <w:szCs w:val="24"/>
          <w:lang w:val="en-GB"/>
        </w:rPr>
        <w:t>Tianqi's operating costs are increased by environmental regulations, yet in markets where traceable and ethically manufactured battery materials are valued, credible ESG performance can help differentiate the company. Claims of a sustainability premium require auditable proof on energy intensity, water consumption, reagents, waste, emissions, rehabilitation, and community engagement, thus the business benefit is not guaranteed. Instead of depending on generalisations about Australia being an ethical provider, the OECD (2023) suggests integrating environmental due diligence throughout mineral supply chains, which promotes a risk-based approach.</w:t>
      </w:r>
    </w:p>
    <w:p w:rsidR="2B7DA3CC" w:rsidP="31090FC7" w:rsidRDefault="2B7DA3CC" w14:paraId="0DD3CAE9" w14:textId="34F72058">
      <w:pPr>
        <w:pStyle w:val="Normal"/>
        <w:spacing w:before="240" w:beforeAutospacing="off" w:after="240" w:afterAutospacing="off"/>
        <w:jc w:val="both"/>
      </w:pPr>
      <w:r w:rsidRPr="31090FC7" w:rsidR="225DE072">
        <w:rPr>
          <w:rFonts w:ascii="Aptos" w:hAnsi="Aptos" w:eastAsia="Aptos" w:cs="Aptos"/>
          <w:b w:val="0"/>
          <w:bCs w:val="0"/>
          <w:noProof w:val="0"/>
          <w:sz w:val="24"/>
          <w:szCs w:val="24"/>
          <w:lang w:val="en-GB"/>
        </w:rPr>
        <w:t>The practical approach for Kwinana should include independently guaranteed improvement targets along with yearly disclosure of tonnes of carbon dioxide equivalent, water usage, and waste produced per tonne of saleable lithium hydroxide. Tianqi should also reveal how it handles supplier risks, grievances, and traditional owner interaction. By linking ESG spending to market access, customer qualification, and reputational risk, these metrics would make the analysis more applicable to operational decision-making than descriptive.</w:t>
      </w:r>
    </w:p>
    <w:p w:rsidR="50CA1F5F" w:rsidP="50CA1F5F" w:rsidRDefault="50CA1F5F" w14:paraId="25288AED" w14:textId="4316B441">
      <w:pPr>
        <w:pStyle w:val="Normal"/>
        <w:spacing w:before="240" w:beforeAutospacing="off" w:after="240" w:afterAutospacing="off"/>
        <w:jc w:val="left"/>
        <w:rPr>
          <w:rFonts w:ascii="Aptos" w:hAnsi="Aptos" w:eastAsia="Aptos" w:cs="Aptos"/>
          <w:b w:val="1"/>
          <w:bCs w:val="1"/>
          <w:i w:val="0"/>
          <w:iCs w:val="0"/>
          <w:noProof w:val="0"/>
          <w:sz w:val="24"/>
          <w:szCs w:val="24"/>
          <w:lang w:val="en-GB"/>
        </w:rPr>
      </w:pPr>
    </w:p>
    <w:p w:rsidR="42CA2C02" w:rsidP="1EBCF505" w:rsidRDefault="42CA2C02" w14:paraId="25D7B4FE" w14:textId="3FA00B03">
      <w:pPr>
        <w:pStyle w:val="Normal"/>
        <w:spacing w:before="240" w:beforeAutospacing="off" w:after="240" w:afterAutospacing="off"/>
        <w:jc w:val="left"/>
      </w:pPr>
      <w:r w:rsidRPr="50CA1F5F" w:rsidR="3E4646F9">
        <w:rPr>
          <w:rFonts w:ascii="Aptos" w:hAnsi="Aptos" w:eastAsia="Aptos" w:cs="Aptos"/>
          <w:b w:val="1"/>
          <w:bCs w:val="1"/>
          <w:i w:val="0"/>
          <w:iCs w:val="0"/>
          <w:noProof w:val="0"/>
          <w:sz w:val="24"/>
          <w:szCs w:val="24"/>
          <w:lang w:val="en-GB"/>
        </w:rPr>
        <w:t>4.8 Forward-market and offtake strategy</w:t>
      </w:r>
    </w:p>
    <w:p w:rsidR="56463638" w:rsidP="31090FC7" w:rsidRDefault="56463638" w14:paraId="76622D30" w14:textId="6A1AB4F0">
      <w:pPr>
        <w:pStyle w:val="Normal"/>
        <w:spacing w:before="240" w:beforeAutospacing="off" w:after="240" w:afterAutospacing="off"/>
        <w:jc w:val="both"/>
        <w:rPr>
          <w:rFonts w:ascii="Aptos" w:hAnsi="Aptos" w:eastAsia="Aptos" w:cs="Aptos"/>
          <w:b w:val="0"/>
          <w:bCs w:val="0"/>
          <w:i w:val="0"/>
          <w:iCs w:val="0"/>
          <w:noProof w:val="0"/>
          <w:sz w:val="24"/>
          <w:szCs w:val="24"/>
          <w:lang w:val="en-GB"/>
        </w:rPr>
      </w:pPr>
      <w:r w:rsidRPr="31090FC7" w:rsidR="712D51E9">
        <w:rPr>
          <w:rFonts w:ascii="Aptos" w:hAnsi="Aptos" w:eastAsia="Aptos" w:cs="Aptos"/>
          <w:b w:val="0"/>
          <w:bCs w:val="0"/>
          <w:i w:val="0"/>
          <w:iCs w:val="0"/>
          <w:noProof w:val="0"/>
          <w:sz w:val="24"/>
          <w:szCs w:val="24"/>
          <w:lang w:val="en-GB"/>
        </w:rPr>
        <w:t xml:space="preserve">Due to Kwinana's high fixed costs and vulnerability to sudden fluctuations in commodity prices, Tianqi </w:t>
      </w:r>
      <w:r w:rsidRPr="31090FC7" w:rsidR="712D51E9">
        <w:rPr>
          <w:rFonts w:ascii="Aptos" w:hAnsi="Aptos" w:eastAsia="Aptos" w:cs="Aptos"/>
          <w:b w:val="0"/>
          <w:bCs w:val="0"/>
          <w:i w:val="0"/>
          <w:iCs w:val="0"/>
          <w:noProof w:val="0"/>
          <w:sz w:val="24"/>
          <w:szCs w:val="24"/>
          <w:lang w:val="en-GB"/>
        </w:rPr>
        <w:t>shouldn't</w:t>
      </w:r>
      <w:r w:rsidRPr="31090FC7" w:rsidR="712D51E9">
        <w:rPr>
          <w:rFonts w:ascii="Aptos" w:hAnsi="Aptos" w:eastAsia="Aptos" w:cs="Aptos"/>
          <w:b w:val="0"/>
          <w:bCs w:val="0"/>
          <w:i w:val="0"/>
          <w:iCs w:val="0"/>
          <w:noProof w:val="0"/>
          <w:sz w:val="24"/>
          <w:szCs w:val="24"/>
          <w:lang w:val="en-GB"/>
        </w:rPr>
        <w:t xml:space="preserve"> rely entirely on spot lithium hydroxide prices. While index-linked sales and long-term offtake agreements can stabilise revenue, CME and LME contracts can help control price risk in the short term (CME Group n.d.; London Metal Exchange n.d.). Hedging, however, does not address low utilisation, issues with product quality, or high conversion costs; it only protects against price exposure. Market risk and operational risk would be kept apart by a balanced policy. Limited spot sales can </w:t>
      </w:r>
      <w:r w:rsidRPr="31090FC7" w:rsidR="712D51E9">
        <w:rPr>
          <w:rFonts w:ascii="Aptos" w:hAnsi="Aptos" w:eastAsia="Aptos" w:cs="Aptos"/>
          <w:b w:val="0"/>
          <w:bCs w:val="0"/>
          <w:i w:val="0"/>
          <w:iCs w:val="0"/>
          <w:noProof w:val="0"/>
          <w:sz w:val="24"/>
          <w:szCs w:val="24"/>
          <w:lang w:val="en-GB"/>
        </w:rPr>
        <w:t>maintain</w:t>
      </w:r>
      <w:r w:rsidRPr="31090FC7" w:rsidR="712D51E9">
        <w:rPr>
          <w:rFonts w:ascii="Aptos" w:hAnsi="Aptos" w:eastAsia="Aptos" w:cs="Aptos"/>
          <w:b w:val="0"/>
          <w:bCs w:val="0"/>
          <w:i w:val="0"/>
          <w:iCs w:val="0"/>
          <w:noProof w:val="0"/>
          <w:sz w:val="24"/>
          <w:szCs w:val="24"/>
          <w:lang w:val="en-GB"/>
        </w:rPr>
        <w:t xml:space="preserve"> upward participation, while creditworthy, multi-year offtake agreements should underpin </w:t>
      </w:r>
      <w:r w:rsidRPr="31090FC7" w:rsidR="712D51E9">
        <w:rPr>
          <w:rFonts w:ascii="Aptos" w:hAnsi="Aptos" w:eastAsia="Aptos" w:cs="Aptos"/>
          <w:b w:val="0"/>
          <w:bCs w:val="0"/>
          <w:i w:val="0"/>
          <w:iCs w:val="0"/>
          <w:noProof w:val="0"/>
          <w:sz w:val="24"/>
          <w:szCs w:val="24"/>
          <w:lang w:val="en-GB"/>
        </w:rPr>
        <w:t>the majority of</w:t>
      </w:r>
      <w:r w:rsidRPr="31090FC7" w:rsidR="712D51E9">
        <w:rPr>
          <w:rFonts w:ascii="Aptos" w:hAnsi="Aptos" w:eastAsia="Aptos" w:cs="Aptos"/>
          <w:b w:val="0"/>
          <w:bCs w:val="0"/>
          <w:i w:val="0"/>
          <w:iCs w:val="0"/>
          <w:noProof w:val="0"/>
          <w:sz w:val="24"/>
          <w:szCs w:val="24"/>
          <w:lang w:val="en-GB"/>
        </w:rPr>
        <w:t xml:space="preserve"> predicted production. A smaller percentage may be index-linked or hedged to minimise negative risk. Because hedging lithium-hydroxide sales while leaving spodumene transfer prices out of alignment can still compress the </w:t>
      </w:r>
      <w:r w:rsidRPr="31090FC7" w:rsidR="712D51E9">
        <w:rPr>
          <w:rFonts w:ascii="Aptos" w:hAnsi="Aptos" w:eastAsia="Aptos" w:cs="Aptos"/>
          <w:b w:val="0"/>
          <w:bCs w:val="0"/>
          <w:i w:val="0"/>
          <w:iCs w:val="0"/>
          <w:noProof w:val="0"/>
          <w:sz w:val="24"/>
          <w:szCs w:val="24"/>
          <w:lang w:val="en-GB"/>
        </w:rPr>
        <w:t xml:space="preserve">margin, </w:t>
      </w:r>
      <w:r w:rsidRPr="31090FC7" w:rsidR="712D51E9">
        <w:rPr>
          <w:rFonts w:ascii="Aptos" w:hAnsi="Aptos" w:eastAsia="Aptos" w:cs="Aptos"/>
          <w:b w:val="0"/>
          <w:bCs w:val="0"/>
          <w:i w:val="0"/>
          <w:iCs w:val="0"/>
          <w:noProof w:val="0"/>
          <w:sz w:val="24"/>
          <w:szCs w:val="24"/>
          <w:lang w:val="en-GB"/>
        </w:rPr>
        <w:t>feedstock</w:t>
      </w:r>
      <w:r w:rsidRPr="31090FC7" w:rsidR="712D51E9">
        <w:rPr>
          <w:rFonts w:ascii="Aptos" w:hAnsi="Aptos" w:eastAsia="Aptos" w:cs="Aptos"/>
          <w:b w:val="0"/>
          <w:bCs w:val="0"/>
          <w:i w:val="0"/>
          <w:iCs w:val="0"/>
          <w:noProof w:val="0"/>
          <w:sz w:val="24"/>
          <w:szCs w:val="24"/>
          <w:lang w:val="en-GB"/>
        </w:rPr>
        <w:t xml:space="preserve"> and product risks must be controlled together.</w:t>
      </w:r>
    </w:p>
    <w:p w:rsidR="56587710" w:rsidP="31090FC7" w:rsidRDefault="56587710" w14:paraId="252B7C0F" w14:textId="541F3AA3">
      <w:pPr>
        <w:pStyle w:val="Normal"/>
        <w:spacing w:before="240" w:beforeAutospacing="off" w:after="240" w:afterAutospacing="off"/>
        <w:jc w:val="left"/>
        <w:rPr>
          <w:rFonts w:ascii="Aptos" w:hAnsi="Aptos" w:eastAsia="Aptos" w:cs="Aptos"/>
          <w:b w:val="0"/>
          <w:bCs w:val="0"/>
          <w:i w:val="0"/>
          <w:iCs w:val="0"/>
          <w:noProof w:val="0"/>
          <w:sz w:val="24"/>
          <w:szCs w:val="24"/>
          <w:lang w:val="en-GB"/>
        </w:rPr>
      </w:pPr>
      <w:r w:rsidRPr="31090FC7" w:rsidR="59234ED9">
        <w:rPr>
          <w:rFonts w:ascii="Aptos" w:hAnsi="Aptos" w:eastAsia="Aptos" w:cs="Aptos"/>
          <w:b w:val="0"/>
          <w:bCs w:val="0"/>
          <w:i w:val="0"/>
          <w:iCs w:val="0"/>
          <w:noProof w:val="0"/>
          <w:sz w:val="24"/>
          <w:szCs w:val="24"/>
          <w:lang w:val="en-GB"/>
        </w:rPr>
        <w:t>Although it offers a helpful analogy, the subject of rare-earth corporations shouldn't be applied to Tianqi. Tianqi has access to more sophisticated lithium-pricing tools, while rare-earth markets rely more on government-backed purchases and strategic offtake due to limited exchange liquidity. The main takeaway is that risk-management instruments need to be tailored to the particular mineral, contract structure, and operational exposure.</w:t>
      </w:r>
    </w:p>
    <w:p w:rsidR="1EBCF505" w:rsidP="1EBCF505" w:rsidRDefault="1EBCF505" w14:paraId="733A4C48" w14:textId="059891EF">
      <w:pPr>
        <w:pStyle w:val="Normal"/>
        <w:spacing w:before="240" w:beforeAutospacing="off" w:after="240" w:afterAutospacing="off"/>
        <w:jc w:val="both"/>
      </w:pPr>
    </w:p>
    <w:p w:rsidR="50CA1F5F" w:rsidP="50CA1F5F" w:rsidRDefault="50CA1F5F" w14:paraId="1E5BAB4B" w14:textId="7A9AC0F4">
      <w:pPr>
        <w:pStyle w:val="Normal"/>
        <w:spacing w:before="240" w:beforeAutospacing="off" w:after="240" w:afterAutospacing="off"/>
        <w:jc w:val="both"/>
      </w:pPr>
    </w:p>
    <w:p w:rsidR="56587710" w:rsidP="50CA1F5F" w:rsidRDefault="56587710" w14:paraId="08C53ADA" w14:textId="1F9B74CA">
      <w:pPr>
        <w:spacing w:before="238" w:beforeAutospacing="off" w:after="119" w:afterAutospacing="off" w:line="360" w:lineRule="auto"/>
        <w:jc w:val="left"/>
      </w:pPr>
      <w:r w:rsidRPr="50CA1F5F" w:rsidR="56587710">
        <w:rPr>
          <w:rFonts w:ascii="Aptos" w:hAnsi="Aptos" w:eastAsia="Aptos" w:cs="Aptos"/>
          <w:b w:val="1"/>
          <w:bCs w:val="1"/>
          <w:noProof w:val="0"/>
          <w:sz w:val="24"/>
          <w:szCs w:val="24"/>
          <w:lang w:val="en-GB"/>
        </w:rPr>
        <w:t>4.</w:t>
      </w:r>
      <w:r w:rsidRPr="50CA1F5F" w:rsidR="7F5252ED">
        <w:rPr>
          <w:rFonts w:ascii="Aptos" w:hAnsi="Aptos" w:eastAsia="Aptos" w:cs="Aptos"/>
          <w:b w:val="1"/>
          <w:bCs w:val="1"/>
          <w:noProof w:val="0"/>
          <w:sz w:val="24"/>
          <w:szCs w:val="24"/>
          <w:lang w:val="en-GB"/>
        </w:rPr>
        <w:t>9</w:t>
      </w:r>
      <w:r w:rsidRPr="50CA1F5F" w:rsidR="56587710">
        <w:rPr>
          <w:rFonts w:ascii="Aptos" w:hAnsi="Aptos" w:eastAsia="Aptos" w:cs="Aptos"/>
          <w:b w:val="1"/>
          <w:bCs w:val="1"/>
          <w:noProof w:val="0"/>
          <w:sz w:val="20"/>
          <w:szCs w:val="20"/>
          <w:lang w:val="en-GB"/>
        </w:rPr>
        <w:t xml:space="preserve"> </w:t>
      </w:r>
      <w:r w:rsidRPr="50CA1F5F" w:rsidR="56587710">
        <w:rPr>
          <w:rFonts w:ascii="Aptos" w:hAnsi="Aptos" w:eastAsia="Aptos" w:cs="Aptos" w:asciiTheme="minorAscii" w:hAnsiTheme="minorAscii" w:eastAsiaTheme="minorAscii" w:cstheme="minorAscii"/>
          <w:b w:val="1"/>
          <w:bCs w:val="1"/>
          <w:noProof w:val="0"/>
          <w:sz w:val="24"/>
          <w:szCs w:val="24"/>
          <w:lang w:val="en-GB"/>
        </w:rPr>
        <w:t>I</w:t>
      </w:r>
      <w:r w:rsidRPr="50CA1F5F" w:rsidR="5658771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ntegrated PESTEL risk judgem</w:t>
      </w:r>
      <w:r w:rsidRPr="50CA1F5F" w:rsidR="02AD026D">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en</w:t>
      </w:r>
      <w:r w:rsidRPr="50CA1F5F" w:rsidR="56587710">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t</w:t>
      </w:r>
    </w:p>
    <w:p w:rsidR="2B5F5F6B" w:rsidP="31090FC7" w:rsidRDefault="2B5F5F6B" w14:paraId="4A9EB769" w14:textId="6EFE0ECD">
      <w:pPr>
        <w:pStyle w:val="Normal"/>
        <w:spacing w:before="240" w:beforeAutospacing="off" w:after="240" w:afterAutospacing="off"/>
        <w:jc w:val="left"/>
      </w:pPr>
      <w:r w:rsidR="19D37F0A">
        <w:rPr/>
        <w:t>According to the comprehensive assessment, Tianqi finds Australia to be both strategically appealing and operationally challenging. Although political backing for resource security and downstream processing are significant advantages, Chinese ownership raises ongoing concerns about international investment and national security. Raising Kwinana's utilisation and lowering conversion costs are necessary for economic attractiveness; legal and environmental requirements raise costs but also give legitimacy; and cultural variations can be accommodated if employee consultation and governance are well planned. Therefore, rather than sovereign instability, the biggest risks are partner alignment, lithium-price exposure, and operational performance.</w:t>
      </w:r>
    </w:p>
    <w:p w:rsidR="2B5F5F6B" w:rsidP="50CA1F5F" w:rsidRDefault="2B5F5F6B" w14:paraId="2969C82B" w14:textId="711CEE21">
      <w:pPr>
        <w:pStyle w:val="Normal"/>
        <w:spacing w:before="240" w:beforeAutospacing="off" w:after="240" w:afterAutospacing="off"/>
        <w:jc w:val="both"/>
      </w:pPr>
      <w:r w:rsidR="00C9355E">
        <w:drawing>
          <wp:inline wp14:editId="5855E1F3" wp14:anchorId="4932B40A">
            <wp:extent cx="3999326" cy="2914650"/>
            <wp:effectExtent l="0" t="0" r="0" b="0"/>
            <wp:docPr id="15216851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1685193" name="Picture 1521685193"/>
                    <pic:cNvPicPr/>
                  </pic:nvPicPr>
                  <pic:blipFill>
                    <a:blip xmlns:r="http://schemas.openxmlformats.org/officeDocument/2006/relationships" r:embed="rId1065918806">
                      <a:extLst>
                        <a:ext uri="{28A0092B-C50C-407E-A947-70E740481C1C}">
                          <a14:useLocalDpi xmlns:a14="http://schemas.microsoft.com/office/drawing/2010/main"/>
                        </a:ext>
                      </a:extLst>
                    </a:blip>
                    <a:stretch>
                      <a:fillRect/>
                    </a:stretch>
                  </pic:blipFill>
                  <pic:spPr>
                    <a:xfrm rot="0">
                      <a:off x="0" y="0"/>
                      <a:ext cx="3999326" cy="2914650"/>
                    </a:xfrm>
                    <a:prstGeom prst="rect">
                      <a:avLst/>
                    </a:prstGeom>
                  </pic:spPr>
                </pic:pic>
              </a:graphicData>
            </a:graphic>
          </wp:inline>
        </w:drawing>
      </w:r>
    </w:p>
    <w:p w:rsidR="59BBC61C" w:rsidP="0909F6A8" w:rsidRDefault="59BBC61C" w14:paraId="521094FE" w14:textId="39719DE4">
      <w:pPr>
        <w:pStyle w:val="Normal"/>
        <w:spacing w:before="240" w:beforeAutospacing="off" w:after="240" w:afterAutospacing="off"/>
        <w:jc w:val="both"/>
        <w:rPr>
          <w:b w:val="1"/>
          <w:bCs w:val="1"/>
        </w:rPr>
      </w:pPr>
      <w:r w:rsidR="75F71945">
        <w:rPr>
          <w:b w:val="0"/>
          <w:bCs w:val="0"/>
        </w:rPr>
        <w:t>Tianqi Lithium Energy Australia's integrated PESTEL risk priorities are shown in Figure 6. Source: analysis based on the previously analysed political, economic, legal, cultural, operational, and ESG data.</w:t>
      </w:r>
    </w:p>
    <w:p w:rsidR="2B5F5F6B" w:rsidP="50CA1F5F" w:rsidRDefault="2B5F5F6B" w14:paraId="05743EFF" w14:textId="512949A0">
      <w:pPr>
        <w:pStyle w:val="Normal"/>
        <w:spacing w:before="240" w:beforeAutospacing="off" w:after="240" w:afterAutospacing="off"/>
        <w:jc w:val="both"/>
        <w:rPr>
          <w:b w:val="0"/>
          <w:bCs w:val="0"/>
        </w:rPr>
      </w:pPr>
      <w:r w:rsidR="3BE6D032">
        <w:rPr/>
        <w:t xml:space="preserve">These dangers are related to one another. Poor openness can increase political scrutiny; low utilisation raises unit costs and makes it harder to maintain cheap prices; and unresolved joint venture disputes might postpone the investment required to enhance operations. Leading indicators for utilisation, recovery, unit conversion cost, product certification, safety, emissions intensity, personnel turnover, and regulatory </w:t>
      </w:r>
      <w:r w:rsidR="3BE6D032">
        <w:rPr>
          <w:b w:val="0"/>
          <w:bCs w:val="0"/>
        </w:rPr>
        <w:t>milestones should be included in Tianqi's quarterly risk dashboard. Corrective action should be initiated by escalation thresholds prior to financial underperformance turning into a strategic conflict.</w:t>
      </w:r>
    </w:p>
    <w:p w:rsidR="50CA1F5F" w:rsidP="31090FC7" w:rsidRDefault="50CA1F5F" w14:paraId="1A479A0A" w14:textId="21C16713">
      <w:pPr>
        <w:pStyle w:val="Normal"/>
        <w:spacing w:before="240" w:beforeAutospacing="off" w:after="240" w:afterAutospacing="off"/>
        <w:jc w:val="both"/>
        <w:rPr>
          <w:b w:val="0"/>
          <w:bCs w:val="0"/>
        </w:rPr>
      </w:pPr>
      <w:r w:rsidR="5A526710">
        <w:rPr>
          <w:b w:val="0"/>
          <w:bCs w:val="0"/>
        </w:rPr>
        <w:t xml:space="preserve">The main risks that need managerial attention are summarised in Figure 6. While foreign investment scrutiny, joint venture alignment, safety, environmental performance, and open stakeholder communication </w:t>
      </w:r>
      <w:r w:rsidR="5A526710">
        <w:rPr>
          <w:b w:val="0"/>
          <w:bCs w:val="0"/>
        </w:rPr>
        <w:t>determine</w:t>
      </w:r>
      <w:r w:rsidR="5A526710">
        <w:rPr>
          <w:b w:val="0"/>
          <w:bCs w:val="0"/>
        </w:rPr>
        <w:t xml:space="preserve"> whether TLEA can </w:t>
      </w:r>
      <w:r w:rsidR="5A526710">
        <w:rPr>
          <w:b w:val="0"/>
          <w:bCs w:val="0"/>
        </w:rPr>
        <w:t>retain</w:t>
      </w:r>
      <w:r w:rsidR="5A526710">
        <w:rPr>
          <w:b w:val="0"/>
          <w:bCs w:val="0"/>
        </w:rPr>
        <w:t xml:space="preserve"> its operating license and secure </w:t>
      </w:r>
      <w:r w:rsidR="5A526710">
        <w:rPr>
          <w:b w:val="0"/>
          <w:bCs w:val="0"/>
        </w:rPr>
        <w:t>additional</w:t>
      </w:r>
      <w:r w:rsidR="5A526710">
        <w:rPr>
          <w:b w:val="0"/>
          <w:bCs w:val="0"/>
        </w:rPr>
        <w:t xml:space="preserve"> funding, operational utilisation and unit cost are the immediate commercial priorities.</w:t>
      </w:r>
    </w:p>
    <w:p w:rsidR="0778FEC4" w:rsidP="1EBCF505" w:rsidRDefault="0778FEC4" w14:paraId="20C4E90F" w14:textId="7B3A1D88">
      <w:pPr>
        <w:spacing w:before="240" w:beforeAutospacing="off" w:after="240" w:afterAutospacing="off"/>
        <w:jc w:val="both"/>
      </w:pPr>
      <w:r w:rsidRPr="50CA1F5F" w:rsidR="1F31A5A6">
        <w:rPr>
          <w:rFonts w:ascii="Aptos" w:hAnsi="Aptos" w:eastAsia="Aptos" w:cs="Aptos"/>
          <w:b w:val="1"/>
          <w:bCs w:val="1"/>
          <w:noProof w:val="0"/>
          <w:sz w:val="24"/>
          <w:szCs w:val="24"/>
          <w:lang w:val="en-GB"/>
        </w:rPr>
        <w:t>4.10</w:t>
      </w:r>
      <w:r w:rsidRPr="50CA1F5F" w:rsidR="5375710F">
        <w:rPr>
          <w:rFonts w:ascii="Aptos" w:hAnsi="Aptos" w:eastAsia="Aptos" w:cs="Aptos"/>
          <w:b w:val="1"/>
          <w:bCs w:val="1"/>
          <w:noProof w:val="0"/>
          <w:sz w:val="24"/>
          <w:szCs w:val="24"/>
          <w:lang w:val="en-GB"/>
        </w:rPr>
        <w:t xml:space="preserve"> Overall appeal and useful suggestions</w:t>
      </w:r>
    </w:p>
    <w:p w:rsidR="5375710F" w:rsidP="31090FC7" w:rsidRDefault="5375710F" w14:paraId="7A5E2A21" w14:textId="24532911">
      <w:pPr>
        <w:spacing w:before="240" w:beforeAutospacing="off" w:after="240" w:afterAutospacing="off"/>
        <w:jc w:val="left"/>
      </w:pPr>
      <w:r w:rsidRPr="31090FC7" w:rsidR="31B1791C">
        <w:rPr>
          <w:rFonts w:ascii="Aptos" w:hAnsi="Aptos" w:eastAsia="Aptos" w:cs="Aptos"/>
          <w:noProof w:val="0"/>
          <w:sz w:val="24"/>
          <w:szCs w:val="24"/>
          <w:lang w:val="en-GB"/>
        </w:rPr>
        <w:t xml:space="preserve">Tianqi is still drawn to Australia because government policy encourages processing, Kwinana gives a platform for downstream integration, and Greenbushes offers safe, high-quality feedstock. However, the expense alone does not make the site appealing. Only if the refinery shows </w:t>
      </w:r>
      <w:r w:rsidRPr="31090FC7" w:rsidR="31B1791C">
        <w:rPr>
          <w:rFonts w:ascii="Aptos" w:hAnsi="Aptos" w:eastAsia="Aptos" w:cs="Aptos"/>
          <w:noProof w:val="0"/>
          <w:sz w:val="24"/>
          <w:szCs w:val="24"/>
          <w:lang w:val="en-GB"/>
        </w:rPr>
        <w:t>a viable</w:t>
      </w:r>
      <w:r w:rsidRPr="31090FC7" w:rsidR="31B1791C">
        <w:rPr>
          <w:rFonts w:ascii="Aptos" w:hAnsi="Aptos" w:eastAsia="Aptos" w:cs="Aptos"/>
          <w:noProof w:val="0"/>
          <w:sz w:val="24"/>
          <w:szCs w:val="24"/>
          <w:lang w:val="en-GB"/>
        </w:rPr>
        <w:t xml:space="preserve"> path toward consistent battery-grade production and a conversion margin that is sustainable across the commodity cycle will further investment be </w:t>
      </w:r>
      <w:r w:rsidRPr="31090FC7" w:rsidR="31B1791C">
        <w:rPr>
          <w:rFonts w:ascii="Aptos" w:hAnsi="Aptos" w:eastAsia="Aptos" w:cs="Aptos"/>
          <w:noProof w:val="0"/>
          <w:sz w:val="24"/>
          <w:szCs w:val="24"/>
          <w:lang w:val="en-GB"/>
        </w:rPr>
        <w:t>warranted</w:t>
      </w:r>
      <w:r w:rsidRPr="31090FC7" w:rsidR="31B1791C">
        <w:rPr>
          <w:rFonts w:ascii="Aptos" w:hAnsi="Aptos" w:eastAsia="Aptos" w:cs="Aptos"/>
          <w:noProof w:val="0"/>
          <w:sz w:val="24"/>
          <w:szCs w:val="24"/>
          <w:lang w:val="en-GB"/>
        </w:rPr>
        <w:t xml:space="preserve">. Operational discipline should not be replaced by the strategic value of non-China supply; rather, it should be viewed as an </w:t>
      </w:r>
      <w:r w:rsidRPr="31090FC7" w:rsidR="31B1791C">
        <w:rPr>
          <w:rFonts w:ascii="Aptos" w:hAnsi="Aptos" w:eastAsia="Aptos" w:cs="Aptos"/>
          <w:noProof w:val="0"/>
          <w:sz w:val="24"/>
          <w:szCs w:val="24"/>
          <w:lang w:val="en-GB"/>
        </w:rPr>
        <w:t>additional</w:t>
      </w:r>
      <w:r w:rsidRPr="31090FC7" w:rsidR="31B1791C">
        <w:rPr>
          <w:rFonts w:ascii="Aptos" w:hAnsi="Aptos" w:eastAsia="Aptos" w:cs="Aptos"/>
          <w:noProof w:val="0"/>
          <w:sz w:val="24"/>
          <w:szCs w:val="24"/>
          <w:lang w:val="en-GB"/>
        </w:rPr>
        <w:t xml:space="preserve"> source of value. The analysis leads to three actions. Before allocating more funds for expansion, TLEA should first agree on tiered operational milestones, such as utilisation, product-quality, and unit-cost targets. Second, it should combine offtake contracts with spot exposure and little hedging to secure a diverse portfolio of long-term clients in North America, Korea, Japan, and Europe. Third, it should strengthen joint venture governance by establishing explicit decision-making powers and dispute-escalation procedures, as well as independently verified ESG and community-performance measures. The economic, political, legal, cultural, and environmental aspects mentioned above are immediately addressed by these initiatives.</w:t>
      </w:r>
    </w:p>
    <w:p w:rsidR="613B77BC" w:rsidP="1EBCF505" w:rsidRDefault="613B77BC" w14:paraId="793F0373" w14:textId="7E7AE610">
      <w:pPr>
        <w:pStyle w:val="Normal"/>
        <w:spacing w:before="240" w:beforeAutospacing="off" w:after="240" w:afterAutospacing="off"/>
        <w:jc w:val="left"/>
        <w:rPr>
          <w:rFonts w:ascii="Aptos" w:hAnsi="Aptos" w:eastAsia="Aptos" w:cs="Aptos"/>
          <w:b w:val="0"/>
          <w:bCs w:val="0"/>
          <w:noProof w:val="0"/>
          <w:sz w:val="24"/>
          <w:szCs w:val="24"/>
          <w:lang w:val="en-GB"/>
        </w:rPr>
      </w:pPr>
      <w:r w:rsidRPr="50CA1F5F" w:rsidR="50BAC7B1">
        <w:rPr>
          <w:rFonts w:ascii="Aptos" w:hAnsi="Aptos" w:eastAsia="Aptos" w:cs="Aptos"/>
          <w:b w:val="0"/>
          <w:bCs w:val="0"/>
          <w:noProof w:val="0"/>
          <w:sz w:val="24"/>
          <w:szCs w:val="24"/>
          <w:lang w:val="en-GB"/>
        </w:rPr>
        <w:t xml:space="preserve"> </w:t>
      </w:r>
    </w:p>
    <w:p w:rsidR="1EBCF505" w:rsidP="1EBCF505" w:rsidRDefault="1EBCF505" w14:paraId="3BC91CCB" w14:textId="552778C5">
      <w:pPr>
        <w:pStyle w:val="Normal"/>
        <w:spacing w:before="240" w:beforeAutospacing="off" w:after="240" w:afterAutospacing="off"/>
        <w:jc w:val="both"/>
        <w:rPr>
          <w:rFonts w:ascii="Aptos" w:hAnsi="Aptos" w:eastAsia="Aptos" w:cs="Aptos"/>
          <w:b w:val="1"/>
          <w:bCs w:val="1"/>
          <w:noProof w:val="0"/>
          <w:sz w:val="24"/>
          <w:szCs w:val="24"/>
          <w:lang w:val="en-GB"/>
        </w:rPr>
      </w:pPr>
    </w:p>
    <w:p w:rsidR="1EBCF505" w:rsidP="1EBCF505" w:rsidRDefault="1EBCF505" w14:paraId="517E45B4" w14:textId="2AED1A37">
      <w:pPr>
        <w:pStyle w:val="Normal"/>
        <w:spacing w:before="240" w:beforeAutospacing="off" w:after="240" w:afterAutospacing="off"/>
        <w:jc w:val="left"/>
      </w:pPr>
    </w:p>
    <w:p w:rsidR="1EBCF505" w:rsidP="1EBCF505" w:rsidRDefault="1EBCF505" w14:paraId="1B145E72" w14:textId="309AA789">
      <w:pPr>
        <w:pStyle w:val="Normal"/>
        <w:spacing w:before="240" w:beforeAutospacing="off" w:after="240" w:afterAutospacing="off"/>
        <w:jc w:val="left"/>
      </w:pPr>
    </w:p>
    <w:p w:rsidR="1EBCF505" w:rsidP="1EBCF505" w:rsidRDefault="1EBCF505" w14:paraId="0F4D4556" w14:textId="7BA44773">
      <w:pPr>
        <w:pStyle w:val="Normal"/>
        <w:spacing w:before="240" w:beforeAutospacing="off" w:after="240" w:afterAutospacing="off"/>
        <w:jc w:val="left"/>
      </w:pPr>
    </w:p>
    <w:p w:rsidR="1EBCF505" w:rsidP="1EBCF505" w:rsidRDefault="1EBCF505" w14:paraId="7380CF32" w14:textId="60CD784F">
      <w:pPr>
        <w:pStyle w:val="Normal"/>
        <w:spacing w:before="240" w:beforeAutospacing="off" w:after="240" w:afterAutospacing="off"/>
        <w:jc w:val="left"/>
      </w:pPr>
    </w:p>
    <w:p w:rsidR="1EBCF505" w:rsidP="1EBCF505" w:rsidRDefault="1EBCF505" w14:paraId="59848C45" w14:textId="6B5F3754">
      <w:pPr>
        <w:pStyle w:val="Normal"/>
        <w:spacing w:before="240" w:beforeAutospacing="off" w:after="240" w:afterAutospacing="off"/>
        <w:jc w:val="left"/>
      </w:pPr>
    </w:p>
    <w:p w:rsidR="1EBCF505" w:rsidP="1EBCF505" w:rsidRDefault="1EBCF505" w14:paraId="4A240421" w14:textId="5EDE712F">
      <w:pPr>
        <w:pStyle w:val="Normal"/>
        <w:spacing w:before="240" w:beforeAutospacing="off" w:after="240" w:afterAutospacing="off"/>
        <w:jc w:val="left"/>
      </w:pPr>
    </w:p>
    <w:p w:rsidR="1EBCF505" w:rsidP="31090FC7" w:rsidRDefault="1EBCF505" w14:paraId="55B9CBD3" w14:textId="3BED5EDF">
      <w:pPr>
        <w:pStyle w:val="Normal"/>
        <w:spacing w:before="240" w:beforeAutospacing="off" w:after="240" w:afterAutospacing="off"/>
        <w:jc w:val="left"/>
      </w:pPr>
    </w:p>
    <w:p w:rsidR="1EBCF505" w:rsidP="1EBCF505" w:rsidRDefault="1EBCF505" w14:paraId="28ECACF9" w14:textId="2D369979">
      <w:pPr>
        <w:pStyle w:val="Normal"/>
        <w:jc w:val="left"/>
        <w:rPr>
          <w:rFonts w:ascii="Aptos" w:hAnsi="Aptos" w:eastAsia="Aptos" w:cs="Aptos"/>
          <w:noProof w:val="0"/>
          <w:sz w:val="24"/>
          <w:szCs w:val="24"/>
          <w:lang w:val="en-GB"/>
        </w:rPr>
      </w:pPr>
    </w:p>
    <w:p w:rsidR="10F57D2E" w:rsidP="1EBCF505" w:rsidRDefault="10F57D2E" w14:paraId="3A6CF99D" w14:textId="06C6C9F0">
      <w:pPr>
        <w:pStyle w:val="Normal"/>
        <w:jc w:val="left"/>
      </w:pPr>
      <w:r w:rsidRPr="50CA1F5F" w:rsidR="546C75BB">
        <w:rPr>
          <w:rFonts w:ascii="Aptos" w:hAnsi="Aptos" w:eastAsia="Aptos" w:cs="Aptos"/>
          <w:b w:val="1"/>
          <w:bCs w:val="1"/>
          <w:noProof w:val="0"/>
          <w:sz w:val="32"/>
          <w:szCs w:val="32"/>
          <w:lang w:val="en-GB"/>
        </w:rPr>
        <w:t>5. Conclusion</w:t>
      </w:r>
    </w:p>
    <w:p w:rsidR="50CA1F5F" w:rsidP="50CA1F5F" w:rsidRDefault="50CA1F5F" w14:paraId="7581C505" w14:textId="1B55791C">
      <w:pPr>
        <w:pStyle w:val="Normal"/>
        <w:jc w:val="left"/>
        <w:rPr>
          <w:rFonts w:ascii="Aptos" w:hAnsi="Aptos" w:eastAsia="Aptos" w:cs="Aptos"/>
          <w:b w:val="1"/>
          <w:bCs w:val="1"/>
          <w:noProof w:val="0"/>
          <w:sz w:val="32"/>
          <w:szCs w:val="32"/>
          <w:lang w:val="en-GB"/>
        </w:rPr>
      </w:pPr>
    </w:p>
    <w:p w:rsidR="708E35FC" w:rsidP="31090FC7" w:rsidRDefault="708E35FC" w14:paraId="6486DCC2" w14:textId="107E7FCB">
      <w:pPr>
        <w:pStyle w:val="Normal"/>
        <w:jc w:val="both"/>
        <w:rPr>
          <w:rFonts w:ascii="Aptos" w:hAnsi="Aptos" w:eastAsia="Aptos" w:cs="Aptos"/>
          <w:b w:val="0"/>
          <w:bCs w:val="0"/>
          <w:noProof w:val="0"/>
          <w:sz w:val="24"/>
          <w:szCs w:val="24"/>
          <w:lang w:val="en-GB"/>
        </w:rPr>
      </w:pPr>
      <w:r w:rsidRPr="31090FC7" w:rsidR="3909019D">
        <w:rPr>
          <w:rFonts w:ascii="Aptos" w:hAnsi="Aptos" w:eastAsia="Aptos" w:cs="Aptos"/>
          <w:b w:val="0"/>
          <w:bCs w:val="0"/>
          <w:noProof w:val="0"/>
          <w:sz w:val="24"/>
          <w:szCs w:val="24"/>
          <w:lang w:val="en-GB"/>
        </w:rPr>
        <w:t xml:space="preserve">In the processing of key minerals, Australia has a strong but conditional competitive advantage. Although its infrastructure, regulatory support, mining potential, and geological resources provide a great platform, Porter's Diamond </w:t>
      </w:r>
      <w:r w:rsidRPr="31090FC7" w:rsidR="3909019D">
        <w:rPr>
          <w:rFonts w:ascii="Aptos" w:hAnsi="Aptos" w:eastAsia="Aptos" w:cs="Aptos"/>
          <w:b w:val="0"/>
          <w:bCs w:val="0"/>
          <w:noProof w:val="0"/>
          <w:sz w:val="24"/>
          <w:szCs w:val="24"/>
          <w:lang w:val="en-GB"/>
        </w:rPr>
        <w:t>indicates</w:t>
      </w:r>
      <w:r w:rsidRPr="31090FC7" w:rsidR="3909019D">
        <w:rPr>
          <w:rFonts w:ascii="Aptos" w:hAnsi="Aptos" w:eastAsia="Aptos" w:cs="Aptos"/>
          <w:b w:val="0"/>
          <w:bCs w:val="0"/>
          <w:noProof w:val="0"/>
          <w:sz w:val="24"/>
          <w:szCs w:val="24"/>
          <w:lang w:val="en-GB"/>
        </w:rPr>
        <w:t xml:space="preserve"> that these elements are insufficient. Compared to the upstream mining cluster, advanced processing capabilities, complex domestic demand, downstream suppliers, and ongoing competition are still less developed.</w:t>
      </w:r>
    </w:p>
    <w:p w:rsidR="708E35FC" w:rsidP="31090FC7" w:rsidRDefault="708E35FC" w14:paraId="17653873" w14:textId="4451E3B7">
      <w:pPr>
        <w:pStyle w:val="Normal"/>
        <w:jc w:val="both"/>
        <w:rPr>
          <w:rFonts w:ascii="Aptos" w:hAnsi="Aptos" w:eastAsia="Aptos" w:cs="Aptos"/>
          <w:b w:val="0"/>
          <w:bCs w:val="0"/>
          <w:noProof w:val="0"/>
          <w:sz w:val="24"/>
          <w:szCs w:val="24"/>
          <w:lang w:val="en-GB"/>
        </w:rPr>
      </w:pPr>
      <w:r w:rsidRPr="31090FC7" w:rsidR="3909019D">
        <w:rPr>
          <w:rFonts w:ascii="Aptos" w:hAnsi="Aptos" w:eastAsia="Aptos" w:cs="Aptos"/>
          <w:b w:val="0"/>
          <w:bCs w:val="0"/>
          <w:noProof w:val="0"/>
          <w:sz w:val="24"/>
          <w:szCs w:val="24"/>
          <w:lang w:val="en-GB"/>
        </w:rPr>
        <w:t>This disparity is demonstrated by Tianqi's Kwinana refinery. Although the asset supports Australia's value-adding goal and connects Greenbushes feedstock to battery-grade lithium hydroxide, production below nameplate capacity and high conversion costs demonstrate that strategic importance does not ensure economic competitiveness. Government incentives can boost the economy, but operational learning, product quality, and customer commitments are necessary for long-term success.</w:t>
      </w:r>
    </w:p>
    <w:p w:rsidR="1EBCF505" w:rsidP="31090FC7" w:rsidRDefault="1EBCF505" w14:paraId="319D947C" w14:textId="3EDCF5D9">
      <w:pPr>
        <w:pStyle w:val="Normal"/>
        <w:jc w:val="both"/>
      </w:pPr>
      <w:r w:rsidRPr="31090FC7" w:rsidR="3909019D">
        <w:rPr>
          <w:rFonts w:ascii="Aptos" w:hAnsi="Aptos" w:eastAsia="Aptos" w:cs="Aptos"/>
          <w:noProof w:val="0"/>
          <w:sz w:val="24"/>
          <w:szCs w:val="24"/>
          <w:lang w:val="en-GB"/>
        </w:rPr>
        <w:t>Success is multifaceted, as the MNC study also shows. Tianqi has to deal with Australian labour and legal requirements, joint venture alignment, foreign investor scrutiny, environmental due diligence, and volatile lithium prices. Hofstede can spot potential conflicts between cultures, but facts and site-level governance are more trustworthy than national prejudices.</w:t>
      </w:r>
    </w:p>
    <w:p w:rsidR="1EBCF505" w:rsidP="31090FC7" w:rsidRDefault="1EBCF505" w14:paraId="0D141A38" w14:textId="6D9B5782">
      <w:pPr>
        <w:pStyle w:val="Normal"/>
        <w:jc w:val="both"/>
      </w:pPr>
      <w:r w:rsidRPr="31090FC7" w:rsidR="3909019D">
        <w:rPr>
          <w:rFonts w:ascii="Aptos" w:hAnsi="Aptos" w:eastAsia="Aptos" w:cs="Aptos"/>
          <w:noProof w:val="0"/>
          <w:sz w:val="24"/>
          <w:szCs w:val="24"/>
          <w:lang w:val="en-GB"/>
        </w:rPr>
        <w:t>Therefore, the conclusion is that while Australia can develop a distinct processing advantage based on geopolitical diversification, proven ESG standards, and safe supply, it is unlikely to overtake China through cost competition alone. If the strategic opportunity is translated into quantifiable commercial performance through staged operational targets, long-term offtake, clear ESG indicators, and effective partner governance, Tianqi will find continuous engagement appealing.</w:t>
      </w:r>
    </w:p>
    <w:p w:rsidR="1EBCF505" w:rsidP="31090FC7" w:rsidRDefault="1EBCF505" w14:paraId="5D28A461" w14:textId="2AF8E674">
      <w:pPr>
        <w:pStyle w:val="Normal"/>
        <w:jc w:val="both"/>
        <w:rPr>
          <w:rFonts w:ascii="Aptos" w:hAnsi="Aptos" w:eastAsia="Aptos" w:cs="Aptos"/>
          <w:noProof w:val="0"/>
          <w:sz w:val="24"/>
          <w:szCs w:val="24"/>
          <w:lang w:val="en-GB"/>
        </w:rPr>
      </w:pPr>
    </w:p>
    <w:p w:rsidR="1EBCF505" w:rsidP="31090FC7" w:rsidRDefault="1EBCF505" w14:paraId="51F269C8" w14:textId="0AD39567">
      <w:pPr>
        <w:pStyle w:val="Normal"/>
        <w:jc w:val="both"/>
        <w:rPr>
          <w:rFonts w:ascii="Aptos" w:hAnsi="Aptos" w:eastAsia="Aptos" w:cs="Aptos"/>
          <w:noProof w:val="0"/>
          <w:sz w:val="24"/>
          <w:szCs w:val="24"/>
          <w:lang w:val="en-GB"/>
        </w:rPr>
      </w:pPr>
    </w:p>
    <w:p w:rsidR="1EBCF505" w:rsidP="1EBCF505" w:rsidRDefault="1EBCF505" w14:paraId="6289D762" w14:textId="3BC94DBA">
      <w:pPr>
        <w:pStyle w:val="Normal"/>
        <w:jc w:val="both"/>
        <w:rPr>
          <w:rFonts w:ascii="Aptos" w:hAnsi="Aptos" w:eastAsia="Aptos" w:cs="Aptos"/>
          <w:noProof w:val="0"/>
          <w:sz w:val="24"/>
          <w:szCs w:val="24"/>
          <w:lang w:val="en-GB"/>
        </w:rPr>
      </w:pPr>
    </w:p>
    <w:p w:rsidR="6C9A2BB4" w:rsidP="272F73A6" w:rsidRDefault="6C9A2BB4" w14:paraId="6E139E50" w14:textId="08B545A8">
      <w:pPr>
        <w:pStyle w:val="Normal"/>
        <w:spacing w:before="240" w:beforeAutospacing="off" w:after="240" w:afterAutospacing="off"/>
        <w:rPr>
          <w:rFonts w:ascii="Aptos" w:hAnsi="Aptos" w:eastAsia="Aptos" w:cs="Aptos"/>
          <w:b w:val="1"/>
          <w:bCs w:val="1"/>
          <w:noProof w:val="0"/>
          <w:sz w:val="24"/>
          <w:szCs w:val="24"/>
          <w:lang w:val="en-GB"/>
        </w:rPr>
      </w:pPr>
    </w:p>
    <w:p w:rsidR="6C9A2BB4" w:rsidP="272F73A6" w:rsidRDefault="6C9A2BB4" w14:paraId="60F6735F" w14:textId="64D67180">
      <w:pPr>
        <w:pStyle w:val="Normal"/>
        <w:spacing w:before="240" w:beforeAutospacing="off" w:after="240" w:afterAutospacing="off"/>
        <w:rPr>
          <w:rFonts w:ascii="Aptos" w:hAnsi="Aptos" w:eastAsia="Aptos" w:cs="Aptos"/>
          <w:b w:val="1"/>
          <w:bCs w:val="1"/>
          <w:noProof w:val="0"/>
          <w:sz w:val="24"/>
          <w:szCs w:val="24"/>
          <w:lang w:val="en-GB"/>
        </w:rPr>
      </w:pPr>
    </w:p>
    <w:p w:rsidR="7E164910" w:rsidP="7E164910" w:rsidRDefault="7E164910" w14:paraId="099F98CA" w14:textId="6BD1DFDC">
      <w:pPr>
        <w:pStyle w:val="Normal"/>
        <w:spacing w:before="240" w:beforeAutospacing="off" w:after="240" w:afterAutospacing="off"/>
        <w:rPr>
          <w:rFonts w:ascii="Aptos" w:hAnsi="Aptos" w:eastAsia="Aptos" w:cs="Aptos"/>
          <w:b w:val="1"/>
          <w:bCs w:val="1"/>
          <w:noProof w:val="0"/>
          <w:sz w:val="24"/>
          <w:szCs w:val="24"/>
          <w:lang w:val="en-GB"/>
        </w:rPr>
      </w:pPr>
    </w:p>
    <w:p w:rsidR="24D733EA" w:rsidP="24D733EA" w:rsidRDefault="24D733EA" w14:paraId="5FE57ACC" w14:textId="0657A7F1">
      <w:pPr>
        <w:pStyle w:val="Normal"/>
        <w:spacing w:before="240" w:beforeAutospacing="off" w:after="240" w:afterAutospacing="off"/>
        <w:ind w:left="0"/>
        <w:rPr>
          <w:rFonts w:ascii="Aptos" w:hAnsi="Aptos" w:eastAsia="Aptos" w:cs="Aptos"/>
          <w:noProof w:val="0"/>
          <w:sz w:val="24"/>
          <w:szCs w:val="24"/>
          <w:lang w:val="en-GB"/>
        </w:rPr>
      </w:pPr>
    </w:p>
    <w:p w:rsidR="24D733EA" w:rsidP="24D733EA" w:rsidRDefault="24D733EA" w14:paraId="3821A75D" w14:textId="7B2C8EB0">
      <w:pPr>
        <w:pStyle w:val="Normal"/>
        <w:spacing w:before="240" w:beforeAutospacing="off" w:after="240" w:afterAutospacing="off"/>
        <w:rPr>
          <w:rFonts w:ascii="Aptos" w:hAnsi="Aptos" w:eastAsia="Aptos" w:cs="Aptos"/>
          <w:noProof w:val="0"/>
          <w:sz w:val="24"/>
          <w:szCs w:val="24"/>
          <w:lang w:val="en-GB"/>
        </w:rPr>
      </w:pPr>
    </w:p>
    <w:p w:rsidR="6C9A2BB4" w:rsidP="49E66D2A" w:rsidRDefault="6C9A2BB4" w14:paraId="7FFA6ABE" w14:textId="25CE71A3">
      <w:pPr>
        <w:spacing w:before="240" w:beforeAutospacing="off" w:after="240" w:afterAutospacing="off"/>
        <w:rPr>
          <w:rFonts w:ascii="Aptos" w:hAnsi="Aptos" w:eastAsia="Aptos" w:cs="Aptos"/>
          <w:noProof w:val="0"/>
          <w:sz w:val="24"/>
          <w:szCs w:val="24"/>
          <w:lang w:val="en-GB"/>
        </w:rPr>
      </w:pPr>
    </w:p>
    <w:p w:rsidR="6C9A2BB4" w:rsidP="49E66D2A" w:rsidRDefault="6C9A2BB4" w14:paraId="259E64B8" w14:textId="168CA769">
      <w:pPr>
        <w:spacing w:before="240" w:beforeAutospacing="off" w:after="240" w:afterAutospacing="off"/>
        <w:rPr>
          <w:rFonts w:ascii="Aptos" w:hAnsi="Aptos" w:eastAsia="Aptos" w:cs="Aptos"/>
          <w:noProof w:val="0"/>
          <w:sz w:val="24"/>
          <w:szCs w:val="24"/>
          <w:lang w:val="en-GB"/>
        </w:rPr>
      </w:pPr>
    </w:p>
    <w:p w:rsidR="6C9A2BB4" w:rsidP="49E66D2A" w:rsidRDefault="6C9A2BB4" w14:paraId="054F45F7" w14:textId="64B75BB2">
      <w:pPr>
        <w:spacing w:before="240" w:beforeAutospacing="off" w:after="240" w:afterAutospacing="off"/>
        <w:rPr>
          <w:rFonts w:ascii="Aptos" w:hAnsi="Aptos" w:eastAsia="Aptos" w:cs="Aptos"/>
          <w:noProof w:val="0"/>
          <w:sz w:val="24"/>
          <w:szCs w:val="24"/>
          <w:lang w:val="en-GB"/>
        </w:rPr>
      </w:pPr>
    </w:p>
    <w:p w:rsidR="6C9A2BB4" w:rsidP="31090FC7" w:rsidRDefault="6C9A2BB4" w14:paraId="7E19E795" w14:textId="3D88B18D">
      <w:pPr>
        <w:pStyle w:val="Normal"/>
        <w:spacing w:before="240" w:beforeAutospacing="off" w:after="240" w:afterAutospacing="off"/>
        <w:rPr>
          <w:rFonts w:ascii="Aptos" w:hAnsi="Aptos" w:eastAsia="Aptos" w:cs="Aptos"/>
          <w:b w:val="1"/>
          <w:bCs w:val="1"/>
          <w:noProof w:val="0"/>
          <w:sz w:val="28"/>
          <w:szCs w:val="28"/>
          <w:lang w:val="en-GB"/>
        </w:rPr>
      </w:pPr>
      <w:r w:rsidRPr="31090FC7" w:rsidR="13368E4C">
        <w:rPr>
          <w:rFonts w:ascii="Aptos" w:hAnsi="Aptos" w:eastAsia="Aptos" w:cs="Aptos"/>
          <w:b w:val="1"/>
          <w:bCs w:val="1"/>
          <w:noProof w:val="0"/>
          <w:sz w:val="28"/>
          <w:szCs w:val="28"/>
          <w:lang w:val="en-GB"/>
        </w:rPr>
        <w:t xml:space="preserve"> SECTION </w:t>
      </w:r>
      <w:r w:rsidRPr="31090FC7" w:rsidR="13368E4C">
        <w:rPr>
          <w:rFonts w:ascii="Aptos" w:hAnsi="Aptos" w:eastAsia="Aptos" w:cs="Aptos"/>
          <w:b w:val="1"/>
          <w:bCs w:val="1"/>
          <w:noProof w:val="0"/>
          <w:sz w:val="28"/>
          <w:szCs w:val="28"/>
          <w:lang w:val="en-GB"/>
        </w:rPr>
        <w:t xml:space="preserve">2 </w:t>
      </w:r>
      <w:r w:rsidRPr="31090FC7" w:rsidR="3AF86214">
        <w:rPr>
          <w:rFonts w:ascii="Aptos" w:hAnsi="Aptos" w:eastAsia="Aptos" w:cs="Aptos"/>
          <w:b w:val="1"/>
          <w:bCs w:val="1"/>
          <w:noProof w:val="0"/>
          <w:sz w:val="28"/>
          <w:szCs w:val="28"/>
          <w:lang w:val="en-GB"/>
        </w:rPr>
        <w:t>:</w:t>
      </w:r>
      <w:r w:rsidRPr="31090FC7" w:rsidR="3AF86214">
        <w:rPr>
          <w:rFonts w:ascii="Aptos" w:hAnsi="Aptos" w:eastAsia="Aptos" w:cs="Aptos"/>
          <w:b w:val="1"/>
          <w:bCs w:val="1"/>
          <w:noProof w:val="0"/>
          <w:sz w:val="28"/>
          <w:szCs w:val="28"/>
          <w:lang w:val="en-GB"/>
        </w:rPr>
        <w:t xml:space="preserve"> </w:t>
      </w:r>
      <w:r w:rsidRPr="31090FC7" w:rsidR="62EAA085">
        <w:rPr>
          <w:rFonts w:ascii="Aptos" w:hAnsi="Aptos" w:eastAsia="Aptos" w:cs="Aptos"/>
          <w:b w:val="1"/>
          <w:bCs w:val="1"/>
          <w:noProof w:val="0"/>
          <w:sz w:val="28"/>
          <w:szCs w:val="28"/>
          <w:lang w:val="en-GB"/>
        </w:rPr>
        <w:t>Reflective Account Using Gibbs’ Reflective Cycle: Researching, Analysing, and Preparing the Assessment Section</w:t>
      </w:r>
    </w:p>
    <w:p w:rsidR="222ED78A" w:rsidP="31090FC7" w:rsidRDefault="222ED78A" w14:paraId="2A265F63" w14:textId="172A4060">
      <w:pPr>
        <w:pStyle w:val="Normal"/>
        <w:spacing w:before="240" w:beforeAutospacing="off" w:after="240" w:afterAutospacing="off"/>
        <w:jc w:val="left"/>
      </w:pPr>
      <w:r w:rsidRPr="31090FC7" w:rsidR="763AC6BC">
        <w:rPr>
          <w:rFonts w:ascii="Aptos" w:hAnsi="Aptos" w:eastAsia="Aptos" w:cs="Aptos"/>
          <w:b w:val="0"/>
          <w:bCs w:val="0"/>
          <w:noProof w:val="0"/>
          <w:sz w:val="24"/>
          <w:szCs w:val="24"/>
          <w:lang w:val="en-GB"/>
        </w:rPr>
        <w:t xml:space="preserve">The six stages of Gibbs' Reflective Cycle—description, feelings, assessment, analysis, conclusion, and action plan—required me to assess the report's quality as well as my own research choices, which is why I employed it (Gibbs 1988). The perspective that follows focuses on what I really </w:t>
      </w:r>
      <w:r w:rsidRPr="31090FC7" w:rsidR="763AC6BC">
        <w:rPr>
          <w:rFonts w:ascii="Aptos" w:hAnsi="Aptos" w:eastAsia="Aptos" w:cs="Aptos"/>
          <w:b w:val="0"/>
          <w:bCs w:val="0"/>
          <w:noProof w:val="0"/>
          <w:sz w:val="24"/>
          <w:szCs w:val="24"/>
          <w:lang w:val="en-GB"/>
        </w:rPr>
        <w:t>accomplished</w:t>
      </w:r>
      <w:r w:rsidRPr="31090FC7" w:rsidR="763AC6BC">
        <w:rPr>
          <w:rFonts w:ascii="Aptos" w:hAnsi="Aptos" w:eastAsia="Aptos" w:cs="Aptos"/>
          <w:b w:val="0"/>
          <w:bCs w:val="0"/>
          <w:noProof w:val="0"/>
          <w:sz w:val="24"/>
          <w:szCs w:val="24"/>
          <w:lang w:val="en-GB"/>
        </w:rPr>
        <w:t>, the challenges I faced, the criticism I got, and the adjustments I would do going forward.</w:t>
      </w:r>
    </w:p>
    <w:p w:rsidR="5FE3B452" w:rsidP="4DF95668" w:rsidRDefault="5FE3B452" w14:paraId="293BE472" w14:textId="5DDB0D38">
      <w:pPr>
        <w:pStyle w:val="Normal"/>
        <w:spacing w:before="240" w:beforeAutospacing="off" w:after="240" w:afterAutospacing="off"/>
      </w:pPr>
    </w:p>
    <w:p w:rsidR="6C9A2BB4" w:rsidP="0909F6A8" w:rsidRDefault="6C9A2BB4" w14:paraId="1C816613" w14:textId="7C440728">
      <w:pPr>
        <w:pStyle w:val="Normal"/>
        <w:spacing w:before="240" w:beforeAutospacing="off" w:after="240" w:afterAutospacing="off"/>
      </w:pPr>
      <w:r w:rsidRPr="0909F6A8" w:rsidR="771051C4">
        <w:rPr>
          <w:b w:val="1"/>
          <w:bCs w:val="1"/>
          <w:sz w:val="28"/>
          <w:szCs w:val="28"/>
        </w:rPr>
        <w:t xml:space="preserve">1.Description </w:t>
      </w:r>
    </w:p>
    <w:p w:rsidR="73D4A41D" w:rsidP="31090FC7" w:rsidRDefault="73D4A41D" w14:paraId="22E47B34" w14:textId="265ABAB7">
      <w:pPr>
        <w:pStyle w:val="Normal"/>
        <w:jc w:val="both"/>
        <w:rPr>
          <w:b w:val="0"/>
          <w:bCs w:val="0"/>
          <w:sz w:val="24"/>
          <w:szCs w:val="24"/>
        </w:rPr>
      </w:pPr>
      <w:r w:rsidRPr="31090FC7" w:rsidR="4AFBFB0B">
        <w:rPr>
          <w:b w:val="0"/>
          <w:bCs w:val="0"/>
          <w:sz w:val="24"/>
          <w:szCs w:val="24"/>
        </w:rPr>
        <w:t xml:space="preserve">Because the case links national competitiveness, foreign investment, and global supply-chain risk, I chose Tianqi Lithium and Australia's critical-minerals processing sector. At first, I thought about writing a more comprehensive report that included </w:t>
      </w:r>
      <w:r w:rsidRPr="31090FC7" w:rsidR="4AFBFB0B">
        <w:rPr>
          <w:b w:val="0"/>
          <w:bCs w:val="0"/>
          <w:sz w:val="24"/>
          <w:szCs w:val="24"/>
        </w:rPr>
        <w:t>a number of</w:t>
      </w:r>
      <w:r w:rsidRPr="31090FC7" w:rsidR="4AFBFB0B">
        <w:rPr>
          <w:b w:val="0"/>
          <w:bCs w:val="0"/>
          <w:sz w:val="24"/>
          <w:szCs w:val="24"/>
        </w:rPr>
        <w:t xml:space="preserve"> minerals and businesses, but this would have made the study too descriptive. As a result, I used rare earths only to highlight the broader processing environment and focused the company study on Tianqi and the Kwinana lithium-hydroxide refinery.</w:t>
      </w:r>
    </w:p>
    <w:p w:rsidR="73D4A41D" w:rsidP="31090FC7" w:rsidRDefault="73D4A41D" w14:paraId="745BC6F8" w14:textId="46F0C8DE">
      <w:pPr>
        <w:pStyle w:val="Normal"/>
        <w:jc w:val="both"/>
        <w:rPr>
          <w:b w:val="0"/>
          <w:bCs w:val="0"/>
          <w:sz w:val="24"/>
          <w:szCs w:val="24"/>
        </w:rPr>
      </w:pPr>
      <w:r w:rsidRPr="31090FC7" w:rsidR="69C2811C">
        <w:rPr>
          <w:b w:val="0"/>
          <w:bCs w:val="0"/>
          <w:sz w:val="24"/>
          <w:szCs w:val="24"/>
        </w:rPr>
        <w:t xml:space="preserve">Because the case links national competitiveness, foreign investment, and global supply-chain risk, I chose Tianqi Lithium and Australia's critical-minerals processing sector. At first, I thought about writing a more comprehensive report that included </w:t>
      </w:r>
      <w:r w:rsidRPr="31090FC7" w:rsidR="69C2811C">
        <w:rPr>
          <w:b w:val="0"/>
          <w:bCs w:val="0"/>
          <w:sz w:val="24"/>
          <w:szCs w:val="24"/>
        </w:rPr>
        <w:t>a number of</w:t>
      </w:r>
      <w:r w:rsidRPr="31090FC7" w:rsidR="69C2811C">
        <w:rPr>
          <w:b w:val="0"/>
          <w:bCs w:val="0"/>
          <w:sz w:val="24"/>
          <w:szCs w:val="24"/>
        </w:rPr>
        <w:t xml:space="preserve"> minerals and businesses, but this would have made the study too descriptive. As a result, I used rare earths only to highlight the broader processing environment and focused the company study on Tianqi and the Kwinana lithium-hydroxide refinery. I kept the original country-industry-MNC structure for the rework, but I enhanced the assessment of Tianqi's hazards, finished the reflection and AI acknowledgement, changed the Porter terminology, and substituted a qualitative evaluation for the unsupported aggregate score. Additionally, I included precise links for new content and compared the reference list to the mentioned sources.</w:t>
      </w:r>
    </w:p>
    <w:p w:rsidR="4DF95668" w:rsidP="4DF95668" w:rsidRDefault="4DF95668" w14:paraId="7F8E47B8" w14:textId="4878B277">
      <w:pPr>
        <w:pStyle w:val="Normal"/>
        <w:rPr>
          <w:b w:val="1"/>
          <w:bCs w:val="1"/>
          <w:sz w:val="28"/>
          <w:szCs w:val="28"/>
        </w:rPr>
      </w:pPr>
    </w:p>
    <w:p w:rsidR="4DF95668" w:rsidP="4DF95668" w:rsidRDefault="4DF95668" w14:paraId="63FAF315" w14:textId="798D14DE">
      <w:pPr>
        <w:pStyle w:val="Normal"/>
        <w:rPr>
          <w:b w:val="0"/>
          <w:bCs w:val="0"/>
          <w:sz w:val="24"/>
          <w:szCs w:val="24"/>
        </w:rPr>
      </w:pPr>
    </w:p>
    <w:p w:rsidR="50CA1F5F" w:rsidP="50CA1F5F" w:rsidRDefault="50CA1F5F" w14:paraId="370E318B" w14:textId="0820992D">
      <w:pPr>
        <w:pStyle w:val="Normal"/>
        <w:rPr>
          <w:b w:val="0"/>
          <w:bCs w:val="0"/>
          <w:sz w:val="24"/>
          <w:szCs w:val="24"/>
        </w:rPr>
      </w:pPr>
    </w:p>
    <w:p w:rsidR="50CA1F5F" w:rsidP="50CA1F5F" w:rsidRDefault="50CA1F5F" w14:paraId="7DF4849C" w14:textId="10580667">
      <w:pPr>
        <w:pStyle w:val="Normal"/>
        <w:rPr>
          <w:b w:val="0"/>
          <w:bCs w:val="0"/>
          <w:sz w:val="24"/>
          <w:szCs w:val="24"/>
        </w:rPr>
      </w:pPr>
    </w:p>
    <w:p w:rsidR="50CA1F5F" w:rsidP="50CA1F5F" w:rsidRDefault="50CA1F5F" w14:paraId="5B84ADEF" w14:textId="1D900914">
      <w:pPr>
        <w:pStyle w:val="Normal"/>
        <w:rPr>
          <w:b w:val="0"/>
          <w:bCs w:val="0"/>
          <w:sz w:val="24"/>
          <w:szCs w:val="24"/>
        </w:rPr>
      </w:pPr>
    </w:p>
    <w:p w:rsidR="50CA1F5F" w:rsidP="50CA1F5F" w:rsidRDefault="50CA1F5F" w14:paraId="1428DFF6" w14:textId="0BC637CA">
      <w:pPr>
        <w:pStyle w:val="Normal"/>
        <w:rPr>
          <w:b w:val="0"/>
          <w:bCs w:val="0"/>
          <w:sz w:val="24"/>
          <w:szCs w:val="24"/>
        </w:rPr>
      </w:pPr>
    </w:p>
    <w:p w:rsidR="50CA1F5F" w:rsidP="50CA1F5F" w:rsidRDefault="50CA1F5F" w14:paraId="542C348E" w14:textId="484621B9">
      <w:pPr>
        <w:pStyle w:val="Normal"/>
        <w:rPr>
          <w:b w:val="0"/>
          <w:bCs w:val="0"/>
          <w:sz w:val="24"/>
          <w:szCs w:val="24"/>
        </w:rPr>
      </w:pPr>
    </w:p>
    <w:p w:rsidR="50CA1F5F" w:rsidP="50CA1F5F" w:rsidRDefault="50CA1F5F" w14:paraId="2C2534DF" w14:textId="3DC986EE">
      <w:pPr>
        <w:pStyle w:val="Normal"/>
        <w:rPr>
          <w:b w:val="0"/>
          <w:bCs w:val="0"/>
          <w:sz w:val="24"/>
          <w:szCs w:val="24"/>
        </w:rPr>
      </w:pPr>
    </w:p>
    <w:p w:rsidR="50CA1F5F" w:rsidP="50CA1F5F" w:rsidRDefault="50CA1F5F" w14:paraId="39C8D99E" w14:textId="01F4704D">
      <w:pPr>
        <w:pStyle w:val="Normal"/>
        <w:rPr>
          <w:b w:val="0"/>
          <w:bCs w:val="0"/>
          <w:sz w:val="24"/>
          <w:szCs w:val="24"/>
        </w:rPr>
      </w:pPr>
    </w:p>
    <w:p w:rsidR="50CA1F5F" w:rsidP="50CA1F5F" w:rsidRDefault="50CA1F5F" w14:paraId="67DF03BF" w14:textId="2154F26D">
      <w:pPr>
        <w:pStyle w:val="Normal"/>
        <w:rPr>
          <w:b w:val="0"/>
          <w:bCs w:val="0"/>
          <w:sz w:val="24"/>
          <w:szCs w:val="24"/>
        </w:rPr>
      </w:pPr>
    </w:p>
    <w:p w:rsidR="6C9A2BB4" w:rsidP="49E66D2A" w:rsidRDefault="6C9A2BB4" w14:paraId="6B31DF02" w14:textId="758DD036">
      <w:pPr>
        <w:pStyle w:val="Normal"/>
        <w:rPr>
          <w:b w:val="1"/>
          <w:bCs w:val="1"/>
        </w:rPr>
      </w:pPr>
    </w:p>
    <w:p w:rsidR="31090FC7" w:rsidP="31090FC7" w:rsidRDefault="31090FC7" w14:paraId="48E94FFA" w14:textId="5E92C362">
      <w:pPr>
        <w:pStyle w:val="Normal"/>
        <w:rPr>
          <w:rFonts w:ascii="Aptos" w:hAnsi="Aptos" w:eastAsia="Aptos" w:cs="Aptos"/>
          <w:b w:val="1"/>
          <w:bCs w:val="1"/>
          <w:noProof w:val="0"/>
          <w:sz w:val="28"/>
          <w:szCs w:val="28"/>
          <w:lang w:val="en-GB"/>
        </w:rPr>
      </w:pPr>
    </w:p>
    <w:p w:rsidR="31090FC7" w:rsidP="31090FC7" w:rsidRDefault="31090FC7" w14:paraId="37B3F3D0" w14:textId="08114C88">
      <w:pPr>
        <w:pStyle w:val="Normal"/>
        <w:rPr>
          <w:rFonts w:ascii="Aptos" w:hAnsi="Aptos" w:eastAsia="Aptos" w:cs="Aptos"/>
          <w:b w:val="1"/>
          <w:bCs w:val="1"/>
          <w:noProof w:val="0"/>
          <w:sz w:val="28"/>
          <w:szCs w:val="28"/>
          <w:lang w:val="en-GB"/>
        </w:rPr>
      </w:pPr>
    </w:p>
    <w:p w:rsidR="31090FC7" w:rsidP="31090FC7" w:rsidRDefault="31090FC7" w14:paraId="34DE118E" w14:textId="23C5CD61">
      <w:pPr>
        <w:pStyle w:val="Normal"/>
        <w:rPr>
          <w:rFonts w:ascii="Aptos" w:hAnsi="Aptos" w:eastAsia="Aptos" w:cs="Aptos"/>
          <w:b w:val="1"/>
          <w:bCs w:val="1"/>
          <w:noProof w:val="0"/>
          <w:sz w:val="28"/>
          <w:szCs w:val="28"/>
          <w:lang w:val="en-GB"/>
        </w:rPr>
      </w:pPr>
    </w:p>
    <w:p w:rsidR="272F73A6" w:rsidP="4DF95668" w:rsidRDefault="272F73A6" w14:paraId="3CDBBC22" w14:textId="39E5C0AB">
      <w:pPr>
        <w:pStyle w:val="Normal"/>
        <w:spacing w:before="240" w:beforeAutospacing="off" w:after="240" w:afterAutospacing="off"/>
        <w:rPr>
          <w:rFonts w:ascii="Aptos" w:hAnsi="Aptos" w:eastAsia="Aptos" w:cs="Aptos"/>
          <w:b w:val="1"/>
          <w:bCs w:val="1"/>
          <w:noProof w:val="0"/>
          <w:sz w:val="28"/>
          <w:szCs w:val="28"/>
          <w:lang w:val="en-GB"/>
        </w:rPr>
      </w:pPr>
      <w:r w:rsidRPr="31090FC7" w:rsidR="783061BB">
        <w:rPr>
          <w:rFonts w:ascii="Aptos" w:hAnsi="Aptos" w:eastAsia="Aptos" w:cs="Aptos"/>
          <w:b w:val="1"/>
          <w:bCs w:val="1"/>
          <w:noProof w:val="0"/>
          <w:sz w:val="28"/>
          <w:szCs w:val="28"/>
          <w:lang w:val="en-GB"/>
        </w:rPr>
        <w:t xml:space="preserve">2. </w:t>
      </w:r>
      <w:r w:rsidRPr="31090FC7" w:rsidR="32F1AFFE">
        <w:rPr>
          <w:rFonts w:ascii="Aptos" w:hAnsi="Aptos" w:eastAsia="Aptos" w:cs="Aptos"/>
          <w:b w:val="1"/>
          <w:bCs w:val="1"/>
          <w:noProof w:val="0"/>
          <w:sz w:val="28"/>
          <w:szCs w:val="28"/>
          <w:lang w:val="en-GB"/>
        </w:rPr>
        <w:t>Feelings</w:t>
      </w:r>
    </w:p>
    <w:p w:rsidR="4DF95668" w:rsidP="31090FC7" w:rsidRDefault="4DF95668" w14:paraId="676EE52B" w14:textId="41C8AAAF">
      <w:pPr>
        <w:pStyle w:val="Normal"/>
        <w:spacing w:before="240" w:beforeAutospacing="off" w:after="240" w:afterAutospacing="off"/>
        <w:jc w:val="both"/>
      </w:pPr>
      <w:r w:rsidRPr="31090FC7" w:rsidR="4A95D006">
        <w:rPr>
          <w:rFonts w:ascii="Aptos" w:hAnsi="Aptos" w:eastAsia="Aptos" w:cs="Aptos"/>
          <w:b w:val="0"/>
          <w:bCs w:val="0"/>
          <w:noProof w:val="0"/>
          <w:sz w:val="24"/>
          <w:szCs w:val="24"/>
          <w:lang w:val="en-GB"/>
        </w:rPr>
        <w:t>Because many publications considered mining and processing as the same operation, I was initially uneasy. Strong export and production numbers ran the risk of inflating Australia's downstream competitiveness. Opportunity was also highlighted in government documents, however company data revealed high conversion costs and low refinery utilisation. This contradiction made the argument more difficult, but it also taught me that positive statements must be tested against opposing evidence in critical analysis.</w:t>
      </w:r>
    </w:p>
    <w:p w:rsidR="4DF95668" w:rsidP="31090FC7" w:rsidRDefault="4DF95668" w14:paraId="5858A141" w14:textId="0D742BCF">
      <w:pPr>
        <w:pStyle w:val="Normal"/>
        <w:spacing w:before="240" w:beforeAutospacing="off" w:after="240" w:afterAutospacing="off"/>
        <w:jc w:val="both"/>
      </w:pPr>
      <w:r w:rsidRPr="31090FC7" w:rsidR="4A95D006">
        <w:rPr>
          <w:rFonts w:ascii="Aptos" w:hAnsi="Aptos" w:eastAsia="Aptos" w:cs="Aptos"/>
          <w:b w:val="0"/>
          <w:bCs w:val="0"/>
          <w:noProof w:val="0"/>
          <w:sz w:val="24"/>
          <w:szCs w:val="24"/>
          <w:lang w:val="en-GB"/>
        </w:rPr>
        <w:t>When I distinguished resource benefits from processing power and tested the theory using Kwinana's findings, I felt more assured. Although the criticism pointed out obvious modifications I might make, I was upset that my original version stayed descriptive and occasionally seemed disconnected from my personal experience.</w:t>
      </w:r>
    </w:p>
    <w:p w:rsidR="3BE61FBD" w:rsidP="4DF95668" w:rsidRDefault="3BE61FBD" w14:paraId="43DA6CC6" w14:textId="07205D14">
      <w:pPr>
        <w:pStyle w:val="Normal"/>
        <w:spacing w:before="240" w:beforeAutospacing="off" w:after="240" w:afterAutospacing="off"/>
        <w:jc w:val="left"/>
        <w:rPr>
          <w:rFonts w:ascii="Aptos" w:hAnsi="Aptos" w:eastAsia="Aptos" w:cs="Aptos"/>
          <w:b w:val="0"/>
          <w:bCs w:val="0"/>
          <w:noProof w:val="0"/>
          <w:sz w:val="24"/>
          <w:szCs w:val="24"/>
          <w:lang w:val="en-GB"/>
        </w:rPr>
      </w:pPr>
      <w:r w:rsidRPr="50CA1F5F" w:rsidR="07E13F9B">
        <w:rPr>
          <w:rFonts w:ascii="Aptos" w:hAnsi="Aptos" w:eastAsia="Aptos" w:cs="Aptos"/>
          <w:b w:val="1"/>
          <w:bCs w:val="1"/>
          <w:noProof w:val="0"/>
          <w:sz w:val="28"/>
          <w:szCs w:val="28"/>
          <w:lang w:val="en-GB"/>
        </w:rPr>
        <w:t>3.Evaluation</w:t>
      </w:r>
    </w:p>
    <w:p w:rsidR="4DF95668" w:rsidP="31090FC7" w:rsidRDefault="4DF95668" w14:paraId="1A3B3690" w14:textId="1A66D2A4">
      <w:pPr>
        <w:pStyle w:val="Normal"/>
        <w:jc w:val="both"/>
        <w:rPr>
          <w:rFonts w:ascii="Aptos" w:hAnsi="Aptos" w:eastAsia="Aptos" w:cs="Aptos"/>
          <w:b w:val="0"/>
          <w:bCs w:val="0"/>
          <w:noProof w:val="0"/>
          <w:sz w:val="24"/>
          <w:szCs w:val="24"/>
          <w:lang w:val="en-GB"/>
        </w:rPr>
      </w:pPr>
      <w:r w:rsidRPr="31090FC7" w:rsidR="36EBE129">
        <w:rPr>
          <w:rFonts w:ascii="Aptos" w:hAnsi="Aptos" w:eastAsia="Aptos" w:cs="Aptos"/>
          <w:b w:val="0"/>
          <w:bCs w:val="0"/>
          <w:noProof w:val="0"/>
          <w:sz w:val="24"/>
          <w:szCs w:val="24"/>
          <w:lang w:val="en-GB"/>
        </w:rPr>
        <w:t>A number of things were successful. The corporate example linked the national study to an actual investment choice, the topic was pertinent to global business, and public statistics were accessible. The report's evidence foundation was strengthened by using official government, IEA, and corporate sources rather than just general websites.</w:t>
      </w:r>
    </w:p>
    <w:p w:rsidR="4DF95668" w:rsidP="31090FC7" w:rsidRDefault="4DF95668" w14:paraId="6C3CAA78" w14:textId="26649028">
      <w:pPr>
        <w:pStyle w:val="Normal"/>
        <w:jc w:val="both"/>
        <w:rPr>
          <w:rFonts w:ascii="Aptos" w:hAnsi="Aptos" w:eastAsia="Aptos" w:cs="Aptos"/>
          <w:b w:val="0"/>
          <w:bCs w:val="0"/>
          <w:noProof w:val="0"/>
          <w:sz w:val="24"/>
          <w:szCs w:val="24"/>
          <w:lang w:val="en-GB"/>
        </w:rPr>
      </w:pPr>
      <w:r w:rsidRPr="31090FC7" w:rsidR="36EBE129">
        <w:rPr>
          <w:rFonts w:ascii="Aptos" w:hAnsi="Aptos" w:eastAsia="Aptos" w:cs="Aptos"/>
          <w:b w:val="0"/>
          <w:bCs w:val="0"/>
          <w:noProof w:val="0"/>
          <w:sz w:val="24"/>
          <w:szCs w:val="24"/>
          <w:lang w:val="en-GB"/>
        </w:rPr>
        <w:t xml:space="preserve"> </w:t>
      </w:r>
      <w:r w:rsidRPr="31090FC7" w:rsidR="36EBE129">
        <w:rPr>
          <w:rFonts w:ascii="Aptos" w:hAnsi="Aptos" w:eastAsia="Aptos" w:cs="Aptos"/>
          <w:b w:val="0"/>
          <w:bCs w:val="0"/>
          <w:noProof w:val="0"/>
          <w:sz w:val="24"/>
          <w:szCs w:val="24"/>
          <w:lang w:val="en-GB"/>
        </w:rPr>
        <w:t xml:space="preserve">Framework overload was the primary flaw. Porter, PESTEL, Hofstede, and forward-market analysis were used, but their unique goals and constraints </w:t>
      </w:r>
      <w:r w:rsidRPr="31090FC7" w:rsidR="36EBE129">
        <w:rPr>
          <w:rFonts w:ascii="Aptos" w:hAnsi="Aptos" w:eastAsia="Aptos" w:cs="Aptos"/>
          <w:b w:val="0"/>
          <w:bCs w:val="0"/>
          <w:noProof w:val="0"/>
          <w:sz w:val="24"/>
          <w:szCs w:val="24"/>
          <w:lang w:val="en-GB"/>
        </w:rPr>
        <w:t>weren't</w:t>
      </w:r>
      <w:r w:rsidRPr="31090FC7" w:rsidR="36EBE129">
        <w:rPr>
          <w:rFonts w:ascii="Aptos" w:hAnsi="Aptos" w:eastAsia="Aptos" w:cs="Aptos"/>
          <w:b w:val="0"/>
          <w:bCs w:val="0"/>
          <w:noProof w:val="0"/>
          <w:sz w:val="24"/>
          <w:szCs w:val="24"/>
          <w:lang w:val="en-GB"/>
        </w:rPr>
        <w:t xml:space="preserve"> consistently explained. Some citations followed general passages without distinguishing the precise supported claim, and the arbitrary Diamond scores produced deceptive precision.</w:t>
      </w:r>
    </w:p>
    <w:p w:rsidR="50CA1F5F" w:rsidP="31090FC7" w:rsidRDefault="50CA1F5F" w14:paraId="6AAC0C94" w14:textId="5951FC6B">
      <w:pPr>
        <w:pStyle w:val="Normal"/>
        <w:jc w:val="both"/>
        <w:rPr>
          <w:rFonts w:ascii="Aptos" w:hAnsi="Aptos" w:eastAsia="Aptos" w:cs="Aptos"/>
          <w:b w:val="0"/>
          <w:bCs w:val="0"/>
          <w:noProof w:val="0"/>
          <w:sz w:val="24"/>
          <w:szCs w:val="24"/>
          <w:lang w:val="en-GB"/>
        </w:rPr>
      </w:pPr>
    </w:p>
    <w:p w:rsidR="4C1423FB" w:rsidP="31090FC7" w:rsidRDefault="4C1423FB" w14:paraId="132ABCF5" w14:textId="54994693">
      <w:pPr>
        <w:pStyle w:val="Normal"/>
        <w:jc w:val="both"/>
        <w:rPr>
          <w:rFonts w:ascii="Aptos" w:hAnsi="Aptos" w:eastAsia="Aptos" w:cs="Aptos"/>
          <w:b w:val="0"/>
          <w:bCs w:val="0"/>
          <w:noProof w:val="0"/>
          <w:sz w:val="24"/>
          <w:szCs w:val="24"/>
          <w:lang w:val="en-GB"/>
        </w:rPr>
      </w:pPr>
      <w:r w:rsidRPr="31090FC7" w:rsidR="36EBE129">
        <w:rPr>
          <w:rFonts w:ascii="Aptos" w:hAnsi="Aptos" w:eastAsia="Aptos" w:cs="Aptos"/>
          <w:b w:val="0"/>
          <w:bCs w:val="0"/>
          <w:noProof w:val="0"/>
          <w:sz w:val="24"/>
          <w:szCs w:val="24"/>
          <w:lang w:val="en-GB"/>
        </w:rPr>
        <w:t>The rework added McSweeney's critique of national-culture averages, went back to Porter's original determinants, and recognised MNCs and worldwide marketplaces using the double-diamond critique. As a result, the ideas ceased to be unquestionable descriptions and became analytical tools.</w:t>
      </w:r>
    </w:p>
    <w:p w:rsidR="4C1423FB" w:rsidP="50CA1F5F" w:rsidRDefault="4C1423FB" w14:paraId="7C30C8A9" w14:textId="191535BB">
      <w:pPr>
        <w:pStyle w:val="Normal"/>
        <w:jc w:val="left"/>
        <w:rPr>
          <w:rFonts w:ascii="Aptos" w:hAnsi="Aptos" w:eastAsia="Aptos" w:cs="Aptos"/>
          <w:b w:val="0"/>
          <w:bCs w:val="0"/>
          <w:noProof w:val="0"/>
          <w:sz w:val="24"/>
          <w:szCs w:val="24"/>
          <w:lang w:val="en-GB"/>
        </w:rPr>
      </w:pPr>
      <w:r w:rsidRPr="50CA1F5F" w:rsidR="4C1423FB">
        <w:rPr>
          <w:rFonts w:ascii="Aptos" w:hAnsi="Aptos" w:eastAsia="Aptos" w:cs="Aptos"/>
          <w:b w:val="0"/>
          <w:bCs w:val="0"/>
          <w:noProof w:val="0"/>
          <w:sz w:val="24"/>
          <w:szCs w:val="24"/>
          <w:lang w:val="en-GB"/>
        </w:rPr>
        <w:t xml:space="preserve"> </w:t>
      </w:r>
    </w:p>
    <w:p w:rsidR="4C1423FB" w:rsidP="31090FC7" w:rsidRDefault="4C1423FB" w14:paraId="69B017D9" w14:textId="71FE21F2">
      <w:pPr>
        <w:pStyle w:val="Normal"/>
        <w:jc w:val="both"/>
        <w:rPr>
          <w:rFonts w:ascii="Aptos" w:hAnsi="Aptos" w:eastAsia="Aptos" w:cs="Aptos"/>
          <w:b w:val="0"/>
          <w:bCs w:val="0"/>
          <w:noProof w:val="0"/>
          <w:sz w:val="24"/>
          <w:szCs w:val="24"/>
          <w:lang w:val="en-GB"/>
        </w:rPr>
      </w:pPr>
      <w:r w:rsidRPr="31090FC7" w:rsidR="36EBE129">
        <w:rPr>
          <w:rFonts w:ascii="Aptos" w:hAnsi="Aptos" w:eastAsia="Aptos" w:cs="Aptos"/>
          <w:b w:val="0"/>
          <w:bCs w:val="0"/>
          <w:noProof w:val="0"/>
          <w:sz w:val="24"/>
          <w:szCs w:val="24"/>
          <w:lang w:val="en-GB"/>
        </w:rPr>
        <w:t>Because lithium hydroxide and rare-earth separation had separate technologies, clients, and risk instruments, the industry boundary was also excessively wide. As a result, I only kept rare earths for comparison and made lithium the main corporate case.</w:t>
      </w:r>
    </w:p>
    <w:p w:rsidR="4DF95668" w:rsidP="4DF95668" w:rsidRDefault="4DF95668" w14:paraId="61E42B02" w14:textId="3107055F">
      <w:pPr>
        <w:pStyle w:val="Normal"/>
        <w:jc w:val="left"/>
        <w:rPr>
          <w:rFonts w:ascii="Aptos" w:hAnsi="Aptos" w:eastAsia="Aptos" w:cs="Aptos"/>
          <w:b w:val="1"/>
          <w:bCs w:val="1"/>
          <w:noProof w:val="0"/>
          <w:sz w:val="28"/>
          <w:szCs w:val="28"/>
          <w:lang w:val="en-GB"/>
        </w:rPr>
      </w:pPr>
    </w:p>
    <w:p w:rsidR="4DF95668" w:rsidP="4DF95668" w:rsidRDefault="4DF95668" w14:paraId="3704FC01" w14:textId="16B13B0A">
      <w:pPr>
        <w:pStyle w:val="Normal"/>
        <w:jc w:val="left"/>
        <w:rPr>
          <w:rFonts w:ascii="Aptos" w:hAnsi="Aptos" w:eastAsia="Aptos" w:cs="Aptos"/>
          <w:b w:val="1"/>
          <w:bCs w:val="1"/>
          <w:noProof w:val="0"/>
          <w:sz w:val="28"/>
          <w:szCs w:val="28"/>
          <w:lang w:val="en-GB"/>
        </w:rPr>
      </w:pPr>
    </w:p>
    <w:p w:rsidR="4DF95668" w:rsidP="4DF95668" w:rsidRDefault="4DF95668" w14:paraId="12A10138" w14:textId="38B5FFC8">
      <w:pPr>
        <w:pStyle w:val="Normal"/>
        <w:jc w:val="left"/>
        <w:rPr>
          <w:rFonts w:ascii="Aptos" w:hAnsi="Aptos" w:eastAsia="Aptos" w:cs="Aptos"/>
          <w:b w:val="1"/>
          <w:bCs w:val="1"/>
          <w:noProof w:val="0"/>
          <w:sz w:val="28"/>
          <w:szCs w:val="28"/>
          <w:lang w:val="en-GB"/>
        </w:rPr>
      </w:pPr>
    </w:p>
    <w:p w:rsidR="31090FC7" w:rsidP="31090FC7" w:rsidRDefault="31090FC7" w14:paraId="783085A0" w14:textId="79FAFDBE">
      <w:pPr>
        <w:pStyle w:val="Normal"/>
        <w:jc w:val="left"/>
        <w:rPr>
          <w:rFonts w:ascii="Aptos" w:hAnsi="Aptos" w:eastAsia="Aptos" w:cs="Aptos"/>
          <w:b w:val="1"/>
          <w:bCs w:val="1"/>
          <w:noProof w:val="0"/>
          <w:sz w:val="28"/>
          <w:szCs w:val="28"/>
          <w:lang w:val="en-GB"/>
        </w:rPr>
      </w:pPr>
    </w:p>
    <w:p w:rsidR="31090FC7" w:rsidP="31090FC7" w:rsidRDefault="31090FC7" w14:paraId="3EC9B401" w14:textId="6072B9E9">
      <w:pPr>
        <w:pStyle w:val="Normal"/>
        <w:jc w:val="left"/>
        <w:rPr>
          <w:rFonts w:ascii="Aptos" w:hAnsi="Aptos" w:eastAsia="Aptos" w:cs="Aptos"/>
          <w:b w:val="1"/>
          <w:bCs w:val="1"/>
          <w:noProof w:val="0"/>
          <w:sz w:val="28"/>
          <w:szCs w:val="28"/>
          <w:lang w:val="en-GB"/>
        </w:rPr>
      </w:pPr>
    </w:p>
    <w:p w:rsidR="4DF95668" w:rsidP="4DF95668" w:rsidRDefault="4DF95668" w14:paraId="3A16AC56" w14:textId="05C24BA8">
      <w:pPr>
        <w:pStyle w:val="Normal"/>
        <w:jc w:val="left"/>
        <w:rPr>
          <w:rFonts w:ascii="Aptos" w:hAnsi="Aptos" w:eastAsia="Aptos" w:cs="Aptos"/>
          <w:b w:val="1"/>
          <w:bCs w:val="1"/>
          <w:noProof w:val="0"/>
          <w:sz w:val="28"/>
          <w:szCs w:val="28"/>
          <w:lang w:val="en-GB"/>
        </w:rPr>
      </w:pPr>
    </w:p>
    <w:p w:rsidR="50CA1F5F" w:rsidP="50CA1F5F" w:rsidRDefault="50CA1F5F" w14:paraId="48F096DE" w14:textId="4989D4D8">
      <w:pPr>
        <w:pStyle w:val="Normal"/>
        <w:jc w:val="left"/>
        <w:rPr>
          <w:rFonts w:ascii="Aptos" w:hAnsi="Aptos" w:eastAsia="Aptos" w:cs="Aptos"/>
          <w:b w:val="1"/>
          <w:bCs w:val="1"/>
          <w:noProof w:val="0"/>
          <w:sz w:val="28"/>
          <w:szCs w:val="28"/>
          <w:lang w:val="en-GB"/>
        </w:rPr>
      </w:pPr>
    </w:p>
    <w:p w:rsidR="0909F6A8" w:rsidP="0909F6A8" w:rsidRDefault="0909F6A8" w14:paraId="6CC52327" w14:textId="000A1B1F">
      <w:pPr>
        <w:pStyle w:val="Normal"/>
        <w:jc w:val="left"/>
        <w:rPr>
          <w:rFonts w:ascii="Aptos" w:hAnsi="Aptos" w:eastAsia="Aptos" w:cs="Aptos"/>
          <w:b w:val="1"/>
          <w:bCs w:val="1"/>
          <w:noProof w:val="0"/>
          <w:sz w:val="28"/>
          <w:szCs w:val="28"/>
          <w:lang w:val="en-GB"/>
        </w:rPr>
      </w:pPr>
    </w:p>
    <w:p w:rsidR="0909F6A8" w:rsidP="0909F6A8" w:rsidRDefault="0909F6A8" w14:paraId="7ED3AB61" w14:textId="0B16249C">
      <w:pPr>
        <w:pStyle w:val="Normal"/>
        <w:jc w:val="left"/>
        <w:rPr>
          <w:rFonts w:ascii="Aptos" w:hAnsi="Aptos" w:eastAsia="Aptos" w:cs="Aptos"/>
          <w:b w:val="1"/>
          <w:bCs w:val="1"/>
          <w:noProof w:val="0"/>
          <w:sz w:val="28"/>
          <w:szCs w:val="28"/>
          <w:lang w:val="en-GB"/>
        </w:rPr>
      </w:pPr>
    </w:p>
    <w:p w:rsidR="0909F6A8" w:rsidP="0909F6A8" w:rsidRDefault="0909F6A8" w14:paraId="217EE721" w14:textId="695B5344">
      <w:pPr>
        <w:pStyle w:val="Normal"/>
        <w:jc w:val="left"/>
        <w:rPr>
          <w:rFonts w:ascii="Aptos" w:hAnsi="Aptos" w:eastAsia="Aptos" w:cs="Aptos"/>
          <w:b w:val="1"/>
          <w:bCs w:val="1"/>
          <w:noProof w:val="0"/>
          <w:sz w:val="28"/>
          <w:szCs w:val="28"/>
          <w:lang w:val="en-GB"/>
        </w:rPr>
      </w:pPr>
    </w:p>
    <w:p w:rsidR="3BE61FBD" w:rsidP="4DF95668" w:rsidRDefault="3BE61FBD" w14:paraId="58F1D61C" w14:textId="20AF0952">
      <w:pPr>
        <w:pStyle w:val="Normal"/>
        <w:jc w:val="left"/>
        <w:rPr>
          <w:rFonts w:ascii="Aptos" w:hAnsi="Aptos" w:eastAsia="Aptos" w:cs="Aptos"/>
          <w:b w:val="1"/>
          <w:bCs w:val="1"/>
          <w:noProof w:val="0"/>
          <w:sz w:val="28"/>
          <w:szCs w:val="28"/>
          <w:lang w:val="en-GB"/>
        </w:rPr>
      </w:pPr>
      <w:r w:rsidRPr="4DF95668" w:rsidR="3BE61FBD">
        <w:rPr>
          <w:rFonts w:ascii="Aptos" w:hAnsi="Aptos" w:eastAsia="Aptos" w:cs="Aptos"/>
          <w:b w:val="1"/>
          <w:bCs w:val="1"/>
          <w:noProof w:val="0"/>
          <w:sz w:val="28"/>
          <w:szCs w:val="28"/>
          <w:lang w:val="en-GB"/>
        </w:rPr>
        <w:t>4.Analysis</w:t>
      </w:r>
    </w:p>
    <w:p w:rsidR="4DF95668" w:rsidP="4DF95668" w:rsidRDefault="4DF95668" w14:paraId="4EDA6B0D" w14:textId="57B32589">
      <w:pPr>
        <w:pStyle w:val="Normal"/>
        <w:jc w:val="left"/>
        <w:rPr>
          <w:rFonts w:ascii="Aptos" w:hAnsi="Aptos" w:eastAsia="Aptos" w:cs="Aptos"/>
          <w:b w:val="1"/>
          <w:bCs w:val="1"/>
          <w:noProof w:val="0"/>
          <w:sz w:val="28"/>
          <w:szCs w:val="28"/>
          <w:lang w:val="en-GB"/>
        </w:rPr>
      </w:pPr>
    </w:p>
    <w:p w:rsidR="4DF95668" w:rsidP="31090FC7" w:rsidRDefault="4DF95668" w14:paraId="620B9BE1" w14:textId="4014192F">
      <w:pPr>
        <w:pStyle w:val="Normal"/>
        <w:jc w:val="both"/>
      </w:pPr>
      <w:r w:rsidRPr="31090FC7" w:rsidR="1650C507">
        <w:rPr>
          <w:rFonts w:ascii="Aptos" w:hAnsi="Aptos" w:eastAsia="Aptos" w:cs="Aptos"/>
          <w:b w:val="0"/>
          <w:bCs w:val="0"/>
          <w:noProof w:val="0"/>
          <w:sz w:val="24"/>
          <w:szCs w:val="24"/>
          <w:lang w:val="en-GB"/>
        </w:rPr>
        <w:t>The most crucial lesson was that linkages between resources, skills, demand, suppliers, and rivalry produce national advantage. At first, I thought that government assistance and substantial mineral reserves would immediately result in processing competitiveness. Because a world-class feedstock position may coexist with challenging commissioning, poor utilisation, and high conversion costs, the Kwinana facts cast doubt on that assumption.</w:t>
      </w:r>
    </w:p>
    <w:p w:rsidR="4DF95668" w:rsidP="31090FC7" w:rsidRDefault="4DF95668" w14:paraId="572EB99F" w14:textId="1A1855F6">
      <w:pPr>
        <w:pStyle w:val="Normal"/>
        <w:jc w:val="both"/>
      </w:pPr>
      <w:r w:rsidRPr="31090FC7" w:rsidR="1650C507">
        <w:rPr>
          <w:rFonts w:ascii="Aptos" w:hAnsi="Aptos" w:eastAsia="Aptos" w:cs="Aptos"/>
          <w:b w:val="0"/>
          <w:bCs w:val="0"/>
          <w:noProof w:val="0"/>
          <w:sz w:val="24"/>
          <w:szCs w:val="24"/>
          <w:lang w:val="en-GB"/>
        </w:rPr>
        <w:t>Additionally, I learnt how to differentiate between commercial viability and strategic value. If a refinery is unable to consistently generate battery-grade output at a competitive cost, it might increase supply-chain resilience while still destroying value. Because of this distinction, I was able to link each PESTEL factor—such as tiered investment gates, product-quality targets, offtake contracts, governance structures, and ESG indicators—to a managerial response.</w:t>
      </w:r>
    </w:p>
    <w:p w:rsidR="4DF95668" w:rsidP="31090FC7" w:rsidRDefault="4DF95668" w14:paraId="09E3B6A6" w14:textId="1847B0EF">
      <w:pPr>
        <w:pStyle w:val="Normal"/>
        <w:jc w:val="both"/>
      </w:pPr>
      <w:r w:rsidRPr="31090FC7" w:rsidR="1650C507">
        <w:rPr>
          <w:rFonts w:ascii="Aptos" w:hAnsi="Aptos" w:eastAsia="Aptos" w:cs="Aptos"/>
          <w:b w:val="0"/>
          <w:bCs w:val="0"/>
          <w:noProof w:val="0"/>
          <w:sz w:val="24"/>
          <w:szCs w:val="24"/>
          <w:lang w:val="en-GB"/>
        </w:rPr>
        <w:t>The analysis was reinforced by the contradictory market data. Investment is supported by rapid long-term demand growth, while short-term pressure is increased by recent supply increases and price reductions. Therefore, rather than assuming constant market growth, a sound recommendation must stay viable under multiple price scenarios.</w:t>
      </w:r>
    </w:p>
    <w:p w:rsidR="193A5E26" w:rsidP="31090FC7" w:rsidRDefault="193A5E26" w14:paraId="3C54EF18" w14:textId="356E97F9">
      <w:pPr>
        <w:pStyle w:val="Normal"/>
        <w:jc w:val="both"/>
      </w:pPr>
      <w:r w:rsidRPr="31090FC7" w:rsidR="1650C507">
        <w:rPr>
          <w:rFonts w:ascii="Aptos" w:hAnsi="Aptos" w:eastAsia="Aptos" w:cs="Aptos"/>
          <w:b w:val="0"/>
          <w:bCs w:val="0"/>
          <w:noProof w:val="0"/>
          <w:sz w:val="24"/>
          <w:szCs w:val="24"/>
          <w:lang w:val="en-GB"/>
        </w:rPr>
        <w:t>Lastly, I discovered that queries should be guided by cultural models rather than creating prejudices. While McSweeney's criticism reminded me to rely on site-level evidence and governance practices, Hofstede assisted me in identifying potential conflicts regarding hierarchy and consultation. The cultural conversation became more pertinent from a professional standpoint as a result.</w:t>
      </w:r>
    </w:p>
    <w:p w:rsidR="50CA1F5F" w:rsidP="31090FC7" w:rsidRDefault="50CA1F5F" w14:paraId="565C9296" w14:textId="5D3E1D0C">
      <w:pPr>
        <w:pStyle w:val="Normal"/>
        <w:jc w:val="both"/>
        <w:rPr>
          <w:rFonts w:ascii="Aptos" w:hAnsi="Aptos" w:eastAsia="Aptos" w:cs="Aptos"/>
          <w:b w:val="0"/>
          <w:bCs w:val="0"/>
          <w:noProof w:val="0"/>
          <w:sz w:val="24"/>
          <w:szCs w:val="24"/>
          <w:lang w:val="en-GB"/>
        </w:rPr>
      </w:pPr>
    </w:p>
    <w:p w:rsidR="50CA1F5F" w:rsidP="50CA1F5F" w:rsidRDefault="50CA1F5F" w14:paraId="4A7E5FE9" w14:textId="4C9919B9">
      <w:pPr>
        <w:pStyle w:val="Normal"/>
        <w:jc w:val="left"/>
        <w:rPr>
          <w:rFonts w:ascii="Aptos" w:hAnsi="Aptos" w:eastAsia="Aptos" w:cs="Aptos"/>
          <w:b w:val="0"/>
          <w:bCs w:val="0"/>
          <w:noProof w:val="0"/>
          <w:sz w:val="24"/>
          <w:szCs w:val="24"/>
          <w:lang w:val="en-GB"/>
        </w:rPr>
      </w:pPr>
    </w:p>
    <w:p w:rsidR="50CA1F5F" w:rsidP="50CA1F5F" w:rsidRDefault="50CA1F5F" w14:paraId="68D775F9" w14:textId="18675326">
      <w:pPr>
        <w:pStyle w:val="Normal"/>
        <w:jc w:val="left"/>
        <w:rPr>
          <w:rFonts w:ascii="Aptos" w:hAnsi="Aptos" w:eastAsia="Aptos" w:cs="Aptos"/>
          <w:b w:val="0"/>
          <w:bCs w:val="0"/>
          <w:noProof w:val="0"/>
          <w:sz w:val="24"/>
          <w:szCs w:val="24"/>
          <w:lang w:val="en-GB"/>
        </w:rPr>
      </w:pPr>
    </w:p>
    <w:p w:rsidR="50CA1F5F" w:rsidP="50CA1F5F" w:rsidRDefault="50CA1F5F" w14:paraId="5CE97037" w14:textId="427B0095">
      <w:pPr>
        <w:pStyle w:val="Normal"/>
        <w:jc w:val="left"/>
        <w:rPr>
          <w:rFonts w:ascii="Aptos" w:hAnsi="Aptos" w:eastAsia="Aptos" w:cs="Aptos"/>
          <w:b w:val="0"/>
          <w:bCs w:val="0"/>
          <w:noProof w:val="0"/>
          <w:sz w:val="24"/>
          <w:szCs w:val="24"/>
          <w:lang w:val="en-GB"/>
        </w:rPr>
      </w:pPr>
    </w:p>
    <w:p w:rsidR="50CA1F5F" w:rsidP="50CA1F5F" w:rsidRDefault="50CA1F5F" w14:paraId="5751F282" w14:textId="69E4CC62">
      <w:pPr>
        <w:pStyle w:val="Normal"/>
        <w:jc w:val="left"/>
        <w:rPr>
          <w:rFonts w:ascii="Aptos" w:hAnsi="Aptos" w:eastAsia="Aptos" w:cs="Aptos"/>
          <w:b w:val="0"/>
          <w:bCs w:val="0"/>
          <w:noProof w:val="0"/>
          <w:sz w:val="24"/>
          <w:szCs w:val="24"/>
          <w:lang w:val="en-GB"/>
        </w:rPr>
      </w:pPr>
    </w:p>
    <w:p w:rsidR="50CA1F5F" w:rsidP="50CA1F5F" w:rsidRDefault="50CA1F5F" w14:paraId="091D391B" w14:textId="06A8AD04">
      <w:pPr>
        <w:pStyle w:val="Normal"/>
        <w:jc w:val="left"/>
        <w:rPr>
          <w:rFonts w:ascii="Aptos" w:hAnsi="Aptos" w:eastAsia="Aptos" w:cs="Aptos"/>
          <w:b w:val="0"/>
          <w:bCs w:val="0"/>
          <w:noProof w:val="0"/>
          <w:sz w:val="24"/>
          <w:szCs w:val="24"/>
          <w:lang w:val="en-GB"/>
        </w:rPr>
      </w:pPr>
    </w:p>
    <w:p w:rsidR="50CA1F5F" w:rsidP="50CA1F5F" w:rsidRDefault="50CA1F5F" w14:paraId="7C660738" w14:textId="61112813">
      <w:pPr>
        <w:pStyle w:val="Normal"/>
        <w:jc w:val="left"/>
        <w:rPr>
          <w:rFonts w:ascii="Aptos" w:hAnsi="Aptos" w:eastAsia="Aptos" w:cs="Aptos"/>
          <w:b w:val="0"/>
          <w:bCs w:val="0"/>
          <w:noProof w:val="0"/>
          <w:sz w:val="24"/>
          <w:szCs w:val="24"/>
          <w:lang w:val="en-GB"/>
        </w:rPr>
      </w:pPr>
    </w:p>
    <w:p w:rsidR="31090FC7" w:rsidP="31090FC7" w:rsidRDefault="31090FC7" w14:paraId="386900E6" w14:textId="3BF5915C">
      <w:pPr>
        <w:pStyle w:val="Normal"/>
        <w:jc w:val="left"/>
        <w:rPr>
          <w:rFonts w:ascii="Aptos" w:hAnsi="Aptos" w:eastAsia="Aptos" w:cs="Aptos"/>
          <w:b w:val="0"/>
          <w:bCs w:val="0"/>
          <w:noProof w:val="0"/>
          <w:sz w:val="24"/>
          <w:szCs w:val="24"/>
          <w:lang w:val="en-GB"/>
        </w:rPr>
      </w:pPr>
    </w:p>
    <w:p w:rsidR="31090FC7" w:rsidP="31090FC7" w:rsidRDefault="31090FC7" w14:paraId="04860EA6" w14:textId="004FEE8D">
      <w:pPr>
        <w:pStyle w:val="Normal"/>
        <w:jc w:val="left"/>
        <w:rPr>
          <w:rFonts w:ascii="Aptos" w:hAnsi="Aptos" w:eastAsia="Aptos" w:cs="Aptos"/>
          <w:b w:val="0"/>
          <w:bCs w:val="0"/>
          <w:noProof w:val="0"/>
          <w:sz w:val="24"/>
          <w:szCs w:val="24"/>
          <w:lang w:val="en-GB"/>
        </w:rPr>
      </w:pPr>
    </w:p>
    <w:p w:rsidR="50CA1F5F" w:rsidP="50CA1F5F" w:rsidRDefault="50CA1F5F" w14:paraId="75AA5BDD" w14:textId="1CCD35F3">
      <w:pPr>
        <w:pStyle w:val="Normal"/>
        <w:jc w:val="left"/>
        <w:rPr>
          <w:rFonts w:ascii="Aptos" w:hAnsi="Aptos" w:eastAsia="Aptos" w:cs="Aptos"/>
          <w:b w:val="0"/>
          <w:bCs w:val="0"/>
          <w:noProof w:val="0"/>
          <w:sz w:val="24"/>
          <w:szCs w:val="24"/>
          <w:lang w:val="en-GB"/>
        </w:rPr>
      </w:pPr>
    </w:p>
    <w:p w:rsidR="50CA1F5F" w:rsidP="50CA1F5F" w:rsidRDefault="50CA1F5F" w14:paraId="35B0CD11" w14:textId="333FB6D7">
      <w:pPr>
        <w:pStyle w:val="Normal"/>
        <w:jc w:val="left"/>
        <w:rPr>
          <w:rFonts w:ascii="Aptos" w:hAnsi="Aptos" w:eastAsia="Aptos" w:cs="Aptos"/>
          <w:b w:val="0"/>
          <w:bCs w:val="0"/>
          <w:noProof w:val="0"/>
          <w:sz w:val="24"/>
          <w:szCs w:val="24"/>
          <w:lang w:val="en-GB"/>
        </w:rPr>
      </w:pPr>
    </w:p>
    <w:p w:rsidR="50CA1F5F" w:rsidP="50CA1F5F" w:rsidRDefault="50CA1F5F" w14:paraId="7DE3E9FA" w14:textId="0FA45DC1">
      <w:pPr>
        <w:pStyle w:val="Normal"/>
        <w:jc w:val="left"/>
        <w:rPr>
          <w:rFonts w:ascii="Aptos" w:hAnsi="Aptos" w:eastAsia="Aptos" w:cs="Aptos"/>
          <w:b w:val="0"/>
          <w:bCs w:val="0"/>
          <w:noProof w:val="0"/>
          <w:sz w:val="24"/>
          <w:szCs w:val="24"/>
          <w:lang w:val="en-GB"/>
        </w:rPr>
      </w:pPr>
    </w:p>
    <w:p w:rsidR="50CA1F5F" w:rsidP="50CA1F5F" w:rsidRDefault="50CA1F5F" w14:paraId="698F17F5" w14:textId="208C62F9">
      <w:pPr>
        <w:pStyle w:val="Normal"/>
        <w:jc w:val="left"/>
        <w:rPr>
          <w:rFonts w:ascii="Aptos" w:hAnsi="Aptos" w:eastAsia="Aptos" w:cs="Aptos"/>
          <w:b w:val="0"/>
          <w:bCs w:val="0"/>
          <w:noProof w:val="0"/>
          <w:sz w:val="24"/>
          <w:szCs w:val="24"/>
          <w:lang w:val="en-GB"/>
        </w:rPr>
      </w:pPr>
    </w:p>
    <w:p w:rsidR="50CA1F5F" w:rsidP="50CA1F5F" w:rsidRDefault="50CA1F5F" w14:paraId="489BCBD7" w14:textId="2942147E">
      <w:pPr>
        <w:pStyle w:val="Normal"/>
        <w:jc w:val="left"/>
        <w:rPr>
          <w:rFonts w:ascii="Aptos" w:hAnsi="Aptos" w:eastAsia="Aptos" w:cs="Aptos"/>
          <w:b w:val="0"/>
          <w:bCs w:val="0"/>
          <w:noProof w:val="0"/>
          <w:sz w:val="24"/>
          <w:szCs w:val="24"/>
          <w:lang w:val="en-GB"/>
        </w:rPr>
      </w:pPr>
    </w:p>
    <w:p w:rsidR="50CA1F5F" w:rsidP="50CA1F5F" w:rsidRDefault="50CA1F5F" w14:paraId="0B890AA3" w14:textId="212AB5FE">
      <w:pPr>
        <w:pStyle w:val="Normal"/>
        <w:jc w:val="left"/>
        <w:rPr>
          <w:rFonts w:ascii="Aptos" w:hAnsi="Aptos" w:eastAsia="Aptos" w:cs="Aptos"/>
          <w:b w:val="0"/>
          <w:bCs w:val="0"/>
          <w:noProof w:val="0"/>
          <w:sz w:val="24"/>
          <w:szCs w:val="24"/>
          <w:lang w:val="en-GB"/>
        </w:rPr>
      </w:pPr>
    </w:p>
    <w:p w:rsidR="50CA1F5F" w:rsidP="50CA1F5F" w:rsidRDefault="50CA1F5F" w14:paraId="29796CAD" w14:textId="02C7B441">
      <w:pPr>
        <w:pStyle w:val="Normal"/>
        <w:jc w:val="left"/>
        <w:rPr>
          <w:rFonts w:ascii="Aptos" w:hAnsi="Aptos" w:eastAsia="Aptos" w:cs="Aptos"/>
          <w:b w:val="0"/>
          <w:bCs w:val="0"/>
          <w:noProof w:val="0"/>
          <w:sz w:val="24"/>
          <w:szCs w:val="24"/>
          <w:lang w:val="en-GB"/>
        </w:rPr>
      </w:pPr>
    </w:p>
    <w:p w:rsidR="50CA1F5F" w:rsidP="50CA1F5F" w:rsidRDefault="50CA1F5F" w14:paraId="05B19F16" w14:textId="751CF326">
      <w:pPr>
        <w:pStyle w:val="Normal"/>
        <w:jc w:val="left"/>
        <w:rPr>
          <w:rFonts w:ascii="Aptos" w:hAnsi="Aptos" w:eastAsia="Aptos" w:cs="Aptos"/>
          <w:b w:val="0"/>
          <w:bCs w:val="0"/>
          <w:noProof w:val="0"/>
          <w:sz w:val="24"/>
          <w:szCs w:val="24"/>
          <w:lang w:val="en-GB"/>
        </w:rPr>
      </w:pPr>
    </w:p>
    <w:p w:rsidR="50CA1F5F" w:rsidP="50CA1F5F" w:rsidRDefault="50CA1F5F" w14:paraId="22459D89" w14:textId="3476C479">
      <w:pPr>
        <w:pStyle w:val="Normal"/>
        <w:jc w:val="left"/>
        <w:rPr>
          <w:rFonts w:ascii="Aptos" w:hAnsi="Aptos" w:eastAsia="Aptos" w:cs="Aptos"/>
          <w:b w:val="0"/>
          <w:bCs w:val="0"/>
          <w:noProof w:val="0"/>
          <w:sz w:val="24"/>
          <w:szCs w:val="24"/>
          <w:lang w:val="en-GB"/>
        </w:rPr>
      </w:pPr>
    </w:p>
    <w:p w:rsidR="50CA1F5F" w:rsidP="50CA1F5F" w:rsidRDefault="50CA1F5F" w14:paraId="1E88F262" w14:textId="693B69FC">
      <w:pPr>
        <w:pStyle w:val="Normal"/>
        <w:jc w:val="left"/>
        <w:rPr>
          <w:rFonts w:ascii="Aptos" w:hAnsi="Aptos" w:eastAsia="Aptos" w:cs="Aptos"/>
          <w:b w:val="0"/>
          <w:bCs w:val="0"/>
          <w:noProof w:val="0"/>
          <w:sz w:val="24"/>
          <w:szCs w:val="24"/>
          <w:lang w:val="en-GB"/>
        </w:rPr>
      </w:pPr>
    </w:p>
    <w:p w:rsidR="50CA1F5F" w:rsidP="50CA1F5F" w:rsidRDefault="50CA1F5F" w14:paraId="349208BD" w14:textId="51641120">
      <w:pPr>
        <w:pStyle w:val="Normal"/>
        <w:jc w:val="left"/>
        <w:rPr>
          <w:rFonts w:ascii="Aptos" w:hAnsi="Aptos" w:eastAsia="Aptos" w:cs="Aptos"/>
          <w:b w:val="0"/>
          <w:bCs w:val="0"/>
          <w:noProof w:val="0"/>
          <w:sz w:val="24"/>
          <w:szCs w:val="24"/>
          <w:lang w:val="en-GB"/>
        </w:rPr>
      </w:pPr>
    </w:p>
    <w:p w:rsidR="50CA1F5F" w:rsidP="50CA1F5F" w:rsidRDefault="50CA1F5F" w14:paraId="39829BF1" w14:textId="1186BCF3">
      <w:pPr>
        <w:pStyle w:val="Normal"/>
        <w:jc w:val="left"/>
        <w:rPr>
          <w:rFonts w:ascii="Aptos" w:hAnsi="Aptos" w:eastAsia="Aptos" w:cs="Aptos"/>
          <w:b w:val="0"/>
          <w:bCs w:val="0"/>
          <w:noProof w:val="0"/>
          <w:sz w:val="24"/>
          <w:szCs w:val="24"/>
          <w:lang w:val="en-GB"/>
        </w:rPr>
      </w:pPr>
    </w:p>
    <w:p w:rsidR="7F55911A" w:rsidP="4DF95668" w:rsidRDefault="7F55911A" w14:paraId="066C9657" w14:textId="01AD1CCE">
      <w:pPr>
        <w:pStyle w:val="Normal"/>
        <w:ind w:left="0"/>
        <w:jc w:val="both"/>
        <w:rPr>
          <w:rFonts w:ascii="Aptos" w:hAnsi="Aptos" w:eastAsia="Aptos" w:cs="Aptos"/>
          <w:b w:val="1"/>
          <w:bCs w:val="1"/>
          <w:noProof w:val="0"/>
          <w:sz w:val="28"/>
          <w:szCs w:val="28"/>
          <w:lang w:val="en-GB"/>
        </w:rPr>
      </w:pPr>
      <w:r w:rsidRPr="50CA1F5F" w:rsidR="25FDC098">
        <w:rPr>
          <w:rFonts w:ascii="Aptos" w:hAnsi="Aptos" w:eastAsia="Aptos" w:cs="Aptos"/>
          <w:b w:val="1"/>
          <w:bCs w:val="1"/>
          <w:noProof w:val="0"/>
          <w:sz w:val="28"/>
          <w:szCs w:val="28"/>
          <w:lang w:val="en-GB"/>
        </w:rPr>
        <w:t xml:space="preserve">5.Conclusion </w:t>
      </w:r>
    </w:p>
    <w:p w:rsidR="4DF95668" w:rsidP="4DF95668" w:rsidRDefault="4DF95668" w14:paraId="1BED9871" w14:textId="7D254919">
      <w:pPr>
        <w:pStyle w:val="Normal"/>
        <w:ind w:left="0"/>
        <w:jc w:val="both"/>
        <w:rPr>
          <w:rFonts w:ascii="Aptos" w:hAnsi="Aptos" w:eastAsia="Aptos" w:cs="Aptos"/>
          <w:noProof w:val="0"/>
          <w:sz w:val="24"/>
          <w:szCs w:val="24"/>
          <w:lang w:val="en-GB"/>
        </w:rPr>
      </w:pPr>
    </w:p>
    <w:p w:rsidR="5F084CBA" w:rsidP="31090FC7" w:rsidRDefault="5F084CBA" w14:paraId="2BA43BA7" w14:textId="45353DFA">
      <w:pPr>
        <w:pStyle w:val="Normal"/>
        <w:ind w:left="0"/>
        <w:jc w:val="left"/>
      </w:pPr>
      <w:r w:rsidRPr="31090FC7" w:rsidR="49BCC5F3">
        <w:rPr>
          <w:rFonts w:ascii="Aptos" w:hAnsi="Aptos" w:eastAsia="Aptos" w:cs="Aptos"/>
          <w:noProof w:val="0"/>
          <w:sz w:val="24"/>
          <w:szCs w:val="24"/>
          <w:lang w:val="en-GB"/>
        </w:rPr>
        <w:t>I now realise that creating a Level 7 report involves more than just gathering data and using several models. It necessitates a convincing argument, a critical application of theory, a clear handling of conflicting data, and suggestions that flow directly from the analysis.</w:t>
      </w:r>
    </w:p>
    <w:p w:rsidR="5F084CBA" w:rsidP="31090FC7" w:rsidRDefault="5F084CBA" w14:paraId="09EAAE71" w14:textId="5B15B14A">
      <w:pPr>
        <w:pStyle w:val="Normal"/>
        <w:ind w:left="0"/>
        <w:jc w:val="left"/>
      </w:pPr>
      <w:r w:rsidRPr="31090FC7" w:rsidR="49BCC5F3">
        <w:rPr>
          <w:rFonts w:ascii="Aptos" w:hAnsi="Aptos" w:eastAsia="Aptos" w:cs="Aptos"/>
          <w:noProof w:val="0"/>
          <w:sz w:val="24"/>
          <w:szCs w:val="24"/>
          <w:lang w:val="en-GB"/>
        </w:rPr>
        <w:t>Moving from summarising what sources say to outlining how the evidence alters the conclusion is my biggest area for improvement. Additionally, I must make sure that each framework has a distinct function and refrain from doing unsupported numerical evaluations.</w:t>
      </w:r>
    </w:p>
    <w:p w:rsidR="5F084CBA" w:rsidP="31090FC7" w:rsidRDefault="5F084CBA" w14:paraId="36BC15EB" w14:textId="74330149">
      <w:pPr>
        <w:pStyle w:val="Normal"/>
        <w:ind w:left="0"/>
        <w:jc w:val="left"/>
      </w:pPr>
      <w:r w:rsidRPr="31090FC7" w:rsidR="49BCC5F3">
        <w:rPr>
          <w:rFonts w:ascii="Aptos" w:hAnsi="Aptos" w:eastAsia="Aptos" w:cs="Aptos"/>
          <w:noProof w:val="0"/>
          <w:sz w:val="24"/>
          <w:szCs w:val="24"/>
          <w:lang w:val="en-GB"/>
        </w:rPr>
        <w:t>Therefore, the rework has strengthened source integration, corrected the Porter application, clarified the MNC decision, and made the reflection more thorough and personal, all of which have improved the report and my research practice.</w:t>
      </w:r>
    </w:p>
    <w:p w:rsidR="50CA1F5F" w:rsidP="50CA1F5F" w:rsidRDefault="50CA1F5F" w14:paraId="6299BB6F" w14:textId="66D364DC">
      <w:pPr>
        <w:pStyle w:val="Normal"/>
        <w:ind w:left="0"/>
        <w:jc w:val="both"/>
        <w:rPr>
          <w:rFonts w:ascii="Aptos" w:hAnsi="Aptos" w:eastAsia="Aptos" w:cs="Aptos"/>
          <w:noProof w:val="0"/>
          <w:sz w:val="24"/>
          <w:szCs w:val="24"/>
          <w:lang w:val="en-GB"/>
        </w:rPr>
      </w:pPr>
    </w:p>
    <w:p w:rsidR="7F55911A" w:rsidP="3702754F" w:rsidRDefault="7F55911A" w14:paraId="1375815B" w14:textId="57E5173E">
      <w:pPr>
        <w:pStyle w:val="Normal"/>
        <w:ind w:left="0"/>
        <w:jc w:val="both"/>
        <w:rPr>
          <w:rFonts w:ascii="Aptos" w:hAnsi="Aptos" w:eastAsia="Aptos" w:cs="Aptos"/>
          <w:b w:val="1"/>
          <w:bCs w:val="1"/>
          <w:noProof w:val="0"/>
          <w:sz w:val="36"/>
          <w:szCs w:val="36"/>
          <w:lang w:val="en-GB"/>
        </w:rPr>
      </w:pPr>
    </w:p>
    <w:p w:rsidR="7F55911A" w:rsidP="3702754F" w:rsidRDefault="7F55911A" w14:paraId="186B8800" w14:textId="01723732">
      <w:pPr>
        <w:pStyle w:val="Normal"/>
        <w:ind w:left="0"/>
        <w:jc w:val="both"/>
        <w:rPr>
          <w:rFonts w:ascii="Aptos" w:hAnsi="Aptos" w:eastAsia="Aptos" w:cs="Aptos"/>
          <w:b w:val="1"/>
          <w:bCs w:val="1"/>
          <w:noProof w:val="0"/>
          <w:sz w:val="36"/>
          <w:szCs w:val="36"/>
          <w:lang w:val="en-GB"/>
        </w:rPr>
      </w:pPr>
    </w:p>
    <w:p w:rsidR="7F55911A" w:rsidP="3702754F" w:rsidRDefault="7F55911A" w14:paraId="3587AD73" w14:textId="4545AF51">
      <w:pPr>
        <w:pStyle w:val="Normal"/>
        <w:ind w:left="0"/>
        <w:jc w:val="both"/>
        <w:rPr>
          <w:rFonts w:ascii="Aptos" w:hAnsi="Aptos" w:eastAsia="Aptos" w:cs="Aptos"/>
          <w:b w:val="1"/>
          <w:bCs w:val="1"/>
          <w:noProof w:val="0"/>
          <w:sz w:val="36"/>
          <w:szCs w:val="36"/>
          <w:lang w:val="en-GB"/>
        </w:rPr>
      </w:pPr>
    </w:p>
    <w:p w:rsidR="7F55911A" w:rsidP="3702754F" w:rsidRDefault="7F55911A" w14:paraId="0B5CD037" w14:textId="48CDEDD4">
      <w:pPr>
        <w:pStyle w:val="Normal"/>
        <w:ind w:left="0"/>
        <w:jc w:val="both"/>
        <w:rPr>
          <w:rFonts w:ascii="Aptos" w:hAnsi="Aptos" w:eastAsia="Aptos" w:cs="Aptos"/>
          <w:b w:val="1"/>
          <w:bCs w:val="1"/>
          <w:noProof w:val="0"/>
          <w:sz w:val="36"/>
          <w:szCs w:val="36"/>
          <w:lang w:val="en-GB"/>
        </w:rPr>
      </w:pPr>
    </w:p>
    <w:p w:rsidR="7F55911A" w:rsidP="3702754F" w:rsidRDefault="7F55911A" w14:paraId="07DE352C" w14:textId="463BA0AB">
      <w:pPr>
        <w:pStyle w:val="Normal"/>
        <w:ind w:left="0"/>
        <w:jc w:val="both"/>
        <w:rPr>
          <w:rFonts w:ascii="Aptos" w:hAnsi="Aptos" w:eastAsia="Aptos" w:cs="Aptos"/>
          <w:b w:val="1"/>
          <w:bCs w:val="1"/>
          <w:noProof w:val="0"/>
          <w:sz w:val="36"/>
          <w:szCs w:val="36"/>
          <w:lang w:val="en-GB"/>
        </w:rPr>
      </w:pPr>
    </w:p>
    <w:p w:rsidR="7F55911A" w:rsidP="3702754F" w:rsidRDefault="7F55911A" w14:paraId="2F80BA1E" w14:textId="5B4D590F">
      <w:pPr>
        <w:pStyle w:val="Normal"/>
        <w:ind w:left="0"/>
        <w:jc w:val="both"/>
        <w:rPr>
          <w:rFonts w:ascii="Aptos" w:hAnsi="Aptos" w:eastAsia="Aptos" w:cs="Aptos"/>
          <w:b w:val="1"/>
          <w:bCs w:val="1"/>
          <w:noProof w:val="0"/>
          <w:sz w:val="36"/>
          <w:szCs w:val="36"/>
          <w:lang w:val="en-GB"/>
        </w:rPr>
      </w:pPr>
    </w:p>
    <w:p w:rsidR="7F55911A" w:rsidP="3702754F" w:rsidRDefault="7F55911A" w14:paraId="39FFAAAC" w14:textId="3A2E53A9">
      <w:pPr>
        <w:pStyle w:val="Normal"/>
        <w:ind w:left="0"/>
        <w:jc w:val="both"/>
        <w:rPr>
          <w:rFonts w:ascii="Aptos" w:hAnsi="Aptos" w:eastAsia="Aptos" w:cs="Aptos"/>
          <w:b w:val="1"/>
          <w:bCs w:val="1"/>
          <w:noProof w:val="0"/>
          <w:sz w:val="36"/>
          <w:szCs w:val="36"/>
          <w:lang w:val="en-GB"/>
        </w:rPr>
      </w:pPr>
    </w:p>
    <w:p w:rsidR="7F55911A" w:rsidP="3702754F" w:rsidRDefault="7F55911A" w14:paraId="6177C103" w14:textId="075B0E1F">
      <w:pPr>
        <w:pStyle w:val="Normal"/>
        <w:ind w:left="0"/>
        <w:jc w:val="both"/>
        <w:rPr>
          <w:rFonts w:ascii="Aptos" w:hAnsi="Aptos" w:eastAsia="Aptos" w:cs="Aptos"/>
          <w:b w:val="1"/>
          <w:bCs w:val="1"/>
          <w:noProof w:val="0"/>
          <w:sz w:val="36"/>
          <w:szCs w:val="36"/>
          <w:lang w:val="en-GB"/>
        </w:rPr>
      </w:pPr>
    </w:p>
    <w:p w:rsidR="7F55911A" w:rsidP="3702754F" w:rsidRDefault="7F55911A" w14:paraId="1386EC34" w14:textId="1628F5E3">
      <w:pPr>
        <w:pStyle w:val="Normal"/>
        <w:ind w:left="0"/>
        <w:jc w:val="both"/>
        <w:rPr>
          <w:rFonts w:ascii="Aptos" w:hAnsi="Aptos" w:eastAsia="Aptos" w:cs="Aptos"/>
          <w:b w:val="1"/>
          <w:bCs w:val="1"/>
          <w:noProof w:val="0"/>
          <w:sz w:val="36"/>
          <w:szCs w:val="36"/>
          <w:lang w:val="en-GB"/>
        </w:rPr>
      </w:pPr>
    </w:p>
    <w:p w:rsidR="7F55911A" w:rsidP="3702754F" w:rsidRDefault="7F55911A" w14:paraId="17DB6C6C" w14:textId="0B453BEC">
      <w:pPr>
        <w:pStyle w:val="Normal"/>
        <w:ind w:left="0"/>
        <w:jc w:val="both"/>
        <w:rPr>
          <w:rFonts w:ascii="Aptos" w:hAnsi="Aptos" w:eastAsia="Aptos" w:cs="Aptos"/>
          <w:b w:val="1"/>
          <w:bCs w:val="1"/>
          <w:noProof w:val="0"/>
          <w:sz w:val="36"/>
          <w:szCs w:val="36"/>
          <w:lang w:val="en-GB"/>
        </w:rPr>
      </w:pPr>
    </w:p>
    <w:p w:rsidR="50CA1F5F" w:rsidP="50CA1F5F" w:rsidRDefault="50CA1F5F" w14:paraId="71957D27" w14:textId="0F83060A">
      <w:pPr>
        <w:pStyle w:val="Normal"/>
        <w:ind w:left="0"/>
        <w:jc w:val="both"/>
        <w:rPr>
          <w:rFonts w:ascii="Aptos" w:hAnsi="Aptos" w:eastAsia="Aptos" w:cs="Aptos"/>
          <w:b w:val="1"/>
          <w:bCs w:val="1"/>
          <w:noProof w:val="0"/>
          <w:sz w:val="36"/>
          <w:szCs w:val="36"/>
          <w:lang w:val="en-GB"/>
        </w:rPr>
      </w:pPr>
    </w:p>
    <w:p w:rsidR="50CA1F5F" w:rsidP="50CA1F5F" w:rsidRDefault="50CA1F5F" w14:paraId="3E4318E2" w14:textId="225F4315">
      <w:pPr>
        <w:pStyle w:val="Normal"/>
        <w:ind w:left="0"/>
        <w:jc w:val="both"/>
        <w:rPr>
          <w:rFonts w:ascii="Aptos" w:hAnsi="Aptos" w:eastAsia="Aptos" w:cs="Aptos"/>
          <w:b w:val="1"/>
          <w:bCs w:val="1"/>
          <w:noProof w:val="0"/>
          <w:sz w:val="36"/>
          <w:szCs w:val="36"/>
          <w:lang w:val="en-GB"/>
        </w:rPr>
      </w:pPr>
    </w:p>
    <w:p w:rsidR="50CA1F5F" w:rsidP="50CA1F5F" w:rsidRDefault="50CA1F5F" w14:paraId="1054A753" w14:textId="19295277">
      <w:pPr>
        <w:pStyle w:val="Normal"/>
        <w:ind w:left="0"/>
        <w:jc w:val="both"/>
        <w:rPr>
          <w:rFonts w:ascii="Aptos" w:hAnsi="Aptos" w:eastAsia="Aptos" w:cs="Aptos"/>
          <w:b w:val="1"/>
          <w:bCs w:val="1"/>
          <w:noProof w:val="0"/>
          <w:sz w:val="36"/>
          <w:szCs w:val="36"/>
          <w:lang w:val="en-GB"/>
        </w:rPr>
      </w:pPr>
    </w:p>
    <w:p w:rsidR="50CA1F5F" w:rsidP="50CA1F5F" w:rsidRDefault="50CA1F5F" w14:paraId="43E2833D" w14:textId="6F50AF38">
      <w:pPr>
        <w:pStyle w:val="Normal"/>
        <w:ind w:left="0"/>
        <w:jc w:val="both"/>
        <w:rPr>
          <w:rFonts w:ascii="Aptos" w:hAnsi="Aptos" w:eastAsia="Aptos" w:cs="Aptos"/>
          <w:b w:val="1"/>
          <w:bCs w:val="1"/>
          <w:noProof w:val="0"/>
          <w:sz w:val="36"/>
          <w:szCs w:val="36"/>
          <w:lang w:val="en-GB"/>
        </w:rPr>
      </w:pPr>
    </w:p>
    <w:p w:rsidR="50CA1F5F" w:rsidP="50CA1F5F" w:rsidRDefault="50CA1F5F" w14:paraId="77ABB3AD" w14:textId="5E856617">
      <w:pPr>
        <w:pStyle w:val="Normal"/>
        <w:ind w:left="0"/>
        <w:jc w:val="both"/>
        <w:rPr>
          <w:rFonts w:ascii="Aptos" w:hAnsi="Aptos" w:eastAsia="Aptos" w:cs="Aptos"/>
          <w:b w:val="1"/>
          <w:bCs w:val="1"/>
          <w:noProof w:val="0"/>
          <w:sz w:val="36"/>
          <w:szCs w:val="36"/>
          <w:lang w:val="en-GB"/>
        </w:rPr>
      </w:pPr>
    </w:p>
    <w:p w:rsidR="50CA1F5F" w:rsidP="50CA1F5F" w:rsidRDefault="50CA1F5F" w14:paraId="64FEDFF8" w14:textId="5BC93197">
      <w:pPr>
        <w:pStyle w:val="Normal"/>
        <w:ind w:left="0"/>
        <w:jc w:val="both"/>
        <w:rPr>
          <w:rFonts w:ascii="Aptos" w:hAnsi="Aptos" w:eastAsia="Aptos" w:cs="Aptos"/>
          <w:b w:val="1"/>
          <w:bCs w:val="1"/>
          <w:noProof w:val="0"/>
          <w:sz w:val="36"/>
          <w:szCs w:val="36"/>
          <w:lang w:val="en-GB"/>
        </w:rPr>
      </w:pPr>
    </w:p>
    <w:p w:rsidR="50CA1F5F" w:rsidP="50CA1F5F" w:rsidRDefault="50CA1F5F" w14:paraId="284BD5DF" w14:textId="73679D93">
      <w:pPr>
        <w:pStyle w:val="Normal"/>
        <w:ind w:left="0"/>
        <w:jc w:val="both"/>
        <w:rPr>
          <w:rFonts w:ascii="Aptos" w:hAnsi="Aptos" w:eastAsia="Aptos" w:cs="Aptos"/>
          <w:b w:val="1"/>
          <w:bCs w:val="1"/>
          <w:noProof w:val="0"/>
          <w:sz w:val="36"/>
          <w:szCs w:val="36"/>
          <w:lang w:val="en-GB"/>
        </w:rPr>
      </w:pPr>
    </w:p>
    <w:p w:rsidR="50CA1F5F" w:rsidP="50CA1F5F" w:rsidRDefault="50CA1F5F" w14:paraId="06B276E1" w14:textId="75F0F437">
      <w:pPr>
        <w:pStyle w:val="Normal"/>
        <w:ind w:left="0"/>
        <w:jc w:val="both"/>
        <w:rPr>
          <w:rFonts w:ascii="Aptos" w:hAnsi="Aptos" w:eastAsia="Aptos" w:cs="Aptos"/>
          <w:b w:val="1"/>
          <w:bCs w:val="1"/>
          <w:noProof w:val="0"/>
          <w:sz w:val="36"/>
          <w:szCs w:val="36"/>
          <w:lang w:val="en-GB"/>
        </w:rPr>
      </w:pPr>
    </w:p>
    <w:p w:rsidR="50CA1F5F" w:rsidP="50CA1F5F" w:rsidRDefault="50CA1F5F" w14:paraId="73F76D6F" w14:textId="43C0C676">
      <w:pPr>
        <w:pStyle w:val="Normal"/>
        <w:ind w:left="0"/>
        <w:jc w:val="both"/>
        <w:rPr>
          <w:rFonts w:ascii="Aptos" w:hAnsi="Aptos" w:eastAsia="Aptos" w:cs="Aptos"/>
          <w:b w:val="1"/>
          <w:bCs w:val="1"/>
          <w:noProof w:val="0"/>
          <w:sz w:val="36"/>
          <w:szCs w:val="36"/>
          <w:lang w:val="en-GB"/>
        </w:rPr>
      </w:pPr>
    </w:p>
    <w:p w:rsidR="50CA1F5F" w:rsidP="50CA1F5F" w:rsidRDefault="50CA1F5F" w14:paraId="2B6C2301" w14:textId="7D3CEE11">
      <w:pPr>
        <w:pStyle w:val="Normal"/>
        <w:ind w:left="0"/>
        <w:jc w:val="both"/>
        <w:rPr>
          <w:rFonts w:ascii="Aptos" w:hAnsi="Aptos" w:eastAsia="Aptos" w:cs="Aptos"/>
          <w:b w:val="1"/>
          <w:bCs w:val="1"/>
          <w:noProof w:val="0"/>
          <w:sz w:val="36"/>
          <w:szCs w:val="36"/>
          <w:lang w:val="en-GB"/>
        </w:rPr>
      </w:pPr>
    </w:p>
    <w:p w:rsidR="7F55911A" w:rsidP="3702754F" w:rsidRDefault="7F55911A" w14:paraId="17469749" w14:textId="557B67DD">
      <w:pPr>
        <w:pStyle w:val="Normal"/>
        <w:ind w:left="0"/>
        <w:jc w:val="both"/>
        <w:rPr>
          <w:rFonts w:ascii="Aptos" w:hAnsi="Aptos" w:eastAsia="Aptos" w:cs="Aptos"/>
          <w:b w:val="1"/>
          <w:bCs w:val="1"/>
          <w:noProof w:val="0"/>
          <w:sz w:val="36"/>
          <w:szCs w:val="36"/>
          <w:lang w:val="en-GB"/>
        </w:rPr>
      </w:pPr>
    </w:p>
    <w:p w:rsidR="7F55911A" w:rsidP="31090FC7" w:rsidRDefault="7F55911A" w14:paraId="401C1C41" w14:textId="3F6AECE6">
      <w:pPr>
        <w:pStyle w:val="Normal"/>
        <w:ind w:left="0"/>
        <w:jc w:val="left"/>
        <w:rPr>
          <w:rFonts w:ascii="Aptos" w:hAnsi="Aptos" w:eastAsia="Aptos" w:cs="Aptos"/>
          <w:b w:val="1"/>
          <w:bCs w:val="1"/>
          <w:noProof w:val="0"/>
          <w:sz w:val="36"/>
          <w:szCs w:val="36"/>
          <w:lang w:val="en-GB"/>
        </w:rPr>
      </w:pPr>
    </w:p>
    <w:p w:rsidR="7F55911A" w:rsidP="31090FC7" w:rsidRDefault="7F55911A" w14:paraId="75C66D09" w14:textId="0511F687">
      <w:pPr>
        <w:pStyle w:val="Normal"/>
        <w:ind w:left="0"/>
        <w:jc w:val="left"/>
        <w:rPr>
          <w:rFonts w:ascii="Aptos" w:hAnsi="Aptos" w:eastAsia="Aptos" w:cs="Aptos"/>
          <w:b w:val="1"/>
          <w:bCs w:val="1"/>
          <w:noProof w:val="0"/>
          <w:sz w:val="28"/>
          <w:szCs w:val="28"/>
          <w:lang w:val="en-GB"/>
        </w:rPr>
      </w:pPr>
      <w:r w:rsidRPr="31090FC7" w:rsidR="7F8E0DCC">
        <w:rPr>
          <w:rFonts w:ascii="Aptos" w:hAnsi="Aptos" w:eastAsia="Aptos" w:cs="Aptos"/>
          <w:b w:val="1"/>
          <w:bCs w:val="1"/>
          <w:noProof w:val="0"/>
          <w:sz w:val="28"/>
          <w:szCs w:val="28"/>
          <w:lang w:val="en-GB"/>
        </w:rPr>
        <w:t>6.Action Plan</w:t>
      </w:r>
    </w:p>
    <w:p w:rsidR="4DF95668" w:rsidP="31090FC7" w:rsidRDefault="4DF95668" w14:paraId="05FFB8D2" w14:textId="07EE6255">
      <w:pPr>
        <w:pStyle w:val="Normal"/>
        <w:ind w:left="0"/>
        <w:jc w:val="left"/>
        <w:rPr>
          <w:rFonts w:ascii="Aptos" w:hAnsi="Aptos" w:eastAsia="Aptos" w:cs="Aptos"/>
          <w:b w:val="0"/>
          <w:bCs w:val="0"/>
          <w:noProof w:val="0"/>
          <w:sz w:val="24"/>
          <w:szCs w:val="24"/>
          <w:lang w:val="en-GB"/>
        </w:rPr>
      </w:pPr>
    </w:p>
    <w:p w:rsidR="4DF95668" w:rsidP="31090FC7" w:rsidRDefault="4DF95668" w14:paraId="7C726C28" w14:textId="7159E89E">
      <w:pPr>
        <w:pStyle w:val="Normal"/>
        <w:ind w:left="0"/>
        <w:jc w:val="left"/>
      </w:pPr>
      <w:r w:rsidRPr="31090FC7" w:rsidR="39638822">
        <w:rPr>
          <w:rFonts w:ascii="Aptos" w:hAnsi="Aptos" w:eastAsia="Aptos" w:cs="Aptos"/>
          <w:b w:val="0"/>
          <w:bCs w:val="0"/>
          <w:noProof w:val="0"/>
          <w:sz w:val="24"/>
          <w:szCs w:val="24"/>
          <w:lang w:val="en-GB"/>
        </w:rPr>
        <w:t>Prior to drafting, I will make a source matrix for my next assessment, noting each assertion, supporting details, believability, date, precise link, and intended section. Additionally, I will compose a one-sentence assessment for each key portion and make sure that each paragraph validates, refutes, or supports it. Lastly, before using any framework, I will check it against an original or peer-reviewed source.</w:t>
      </w:r>
    </w:p>
    <w:p w:rsidR="4DF95668" w:rsidP="31090FC7" w:rsidRDefault="4DF95668" w14:paraId="7F618522" w14:textId="51386C2A">
      <w:pPr>
        <w:pStyle w:val="Normal"/>
        <w:ind w:left="0"/>
        <w:jc w:val="left"/>
      </w:pPr>
      <w:r w:rsidRPr="31090FC7" w:rsidR="39638822">
        <w:rPr>
          <w:rFonts w:ascii="Aptos" w:hAnsi="Aptos" w:eastAsia="Aptos" w:cs="Aptos"/>
          <w:b w:val="0"/>
          <w:bCs w:val="0"/>
          <w:noProof w:val="0"/>
          <w:sz w:val="24"/>
          <w:szCs w:val="24"/>
          <w:lang w:val="en-GB"/>
        </w:rPr>
        <w:t xml:space="preserve"> </w:t>
      </w:r>
    </w:p>
    <w:p w:rsidR="4DF95668" w:rsidP="31090FC7" w:rsidRDefault="4DF95668" w14:paraId="4B2D2B28" w14:textId="39D9AE5A">
      <w:pPr>
        <w:pStyle w:val="Normal"/>
        <w:ind w:left="0"/>
        <w:jc w:val="left"/>
      </w:pPr>
      <w:r w:rsidRPr="31090FC7" w:rsidR="39638822">
        <w:rPr>
          <w:rFonts w:ascii="Aptos" w:hAnsi="Aptos" w:eastAsia="Aptos" w:cs="Aptos"/>
          <w:b w:val="0"/>
          <w:bCs w:val="0"/>
          <w:noProof w:val="0"/>
          <w:sz w:val="24"/>
          <w:szCs w:val="24"/>
          <w:lang w:val="en-GB"/>
        </w:rPr>
        <w:t>Harvard referencing, figure captions, grammar, formatting, and word count will take up the last 48 hours. I will only utilise AI within the parameters of the evaluation, keep track of its usage, and independently verify each recommended source. Measurable proof that these steps were taken will be provided by finishing the source matrix, section judgements, and final checklist</w:t>
      </w:r>
    </w:p>
    <w:p w:rsidR="7F55911A" w:rsidP="31090FC7" w:rsidRDefault="7F55911A" w14:paraId="1CCA487E" w14:textId="1C2A3D25">
      <w:pPr>
        <w:pStyle w:val="Normal"/>
        <w:ind w:left="0"/>
        <w:jc w:val="left"/>
        <w:rPr>
          <w:rFonts w:ascii="Aptos" w:hAnsi="Aptos" w:eastAsia="Aptos" w:cs="Aptos"/>
          <w:b w:val="1"/>
          <w:bCs w:val="1"/>
          <w:noProof w:val="0"/>
          <w:sz w:val="36"/>
          <w:szCs w:val="36"/>
          <w:lang w:val="en-GB"/>
        </w:rPr>
      </w:pPr>
    </w:p>
    <w:p w:rsidR="7F55911A" w:rsidP="31090FC7" w:rsidRDefault="7F55911A" w14:paraId="5CC7852E" w14:textId="5070F6A9">
      <w:pPr>
        <w:pStyle w:val="Normal"/>
        <w:ind w:left="0"/>
        <w:jc w:val="left"/>
        <w:rPr>
          <w:rFonts w:ascii="Aptos" w:hAnsi="Aptos" w:eastAsia="Aptos" w:cs="Aptos"/>
          <w:b w:val="1"/>
          <w:bCs w:val="1"/>
          <w:noProof w:val="0"/>
          <w:sz w:val="36"/>
          <w:szCs w:val="36"/>
          <w:lang w:val="en-GB"/>
        </w:rPr>
      </w:pPr>
    </w:p>
    <w:p w:rsidR="7F55911A" w:rsidP="4DF95668" w:rsidRDefault="7F55911A" w14:paraId="7A1F962A" w14:textId="7E86A0B6">
      <w:pPr>
        <w:pStyle w:val="Normal"/>
        <w:ind w:left="0"/>
        <w:jc w:val="both"/>
        <w:rPr>
          <w:rFonts w:ascii="Aptos" w:hAnsi="Aptos" w:eastAsia="Aptos" w:cs="Aptos"/>
          <w:b w:val="1"/>
          <w:bCs w:val="1"/>
          <w:noProof w:val="0"/>
          <w:sz w:val="36"/>
          <w:szCs w:val="36"/>
          <w:lang w:val="en-GB"/>
        </w:rPr>
      </w:pPr>
    </w:p>
    <w:p w:rsidR="7F55911A" w:rsidP="4DF95668" w:rsidRDefault="7F55911A" w14:paraId="5668C04B" w14:textId="0D29B3FE">
      <w:pPr>
        <w:pStyle w:val="Normal"/>
        <w:ind w:left="0"/>
        <w:jc w:val="both"/>
        <w:rPr>
          <w:rFonts w:ascii="Aptos" w:hAnsi="Aptos" w:eastAsia="Aptos" w:cs="Aptos"/>
          <w:b w:val="1"/>
          <w:bCs w:val="1"/>
          <w:noProof w:val="0"/>
          <w:sz w:val="36"/>
          <w:szCs w:val="36"/>
          <w:lang w:val="en-GB"/>
        </w:rPr>
      </w:pPr>
    </w:p>
    <w:p w:rsidR="7F55911A" w:rsidP="4DF95668" w:rsidRDefault="7F55911A" w14:paraId="0BCE2EE0" w14:textId="171721AD">
      <w:pPr>
        <w:pStyle w:val="Normal"/>
        <w:ind w:left="0"/>
        <w:jc w:val="both"/>
        <w:rPr>
          <w:rFonts w:ascii="Aptos" w:hAnsi="Aptos" w:eastAsia="Aptos" w:cs="Aptos"/>
          <w:b w:val="1"/>
          <w:bCs w:val="1"/>
          <w:noProof w:val="0"/>
          <w:sz w:val="36"/>
          <w:szCs w:val="36"/>
          <w:lang w:val="en-GB"/>
        </w:rPr>
      </w:pPr>
    </w:p>
    <w:p w:rsidR="7F55911A" w:rsidP="4DF95668" w:rsidRDefault="7F55911A" w14:paraId="456782AB" w14:textId="2903FCE1">
      <w:pPr>
        <w:pStyle w:val="Normal"/>
        <w:ind w:left="0"/>
        <w:jc w:val="both"/>
        <w:rPr>
          <w:rFonts w:ascii="Aptos" w:hAnsi="Aptos" w:eastAsia="Aptos" w:cs="Aptos"/>
          <w:b w:val="1"/>
          <w:bCs w:val="1"/>
          <w:noProof w:val="0"/>
          <w:sz w:val="36"/>
          <w:szCs w:val="36"/>
          <w:lang w:val="en-GB"/>
        </w:rPr>
      </w:pPr>
    </w:p>
    <w:p w:rsidR="7F55911A" w:rsidP="4DF95668" w:rsidRDefault="7F55911A" w14:paraId="2833EC9F" w14:textId="5A4A925C">
      <w:pPr>
        <w:pStyle w:val="Normal"/>
        <w:ind w:left="0"/>
        <w:jc w:val="both"/>
        <w:rPr>
          <w:rFonts w:ascii="Aptos" w:hAnsi="Aptos" w:eastAsia="Aptos" w:cs="Aptos"/>
          <w:b w:val="1"/>
          <w:bCs w:val="1"/>
          <w:noProof w:val="0"/>
          <w:sz w:val="36"/>
          <w:szCs w:val="36"/>
          <w:lang w:val="en-GB"/>
        </w:rPr>
      </w:pPr>
    </w:p>
    <w:p w:rsidR="7F55911A" w:rsidP="4DF95668" w:rsidRDefault="7F55911A" w14:paraId="34429A0E" w14:textId="153CE9DD">
      <w:pPr>
        <w:pStyle w:val="Normal"/>
        <w:ind w:left="0"/>
        <w:jc w:val="both"/>
        <w:rPr>
          <w:rFonts w:ascii="Aptos" w:hAnsi="Aptos" w:eastAsia="Aptos" w:cs="Aptos"/>
          <w:b w:val="1"/>
          <w:bCs w:val="1"/>
          <w:noProof w:val="0"/>
          <w:sz w:val="36"/>
          <w:szCs w:val="36"/>
          <w:lang w:val="en-GB"/>
        </w:rPr>
      </w:pPr>
    </w:p>
    <w:p w:rsidR="7F55911A" w:rsidP="4DF95668" w:rsidRDefault="7F55911A" w14:paraId="41D6EB9D" w14:textId="5D2CEAD4">
      <w:pPr>
        <w:pStyle w:val="Normal"/>
        <w:ind w:left="0"/>
        <w:jc w:val="both"/>
        <w:rPr>
          <w:rFonts w:ascii="Aptos" w:hAnsi="Aptos" w:eastAsia="Aptos" w:cs="Aptos"/>
          <w:b w:val="1"/>
          <w:bCs w:val="1"/>
          <w:noProof w:val="0"/>
          <w:sz w:val="36"/>
          <w:szCs w:val="36"/>
          <w:lang w:val="en-GB"/>
        </w:rPr>
      </w:pPr>
    </w:p>
    <w:p w:rsidR="7F55911A" w:rsidP="4DF95668" w:rsidRDefault="7F55911A" w14:paraId="7A6D8FCD" w14:textId="6EC759D7">
      <w:pPr>
        <w:pStyle w:val="Normal"/>
        <w:ind w:left="0"/>
        <w:jc w:val="both"/>
        <w:rPr>
          <w:rFonts w:ascii="Aptos" w:hAnsi="Aptos" w:eastAsia="Aptos" w:cs="Aptos"/>
          <w:b w:val="1"/>
          <w:bCs w:val="1"/>
          <w:noProof w:val="0"/>
          <w:sz w:val="36"/>
          <w:szCs w:val="36"/>
          <w:lang w:val="en-GB"/>
        </w:rPr>
      </w:pPr>
    </w:p>
    <w:p w:rsidR="7F55911A" w:rsidP="4DF95668" w:rsidRDefault="7F55911A" w14:paraId="3050C22C" w14:textId="6CFCB61D">
      <w:pPr>
        <w:pStyle w:val="Normal"/>
        <w:ind w:left="0"/>
        <w:jc w:val="both"/>
        <w:rPr>
          <w:rFonts w:ascii="Aptos" w:hAnsi="Aptos" w:eastAsia="Aptos" w:cs="Aptos"/>
          <w:b w:val="1"/>
          <w:bCs w:val="1"/>
          <w:noProof w:val="0"/>
          <w:sz w:val="36"/>
          <w:szCs w:val="36"/>
          <w:lang w:val="en-GB"/>
        </w:rPr>
      </w:pPr>
    </w:p>
    <w:p w:rsidR="7F55911A" w:rsidP="4DF95668" w:rsidRDefault="7F55911A" w14:paraId="7361EFD2" w14:textId="253167A6">
      <w:pPr>
        <w:pStyle w:val="Normal"/>
        <w:ind w:left="0"/>
        <w:jc w:val="both"/>
        <w:rPr>
          <w:rFonts w:ascii="Aptos" w:hAnsi="Aptos" w:eastAsia="Aptos" w:cs="Aptos"/>
          <w:b w:val="1"/>
          <w:bCs w:val="1"/>
          <w:noProof w:val="0"/>
          <w:sz w:val="36"/>
          <w:szCs w:val="36"/>
          <w:lang w:val="en-GB"/>
        </w:rPr>
      </w:pPr>
    </w:p>
    <w:p w:rsidR="7F55911A" w:rsidP="4DF95668" w:rsidRDefault="7F55911A" w14:paraId="0A2F0DB5" w14:textId="5D3E5BD5">
      <w:pPr>
        <w:pStyle w:val="Normal"/>
        <w:ind w:left="0"/>
        <w:jc w:val="both"/>
        <w:rPr>
          <w:rFonts w:ascii="Aptos" w:hAnsi="Aptos" w:eastAsia="Aptos" w:cs="Aptos"/>
          <w:b w:val="1"/>
          <w:bCs w:val="1"/>
          <w:noProof w:val="0"/>
          <w:sz w:val="36"/>
          <w:szCs w:val="36"/>
          <w:lang w:val="en-GB"/>
        </w:rPr>
      </w:pPr>
    </w:p>
    <w:p w:rsidR="7F55911A" w:rsidP="4DF95668" w:rsidRDefault="7F55911A" w14:paraId="132BE309" w14:textId="60F3872C">
      <w:pPr>
        <w:pStyle w:val="Normal"/>
        <w:ind w:left="0"/>
        <w:jc w:val="both"/>
        <w:rPr>
          <w:rFonts w:ascii="Aptos" w:hAnsi="Aptos" w:eastAsia="Aptos" w:cs="Aptos"/>
          <w:b w:val="1"/>
          <w:bCs w:val="1"/>
          <w:noProof w:val="0"/>
          <w:sz w:val="36"/>
          <w:szCs w:val="36"/>
          <w:lang w:val="en-GB"/>
        </w:rPr>
      </w:pPr>
    </w:p>
    <w:p w:rsidR="7F55911A" w:rsidP="4DF95668" w:rsidRDefault="7F55911A" w14:paraId="09E2F8ED" w14:textId="4D079105">
      <w:pPr>
        <w:pStyle w:val="Normal"/>
        <w:ind w:left="0"/>
        <w:jc w:val="both"/>
        <w:rPr>
          <w:rFonts w:ascii="Aptos" w:hAnsi="Aptos" w:eastAsia="Aptos" w:cs="Aptos"/>
          <w:b w:val="1"/>
          <w:bCs w:val="1"/>
          <w:noProof w:val="0"/>
          <w:sz w:val="36"/>
          <w:szCs w:val="36"/>
          <w:lang w:val="en-GB"/>
        </w:rPr>
      </w:pPr>
    </w:p>
    <w:p w:rsidR="7F55911A" w:rsidP="4DF95668" w:rsidRDefault="7F55911A" w14:paraId="3E9D56E1" w14:textId="5D4CF0E2">
      <w:pPr>
        <w:pStyle w:val="Normal"/>
        <w:ind w:left="0"/>
        <w:jc w:val="both"/>
        <w:rPr>
          <w:rFonts w:ascii="Aptos" w:hAnsi="Aptos" w:eastAsia="Aptos" w:cs="Aptos"/>
          <w:b w:val="1"/>
          <w:bCs w:val="1"/>
          <w:noProof w:val="0"/>
          <w:sz w:val="36"/>
          <w:szCs w:val="36"/>
          <w:lang w:val="en-GB"/>
        </w:rPr>
      </w:pPr>
    </w:p>
    <w:p w:rsidR="7F55911A" w:rsidP="4DF95668" w:rsidRDefault="7F55911A" w14:paraId="353BE26C" w14:textId="7D3BEE3E">
      <w:pPr>
        <w:pStyle w:val="Normal"/>
        <w:ind w:left="0"/>
        <w:jc w:val="both"/>
        <w:rPr>
          <w:rFonts w:ascii="Aptos" w:hAnsi="Aptos" w:eastAsia="Aptos" w:cs="Aptos"/>
          <w:b w:val="1"/>
          <w:bCs w:val="1"/>
          <w:noProof w:val="0"/>
          <w:sz w:val="36"/>
          <w:szCs w:val="36"/>
          <w:lang w:val="en-GB"/>
        </w:rPr>
      </w:pPr>
    </w:p>
    <w:p w:rsidR="7F55911A" w:rsidP="4DF95668" w:rsidRDefault="7F55911A" w14:paraId="3F4F948A" w14:textId="2CD8BDDE">
      <w:pPr>
        <w:pStyle w:val="Normal"/>
        <w:ind w:left="0"/>
        <w:jc w:val="both"/>
        <w:rPr>
          <w:rFonts w:ascii="Aptos" w:hAnsi="Aptos" w:eastAsia="Aptos" w:cs="Aptos"/>
          <w:b w:val="1"/>
          <w:bCs w:val="1"/>
          <w:noProof w:val="0"/>
          <w:sz w:val="36"/>
          <w:szCs w:val="36"/>
          <w:lang w:val="en-GB"/>
        </w:rPr>
      </w:pPr>
    </w:p>
    <w:p w:rsidR="7F55911A" w:rsidP="4DF95668" w:rsidRDefault="7F55911A" w14:paraId="54068160" w14:textId="68EA0EF0">
      <w:pPr>
        <w:pStyle w:val="Normal"/>
        <w:ind w:left="0"/>
        <w:jc w:val="both"/>
        <w:rPr>
          <w:rFonts w:ascii="Aptos" w:hAnsi="Aptos" w:eastAsia="Aptos" w:cs="Aptos"/>
          <w:b w:val="1"/>
          <w:bCs w:val="1"/>
          <w:noProof w:val="0"/>
          <w:sz w:val="36"/>
          <w:szCs w:val="36"/>
          <w:lang w:val="en-GB"/>
        </w:rPr>
      </w:pPr>
    </w:p>
    <w:p w:rsidR="7F55911A" w:rsidP="4DF95668" w:rsidRDefault="7F55911A" w14:paraId="70B1E444" w14:textId="588DDF24">
      <w:pPr>
        <w:pStyle w:val="Normal"/>
        <w:ind w:left="0"/>
        <w:jc w:val="both"/>
        <w:rPr>
          <w:rFonts w:ascii="Aptos" w:hAnsi="Aptos" w:eastAsia="Aptos" w:cs="Aptos"/>
          <w:b w:val="1"/>
          <w:bCs w:val="1"/>
          <w:noProof w:val="0"/>
          <w:sz w:val="36"/>
          <w:szCs w:val="36"/>
          <w:lang w:val="en-GB"/>
        </w:rPr>
      </w:pPr>
    </w:p>
    <w:p w:rsidR="50CA1F5F" w:rsidP="50CA1F5F" w:rsidRDefault="50CA1F5F" w14:paraId="17E8DD6B" w14:textId="7E068B22">
      <w:pPr>
        <w:pStyle w:val="Normal"/>
        <w:ind w:left="0"/>
        <w:jc w:val="both"/>
        <w:rPr>
          <w:rFonts w:ascii="Aptos" w:hAnsi="Aptos" w:eastAsia="Aptos" w:cs="Aptos"/>
          <w:b w:val="1"/>
          <w:bCs w:val="1"/>
          <w:noProof w:val="0"/>
          <w:sz w:val="36"/>
          <w:szCs w:val="36"/>
          <w:lang w:val="en-GB"/>
        </w:rPr>
      </w:pPr>
    </w:p>
    <w:p w:rsidR="7F55911A" w:rsidP="695E7775" w:rsidRDefault="7F55911A" w14:paraId="05210378" w14:textId="49D3CE34">
      <w:pPr>
        <w:pStyle w:val="Normal"/>
        <w:ind w:left="0"/>
        <w:jc w:val="both"/>
        <w:rPr>
          <w:rFonts w:ascii="Aptos" w:hAnsi="Aptos" w:eastAsia="Aptos" w:cs="Aptos"/>
          <w:noProof w:val="0"/>
          <w:sz w:val="24"/>
          <w:szCs w:val="24"/>
          <w:lang w:val="en-GB"/>
        </w:rPr>
      </w:pPr>
      <w:r w:rsidRPr="4DF95668" w:rsidR="7F55911A">
        <w:rPr>
          <w:rFonts w:ascii="Aptos" w:hAnsi="Aptos" w:eastAsia="Aptos" w:cs="Aptos"/>
          <w:b w:val="1"/>
          <w:bCs w:val="1"/>
          <w:noProof w:val="0"/>
          <w:sz w:val="36"/>
          <w:szCs w:val="36"/>
          <w:lang w:val="en-GB"/>
        </w:rPr>
        <w:t>REFERENCES</w:t>
      </w:r>
    </w:p>
    <w:p w:rsidR="4DF95668" w:rsidP="4DF95668" w:rsidRDefault="4DF95668" w14:paraId="49BF2C84" w14:textId="4879F626">
      <w:pPr>
        <w:pStyle w:val="Normal"/>
        <w:ind w:left="0"/>
        <w:jc w:val="both"/>
        <w:rPr>
          <w:rFonts w:ascii="Aptos" w:hAnsi="Aptos" w:eastAsia="Aptos" w:cs="Aptos"/>
          <w:b w:val="1"/>
          <w:bCs w:val="1"/>
          <w:noProof w:val="0"/>
          <w:sz w:val="36"/>
          <w:szCs w:val="36"/>
          <w:lang w:val="en-GB"/>
        </w:rPr>
      </w:pPr>
    </w:p>
    <w:p w:rsidR="0E864ECA" w:rsidP="0BE43A9D" w:rsidRDefault="0E864ECA" w14:paraId="2250B970" w14:textId="1A754E69">
      <w:pPr>
        <w:pStyle w:val="Normal"/>
        <w:spacing w:before="240" w:beforeAutospacing="off" w:after="240" w:afterAutospacing="off"/>
        <w:jc w:val="both"/>
      </w:pPr>
      <w:r w:rsidRPr="0BE43A9D" w:rsidR="5FFDE0BB">
        <w:rPr>
          <w:rFonts w:ascii="Aptos" w:hAnsi="Aptos" w:eastAsia="Aptos" w:cs="Aptos"/>
          <w:noProof w:val="0"/>
          <w:sz w:val="24"/>
          <w:szCs w:val="24"/>
          <w:lang w:val="en-GB"/>
        </w:rPr>
        <w:t>Abdelkawy</w:t>
      </w:r>
      <w:r w:rsidRPr="0BE43A9D" w:rsidR="5FFDE0BB">
        <w:rPr>
          <w:rFonts w:ascii="Aptos" w:hAnsi="Aptos" w:eastAsia="Aptos" w:cs="Aptos"/>
          <w:noProof w:val="0"/>
          <w:sz w:val="24"/>
          <w:szCs w:val="24"/>
          <w:lang w:val="en-GB"/>
        </w:rPr>
        <w:t xml:space="preserve">, N.A. 2026, ‘National competitiveness and economic transformation in Saudi Arabia: a conceptual analysis using Porter’s Diamond Model’, </w:t>
      </w:r>
      <w:r w:rsidRPr="0BE43A9D" w:rsidR="5FFDE0BB">
        <w:rPr>
          <w:rFonts w:ascii="Aptos" w:hAnsi="Aptos" w:eastAsia="Aptos" w:cs="Aptos"/>
          <w:i w:val="1"/>
          <w:iCs w:val="1"/>
          <w:noProof w:val="0"/>
          <w:sz w:val="24"/>
          <w:szCs w:val="24"/>
          <w:lang w:val="en-GB"/>
        </w:rPr>
        <w:t>Systems</w:t>
      </w:r>
      <w:r w:rsidRPr="0BE43A9D" w:rsidR="5FFDE0BB">
        <w:rPr>
          <w:rFonts w:ascii="Aptos" w:hAnsi="Aptos" w:eastAsia="Aptos" w:cs="Aptos"/>
          <w:noProof w:val="0"/>
          <w:sz w:val="24"/>
          <w:szCs w:val="24"/>
          <w:lang w:val="en-GB"/>
        </w:rPr>
        <w:t xml:space="preserve">, vol. 14, no. 4, article 338. Available at: </w:t>
      </w:r>
      <w:hyperlink r:id="R32a05cb14ca64ec3">
        <w:r w:rsidRPr="0BE43A9D" w:rsidR="5FFDE0BB">
          <w:rPr>
            <w:rStyle w:val="Hyperlink"/>
            <w:rFonts w:ascii="Aptos" w:hAnsi="Aptos" w:eastAsia="Aptos" w:cs="Aptos"/>
            <w:noProof w:val="0"/>
            <w:sz w:val="24"/>
            <w:szCs w:val="24"/>
            <w:lang w:val="en-GB"/>
          </w:rPr>
          <w:t>https://doi.org/10.3390/systems14040338</w:t>
        </w:r>
      </w:hyperlink>
      <w:r w:rsidRPr="0BE43A9D" w:rsidR="5FFDE0BB">
        <w:rPr>
          <w:rFonts w:ascii="Aptos" w:hAnsi="Aptos" w:eastAsia="Aptos" w:cs="Aptos"/>
          <w:noProof w:val="0"/>
          <w:sz w:val="24"/>
          <w:szCs w:val="24"/>
          <w:lang w:val="en-GB"/>
        </w:rPr>
        <w:t>.</w:t>
      </w:r>
      <w:r w:rsidRPr="0BE43A9D" w:rsidR="2CD7970C">
        <w:rPr>
          <w:rFonts w:ascii="Aptos" w:hAnsi="Aptos" w:eastAsia="Aptos" w:cs="Aptos"/>
          <w:noProof w:val="0"/>
          <w:sz w:val="24"/>
          <w:szCs w:val="24"/>
          <w:lang w:val="en-GB"/>
        </w:rPr>
        <w:t xml:space="preserve"> Accessed: </w:t>
      </w:r>
      <w:r w:rsidRPr="0BE43A9D" w:rsidR="03F7C1AD">
        <w:rPr>
          <w:rFonts w:ascii="Aptos" w:hAnsi="Aptos" w:eastAsia="Aptos" w:cs="Aptos"/>
          <w:noProof w:val="0"/>
          <w:sz w:val="24"/>
          <w:szCs w:val="24"/>
          <w:lang w:val="en-GB"/>
        </w:rPr>
        <w:t>(</w:t>
      </w:r>
      <w:r w:rsidRPr="0BE43A9D" w:rsidR="2CD7970C">
        <w:rPr>
          <w:rFonts w:ascii="Aptos" w:hAnsi="Aptos" w:eastAsia="Aptos" w:cs="Aptos"/>
          <w:noProof w:val="0"/>
          <w:sz w:val="24"/>
          <w:szCs w:val="24"/>
          <w:lang w:val="en-GB"/>
        </w:rPr>
        <w:t>27 April 2026).</w:t>
      </w:r>
    </w:p>
    <w:p w:rsidR="0E864ECA" w:rsidP="0BE43A9D" w:rsidRDefault="0E864ECA" w14:paraId="39C41F01" w14:textId="62E4B59B">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Afzal, M., Lawrey, R. and Gope, J. 2019, ‘Understanding national innovation system (NIS) using Porter’s Diamond Model (PDM) of competitiveness in ASEAN-05’, </w:t>
      </w:r>
      <w:r w:rsidRPr="0BE43A9D" w:rsidR="5FFDE0BB">
        <w:rPr>
          <w:rFonts w:ascii="Aptos" w:hAnsi="Aptos" w:eastAsia="Aptos" w:cs="Aptos"/>
          <w:i w:val="1"/>
          <w:iCs w:val="1"/>
          <w:noProof w:val="0"/>
          <w:sz w:val="24"/>
          <w:szCs w:val="24"/>
          <w:lang w:val="en-GB"/>
        </w:rPr>
        <w:t>Competitiveness Review</w:t>
      </w:r>
      <w:r w:rsidRPr="0BE43A9D" w:rsidR="5FFDE0BB">
        <w:rPr>
          <w:rFonts w:ascii="Aptos" w:hAnsi="Aptos" w:eastAsia="Aptos" w:cs="Aptos"/>
          <w:noProof w:val="0"/>
          <w:sz w:val="24"/>
          <w:szCs w:val="24"/>
          <w:lang w:val="en-GB"/>
        </w:rPr>
        <w:t xml:space="preserve">, vol. 29, no. 4, pp. 336–355. Available at: </w:t>
      </w:r>
      <w:hyperlink r:id="Ra41e20e4345f4e34">
        <w:r w:rsidRPr="0BE43A9D" w:rsidR="5FFDE0BB">
          <w:rPr>
            <w:rStyle w:val="Hyperlink"/>
            <w:rFonts w:ascii="Aptos" w:hAnsi="Aptos" w:eastAsia="Aptos" w:cs="Aptos"/>
            <w:noProof w:val="0"/>
            <w:sz w:val="24"/>
            <w:szCs w:val="24"/>
            <w:lang w:val="en-GB"/>
          </w:rPr>
          <w:t>https://doi.org/10.1108/CR-12-2017-0088</w:t>
        </w:r>
      </w:hyperlink>
      <w:r w:rsidRPr="0BE43A9D" w:rsidR="5FFDE0BB">
        <w:rPr>
          <w:rFonts w:ascii="Aptos" w:hAnsi="Aptos" w:eastAsia="Aptos" w:cs="Aptos"/>
          <w:noProof w:val="0"/>
          <w:sz w:val="24"/>
          <w:szCs w:val="24"/>
          <w:lang w:val="en-GB"/>
        </w:rPr>
        <w:t>.</w:t>
      </w:r>
      <w:r w:rsidRPr="0BE43A9D" w:rsidR="09017AA4">
        <w:rPr>
          <w:rFonts w:ascii="Aptos" w:hAnsi="Aptos" w:eastAsia="Aptos" w:cs="Aptos"/>
          <w:noProof w:val="0"/>
          <w:sz w:val="24"/>
          <w:szCs w:val="24"/>
          <w:lang w:val="en-GB"/>
        </w:rPr>
        <w:t>(</w:t>
      </w:r>
      <w:r w:rsidRPr="0BE43A9D" w:rsidR="3EF274D6">
        <w:rPr>
          <w:rFonts w:ascii="Aptos" w:hAnsi="Aptos" w:eastAsia="Aptos" w:cs="Aptos"/>
          <w:noProof w:val="0"/>
          <w:sz w:val="24"/>
          <w:szCs w:val="24"/>
          <w:lang w:val="en-GB"/>
        </w:rPr>
        <w:t xml:space="preserve"> Accessed: 27 April 2026).</w:t>
      </w:r>
    </w:p>
    <w:p w:rsidR="0E864ECA" w:rsidP="0BE43A9D" w:rsidRDefault="0E864ECA" w14:paraId="73A8D5AE" w14:textId="4F90AB29">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Alavi, A. et al. 2020, ‘Analysing competitive advantage of Iranian automotive industry using Porter’s Diamond Model, case study: Iranian car manufacturers’, </w:t>
      </w:r>
      <w:r w:rsidRPr="0BE43A9D" w:rsidR="5FFDE0BB">
        <w:rPr>
          <w:rFonts w:ascii="Aptos" w:hAnsi="Aptos" w:eastAsia="Aptos" w:cs="Aptos"/>
          <w:i w:val="1"/>
          <w:iCs w:val="1"/>
          <w:noProof w:val="0"/>
          <w:sz w:val="24"/>
          <w:szCs w:val="24"/>
          <w:lang w:val="en-GB"/>
        </w:rPr>
        <w:t>International Journal of Business and Systems Research</w:t>
      </w:r>
      <w:r w:rsidRPr="0BE43A9D" w:rsidR="5FFDE0BB">
        <w:rPr>
          <w:rFonts w:ascii="Aptos" w:hAnsi="Aptos" w:eastAsia="Aptos" w:cs="Aptos"/>
          <w:noProof w:val="0"/>
          <w:sz w:val="24"/>
          <w:szCs w:val="24"/>
          <w:lang w:val="en-GB"/>
        </w:rPr>
        <w:t xml:space="preserve">, vol. 14, no. 3, pp. 298–313. Available at: </w:t>
      </w:r>
      <w:hyperlink r:id="Rdecd8ff0583146ed">
        <w:r w:rsidRPr="0BE43A9D" w:rsidR="5FFDE0BB">
          <w:rPr>
            <w:rStyle w:val="Hyperlink"/>
            <w:rFonts w:ascii="Aptos" w:hAnsi="Aptos" w:eastAsia="Aptos" w:cs="Aptos"/>
            <w:noProof w:val="0"/>
            <w:sz w:val="24"/>
            <w:szCs w:val="24"/>
            <w:lang w:val="en-GB"/>
          </w:rPr>
          <w:t>https://doi.org/10.1504/IJBSR.2020.108269</w:t>
        </w:r>
      </w:hyperlink>
      <w:r w:rsidRPr="0BE43A9D" w:rsidR="5FFDE0BB">
        <w:rPr>
          <w:rFonts w:ascii="Aptos" w:hAnsi="Aptos" w:eastAsia="Aptos" w:cs="Aptos"/>
          <w:noProof w:val="0"/>
          <w:sz w:val="24"/>
          <w:szCs w:val="24"/>
          <w:lang w:val="en-GB"/>
        </w:rPr>
        <w:t>.</w:t>
      </w:r>
      <w:r w:rsidRPr="0BE43A9D" w:rsidR="15C8204F">
        <w:rPr>
          <w:rFonts w:ascii="Aptos" w:hAnsi="Aptos" w:eastAsia="Aptos" w:cs="Aptos"/>
          <w:noProof w:val="0"/>
          <w:sz w:val="24"/>
          <w:szCs w:val="24"/>
          <w:lang w:val="en-GB"/>
        </w:rPr>
        <w:t xml:space="preserve"> </w:t>
      </w:r>
      <w:r w:rsidRPr="0BE43A9D" w:rsidR="786FDE4A">
        <w:rPr>
          <w:rFonts w:ascii="Aptos" w:hAnsi="Aptos" w:eastAsia="Aptos" w:cs="Aptos"/>
          <w:noProof w:val="0"/>
          <w:sz w:val="24"/>
          <w:szCs w:val="24"/>
          <w:lang w:val="en-GB"/>
        </w:rPr>
        <w:t>(</w:t>
      </w:r>
      <w:r w:rsidRPr="0BE43A9D" w:rsidR="15C8204F">
        <w:rPr>
          <w:rFonts w:ascii="Aptos" w:hAnsi="Aptos" w:eastAsia="Aptos" w:cs="Aptos"/>
          <w:noProof w:val="0"/>
          <w:sz w:val="24"/>
          <w:szCs w:val="24"/>
          <w:lang w:val="en-GB"/>
        </w:rPr>
        <w:t>Accessed: 27 April 2026).</w:t>
      </w:r>
    </w:p>
    <w:p w:rsidR="0E864ECA" w:rsidP="4DF95668" w:rsidRDefault="0E864ECA" w14:paraId="11539B42" w14:textId="3AAB5375">
      <w:pPr>
        <w:spacing w:before="240" w:beforeAutospacing="off" w:after="240" w:afterAutospacing="off"/>
        <w:jc w:val="both"/>
      </w:pPr>
      <w:r w:rsidRPr="4DF95668" w:rsidR="0E864ECA">
        <w:rPr>
          <w:rFonts w:ascii="Aptos" w:hAnsi="Aptos" w:eastAsia="Aptos" w:cs="Aptos"/>
          <w:noProof w:val="0"/>
          <w:sz w:val="24"/>
          <w:szCs w:val="24"/>
          <w:lang w:val="en-GB"/>
        </w:rPr>
        <w:t xml:space="preserve">Arafura Rare Earths n.d., </w:t>
      </w:r>
      <w:r w:rsidRPr="4DF95668" w:rsidR="0E864ECA">
        <w:rPr>
          <w:rFonts w:ascii="Aptos" w:hAnsi="Aptos" w:eastAsia="Aptos" w:cs="Aptos"/>
          <w:i w:val="1"/>
          <w:iCs w:val="1"/>
          <w:noProof w:val="0"/>
          <w:sz w:val="24"/>
          <w:szCs w:val="24"/>
          <w:lang w:val="en-GB"/>
        </w:rPr>
        <w:t>Nolans</w:t>
      </w:r>
      <w:r w:rsidRPr="4DF95668" w:rsidR="0E864ECA">
        <w:rPr>
          <w:rFonts w:ascii="Aptos" w:hAnsi="Aptos" w:eastAsia="Aptos" w:cs="Aptos"/>
          <w:noProof w:val="0"/>
          <w:sz w:val="24"/>
          <w:szCs w:val="24"/>
          <w:lang w:val="en-GB"/>
        </w:rPr>
        <w:t xml:space="preserve">. Available at: </w:t>
      </w:r>
      <w:hyperlink r:id="R37a66031479a4721">
        <w:r w:rsidRPr="4DF95668" w:rsidR="0E864ECA">
          <w:rPr>
            <w:rStyle w:val="Hyperlink"/>
            <w:rFonts w:ascii="Aptos" w:hAnsi="Aptos" w:eastAsia="Aptos" w:cs="Aptos"/>
            <w:noProof w:val="0"/>
            <w:sz w:val="24"/>
            <w:szCs w:val="24"/>
            <w:lang w:val="en-GB"/>
          </w:rPr>
          <w:t>https://www.arultd.com/projects/nolans/</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40AF8C65" w14:textId="3F67E04A">
      <w:pPr>
        <w:spacing w:before="240" w:beforeAutospacing="off" w:after="240" w:afterAutospacing="off"/>
        <w:jc w:val="both"/>
      </w:pPr>
      <w:r w:rsidRPr="0BE43A9D" w:rsidR="5FFDE0BB">
        <w:rPr>
          <w:rFonts w:ascii="Aptos" w:hAnsi="Aptos" w:eastAsia="Aptos" w:cs="Aptos"/>
          <w:noProof w:val="0"/>
          <w:sz w:val="24"/>
          <w:szCs w:val="24"/>
          <w:lang w:val="en-GB"/>
        </w:rPr>
        <w:t xml:space="preserve">Argus Media 2025, ‘Australia’s IGO, Tianqi in talks over lithium refinery’, </w:t>
      </w:r>
      <w:r w:rsidRPr="0BE43A9D" w:rsidR="5FFDE0BB">
        <w:rPr>
          <w:rFonts w:ascii="Aptos" w:hAnsi="Aptos" w:eastAsia="Aptos" w:cs="Aptos"/>
          <w:i w:val="1"/>
          <w:iCs w:val="1"/>
          <w:noProof w:val="0"/>
          <w:sz w:val="24"/>
          <w:szCs w:val="24"/>
          <w:lang w:val="en-GB"/>
        </w:rPr>
        <w:t>Argus Media</w:t>
      </w:r>
      <w:r w:rsidRPr="0BE43A9D" w:rsidR="5FFDE0BB">
        <w:rPr>
          <w:rFonts w:ascii="Aptos" w:hAnsi="Aptos" w:eastAsia="Aptos" w:cs="Aptos"/>
          <w:noProof w:val="0"/>
          <w:sz w:val="24"/>
          <w:szCs w:val="24"/>
          <w:lang w:val="en-GB"/>
        </w:rPr>
        <w:t xml:space="preserve">, 28 August. Available at: </w:t>
      </w:r>
      <w:hyperlink r:id="R53c21f4d5ed94922">
        <w:r w:rsidRPr="0BE43A9D" w:rsidR="5FFDE0BB">
          <w:rPr>
            <w:rStyle w:val="Hyperlink"/>
            <w:rFonts w:ascii="Aptos" w:hAnsi="Aptos" w:eastAsia="Aptos" w:cs="Aptos"/>
            <w:noProof w:val="0"/>
            <w:sz w:val="24"/>
            <w:szCs w:val="24"/>
            <w:lang w:val="en-GB"/>
          </w:rPr>
          <w:t>https://www.argusmedia.com/en/news-and-insights/latest-market-news/2725675-australia-s-igo-tianqi-in-talks-over-lithium-refinery</w:t>
        </w:r>
      </w:hyperlink>
      <w:r w:rsidRPr="0BE43A9D" w:rsidR="5FFDE0BB">
        <w:rPr>
          <w:rFonts w:ascii="Aptos" w:hAnsi="Aptos" w:eastAsia="Aptos" w:cs="Aptos"/>
          <w:noProof w:val="0"/>
          <w:sz w:val="24"/>
          <w:szCs w:val="24"/>
          <w:lang w:val="en-GB"/>
        </w:rPr>
        <w:t xml:space="preserve"> (Accessed: 27 April 2026).</w:t>
      </w:r>
    </w:p>
    <w:p w:rsidR="5064C219" w:rsidP="0BE43A9D" w:rsidRDefault="5064C219" w14:paraId="14B48D2B" w14:textId="57BE36FF">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5064C2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Australian Bureau of Statistics 2026a, Australian National Accounts: National Income, Expenditure and Product, March 2026. Available at: </w:t>
      </w:r>
      <w:hyperlink r:id="R78e4013e0e2943cc">
        <w:r w:rsidRPr="0BE43A9D" w:rsidR="5064C219">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https://www.abs.gov.au/statistics/economy/national-accounts/australian-national-accounts-national-income-expenditure-and-product/latest-release</w:t>
        </w:r>
      </w:hyperlink>
      <w:r w:rsidRPr="0BE43A9D" w:rsidR="5064C2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6 August 2026).</w:t>
      </w:r>
    </w:p>
    <w:p w:rsidR="5064C219" w:rsidP="0BE43A9D" w:rsidRDefault="5064C219" w14:paraId="6BF157B2" w14:textId="772C03D0">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5064C2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Australian Bureau of Statistics 2026b, Average Weekly Earnings, Australia, November 2025. Available at: </w:t>
      </w:r>
      <w:hyperlink r:id="R0744ecf3762c476a">
        <w:r w:rsidRPr="0BE43A9D" w:rsidR="5064C219">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https://www.abs.gov.au/statistics/labour/earnings-and-working-conditions/average-weekly-earnings-australia/latest-release</w:t>
        </w:r>
      </w:hyperlink>
      <w:r w:rsidRPr="0BE43A9D" w:rsidR="5064C2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6 August 2026).</w:t>
      </w:r>
    </w:p>
    <w:p w:rsidR="0E864ECA" w:rsidP="4DF95668" w:rsidRDefault="0E864ECA" w14:paraId="7022124D" w14:textId="67B54D38">
      <w:pPr>
        <w:spacing w:before="240" w:beforeAutospacing="off" w:after="240" w:afterAutospacing="off"/>
        <w:jc w:val="both"/>
      </w:pPr>
      <w:r w:rsidRPr="50CA1F5F" w:rsidR="3DB6958D">
        <w:rPr>
          <w:rFonts w:ascii="Aptos" w:hAnsi="Aptos" w:eastAsia="Aptos" w:cs="Aptos"/>
          <w:noProof w:val="0"/>
          <w:sz w:val="24"/>
          <w:szCs w:val="24"/>
          <w:lang w:val="en-GB"/>
        </w:rPr>
        <w:t xml:space="preserve">Australian Government 2026, </w:t>
      </w:r>
      <w:r w:rsidRPr="50CA1F5F" w:rsidR="3DB6958D">
        <w:rPr>
          <w:rFonts w:ascii="Aptos" w:hAnsi="Aptos" w:eastAsia="Aptos" w:cs="Aptos"/>
          <w:i w:val="1"/>
          <w:iCs w:val="1"/>
          <w:noProof w:val="0"/>
          <w:sz w:val="24"/>
          <w:szCs w:val="24"/>
          <w:lang w:val="en-GB"/>
        </w:rPr>
        <w:t>Guidance Note 5: Mining</w:t>
      </w:r>
      <w:r w:rsidRPr="50CA1F5F" w:rsidR="3DB6958D">
        <w:rPr>
          <w:rFonts w:ascii="Aptos" w:hAnsi="Aptos" w:eastAsia="Aptos" w:cs="Aptos"/>
          <w:noProof w:val="0"/>
          <w:sz w:val="24"/>
          <w:szCs w:val="24"/>
          <w:lang w:val="en-GB"/>
        </w:rPr>
        <w:t xml:space="preserve">, version 6, 2 January. Available at: </w:t>
      </w:r>
      <w:hyperlink r:id="R8179fdbde904498b">
        <w:r w:rsidRPr="50CA1F5F" w:rsidR="3DB6958D">
          <w:rPr>
            <w:rStyle w:val="Hyperlink"/>
            <w:rFonts w:ascii="Aptos" w:hAnsi="Aptos" w:eastAsia="Aptos" w:cs="Aptos"/>
            <w:noProof w:val="0"/>
            <w:sz w:val="24"/>
            <w:szCs w:val="24"/>
            <w:lang w:val="en-GB"/>
          </w:rPr>
          <w:t>https://foreigninvestment.gov.au/sites/foreigninvestment.gov.au/files/2026-01/guidance-note-5-mining.pdf</w:t>
        </w:r>
      </w:hyperlink>
      <w:r w:rsidRPr="50CA1F5F" w:rsidR="3DB6958D">
        <w:rPr>
          <w:rFonts w:ascii="Aptos" w:hAnsi="Aptos" w:eastAsia="Aptos" w:cs="Aptos"/>
          <w:noProof w:val="0"/>
          <w:sz w:val="24"/>
          <w:szCs w:val="24"/>
          <w:lang w:val="en-GB"/>
        </w:rPr>
        <w:t xml:space="preserve"> (Accessed: 27 April 2026).</w:t>
      </w:r>
    </w:p>
    <w:p w:rsidR="0E864ECA" w:rsidP="50CA1F5F" w:rsidRDefault="0E864ECA" w14:paraId="7DD5D173" w14:textId="42098FB3">
      <w:pPr>
        <w:spacing w:before="40" w:beforeAutospacing="off" w:after="62" w:afterAutospacing="off" w:line="240" w:lineRule="auto"/>
        <w:ind w:left="0" w:right="0" w:hanging="0"/>
        <w:jc w:val="left"/>
        <w:rPr>
          <w:rFonts w:ascii="Aptos" w:hAnsi="Aptos" w:eastAsia="Aptos" w:cs="Aptos"/>
          <w:b w:val="0"/>
          <w:bCs w:val="0"/>
          <w:i w:val="0"/>
          <w:iCs w:val="0"/>
          <w:noProof w:val="0"/>
          <w:color w:val="000000" w:themeColor="text1" w:themeTint="FF" w:themeShade="FF"/>
          <w:sz w:val="24"/>
          <w:szCs w:val="24"/>
          <w:lang w:val="en-GB"/>
        </w:rPr>
      </w:pPr>
      <w:r w:rsidRPr="50CA1F5F" w:rsidR="6CB0A3A8">
        <w:rPr>
          <w:rFonts w:ascii="Aptos" w:hAnsi="Aptos" w:eastAsia="Aptos" w:cs="Aptos"/>
          <w:b w:val="0"/>
          <w:bCs w:val="0"/>
          <w:i w:val="0"/>
          <w:iCs w:val="0"/>
          <w:noProof w:val="0"/>
          <w:color w:val="000000" w:themeColor="text1" w:themeTint="FF" w:themeShade="FF"/>
          <w:sz w:val="24"/>
          <w:szCs w:val="24"/>
          <w:lang w:val="en-GB"/>
        </w:rPr>
        <w:t xml:space="preserve">Australian Taxation Office 2025, 'Critical Minerals and Hydrogen Production Tax Incentives', updated 12 March. Available at: </w:t>
      </w:r>
      <w:hyperlink r:id="Rf2e91c5ab7564054">
        <w:r w:rsidRPr="50CA1F5F" w:rsidR="6CB0A3A8">
          <w:rPr>
            <w:rStyle w:val="Hyperlink"/>
            <w:b w:val="0"/>
            <w:bCs w:val="0"/>
            <w:i w:val="0"/>
            <w:iCs w:val="0"/>
            <w:noProof w:val="0"/>
            <w:sz w:val="24"/>
            <w:szCs w:val="24"/>
            <w:lang w:val="en-GB"/>
          </w:rPr>
          <w:t>https://www.ato.gov.au/about-ato/new-legislation/in-detail/businesses/hydrogen-production-and-critical-minerals-tax-incentives</w:t>
        </w:r>
      </w:hyperlink>
      <w:r w:rsidRPr="50CA1F5F" w:rsidR="6CB0A3A8">
        <w:rPr>
          <w:rFonts w:ascii="Aptos" w:hAnsi="Aptos" w:eastAsia="Aptos" w:cs="Aptos"/>
          <w:b w:val="0"/>
          <w:bCs w:val="0"/>
          <w:i w:val="0"/>
          <w:iCs w:val="0"/>
          <w:noProof w:val="0"/>
          <w:color w:val="000000" w:themeColor="text1" w:themeTint="FF" w:themeShade="FF"/>
          <w:sz w:val="24"/>
          <w:szCs w:val="24"/>
          <w:lang w:val="en-GB"/>
        </w:rPr>
        <w:t xml:space="preserve"> (Accessed: 30 July 2026).</w:t>
      </w:r>
    </w:p>
    <w:p w:rsidR="0E864ECA" w:rsidP="50CA1F5F" w:rsidRDefault="0E864ECA" w14:paraId="08FDF51A" w14:textId="6ABD87A5">
      <w:pPr>
        <w:pStyle w:val="Normal"/>
        <w:spacing w:before="240" w:beforeAutospacing="off" w:after="240" w:afterAutospacing="off"/>
        <w:jc w:val="both"/>
      </w:pPr>
      <w:r w:rsidRPr="0BE43A9D" w:rsidR="0615655E">
        <w:rPr>
          <w:rFonts w:ascii="Aptos" w:hAnsi="Aptos" w:eastAsia="Aptos" w:cs="Aptos"/>
          <w:noProof w:val="0"/>
          <w:sz w:val="24"/>
          <w:szCs w:val="24"/>
          <w:lang w:val="en-GB"/>
        </w:rPr>
        <w:t>Bhattacharjee, S. and Chakrabarti, D. 2015, ‘Investigating India’s competitive edge in the IT-</w:t>
      </w:r>
      <w:r w:rsidRPr="0BE43A9D" w:rsidR="0615655E">
        <w:rPr>
          <w:rFonts w:ascii="Aptos" w:hAnsi="Aptos" w:eastAsia="Aptos" w:cs="Aptos"/>
          <w:noProof w:val="0"/>
          <w:sz w:val="24"/>
          <w:szCs w:val="24"/>
          <w:lang w:val="en-GB"/>
        </w:rPr>
        <w:t>ITeS</w:t>
      </w:r>
      <w:r w:rsidRPr="0BE43A9D" w:rsidR="0615655E">
        <w:rPr>
          <w:rFonts w:ascii="Aptos" w:hAnsi="Aptos" w:eastAsia="Aptos" w:cs="Aptos"/>
          <w:noProof w:val="0"/>
          <w:sz w:val="24"/>
          <w:szCs w:val="24"/>
          <w:lang w:val="en-GB"/>
        </w:rPr>
        <w:t xml:space="preserve"> sector’, </w:t>
      </w:r>
      <w:r w:rsidRPr="0BE43A9D" w:rsidR="0615655E">
        <w:rPr>
          <w:rFonts w:ascii="Aptos" w:hAnsi="Aptos" w:eastAsia="Aptos" w:cs="Aptos"/>
          <w:i w:val="1"/>
          <w:iCs w:val="1"/>
          <w:noProof w:val="0"/>
          <w:sz w:val="24"/>
          <w:szCs w:val="24"/>
          <w:lang w:val="en-GB"/>
        </w:rPr>
        <w:t>IIMB Management Review</w:t>
      </w:r>
      <w:r w:rsidRPr="0BE43A9D" w:rsidR="0615655E">
        <w:rPr>
          <w:rFonts w:ascii="Aptos" w:hAnsi="Aptos" w:eastAsia="Aptos" w:cs="Aptos"/>
          <w:noProof w:val="0"/>
          <w:sz w:val="24"/>
          <w:szCs w:val="24"/>
          <w:lang w:val="en-GB"/>
        </w:rPr>
        <w:t xml:space="preserve">, vol. 27, no. 1, pp. 19–34. Available at: </w:t>
      </w:r>
      <w:hyperlink r:id="R217f42aae5044166">
        <w:r w:rsidRPr="0BE43A9D" w:rsidR="0615655E">
          <w:rPr>
            <w:rStyle w:val="Hyperlink"/>
            <w:rFonts w:ascii="Aptos" w:hAnsi="Aptos" w:eastAsia="Aptos" w:cs="Aptos"/>
            <w:noProof w:val="0"/>
            <w:sz w:val="24"/>
            <w:szCs w:val="24"/>
            <w:lang w:val="en-GB"/>
          </w:rPr>
          <w:t>https://doi.org/10.1016/j.iimb.2015.01.003</w:t>
        </w:r>
      </w:hyperlink>
      <w:r w:rsidRPr="0BE43A9D" w:rsidR="0615655E">
        <w:rPr>
          <w:rFonts w:ascii="Aptos" w:hAnsi="Aptos" w:eastAsia="Aptos" w:cs="Aptos"/>
          <w:noProof w:val="0"/>
          <w:sz w:val="24"/>
          <w:szCs w:val="24"/>
          <w:lang w:val="en-GB"/>
        </w:rPr>
        <w:t>.</w:t>
      </w:r>
      <w:r w:rsidRPr="0BE43A9D" w:rsidR="66F1570A">
        <w:rPr>
          <w:rFonts w:ascii="Aptos" w:hAnsi="Aptos" w:eastAsia="Aptos" w:cs="Aptos"/>
          <w:noProof w:val="0"/>
          <w:sz w:val="24"/>
          <w:szCs w:val="24"/>
          <w:lang w:val="en-GB"/>
        </w:rPr>
        <w:t xml:space="preserve"> (Accessed: 27 April 2026)</w:t>
      </w:r>
    </w:p>
    <w:p w:rsidR="0E864ECA" w:rsidP="4DF95668" w:rsidRDefault="0E864ECA" w14:paraId="2A2D4AB6" w14:textId="315C7188">
      <w:pPr>
        <w:spacing w:before="240" w:beforeAutospacing="off" w:after="240" w:afterAutospacing="off"/>
        <w:jc w:val="both"/>
      </w:pPr>
      <w:r w:rsidRPr="50CA1F5F" w:rsidR="3DB6958D">
        <w:rPr>
          <w:rFonts w:ascii="Aptos" w:hAnsi="Aptos" w:eastAsia="Aptos" w:cs="Aptos"/>
          <w:noProof w:val="0"/>
          <w:sz w:val="24"/>
          <w:szCs w:val="24"/>
          <w:lang w:val="en-GB"/>
        </w:rPr>
        <w:t xml:space="preserve">Burton, M. and Jackson, L. 2025, ‘China’s Tianqi open to renegotiating lithium refinery deal with Australia’s IGO’, </w:t>
      </w:r>
      <w:r w:rsidRPr="50CA1F5F" w:rsidR="3DB6958D">
        <w:rPr>
          <w:rFonts w:ascii="Aptos" w:hAnsi="Aptos" w:eastAsia="Aptos" w:cs="Aptos"/>
          <w:i w:val="1"/>
          <w:iCs w:val="1"/>
          <w:noProof w:val="0"/>
          <w:sz w:val="24"/>
          <w:szCs w:val="24"/>
          <w:lang w:val="en-GB"/>
        </w:rPr>
        <w:t>Reuters</w:t>
      </w:r>
      <w:r w:rsidRPr="50CA1F5F" w:rsidR="3DB6958D">
        <w:rPr>
          <w:rFonts w:ascii="Aptos" w:hAnsi="Aptos" w:eastAsia="Aptos" w:cs="Aptos"/>
          <w:noProof w:val="0"/>
          <w:sz w:val="24"/>
          <w:szCs w:val="24"/>
          <w:lang w:val="en-GB"/>
        </w:rPr>
        <w:t xml:space="preserve">, 20 August. Available at: </w:t>
      </w:r>
      <w:hyperlink r:id="R053920bd80334443">
        <w:r w:rsidRPr="50CA1F5F" w:rsidR="3DB6958D">
          <w:rPr>
            <w:rStyle w:val="Hyperlink"/>
            <w:rFonts w:ascii="Aptos" w:hAnsi="Aptos" w:eastAsia="Aptos" w:cs="Aptos"/>
            <w:noProof w:val="0"/>
            <w:sz w:val="24"/>
            <w:szCs w:val="24"/>
            <w:lang w:val="en-GB"/>
          </w:rPr>
          <w:t>https://www.reuters.com/markets/commodities/chinas-tianqi-open-renegotiating-lithium-refinery-deal-with-australias-igo-2025-08-20/</w:t>
        </w:r>
      </w:hyperlink>
      <w:r w:rsidRPr="50CA1F5F" w:rsidR="3DB6958D">
        <w:rPr>
          <w:rFonts w:ascii="Aptos" w:hAnsi="Aptos" w:eastAsia="Aptos" w:cs="Aptos"/>
          <w:noProof w:val="0"/>
          <w:sz w:val="24"/>
          <w:szCs w:val="24"/>
          <w:lang w:val="en-GB"/>
        </w:rPr>
        <w:t xml:space="preserve"> (Accessed: 27 April 2026).</w:t>
      </w:r>
    </w:p>
    <w:p w:rsidR="0E864ECA" w:rsidP="0BE43A9D" w:rsidRDefault="0E864ECA" w14:paraId="24DF1C30" w14:textId="4438EF92">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Chemical Week 2021, ‘IGO, Tianqi lithium venture’, </w:t>
      </w:r>
      <w:r w:rsidRPr="0BE43A9D" w:rsidR="5FFDE0BB">
        <w:rPr>
          <w:rFonts w:ascii="Aptos" w:hAnsi="Aptos" w:eastAsia="Aptos" w:cs="Aptos"/>
          <w:i w:val="1"/>
          <w:iCs w:val="1"/>
          <w:noProof w:val="0"/>
          <w:sz w:val="24"/>
          <w:szCs w:val="24"/>
          <w:lang w:val="en-GB"/>
        </w:rPr>
        <w:t>Chemical Week</w:t>
      </w:r>
      <w:r w:rsidRPr="0BE43A9D" w:rsidR="5FFDE0BB">
        <w:rPr>
          <w:rFonts w:ascii="Aptos" w:hAnsi="Aptos" w:eastAsia="Aptos" w:cs="Aptos"/>
          <w:noProof w:val="0"/>
          <w:sz w:val="24"/>
          <w:szCs w:val="24"/>
          <w:lang w:val="en-GB"/>
        </w:rPr>
        <w:t>, vol. 183, no. 18, p. 5.</w:t>
      </w:r>
    </w:p>
    <w:p w:rsidR="0E864ECA" w:rsidP="4DF95668" w:rsidRDefault="0E864ECA" w14:paraId="70B8EE5F" w14:textId="492739AA">
      <w:pPr>
        <w:spacing w:before="240" w:beforeAutospacing="off" w:after="240" w:afterAutospacing="off"/>
        <w:jc w:val="both"/>
      </w:pPr>
      <w:r w:rsidRPr="4DF95668" w:rsidR="0E864ECA">
        <w:rPr>
          <w:rFonts w:ascii="Aptos" w:hAnsi="Aptos" w:eastAsia="Aptos" w:cs="Aptos"/>
          <w:noProof w:val="0"/>
          <w:sz w:val="24"/>
          <w:szCs w:val="24"/>
          <w:lang w:val="en-GB"/>
        </w:rPr>
        <w:t xml:space="preserve">CME Group n.d., </w:t>
      </w:r>
      <w:r w:rsidRPr="4DF95668" w:rsidR="0E864ECA">
        <w:rPr>
          <w:rFonts w:ascii="Aptos" w:hAnsi="Aptos" w:eastAsia="Aptos" w:cs="Aptos"/>
          <w:i w:val="1"/>
          <w:iCs w:val="1"/>
          <w:noProof w:val="0"/>
          <w:sz w:val="24"/>
          <w:szCs w:val="24"/>
          <w:lang w:val="en-GB"/>
        </w:rPr>
        <w:t>Lithium Hydroxide CIF CJK (Fastmarkets) Overview</w:t>
      </w:r>
      <w:r w:rsidRPr="4DF95668" w:rsidR="0E864ECA">
        <w:rPr>
          <w:rFonts w:ascii="Aptos" w:hAnsi="Aptos" w:eastAsia="Aptos" w:cs="Aptos"/>
          <w:noProof w:val="0"/>
          <w:sz w:val="24"/>
          <w:szCs w:val="24"/>
          <w:lang w:val="en-GB"/>
        </w:rPr>
        <w:t xml:space="preserve">. Available at: </w:t>
      </w:r>
      <w:hyperlink r:id="R4a5ec1a32d154128">
        <w:r w:rsidRPr="4DF95668" w:rsidR="0E864ECA">
          <w:rPr>
            <w:rStyle w:val="Hyperlink"/>
            <w:rFonts w:ascii="Aptos" w:hAnsi="Aptos" w:eastAsia="Aptos" w:cs="Aptos"/>
            <w:noProof w:val="0"/>
            <w:sz w:val="24"/>
            <w:szCs w:val="24"/>
            <w:lang w:val="en-GB"/>
          </w:rPr>
          <w:t>https://www.cmegroup.com/markets/metals/battery-metals/lithium-hydroxide-cif-cjk-fastmarkets.html</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5ED245D2" w14:textId="6DEB3C20">
      <w:pPr>
        <w:spacing w:before="240" w:beforeAutospacing="off" w:after="240" w:afterAutospacing="off"/>
        <w:jc w:val="both"/>
      </w:pPr>
      <w:r w:rsidRPr="4DF95668" w:rsidR="0E864ECA">
        <w:rPr>
          <w:rFonts w:ascii="Aptos" w:hAnsi="Aptos" w:eastAsia="Aptos" w:cs="Aptos"/>
          <w:noProof w:val="0"/>
          <w:sz w:val="24"/>
          <w:szCs w:val="24"/>
          <w:lang w:val="en-GB"/>
        </w:rPr>
        <w:t xml:space="preserve">Critical Minerals Office 2023, </w:t>
      </w:r>
      <w:r w:rsidRPr="4DF95668" w:rsidR="0E864ECA">
        <w:rPr>
          <w:rFonts w:ascii="Aptos" w:hAnsi="Aptos" w:eastAsia="Aptos" w:cs="Aptos"/>
          <w:i w:val="1"/>
          <w:iCs w:val="1"/>
          <w:noProof w:val="0"/>
          <w:sz w:val="24"/>
          <w:szCs w:val="24"/>
          <w:lang w:val="en-GB"/>
        </w:rPr>
        <w:t>Critical Minerals Strategy 2023–2030</w:t>
      </w:r>
      <w:r w:rsidRPr="4DF95668" w:rsidR="0E864ECA">
        <w:rPr>
          <w:rFonts w:ascii="Aptos" w:hAnsi="Aptos" w:eastAsia="Aptos" w:cs="Aptos"/>
          <w:noProof w:val="0"/>
          <w:sz w:val="24"/>
          <w:szCs w:val="24"/>
          <w:lang w:val="en-GB"/>
        </w:rPr>
        <w:t xml:space="preserve">, Department of Industry, Science and Resources, Australian Government. Available at: </w:t>
      </w:r>
      <w:hyperlink r:id="Ra49b8bc62137425d">
        <w:r w:rsidRPr="4DF95668" w:rsidR="0E864ECA">
          <w:rPr>
            <w:rStyle w:val="Hyperlink"/>
            <w:rFonts w:ascii="Aptos" w:hAnsi="Aptos" w:eastAsia="Aptos" w:cs="Aptos"/>
            <w:noProof w:val="0"/>
            <w:sz w:val="24"/>
            <w:szCs w:val="24"/>
            <w:lang w:val="en-GB"/>
          </w:rPr>
          <w:t>https://www.industry.gov.au/publications/critical-minerals-strategy-2023-2030</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1348EFAB" w14:textId="21E68247">
      <w:pPr>
        <w:spacing w:before="240" w:beforeAutospacing="off" w:after="240" w:afterAutospacing="off"/>
        <w:jc w:val="both"/>
      </w:pPr>
      <w:r w:rsidRPr="50CA1F5F" w:rsidR="3DB6958D">
        <w:rPr>
          <w:rFonts w:ascii="Aptos" w:hAnsi="Aptos" w:eastAsia="Aptos" w:cs="Aptos"/>
          <w:noProof w:val="0"/>
          <w:sz w:val="24"/>
          <w:szCs w:val="24"/>
          <w:lang w:val="en-GB"/>
        </w:rPr>
        <w:t xml:space="preserve">Department of Industry, Science and Resources 2024, </w:t>
      </w:r>
      <w:r w:rsidRPr="50CA1F5F" w:rsidR="3DB6958D">
        <w:rPr>
          <w:rFonts w:ascii="Aptos" w:hAnsi="Aptos" w:eastAsia="Aptos" w:cs="Aptos"/>
          <w:i w:val="1"/>
          <w:iCs w:val="1"/>
          <w:noProof w:val="0"/>
          <w:sz w:val="24"/>
          <w:szCs w:val="24"/>
          <w:lang w:val="en-GB"/>
        </w:rPr>
        <w:t>Resources and Energy Major Projects 2024 Report</w:t>
      </w:r>
      <w:r w:rsidRPr="50CA1F5F" w:rsidR="3DB6958D">
        <w:rPr>
          <w:rFonts w:ascii="Aptos" w:hAnsi="Aptos" w:eastAsia="Aptos" w:cs="Aptos"/>
          <w:noProof w:val="0"/>
          <w:sz w:val="24"/>
          <w:szCs w:val="24"/>
          <w:lang w:val="en-GB"/>
        </w:rPr>
        <w:t xml:space="preserve">, Australian Government. Available at: </w:t>
      </w:r>
      <w:hyperlink r:id="R2d2cf3f987194384">
        <w:r w:rsidRPr="50CA1F5F" w:rsidR="3DB6958D">
          <w:rPr>
            <w:rStyle w:val="Hyperlink"/>
            <w:rFonts w:ascii="Aptos" w:hAnsi="Aptos" w:eastAsia="Aptos" w:cs="Aptos"/>
            <w:noProof w:val="0"/>
            <w:sz w:val="24"/>
            <w:szCs w:val="24"/>
            <w:lang w:val="en-GB"/>
          </w:rPr>
          <w:t>https://www.industry.gov.au/sites/default/files/2024-12/remp_2024.pdf</w:t>
        </w:r>
      </w:hyperlink>
      <w:r w:rsidRPr="50CA1F5F" w:rsidR="3DB6958D">
        <w:rPr>
          <w:rFonts w:ascii="Aptos" w:hAnsi="Aptos" w:eastAsia="Aptos" w:cs="Aptos"/>
          <w:noProof w:val="0"/>
          <w:sz w:val="24"/>
          <w:szCs w:val="24"/>
          <w:lang w:val="en-GB"/>
        </w:rPr>
        <w:t xml:space="preserve"> (Accessed: 27 April 2026).</w:t>
      </w:r>
    </w:p>
    <w:p w:rsidR="0E864ECA" w:rsidP="50CA1F5F" w:rsidRDefault="0E864ECA" w14:paraId="79F4E74A" w14:textId="3517FBC7">
      <w:pPr>
        <w:spacing w:before="240" w:beforeAutospacing="off" w:after="79" w:afterAutospacing="off" w:line="276" w:lineRule="auto"/>
        <w:ind w:left="0" w:right="0" w:hanging="0"/>
        <w:jc w:val="left"/>
      </w:pPr>
      <w:r w:rsidRPr="0BE43A9D" w:rsidR="641086F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Department of Industry, Science and Resources 2026, Critical Minerals Production Tax Incentive, Australian Government. Available at: </w:t>
      </w:r>
      <w:hyperlink r:id="R3de4efa4ede94a58">
        <w:r w:rsidRPr="0BE43A9D" w:rsidR="641086F0">
          <w:rPr>
            <w:rStyle w:val="Hyperlink"/>
            <w:rFonts w:ascii="Aptos" w:hAnsi="Aptos" w:eastAsia="Aptos" w:cs="Aptos" w:asciiTheme="minorAscii" w:hAnsiTheme="minorAscii" w:eastAsiaTheme="minorAscii" w:cstheme="minorAscii"/>
            <w:b w:val="0"/>
            <w:bCs w:val="0"/>
            <w:noProof w:val="0"/>
            <w:sz w:val="24"/>
            <w:szCs w:val="24"/>
            <w:lang w:val="en-GB"/>
          </w:rPr>
          <w:t>https://www.industry.gov.au/mining-oil-and-gas/minerals/critical-minerals/critical-minerals-production-tax-incentive</w:t>
        </w:r>
      </w:hyperlink>
      <w:r w:rsidRPr="0BE43A9D" w:rsidR="641086F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(Accessed: 1 August 2026).</w:t>
      </w:r>
    </w:p>
    <w:p w:rsidR="0E864ECA" w:rsidP="0BE43A9D" w:rsidRDefault="0E864ECA" w14:paraId="2F47BD44" w14:textId="481DA91F">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52D435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Department of Industry, Science and Resources 2026a, Resources and Energy Quarterly: June 2026, Australian Government. Available at: </w:t>
      </w:r>
      <w:hyperlink r:id="R08517369dd224e79">
        <w:r w:rsidRPr="0BE43A9D" w:rsidR="52D435B3">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https://www.industry.gov.au/publications/resources-and-energy-quarterly-june-2026</w:t>
        </w:r>
      </w:hyperlink>
      <w:r w:rsidRPr="0BE43A9D" w:rsidR="52D435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6 August 2026).</w:t>
      </w:r>
    </w:p>
    <w:p w:rsidR="0E864ECA" w:rsidP="0BE43A9D" w:rsidRDefault="0E864ECA" w14:paraId="1B75A2F7" w14:textId="01E161A4">
      <w:pPr>
        <w:pStyle w:val="Normal"/>
        <w:spacing w:before="240" w:beforeAutospacing="off" w:after="79" w:afterAutospacing="off" w:line="276" w:lineRule="auto"/>
        <w:ind w:left="0" w:right="0" w:hanging="0"/>
        <w:jc w:val="left"/>
      </w:pPr>
      <w:r w:rsidRPr="0BE43A9D" w:rsidR="0615655E">
        <w:rPr>
          <w:rFonts w:ascii="Aptos" w:hAnsi="Aptos" w:eastAsia="Aptos" w:cs="Aptos"/>
          <w:noProof w:val="0"/>
          <w:sz w:val="24"/>
          <w:szCs w:val="24"/>
          <w:lang w:val="en-GB"/>
        </w:rPr>
        <w:t xml:space="preserve">Department of Jobs, Tourism, Science and Innovation 2024, </w:t>
      </w:r>
      <w:r w:rsidRPr="0BE43A9D" w:rsidR="0615655E">
        <w:rPr>
          <w:rFonts w:ascii="Aptos" w:hAnsi="Aptos" w:eastAsia="Aptos" w:cs="Aptos"/>
          <w:i w:val="1"/>
          <w:iCs w:val="1"/>
          <w:noProof w:val="0"/>
          <w:sz w:val="24"/>
          <w:szCs w:val="24"/>
          <w:lang w:val="en-GB"/>
        </w:rPr>
        <w:t xml:space="preserve">Western Australia’s </w:t>
      </w:r>
      <w:r w:rsidRPr="0BE43A9D" w:rsidR="0615655E">
        <w:rPr>
          <w:rFonts w:ascii="Aptos" w:hAnsi="Aptos" w:eastAsia="Aptos" w:cs="Aptos"/>
          <w:i w:val="1"/>
          <w:iCs w:val="1"/>
          <w:noProof w:val="0"/>
          <w:sz w:val="24"/>
          <w:szCs w:val="24"/>
          <w:lang w:val="en-GB"/>
        </w:rPr>
        <w:t>Battery</w:t>
      </w:r>
      <w:r w:rsidRPr="0BE43A9D" w:rsidR="0615655E">
        <w:rPr>
          <w:rFonts w:ascii="Aptos" w:hAnsi="Aptos" w:eastAsia="Aptos" w:cs="Aptos"/>
          <w:i w:val="1"/>
          <w:iCs w:val="1"/>
          <w:noProof w:val="0"/>
          <w:sz w:val="24"/>
          <w:szCs w:val="24"/>
          <w:lang w:val="en-GB"/>
        </w:rPr>
        <w:t xml:space="preserve"> and Critical Minerals Strategy 2024–2030</w:t>
      </w:r>
      <w:r w:rsidRPr="0BE43A9D" w:rsidR="0615655E">
        <w:rPr>
          <w:rFonts w:ascii="Aptos" w:hAnsi="Aptos" w:eastAsia="Aptos" w:cs="Aptos"/>
          <w:noProof w:val="0"/>
          <w:sz w:val="24"/>
          <w:szCs w:val="24"/>
          <w:lang w:val="en-GB"/>
        </w:rPr>
        <w:t xml:space="preserve">, Government of Western Australia. Available at: </w:t>
      </w:r>
      <w:hyperlink r:id="R0a122d1dea134605">
        <w:r w:rsidRPr="0BE43A9D" w:rsidR="0615655E">
          <w:rPr>
            <w:rStyle w:val="Hyperlink"/>
            <w:rFonts w:ascii="Aptos" w:hAnsi="Aptos" w:eastAsia="Aptos" w:cs="Aptos"/>
            <w:noProof w:val="0"/>
            <w:sz w:val="24"/>
            <w:szCs w:val="24"/>
            <w:lang w:val="en-GB"/>
          </w:rPr>
          <w:t>https://www.wa.gov.au/system/files/2024-05/00361_battery_strategy_a4_5.3_web.pdf</w:t>
        </w:r>
      </w:hyperlink>
      <w:r w:rsidRPr="0BE43A9D" w:rsidR="0615655E">
        <w:rPr>
          <w:rFonts w:ascii="Aptos" w:hAnsi="Aptos" w:eastAsia="Aptos" w:cs="Aptos"/>
          <w:noProof w:val="0"/>
          <w:sz w:val="24"/>
          <w:szCs w:val="24"/>
          <w:lang w:val="en-GB"/>
        </w:rPr>
        <w:t xml:space="preserve"> (Accessed: 27 April 2026).</w:t>
      </w:r>
    </w:p>
    <w:p w:rsidR="0E864ECA" w:rsidP="4DF95668" w:rsidRDefault="0E864ECA" w14:paraId="1C62DDE4" w14:textId="07B25B5B">
      <w:pPr>
        <w:spacing w:before="240" w:beforeAutospacing="off" w:after="240" w:afterAutospacing="off"/>
        <w:jc w:val="both"/>
      </w:pPr>
      <w:r w:rsidRPr="4DF95668" w:rsidR="0E864ECA">
        <w:rPr>
          <w:rFonts w:ascii="Aptos" w:hAnsi="Aptos" w:eastAsia="Aptos" w:cs="Aptos"/>
          <w:noProof w:val="0"/>
          <w:sz w:val="24"/>
          <w:szCs w:val="24"/>
          <w:lang w:val="en-GB"/>
        </w:rPr>
        <w:t xml:space="preserve">Department of the Prime Minister and Cabinet 2025, </w:t>
      </w:r>
      <w:r w:rsidRPr="4DF95668" w:rsidR="0E864ECA">
        <w:rPr>
          <w:rFonts w:ascii="Aptos" w:hAnsi="Aptos" w:eastAsia="Aptos" w:cs="Aptos"/>
          <w:i w:val="1"/>
          <w:iCs w:val="1"/>
          <w:noProof w:val="0"/>
          <w:sz w:val="24"/>
          <w:szCs w:val="24"/>
          <w:lang w:val="en-GB"/>
        </w:rPr>
        <w:t>Critical Minerals Strategic Reserve</w:t>
      </w:r>
      <w:r w:rsidRPr="4DF95668" w:rsidR="0E864ECA">
        <w:rPr>
          <w:rFonts w:ascii="Aptos" w:hAnsi="Aptos" w:eastAsia="Aptos" w:cs="Aptos"/>
          <w:noProof w:val="0"/>
          <w:sz w:val="24"/>
          <w:szCs w:val="24"/>
          <w:lang w:val="en-GB"/>
        </w:rPr>
        <w:t xml:space="preserve">, Australian Government. Available at: </w:t>
      </w:r>
      <w:hyperlink r:id="R73c687484e274bdc">
        <w:r w:rsidRPr="4DF95668" w:rsidR="0E864ECA">
          <w:rPr>
            <w:rStyle w:val="Hyperlink"/>
            <w:rFonts w:ascii="Aptos" w:hAnsi="Aptos" w:eastAsia="Aptos" w:cs="Aptos"/>
            <w:noProof w:val="0"/>
            <w:sz w:val="24"/>
            <w:szCs w:val="24"/>
            <w:lang w:val="en-GB"/>
          </w:rPr>
          <w:t>https://www.pmc.gov.au/domestic-policy/critical-minerals-strategic-reserve</w:t>
        </w:r>
      </w:hyperlink>
      <w:r w:rsidRPr="4DF95668" w:rsidR="0E864ECA">
        <w:rPr>
          <w:rFonts w:ascii="Aptos" w:hAnsi="Aptos" w:eastAsia="Aptos" w:cs="Aptos"/>
          <w:noProof w:val="0"/>
          <w:sz w:val="24"/>
          <w:szCs w:val="24"/>
          <w:lang w:val="en-GB"/>
        </w:rPr>
        <w:t xml:space="preserve"> (Accessed: 27 April 2026).</w:t>
      </w:r>
    </w:p>
    <w:p w:rsidR="0E864ECA" w:rsidP="0BE43A9D" w:rsidRDefault="0E864ECA" w14:paraId="728E246F" w14:textId="2985D689">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Dolan, H. et al. 2019, ‘Culture, self, and medical decision making in Australia and China: a structural model analysis’, </w:t>
      </w:r>
      <w:r w:rsidRPr="0BE43A9D" w:rsidR="5FFDE0BB">
        <w:rPr>
          <w:rFonts w:ascii="Aptos" w:hAnsi="Aptos" w:eastAsia="Aptos" w:cs="Aptos"/>
          <w:i w:val="1"/>
          <w:iCs w:val="1"/>
          <w:noProof w:val="0"/>
          <w:sz w:val="24"/>
          <w:szCs w:val="24"/>
          <w:lang w:val="en-GB"/>
        </w:rPr>
        <w:t>MDM Policy &amp; Practice</w:t>
      </w:r>
      <w:r w:rsidRPr="0BE43A9D" w:rsidR="5FFDE0BB">
        <w:rPr>
          <w:rFonts w:ascii="Aptos" w:hAnsi="Aptos" w:eastAsia="Aptos" w:cs="Aptos"/>
          <w:noProof w:val="0"/>
          <w:sz w:val="24"/>
          <w:szCs w:val="24"/>
          <w:lang w:val="en-GB"/>
        </w:rPr>
        <w:t xml:space="preserve">, vol. 4, no. 2, article 2381468319871018. Available at: </w:t>
      </w:r>
      <w:hyperlink r:id="R08b924dab6c44f99">
        <w:r w:rsidRPr="0BE43A9D" w:rsidR="5FFDE0BB">
          <w:rPr>
            <w:rStyle w:val="Hyperlink"/>
            <w:rFonts w:ascii="Aptos" w:hAnsi="Aptos" w:eastAsia="Aptos" w:cs="Aptos"/>
            <w:noProof w:val="0"/>
            <w:sz w:val="24"/>
            <w:szCs w:val="24"/>
            <w:lang w:val="en-GB"/>
          </w:rPr>
          <w:t>https://doi.org/10.1177/2381468319871018</w:t>
        </w:r>
      </w:hyperlink>
      <w:r w:rsidRPr="0BE43A9D" w:rsidR="5FFDE0BB">
        <w:rPr>
          <w:rFonts w:ascii="Aptos" w:hAnsi="Aptos" w:eastAsia="Aptos" w:cs="Aptos"/>
          <w:noProof w:val="0"/>
          <w:sz w:val="24"/>
          <w:szCs w:val="24"/>
          <w:lang w:val="en-GB"/>
        </w:rPr>
        <w:t>.</w:t>
      </w:r>
      <w:r w:rsidRPr="0BE43A9D" w:rsidR="7BBD581A">
        <w:rPr>
          <w:rFonts w:ascii="Aptos" w:hAnsi="Aptos" w:eastAsia="Aptos" w:cs="Aptos"/>
          <w:noProof w:val="0"/>
          <w:sz w:val="24"/>
          <w:szCs w:val="24"/>
          <w:lang w:val="en-GB"/>
        </w:rPr>
        <w:t xml:space="preserve"> Accessed: 27 April 2026).</w:t>
      </w:r>
    </w:p>
    <w:p w:rsidR="0E864ECA" w:rsidP="4DF95668" w:rsidRDefault="0E864ECA" w14:paraId="4C5D420F" w14:textId="38EEB1F1">
      <w:pPr>
        <w:spacing w:before="240" w:beforeAutospacing="off" w:after="240" w:afterAutospacing="off"/>
        <w:jc w:val="both"/>
      </w:pPr>
      <w:r w:rsidRPr="4DF95668" w:rsidR="0E864ECA">
        <w:rPr>
          <w:rFonts w:ascii="Aptos" w:hAnsi="Aptos" w:eastAsia="Aptos" w:cs="Aptos"/>
          <w:noProof w:val="0"/>
          <w:sz w:val="24"/>
          <w:szCs w:val="24"/>
          <w:lang w:val="en-GB"/>
        </w:rPr>
        <w:t xml:space="preserve">D’Silva, B. 2025, ‘Covalent Lithium operational update – 23 July 2025’, </w:t>
      </w:r>
      <w:r w:rsidRPr="4DF95668" w:rsidR="0E864ECA">
        <w:rPr>
          <w:rFonts w:ascii="Aptos" w:hAnsi="Aptos" w:eastAsia="Aptos" w:cs="Aptos"/>
          <w:i w:val="1"/>
          <w:iCs w:val="1"/>
          <w:noProof w:val="0"/>
          <w:sz w:val="24"/>
          <w:szCs w:val="24"/>
          <w:lang w:val="en-GB"/>
        </w:rPr>
        <w:t>Covalent Lithium</w:t>
      </w:r>
      <w:r w:rsidRPr="4DF95668" w:rsidR="0E864ECA">
        <w:rPr>
          <w:rFonts w:ascii="Aptos" w:hAnsi="Aptos" w:eastAsia="Aptos" w:cs="Aptos"/>
          <w:noProof w:val="0"/>
          <w:sz w:val="24"/>
          <w:szCs w:val="24"/>
          <w:lang w:val="en-GB"/>
        </w:rPr>
        <w:t xml:space="preserve">, 23 July. Available at: </w:t>
      </w:r>
      <w:hyperlink r:id="R4e8be355d8b9450c">
        <w:r w:rsidRPr="4DF95668" w:rsidR="0E864ECA">
          <w:rPr>
            <w:rStyle w:val="Hyperlink"/>
            <w:rFonts w:ascii="Aptos" w:hAnsi="Aptos" w:eastAsia="Aptos" w:cs="Aptos"/>
            <w:noProof w:val="0"/>
            <w:sz w:val="24"/>
            <w:szCs w:val="24"/>
            <w:lang w:val="en-GB"/>
          </w:rPr>
          <w:t>https://www.covalentlithium.com/news/covalent-lithium-operational-update-23-july-2025</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C674ACF" w14:textId="34AA495B">
      <w:pPr>
        <w:spacing w:before="240" w:beforeAutospacing="off" w:after="240" w:afterAutospacing="off"/>
        <w:jc w:val="both"/>
      </w:pPr>
      <w:r w:rsidRPr="4DF95668" w:rsidR="0E864ECA">
        <w:rPr>
          <w:rFonts w:ascii="Aptos" w:hAnsi="Aptos" w:eastAsia="Aptos" w:cs="Aptos"/>
          <w:noProof w:val="0"/>
          <w:sz w:val="24"/>
          <w:szCs w:val="24"/>
          <w:lang w:val="en-GB"/>
        </w:rPr>
        <w:t xml:space="preserve">Foreign Investment Review Board 2023, </w:t>
      </w:r>
      <w:r w:rsidRPr="4DF95668" w:rsidR="0E864ECA">
        <w:rPr>
          <w:rFonts w:ascii="Aptos" w:hAnsi="Aptos" w:eastAsia="Aptos" w:cs="Aptos"/>
          <w:i w:val="1"/>
          <w:iCs w:val="1"/>
          <w:noProof w:val="0"/>
          <w:sz w:val="24"/>
          <w:szCs w:val="24"/>
          <w:lang w:val="en-GB"/>
        </w:rPr>
        <w:t>National security</w:t>
      </w:r>
      <w:r w:rsidRPr="4DF95668" w:rsidR="0E864ECA">
        <w:rPr>
          <w:rFonts w:ascii="Aptos" w:hAnsi="Aptos" w:eastAsia="Aptos" w:cs="Aptos"/>
          <w:noProof w:val="0"/>
          <w:sz w:val="24"/>
          <w:szCs w:val="24"/>
          <w:lang w:val="en-GB"/>
        </w:rPr>
        <w:t xml:space="preserve">, Australian Government. Available at: </w:t>
      </w:r>
      <w:hyperlink r:id="R5995353635d64f19">
        <w:r w:rsidRPr="4DF95668" w:rsidR="0E864ECA">
          <w:rPr>
            <w:rStyle w:val="Hyperlink"/>
            <w:rFonts w:ascii="Aptos" w:hAnsi="Aptos" w:eastAsia="Aptos" w:cs="Aptos"/>
            <w:noProof w:val="0"/>
            <w:sz w:val="24"/>
            <w:szCs w:val="24"/>
            <w:lang w:val="en-GB"/>
          </w:rPr>
          <w:t>https://foreigninvestment.gov.au/guidance/types-investments/national-security</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7A3976DE" w14:textId="6B410CA9">
      <w:pPr>
        <w:spacing w:before="240" w:beforeAutospacing="off" w:after="240" w:afterAutospacing="off"/>
        <w:jc w:val="both"/>
      </w:pPr>
      <w:r w:rsidRPr="0BE43A9D" w:rsidR="5FFDE0BB">
        <w:rPr>
          <w:rFonts w:ascii="Aptos" w:hAnsi="Aptos" w:eastAsia="Aptos" w:cs="Aptos"/>
          <w:noProof w:val="0"/>
          <w:sz w:val="24"/>
          <w:szCs w:val="24"/>
          <w:lang w:val="en-GB"/>
        </w:rPr>
        <w:t xml:space="preserve">Geoscience Australia 2025, </w:t>
      </w:r>
      <w:r w:rsidRPr="0BE43A9D" w:rsidR="5FFDE0BB">
        <w:rPr>
          <w:rFonts w:ascii="Aptos" w:hAnsi="Aptos" w:eastAsia="Aptos" w:cs="Aptos"/>
          <w:i w:val="1"/>
          <w:iCs w:val="1"/>
          <w:noProof w:val="0"/>
          <w:sz w:val="24"/>
          <w:szCs w:val="24"/>
          <w:lang w:val="en-GB"/>
        </w:rPr>
        <w:t>Australia’s Identified Mineral Resources 2024: Introduction</w:t>
      </w:r>
      <w:r w:rsidRPr="0BE43A9D" w:rsidR="5FFDE0BB">
        <w:rPr>
          <w:rFonts w:ascii="Aptos" w:hAnsi="Aptos" w:eastAsia="Aptos" w:cs="Aptos"/>
          <w:noProof w:val="0"/>
          <w:sz w:val="24"/>
          <w:szCs w:val="24"/>
          <w:lang w:val="en-GB"/>
        </w:rPr>
        <w:t xml:space="preserve">, Australian Government. Available at: </w:t>
      </w:r>
      <w:hyperlink r:id="Rd4e9f2bf83374c26">
        <w:r w:rsidRPr="0BE43A9D" w:rsidR="5FFDE0BB">
          <w:rPr>
            <w:rStyle w:val="Hyperlink"/>
            <w:rFonts w:ascii="Aptos" w:hAnsi="Aptos" w:eastAsia="Aptos" w:cs="Aptos"/>
            <w:noProof w:val="0"/>
            <w:sz w:val="24"/>
            <w:szCs w:val="24"/>
            <w:lang w:val="en-GB"/>
          </w:rPr>
          <w:t>https://www.ga.gov.au/aimr2024/introduction</w:t>
        </w:r>
      </w:hyperlink>
      <w:r w:rsidRPr="0BE43A9D" w:rsidR="5FFDE0BB">
        <w:rPr>
          <w:rFonts w:ascii="Aptos" w:hAnsi="Aptos" w:eastAsia="Aptos" w:cs="Aptos"/>
          <w:noProof w:val="0"/>
          <w:sz w:val="24"/>
          <w:szCs w:val="24"/>
          <w:lang w:val="en-GB"/>
        </w:rPr>
        <w:t xml:space="preserve"> (Accessed: 27 April 2026).</w:t>
      </w:r>
    </w:p>
    <w:p w:rsidR="0E864ECA" w:rsidP="0BE43A9D" w:rsidRDefault="0E864ECA" w14:paraId="0EE01595" w14:textId="72D91892">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2019C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Geoscience Australia 2026a, Australia's Identified Mineral Resources 2025: Commodity Summaries, Australian Government. Available at: </w:t>
      </w:r>
      <w:hyperlink r:id="R1fdb55d997924d9a">
        <w:r w:rsidRPr="0BE43A9D" w:rsidR="2019C4A1">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https://www.ga.gov.au/aimr2025/commodity-summaries</w:t>
        </w:r>
      </w:hyperlink>
      <w:r w:rsidRPr="0BE43A9D" w:rsidR="2019C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6 August 2026).</w:t>
      </w:r>
    </w:p>
    <w:p w:rsidR="0E864ECA" w:rsidP="0BE43A9D" w:rsidRDefault="0E864ECA" w14:paraId="16B32EBD" w14:textId="704CB330">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Geoscience Australia 2026, </w:t>
      </w:r>
      <w:r w:rsidRPr="0BE43A9D" w:rsidR="5FFDE0BB">
        <w:rPr>
          <w:rFonts w:ascii="Aptos" w:hAnsi="Aptos" w:eastAsia="Aptos" w:cs="Aptos"/>
          <w:i w:val="1"/>
          <w:iCs w:val="1"/>
          <w:noProof w:val="0"/>
          <w:sz w:val="24"/>
          <w:szCs w:val="24"/>
          <w:lang w:val="en-GB"/>
        </w:rPr>
        <w:t>Critical minerals at Geoscience Australia</w:t>
      </w:r>
      <w:r w:rsidRPr="0BE43A9D" w:rsidR="5FFDE0BB">
        <w:rPr>
          <w:rFonts w:ascii="Aptos" w:hAnsi="Aptos" w:eastAsia="Aptos" w:cs="Aptos"/>
          <w:noProof w:val="0"/>
          <w:sz w:val="24"/>
          <w:szCs w:val="24"/>
          <w:lang w:val="en-GB"/>
        </w:rPr>
        <w:t xml:space="preserve">, Australian Government. Available at: </w:t>
      </w:r>
      <w:hyperlink r:id="R969b2336ad124bc5">
        <w:r w:rsidRPr="0BE43A9D" w:rsidR="5FFDE0BB">
          <w:rPr>
            <w:rStyle w:val="Hyperlink"/>
            <w:rFonts w:ascii="Aptos" w:hAnsi="Aptos" w:eastAsia="Aptos" w:cs="Aptos"/>
            <w:noProof w:val="0"/>
            <w:sz w:val="24"/>
            <w:szCs w:val="24"/>
            <w:lang w:val="en-GB"/>
          </w:rPr>
          <w:t>https://www.ga.gov.au/scientific-topics/minerals/critical-minerals</w:t>
        </w:r>
      </w:hyperlink>
      <w:r w:rsidRPr="0BE43A9D" w:rsidR="5FFDE0BB">
        <w:rPr>
          <w:rFonts w:ascii="Aptos" w:hAnsi="Aptos" w:eastAsia="Aptos" w:cs="Aptos"/>
          <w:noProof w:val="0"/>
          <w:sz w:val="24"/>
          <w:szCs w:val="24"/>
          <w:lang w:val="en-GB"/>
        </w:rPr>
        <w:t xml:space="preserve"> (Accessed: 27 April 2026).</w:t>
      </w:r>
    </w:p>
    <w:p w:rsidR="0E864ECA" w:rsidP="4DF95668" w:rsidRDefault="0E864ECA" w14:paraId="05E3FE3A" w14:textId="0F505599">
      <w:pPr>
        <w:spacing w:before="240" w:beforeAutospacing="off" w:after="240" w:afterAutospacing="off"/>
        <w:jc w:val="both"/>
      </w:pPr>
      <w:r w:rsidRPr="0BE43A9D" w:rsidR="5FFDE0BB">
        <w:rPr>
          <w:rFonts w:ascii="Aptos" w:hAnsi="Aptos" w:eastAsia="Aptos" w:cs="Aptos"/>
          <w:noProof w:val="0"/>
          <w:sz w:val="24"/>
          <w:szCs w:val="24"/>
          <w:lang w:val="en-GB"/>
        </w:rPr>
        <w:t xml:space="preserve">Gibbs, G. 1988, </w:t>
      </w:r>
      <w:r w:rsidRPr="0BE43A9D" w:rsidR="5FFDE0BB">
        <w:rPr>
          <w:rFonts w:ascii="Aptos" w:hAnsi="Aptos" w:eastAsia="Aptos" w:cs="Aptos"/>
          <w:i w:val="1"/>
          <w:iCs w:val="1"/>
          <w:noProof w:val="0"/>
          <w:sz w:val="24"/>
          <w:szCs w:val="24"/>
          <w:lang w:val="en-GB"/>
        </w:rPr>
        <w:t>Learning by Doing: A Guide to Teaching and Learning Methods</w:t>
      </w:r>
      <w:r w:rsidRPr="0BE43A9D" w:rsidR="5FFDE0BB">
        <w:rPr>
          <w:rFonts w:ascii="Aptos" w:hAnsi="Aptos" w:eastAsia="Aptos" w:cs="Aptos"/>
          <w:noProof w:val="0"/>
          <w:sz w:val="24"/>
          <w:szCs w:val="24"/>
          <w:lang w:val="en-GB"/>
        </w:rPr>
        <w:t>, Further Education Unit, Oxford Brookes University, Oxford.</w:t>
      </w:r>
    </w:p>
    <w:p w:rsidR="0E864ECA" w:rsidP="0BE43A9D" w:rsidRDefault="0E864ECA" w14:paraId="73B0557D" w14:textId="510ACFD8">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259BD2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GlobalData 2025a, Global Lithium Mining to 2030 (2025 Update), report GDMMGLI078MR, January, GlobalData, London. Available via UWTSD GlobalData Explorer: https://explorer-globaldata-com.uwtsd.idm.oclc.org/Analysis/TableOfContents/global-lithium-mining-to-2030-168140 (Accessed: 10 August 2026).</w:t>
      </w:r>
    </w:p>
    <w:p w:rsidR="0E864ECA" w:rsidP="0BE43A9D" w:rsidRDefault="0E864ECA" w14:paraId="1F092BE3" w14:textId="4159BF46">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E864ECA" w:rsidP="0BE43A9D" w:rsidRDefault="0E864ECA" w14:paraId="1371C070" w14:textId="26251D5C">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259BD2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GlobalData 2025b, Production of Lithium in Australia, 2021–2029, GlobalData. Available at: https://www.globaldata.com/data-insights/mining/production-of-lithium-in-australia-1092535/ (Accessed: 10 August 2026).</w:t>
      </w:r>
    </w:p>
    <w:p w:rsidR="0E864ECA" w:rsidP="0BE43A9D" w:rsidRDefault="0E864ECA" w14:paraId="346598C7" w14:textId="5AC447FA">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Government of Western Australia 2022, ‘Tianqi produces Australia’s first battery-grade lithium hydroxide’, </w:t>
      </w:r>
      <w:r w:rsidRPr="0BE43A9D" w:rsidR="5FFDE0BB">
        <w:rPr>
          <w:rFonts w:ascii="Aptos" w:hAnsi="Aptos" w:eastAsia="Aptos" w:cs="Aptos"/>
          <w:i w:val="1"/>
          <w:iCs w:val="1"/>
          <w:noProof w:val="0"/>
          <w:sz w:val="24"/>
          <w:szCs w:val="24"/>
          <w:lang w:val="en-GB"/>
        </w:rPr>
        <w:t>Western Australian Government</w:t>
      </w:r>
      <w:r w:rsidRPr="0BE43A9D" w:rsidR="5FFDE0BB">
        <w:rPr>
          <w:rFonts w:ascii="Aptos" w:hAnsi="Aptos" w:eastAsia="Aptos" w:cs="Aptos"/>
          <w:noProof w:val="0"/>
          <w:sz w:val="24"/>
          <w:szCs w:val="24"/>
          <w:lang w:val="en-GB"/>
        </w:rPr>
        <w:t xml:space="preserve">, 20 May. Available at: </w:t>
      </w:r>
      <w:hyperlink r:id="Rb5ef2a914a3e4295">
        <w:r w:rsidRPr="0BE43A9D" w:rsidR="5FFDE0BB">
          <w:rPr>
            <w:rStyle w:val="Hyperlink"/>
            <w:rFonts w:ascii="Aptos" w:hAnsi="Aptos" w:eastAsia="Aptos" w:cs="Aptos"/>
            <w:noProof w:val="0"/>
            <w:sz w:val="24"/>
            <w:szCs w:val="24"/>
            <w:lang w:val="en-GB"/>
          </w:rPr>
          <w:t>https://www.wa.gov.au/government/media-statements/McGowan%20Labor%20Government/Tianqi-produces-Australia%27s-first-battery-grade-lithium-hydroxide-20220520</w:t>
        </w:r>
      </w:hyperlink>
      <w:r w:rsidRPr="0BE43A9D" w:rsidR="5FFDE0BB">
        <w:rPr>
          <w:rFonts w:ascii="Aptos" w:hAnsi="Aptos" w:eastAsia="Aptos" w:cs="Aptos"/>
          <w:noProof w:val="0"/>
          <w:sz w:val="24"/>
          <w:szCs w:val="24"/>
          <w:lang w:val="en-GB"/>
        </w:rPr>
        <w:t xml:space="preserve"> (Accessed: 27 April 2026).</w:t>
      </w:r>
    </w:p>
    <w:p w:rsidR="11E1DBD7" w:rsidP="4DF95668" w:rsidRDefault="11E1DBD7" w14:paraId="356559C2" w14:textId="1246E25F">
      <w:pPr>
        <w:pStyle w:val="Normal"/>
        <w:spacing w:before="240" w:beforeAutospacing="off" w:after="240" w:afterAutospacing="off"/>
        <w:jc w:val="both"/>
      </w:pPr>
      <w:r w:rsidRPr="4DF95668" w:rsidR="11E1DBD7">
        <w:rPr>
          <w:rFonts w:ascii="Aptos" w:hAnsi="Aptos" w:eastAsia="Aptos" w:cs="Aptos"/>
          <w:noProof w:val="0"/>
          <w:sz w:val="24"/>
          <w:szCs w:val="24"/>
          <w:lang w:val="en-GB"/>
        </w:rPr>
        <w:t xml:space="preserve">Griffin, R.W. and Pustay, M.W. (2020) </w:t>
      </w:r>
      <w:r w:rsidRPr="4DF95668" w:rsidR="11E1DBD7">
        <w:rPr>
          <w:rFonts w:ascii="Aptos" w:hAnsi="Aptos" w:eastAsia="Aptos" w:cs="Aptos"/>
          <w:i w:val="1"/>
          <w:iCs w:val="1"/>
          <w:noProof w:val="0"/>
          <w:sz w:val="24"/>
          <w:szCs w:val="24"/>
          <w:lang w:val="en-GB"/>
        </w:rPr>
        <w:t>International Business: A Managerial Perspective</w:t>
      </w:r>
      <w:r w:rsidRPr="4DF95668" w:rsidR="11E1DBD7">
        <w:rPr>
          <w:rFonts w:ascii="Aptos" w:hAnsi="Aptos" w:eastAsia="Aptos" w:cs="Aptos"/>
          <w:noProof w:val="0"/>
          <w:sz w:val="24"/>
          <w:szCs w:val="24"/>
          <w:lang w:val="en-GB"/>
        </w:rPr>
        <w:t>. 9th global edn. Harlow: Pearson.</w:t>
      </w:r>
    </w:p>
    <w:p w:rsidR="0E864ECA" w:rsidP="4DF95668" w:rsidRDefault="0E864ECA" w14:paraId="088625DC" w14:textId="0EC88F04">
      <w:pPr>
        <w:spacing w:before="240" w:beforeAutospacing="off" w:after="240" w:afterAutospacing="off"/>
        <w:jc w:val="both"/>
      </w:pPr>
      <w:r w:rsidRPr="4DF95668" w:rsidR="0E864ECA">
        <w:rPr>
          <w:rFonts w:ascii="Aptos" w:hAnsi="Aptos" w:eastAsia="Aptos" w:cs="Aptos"/>
          <w:noProof w:val="0"/>
          <w:sz w:val="24"/>
          <w:szCs w:val="24"/>
          <w:lang w:val="en-GB"/>
        </w:rPr>
        <w:t xml:space="preserve">IEA 2024, </w:t>
      </w:r>
      <w:r w:rsidRPr="4DF95668" w:rsidR="0E864ECA">
        <w:rPr>
          <w:rFonts w:ascii="Aptos" w:hAnsi="Aptos" w:eastAsia="Aptos" w:cs="Aptos"/>
          <w:i w:val="1"/>
          <w:iCs w:val="1"/>
          <w:noProof w:val="0"/>
          <w:sz w:val="24"/>
          <w:szCs w:val="24"/>
          <w:lang w:val="en-GB"/>
        </w:rPr>
        <w:t>Global Critical Minerals Outlook 2024</w:t>
      </w:r>
      <w:r w:rsidRPr="4DF95668" w:rsidR="0E864ECA">
        <w:rPr>
          <w:rFonts w:ascii="Aptos" w:hAnsi="Aptos" w:eastAsia="Aptos" w:cs="Aptos"/>
          <w:noProof w:val="0"/>
          <w:sz w:val="24"/>
          <w:szCs w:val="24"/>
          <w:lang w:val="en-GB"/>
        </w:rPr>
        <w:t xml:space="preserve">, IEA, Paris. Available at: </w:t>
      </w:r>
      <w:hyperlink r:id="R1a21fe10fd454f1f">
        <w:r w:rsidRPr="4DF95668" w:rsidR="0E864ECA">
          <w:rPr>
            <w:rStyle w:val="Hyperlink"/>
            <w:rFonts w:ascii="Aptos" w:hAnsi="Aptos" w:eastAsia="Aptos" w:cs="Aptos"/>
            <w:noProof w:val="0"/>
            <w:sz w:val="24"/>
            <w:szCs w:val="24"/>
            <w:lang w:val="en-GB"/>
          </w:rPr>
          <w:t>https://www.iea.org/reports/global-critical-minerals-outlook-2024</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C77CCC9" w14:textId="4170830D">
      <w:pPr>
        <w:spacing w:before="240" w:beforeAutospacing="off" w:after="240" w:afterAutospacing="off"/>
        <w:jc w:val="both"/>
      </w:pPr>
      <w:r w:rsidRPr="4DF95668" w:rsidR="0E864ECA">
        <w:rPr>
          <w:rFonts w:ascii="Aptos" w:hAnsi="Aptos" w:eastAsia="Aptos" w:cs="Aptos"/>
          <w:noProof w:val="0"/>
          <w:sz w:val="24"/>
          <w:szCs w:val="24"/>
          <w:lang w:val="en-GB"/>
        </w:rPr>
        <w:t xml:space="preserve">IEA 2025, </w:t>
      </w:r>
      <w:r w:rsidRPr="4DF95668" w:rsidR="0E864ECA">
        <w:rPr>
          <w:rFonts w:ascii="Aptos" w:hAnsi="Aptos" w:eastAsia="Aptos" w:cs="Aptos"/>
          <w:i w:val="1"/>
          <w:iCs w:val="1"/>
          <w:noProof w:val="0"/>
          <w:sz w:val="24"/>
          <w:szCs w:val="24"/>
          <w:lang w:val="en-GB"/>
        </w:rPr>
        <w:t>Global Critical Minerals Outlook 2025</w:t>
      </w:r>
      <w:r w:rsidRPr="4DF95668" w:rsidR="0E864ECA">
        <w:rPr>
          <w:rFonts w:ascii="Aptos" w:hAnsi="Aptos" w:eastAsia="Aptos" w:cs="Aptos"/>
          <w:noProof w:val="0"/>
          <w:sz w:val="24"/>
          <w:szCs w:val="24"/>
          <w:lang w:val="en-GB"/>
        </w:rPr>
        <w:t xml:space="preserve">, IEA, Paris. Available at: </w:t>
      </w:r>
      <w:hyperlink r:id="Rcb731e29254741e6">
        <w:r w:rsidRPr="4DF95668" w:rsidR="0E864ECA">
          <w:rPr>
            <w:rStyle w:val="Hyperlink"/>
            <w:rFonts w:ascii="Aptos" w:hAnsi="Aptos" w:eastAsia="Aptos" w:cs="Aptos"/>
            <w:noProof w:val="0"/>
            <w:sz w:val="24"/>
            <w:szCs w:val="24"/>
            <w:lang w:val="en-GB"/>
          </w:rPr>
          <w:t>https://www.iea.org/reports/global-critical-minerals-outlook-2025</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84EF15C" w14:textId="03B1E093">
      <w:pPr>
        <w:spacing w:before="240" w:beforeAutospacing="off" w:after="240" w:afterAutospacing="off"/>
        <w:jc w:val="both"/>
      </w:pPr>
      <w:r w:rsidRPr="4DF95668" w:rsidR="0E864ECA">
        <w:rPr>
          <w:rFonts w:ascii="Aptos" w:hAnsi="Aptos" w:eastAsia="Aptos" w:cs="Aptos"/>
          <w:noProof w:val="0"/>
          <w:sz w:val="24"/>
          <w:szCs w:val="24"/>
          <w:lang w:val="en-GB"/>
        </w:rPr>
        <w:t xml:space="preserve">IGO Limited n.d., </w:t>
      </w:r>
      <w:r w:rsidRPr="4DF95668" w:rsidR="0E864ECA">
        <w:rPr>
          <w:rFonts w:ascii="Aptos" w:hAnsi="Aptos" w:eastAsia="Aptos" w:cs="Aptos"/>
          <w:i w:val="1"/>
          <w:iCs w:val="1"/>
          <w:noProof w:val="0"/>
          <w:sz w:val="24"/>
          <w:szCs w:val="24"/>
          <w:lang w:val="en-GB"/>
        </w:rPr>
        <w:t>Lithium Joint Venture</w:t>
      </w:r>
      <w:r w:rsidRPr="4DF95668" w:rsidR="0E864ECA">
        <w:rPr>
          <w:rFonts w:ascii="Aptos" w:hAnsi="Aptos" w:eastAsia="Aptos" w:cs="Aptos"/>
          <w:noProof w:val="0"/>
          <w:sz w:val="24"/>
          <w:szCs w:val="24"/>
          <w:lang w:val="en-GB"/>
        </w:rPr>
        <w:t xml:space="preserve">. Available at: </w:t>
      </w:r>
      <w:hyperlink r:id="R16b99d3e07ab4932">
        <w:r w:rsidRPr="4DF95668" w:rsidR="0E864ECA">
          <w:rPr>
            <w:rStyle w:val="Hyperlink"/>
            <w:rFonts w:ascii="Aptos" w:hAnsi="Aptos" w:eastAsia="Aptos" w:cs="Aptos"/>
            <w:noProof w:val="0"/>
            <w:sz w:val="24"/>
            <w:szCs w:val="24"/>
            <w:lang w:val="en-GB"/>
          </w:rPr>
          <w:t>https://www.igo.com.au/site/operations/lithium-holdco-joint-venture</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5D2E8461" w14:textId="0A7AB87A">
      <w:pPr>
        <w:spacing w:before="240" w:beforeAutospacing="off" w:after="240" w:afterAutospacing="off"/>
        <w:jc w:val="both"/>
      </w:pPr>
      <w:r w:rsidRPr="4DF95668" w:rsidR="0E864ECA">
        <w:rPr>
          <w:rFonts w:ascii="Aptos" w:hAnsi="Aptos" w:eastAsia="Aptos" w:cs="Aptos"/>
          <w:noProof w:val="0"/>
          <w:sz w:val="24"/>
          <w:szCs w:val="24"/>
          <w:lang w:val="en-GB"/>
        </w:rPr>
        <w:t xml:space="preserve">IGO Limited 2025, </w:t>
      </w:r>
      <w:r w:rsidRPr="4DF95668" w:rsidR="0E864ECA">
        <w:rPr>
          <w:rFonts w:ascii="Aptos" w:hAnsi="Aptos" w:eastAsia="Aptos" w:cs="Aptos"/>
          <w:i w:val="1"/>
          <w:iCs w:val="1"/>
          <w:noProof w:val="0"/>
          <w:sz w:val="24"/>
          <w:szCs w:val="24"/>
          <w:lang w:val="en-GB"/>
        </w:rPr>
        <w:t>Annual Report 2025</w:t>
      </w:r>
      <w:r w:rsidRPr="4DF95668" w:rsidR="0E864ECA">
        <w:rPr>
          <w:rFonts w:ascii="Aptos" w:hAnsi="Aptos" w:eastAsia="Aptos" w:cs="Aptos"/>
          <w:noProof w:val="0"/>
          <w:sz w:val="24"/>
          <w:szCs w:val="24"/>
          <w:lang w:val="en-GB"/>
        </w:rPr>
        <w:t xml:space="preserve">. Available at: </w:t>
      </w:r>
      <w:hyperlink r:id="R2ee4fae3a0354694">
        <w:r w:rsidRPr="4DF95668" w:rsidR="0E864ECA">
          <w:rPr>
            <w:rStyle w:val="Hyperlink"/>
            <w:rFonts w:ascii="Aptos" w:hAnsi="Aptos" w:eastAsia="Aptos" w:cs="Aptos"/>
            <w:noProof w:val="0"/>
            <w:sz w:val="24"/>
            <w:szCs w:val="24"/>
            <w:lang w:val="en-GB"/>
          </w:rPr>
          <w:t>https://www.igo.com.au/site/pdf/378b29b1-90bc-4fca-afbe-28f669c92d0d/IGO-Annual-Report-2025.pdf</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F2BDFFB" w14:textId="688C2D76">
      <w:pPr>
        <w:spacing w:before="240" w:beforeAutospacing="off" w:after="240" w:afterAutospacing="off"/>
        <w:jc w:val="both"/>
      </w:pPr>
      <w:r w:rsidRPr="4DF95668" w:rsidR="0E864ECA">
        <w:rPr>
          <w:rFonts w:ascii="Aptos" w:hAnsi="Aptos" w:eastAsia="Aptos" w:cs="Aptos"/>
          <w:noProof w:val="0"/>
          <w:sz w:val="24"/>
          <w:szCs w:val="24"/>
          <w:lang w:val="en-GB"/>
        </w:rPr>
        <w:t xml:space="preserve">Iluka Resources 2026, </w:t>
      </w:r>
      <w:r w:rsidRPr="4DF95668" w:rsidR="0E864ECA">
        <w:rPr>
          <w:rFonts w:ascii="Aptos" w:hAnsi="Aptos" w:eastAsia="Aptos" w:cs="Aptos"/>
          <w:i w:val="1"/>
          <w:iCs w:val="1"/>
          <w:noProof w:val="0"/>
          <w:sz w:val="24"/>
          <w:szCs w:val="24"/>
          <w:lang w:val="en-GB"/>
        </w:rPr>
        <w:t>2025 Full Year Results</w:t>
      </w:r>
      <w:r w:rsidRPr="4DF95668" w:rsidR="0E864ECA">
        <w:rPr>
          <w:rFonts w:ascii="Aptos" w:hAnsi="Aptos" w:eastAsia="Aptos" w:cs="Aptos"/>
          <w:noProof w:val="0"/>
          <w:sz w:val="24"/>
          <w:szCs w:val="24"/>
          <w:lang w:val="en-GB"/>
        </w:rPr>
        <w:t xml:space="preserve">. Available at: </w:t>
      </w:r>
      <w:hyperlink r:id="R18c4d92d3d884dd0">
        <w:r w:rsidRPr="4DF95668" w:rsidR="0E864ECA">
          <w:rPr>
            <w:rStyle w:val="Hyperlink"/>
            <w:rFonts w:ascii="Aptos" w:hAnsi="Aptos" w:eastAsia="Aptos" w:cs="Aptos"/>
            <w:noProof w:val="0"/>
            <w:sz w:val="24"/>
            <w:szCs w:val="24"/>
            <w:lang w:val="en-GB"/>
          </w:rPr>
          <w:t>https://www.iluka.com/media/jp1mawlt/2025-full-year-results-presentation.pdf</w:t>
        </w:r>
      </w:hyperlink>
      <w:r w:rsidRPr="4DF95668" w:rsidR="0E864ECA">
        <w:rPr>
          <w:rFonts w:ascii="Aptos" w:hAnsi="Aptos" w:eastAsia="Aptos" w:cs="Aptos"/>
          <w:noProof w:val="0"/>
          <w:sz w:val="24"/>
          <w:szCs w:val="24"/>
          <w:lang w:val="en-GB"/>
        </w:rPr>
        <w:t xml:space="preserve"> (Accessed: 27 April 2026).</w:t>
      </w:r>
    </w:p>
    <w:p w:rsidR="0E864ECA" w:rsidP="0BE43A9D" w:rsidRDefault="0E864ECA" w14:paraId="43970DB6" w14:textId="13673796">
      <w:pPr>
        <w:pStyle w:val="Normal"/>
        <w:spacing w:before="240" w:beforeAutospacing="off" w:after="240" w:afterAutospacing="off"/>
        <w:jc w:val="both"/>
      </w:pPr>
      <w:r w:rsidRPr="0BE43A9D" w:rsidR="5FFDE0BB">
        <w:rPr>
          <w:rFonts w:ascii="Aptos" w:hAnsi="Aptos" w:eastAsia="Aptos" w:cs="Aptos"/>
          <w:noProof w:val="0"/>
          <w:sz w:val="24"/>
          <w:szCs w:val="24"/>
          <w:lang w:val="en-GB"/>
        </w:rPr>
        <w:t>Kharub</w:t>
      </w:r>
      <w:r w:rsidRPr="0BE43A9D" w:rsidR="5FFDE0BB">
        <w:rPr>
          <w:rFonts w:ascii="Aptos" w:hAnsi="Aptos" w:eastAsia="Aptos" w:cs="Aptos"/>
          <w:noProof w:val="0"/>
          <w:sz w:val="24"/>
          <w:szCs w:val="24"/>
          <w:lang w:val="en-GB"/>
        </w:rPr>
        <w:t xml:space="preserve">, M. and Sharma, R. 2017, ‘Comparative analyses of competitive advantage using Porter Diamond Model: the case of MSMEs in Himachal Pradesh’, </w:t>
      </w:r>
      <w:r w:rsidRPr="0BE43A9D" w:rsidR="5FFDE0BB">
        <w:rPr>
          <w:rFonts w:ascii="Aptos" w:hAnsi="Aptos" w:eastAsia="Aptos" w:cs="Aptos"/>
          <w:i w:val="1"/>
          <w:iCs w:val="1"/>
          <w:noProof w:val="0"/>
          <w:sz w:val="24"/>
          <w:szCs w:val="24"/>
          <w:lang w:val="en-GB"/>
        </w:rPr>
        <w:t>Competitiveness Review</w:t>
      </w:r>
      <w:r w:rsidRPr="0BE43A9D" w:rsidR="5FFDE0BB">
        <w:rPr>
          <w:rFonts w:ascii="Aptos" w:hAnsi="Aptos" w:eastAsia="Aptos" w:cs="Aptos"/>
          <w:noProof w:val="0"/>
          <w:sz w:val="24"/>
          <w:szCs w:val="24"/>
          <w:lang w:val="en-GB"/>
        </w:rPr>
        <w:t xml:space="preserve">, vol. 27, no. 2, pp. 132–160. Available at: </w:t>
      </w:r>
      <w:hyperlink r:id="R2d4887794e844b29">
        <w:r w:rsidRPr="0BE43A9D" w:rsidR="5FFDE0BB">
          <w:rPr>
            <w:rStyle w:val="Hyperlink"/>
            <w:rFonts w:ascii="Aptos" w:hAnsi="Aptos" w:eastAsia="Aptos" w:cs="Aptos"/>
            <w:noProof w:val="0"/>
            <w:sz w:val="24"/>
            <w:szCs w:val="24"/>
            <w:lang w:val="en-GB"/>
          </w:rPr>
          <w:t>https://doi.org/10.1108/CR-02-2016-0007</w:t>
        </w:r>
      </w:hyperlink>
      <w:r w:rsidRPr="0BE43A9D" w:rsidR="5FFDE0BB">
        <w:rPr>
          <w:rFonts w:ascii="Aptos" w:hAnsi="Aptos" w:eastAsia="Aptos" w:cs="Aptos"/>
          <w:noProof w:val="0"/>
          <w:sz w:val="24"/>
          <w:szCs w:val="24"/>
          <w:lang w:val="en-GB"/>
        </w:rPr>
        <w:t>.</w:t>
      </w:r>
      <w:r w:rsidRPr="0BE43A9D" w:rsidR="24A25614">
        <w:rPr>
          <w:rFonts w:ascii="Aptos" w:hAnsi="Aptos" w:eastAsia="Aptos" w:cs="Aptos"/>
          <w:noProof w:val="0"/>
          <w:sz w:val="24"/>
          <w:szCs w:val="24"/>
          <w:lang w:val="en-GB"/>
        </w:rPr>
        <w:t xml:space="preserve"> (Accessed: 27 April 2026)</w:t>
      </w:r>
    </w:p>
    <w:p w:rsidR="0E864ECA" w:rsidP="4DF95668" w:rsidRDefault="0E864ECA" w14:paraId="161A292E" w14:textId="128968C4">
      <w:pPr>
        <w:spacing w:before="240" w:beforeAutospacing="off" w:after="240" w:afterAutospacing="off"/>
        <w:jc w:val="both"/>
      </w:pPr>
      <w:r w:rsidRPr="4DF95668" w:rsidR="0E864ECA">
        <w:rPr>
          <w:rFonts w:ascii="Aptos" w:hAnsi="Aptos" w:eastAsia="Aptos" w:cs="Aptos"/>
          <w:noProof w:val="0"/>
          <w:sz w:val="24"/>
          <w:szCs w:val="24"/>
          <w:lang w:val="en-GB"/>
        </w:rPr>
        <w:t xml:space="preserve">Kohli, K. 2022, ‘Australia’s critical mineral ambitions’, </w:t>
      </w:r>
      <w:r w:rsidRPr="4DF95668" w:rsidR="0E864ECA">
        <w:rPr>
          <w:rFonts w:ascii="Aptos" w:hAnsi="Aptos" w:eastAsia="Aptos" w:cs="Aptos"/>
          <w:i w:val="1"/>
          <w:iCs w:val="1"/>
          <w:noProof w:val="0"/>
          <w:sz w:val="24"/>
          <w:szCs w:val="24"/>
          <w:lang w:val="en-GB"/>
        </w:rPr>
        <w:t>Chemical Week</w:t>
      </w:r>
      <w:r w:rsidRPr="4DF95668" w:rsidR="0E864ECA">
        <w:rPr>
          <w:rFonts w:ascii="Aptos" w:hAnsi="Aptos" w:eastAsia="Aptos" w:cs="Aptos"/>
          <w:noProof w:val="0"/>
          <w:sz w:val="24"/>
          <w:szCs w:val="24"/>
          <w:lang w:val="en-GB"/>
        </w:rPr>
        <w:t>, vol. 184, no. 24, p. 26.</w:t>
      </w:r>
    </w:p>
    <w:p w:rsidR="0E864ECA" w:rsidP="0BE43A9D" w:rsidRDefault="0E864ECA" w14:paraId="4855AC46" w14:textId="50738D19">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Li, Y. et al. 2019, ‘Research on the influencing factors of China’s service trade international competitiveness based on Michael Porter Diamond Model’, </w:t>
      </w:r>
      <w:r w:rsidRPr="0BE43A9D" w:rsidR="5FFDE0BB">
        <w:rPr>
          <w:rFonts w:ascii="Aptos" w:hAnsi="Aptos" w:eastAsia="Aptos" w:cs="Aptos"/>
          <w:i w:val="1"/>
          <w:iCs w:val="1"/>
          <w:noProof w:val="0"/>
          <w:sz w:val="24"/>
          <w:szCs w:val="24"/>
          <w:lang w:val="en-GB"/>
        </w:rPr>
        <w:t>IOP Conference Series: Materials Science and Engineering</w:t>
      </w:r>
      <w:r w:rsidRPr="0BE43A9D" w:rsidR="5FFDE0BB">
        <w:rPr>
          <w:rFonts w:ascii="Aptos" w:hAnsi="Aptos" w:eastAsia="Aptos" w:cs="Aptos"/>
          <w:noProof w:val="0"/>
          <w:sz w:val="24"/>
          <w:szCs w:val="24"/>
          <w:lang w:val="en-GB"/>
        </w:rPr>
        <w:t xml:space="preserve">, vol. 688, no. 5, article 055053. Available at: </w:t>
      </w:r>
      <w:hyperlink r:id="Raa8c2bfd7ddc4168">
        <w:r w:rsidRPr="0BE43A9D" w:rsidR="5FFDE0BB">
          <w:rPr>
            <w:rStyle w:val="Hyperlink"/>
            <w:rFonts w:ascii="Aptos" w:hAnsi="Aptos" w:eastAsia="Aptos" w:cs="Aptos"/>
            <w:noProof w:val="0"/>
            <w:sz w:val="24"/>
            <w:szCs w:val="24"/>
            <w:lang w:val="en-GB"/>
          </w:rPr>
          <w:t>https://doi.org/10.1088/1757-899X/688/5/055053</w:t>
        </w:r>
      </w:hyperlink>
      <w:r w:rsidRPr="0BE43A9D" w:rsidR="5FFDE0BB">
        <w:rPr>
          <w:rFonts w:ascii="Aptos" w:hAnsi="Aptos" w:eastAsia="Aptos" w:cs="Aptos"/>
          <w:noProof w:val="0"/>
          <w:sz w:val="24"/>
          <w:szCs w:val="24"/>
          <w:lang w:val="en-GB"/>
        </w:rPr>
        <w:t>.</w:t>
      </w:r>
      <w:r w:rsidRPr="0BE43A9D" w:rsidR="7082A550">
        <w:rPr>
          <w:rFonts w:ascii="Aptos" w:hAnsi="Aptos" w:eastAsia="Aptos" w:cs="Aptos"/>
          <w:noProof w:val="0"/>
          <w:sz w:val="24"/>
          <w:szCs w:val="24"/>
          <w:lang w:val="en-GB"/>
        </w:rPr>
        <w:t xml:space="preserve"> (Accessed: 27 April 2026)</w:t>
      </w:r>
    </w:p>
    <w:p w:rsidR="0E864ECA" w:rsidP="4DF95668" w:rsidRDefault="0E864ECA" w14:paraId="28F232B2" w14:textId="5EC7A15A">
      <w:pPr>
        <w:spacing w:before="240" w:beforeAutospacing="off" w:after="240" w:afterAutospacing="off"/>
        <w:jc w:val="both"/>
      </w:pPr>
      <w:r w:rsidRPr="4DF95668" w:rsidR="0E864ECA">
        <w:rPr>
          <w:rFonts w:ascii="Aptos" w:hAnsi="Aptos" w:eastAsia="Aptos" w:cs="Aptos"/>
          <w:noProof w:val="0"/>
          <w:sz w:val="24"/>
          <w:szCs w:val="24"/>
          <w:lang w:val="en-GB"/>
        </w:rPr>
        <w:t xml:space="preserve">London Metal Exchange n.d., </w:t>
      </w:r>
      <w:r w:rsidRPr="4DF95668" w:rsidR="0E864ECA">
        <w:rPr>
          <w:rFonts w:ascii="Aptos" w:hAnsi="Aptos" w:eastAsia="Aptos" w:cs="Aptos"/>
          <w:i w:val="1"/>
          <w:iCs w:val="1"/>
          <w:noProof w:val="0"/>
          <w:sz w:val="24"/>
          <w:szCs w:val="24"/>
          <w:lang w:val="en-GB"/>
        </w:rPr>
        <w:t>LME Lithium Hydroxide CIF Fastmarkets MB: Contract Specifications</w:t>
      </w:r>
      <w:r w:rsidRPr="4DF95668" w:rsidR="0E864ECA">
        <w:rPr>
          <w:rFonts w:ascii="Aptos" w:hAnsi="Aptos" w:eastAsia="Aptos" w:cs="Aptos"/>
          <w:noProof w:val="0"/>
          <w:sz w:val="24"/>
          <w:szCs w:val="24"/>
          <w:lang w:val="en-GB"/>
        </w:rPr>
        <w:t xml:space="preserve">. Available at: </w:t>
      </w:r>
      <w:hyperlink r:id="Rb48ecddebb594ece">
        <w:r w:rsidRPr="4DF95668" w:rsidR="0E864ECA">
          <w:rPr>
            <w:rStyle w:val="Hyperlink"/>
            <w:rFonts w:ascii="Aptos" w:hAnsi="Aptos" w:eastAsia="Aptos" w:cs="Aptos"/>
            <w:noProof w:val="0"/>
            <w:sz w:val="24"/>
            <w:szCs w:val="24"/>
            <w:lang w:val="en-GB"/>
          </w:rPr>
          <w:t>https://www.lme.com/metals/ev/lme-lithium-hydroxide-cif-fastmarkets-mb/contract-specifications</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2C315265" w14:textId="42BB88DA">
      <w:pPr>
        <w:spacing w:before="240" w:beforeAutospacing="off" w:after="240" w:afterAutospacing="off"/>
        <w:jc w:val="both"/>
      </w:pPr>
      <w:r w:rsidRPr="50CA1F5F" w:rsidR="3DB6958D">
        <w:rPr>
          <w:rFonts w:ascii="Aptos" w:hAnsi="Aptos" w:eastAsia="Aptos" w:cs="Aptos"/>
          <w:noProof w:val="0"/>
          <w:sz w:val="24"/>
          <w:szCs w:val="24"/>
          <w:lang w:val="en-GB"/>
        </w:rPr>
        <w:t xml:space="preserve">Lynas Rare Earths Limited 2025, </w:t>
      </w:r>
      <w:r w:rsidRPr="50CA1F5F" w:rsidR="3DB6958D">
        <w:rPr>
          <w:rFonts w:ascii="Aptos" w:hAnsi="Aptos" w:eastAsia="Aptos" w:cs="Aptos"/>
          <w:i w:val="1"/>
          <w:iCs w:val="1"/>
          <w:noProof w:val="0"/>
          <w:sz w:val="24"/>
          <w:szCs w:val="24"/>
          <w:lang w:val="en-GB"/>
        </w:rPr>
        <w:t>Appendix 4E and 2025 Annual Report</w:t>
      </w:r>
      <w:r w:rsidRPr="50CA1F5F" w:rsidR="3DB6958D">
        <w:rPr>
          <w:rFonts w:ascii="Aptos" w:hAnsi="Aptos" w:eastAsia="Aptos" w:cs="Aptos"/>
          <w:noProof w:val="0"/>
          <w:sz w:val="24"/>
          <w:szCs w:val="24"/>
          <w:lang w:val="en-GB"/>
        </w:rPr>
        <w:t xml:space="preserve">. Available at: </w:t>
      </w:r>
      <w:hyperlink r:id="R27ec74e8c4d647af">
        <w:r w:rsidRPr="50CA1F5F" w:rsidR="3DB6958D">
          <w:rPr>
            <w:rStyle w:val="Hyperlink"/>
            <w:rFonts w:ascii="Aptos" w:hAnsi="Aptos" w:eastAsia="Aptos" w:cs="Aptos"/>
            <w:noProof w:val="0"/>
            <w:sz w:val="24"/>
            <w:szCs w:val="24"/>
            <w:lang w:val="en-GB"/>
          </w:rPr>
          <w:t>https://www.listcorp.com/asx/lyc/lynas-rare-earths-limited/news/appendix-4e-and-2025-annual-report-3234309.html</w:t>
        </w:r>
      </w:hyperlink>
      <w:r w:rsidRPr="50CA1F5F" w:rsidR="3DB6958D">
        <w:rPr>
          <w:rFonts w:ascii="Aptos" w:hAnsi="Aptos" w:eastAsia="Aptos" w:cs="Aptos"/>
          <w:noProof w:val="0"/>
          <w:sz w:val="24"/>
          <w:szCs w:val="24"/>
          <w:lang w:val="en-GB"/>
        </w:rPr>
        <w:t xml:space="preserve"> (Accessed: 27 April 2026).</w:t>
      </w:r>
    </w:p>
    <w:p w:rsidR="0E864ECA" w:rsidP="0BE43A9D" w:rsidRDefault="0E864ECA" w14:paraId="419F80AB" w14:textId="46E0766D">
      <w:pPr>
        <w:pStyle w:val="Normal"/>
        <w:spacing w:before="240" w:beforeAutospacing="off" w:after="79" w:afterAutospacing="off" w:line="276" w:lineRule="auto"/>
        <w:ind w:left="0" w:right="0" w:hanging="0"/>
        <w:jc w:val="left"/>
      </w:pPr>
      <w:r w:rsidRPr="0BE43A9D" w:rsidR="4EA091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McSweeney, B. 2002, ‘Hofstede’s model of national cultural differences and their consequences: a triumph of faith—a failure of analysis’, Human Relations, vol. 55, no. 1, pp. 89–118. Available at: https://www.proquest.com/docview/231516132?accountid=130472&amp;parentSessionId=XZlPRgGlVq64jopVtppWz7yx%2FoxmhsiMdvmNJCjRMWc%3D&amp;pq-origsite=primo&amp;sourcetype=Scholarly%20Journals.</w:t>
      </w:r>
      <w:r w:rsidRPr="0BE43A9D" w:rsidR="7BF2C7AF">
        <w:rPr>
          <w:rFonts w:ascii="Aptos" w:hAnsi="Aptos" w:eastAsia="Aptos" w:cs="Aptos"/>
          <w:noProof w:val="0"/>
          <w:sz w:val="24"/>
          <w:szCs w:val="24"/>
          <w:lang w:val="en-GB"/>
        </w:rPr>
        <w:t xml:space="preserve"> (Accessed: 27 April 2026)</w:t>
      </w:r>
    </w:p>
    <w:p w:rsidR="0E864ECA" w:rsidP="50CA1F5F" w:rsidRDefault="0E864ECA" w14:paraId="5CC053A9" w14:textId="6A7F5BC7">
      <w:pPr>
        <w:pStyle w:val="Normal"/>
        <w:spacing w:before="240" w:beforeAutospacing="off" w:after="240" w:afterAutospacing="off"/>
        <w:jc w:val="both"/>
      </w:pPr>
      <w:r w:rsidRPr="50CA1F5F" w:rsidR="3DB6958D">
        <w:rPr>
          <w:rFonts w:ascii="Aptos" w:hAnsi="Aptos" w:eastAsia="Aptos" w:cs="Aptos"/>
          <w:noProof w:val="0"/>
          <w:sz w:val="24"/>
          <w:szCs w:val="24"/>
          <w:lang w:val="en-GB"/>
        </w:rPr>
        <w:t xml:space="preserve">Mining Engineering 2024, ‘China’s ability to invest in Australia critical minerals on the agenda’, </w:t>
      </w:r>
      <w:r w:rsidRPr="50CA1F5F" w:rsidR="3DB6958D">
        <w:rPr>
          <w:rFonts w:ascii="Aptos" w:hAnsi="Aptos" w:eastAsia="Aptos" w:cs="Aptos"/>
          <w:i w:val="1"/>
          <w:iCs w:val="1"/>
          <w:noProof w:val="0"/>
          <w:sz w:val="24"/>
          <w:szCs w:val="24"/>
          <w:lang w:val="en-GB"/>
        </w:rPr>
        <w:t>Mining Engineering</w:t>
      </w:r>
      <w:r w:rsidRPr="50CA1F5F" w:rsidR="3DB6958D">
        <w:rPr>
          <w:rFonts w:ascii="Aptos" w:hAnsi="Aptos" w:eastAsia="Aptos" w:cs="Aptos"/>
          <w:noProof w:val="0"/>
          <w:sz w:val="24"/>
          <w:szCs w:val="24"/>
          <w:lang w:val="en-GB"/>
        </w:rPr>
        <w:t>, vol. 76, no. 7, pp. 10–14.</w:t>
      </w:r>
    </w:p>
    <w:p w:rsidR="0E864ECA" w:rsidP="4DF95668" w:rsidRDefault="0E864ECA" w14:paraId="52C9B8F4" w14:textId="5348BE37">
      <w:pPr>
        <w:spacing w:before="240" w:beforeAutospacing="off" w:after="240" w:afterAutospacing="off"/>
        <w:jc w:val="both"/>
      </w:pPr>
      <w:r w:rsidRPr="50CA1F5F" w:rsidR="3DB6958D">
        <w:rPr>
          <w:rFonts w:ascii="Aptos" w:hAnsi="Aptos" w:eastAsia="Aptos" w:cs="Aptos"/>
          <w:noProof w:val="0"/>
          <w:sz w:val="24"/>
          <w:szCs w:val="24"/>
          <w:lang w:val="en-GB"/>
        </w:rPr>
        <w:t xml:space="preserve">Mining Engineering 2025, ‘Australia weighs price floor for critical minerals’, </w:t>
      </w:r>
      <w:r w:rsidRPr="50CA1F5F" w:rsidR="3DB6958D">
        <w:rPr>
          <w:rFonts w:ascii="Aptos" w:hAnsi="Aptos" w:eastAsia="Aptos" w:cs="Aptos"/>
          <w:i w:val="1"/>
          <w:iCs w:val="1"/>
          <w:noProof w:val="0"/>
          <w:sz w:val="24"/>
          <w:szCs w:val="24"/>
          <w:lang w:val="en-GB"/>
        </w:rPr>
        <w:t>Mining Engineering</w:t>
      </w:r>
      <w:r w:rsidRPr="50CA1F5F" w:rsidR="3DB6958D">
        <w:rPr>
          <w:rFonts w:ascii="Aptos" w:hAnsi="Aptos" w:eastAsia="Aptos" w:cs="Aptos"/>
          <w:noProof w:val="0"/>
          <w:sz w:val="24"/>
          <w:szCs w:val="24"/>
          <w:lang w:val="en-GB"/>
        </w:rPr>
        <w:t>, vol. 77, no. 9, p. 6.</w:t>
      </w:r>
    </w:p>
    <w:p w:rsidR="0E864ECA" w:rsidP="0BE43A9D" w:rsidRDefault="0E864ECA" w14:paraId="6E979C0A" w14:textId="02E828A2">
      <w:pPr>
        <w:pStyle w:val="Normal"/>
        <w:spacing w:before="240" w:beforeAutospacing="off" w:after="79" w:afterAutospacing="off" w:line="276" w:lineRule="auto"/>
        <w:ind w:left="0" w:right="0" w:hanging="0"/>
        <w:jc w:val="left"/>
      </w:pPr>
      <w:r w:rsidRPr="0BE43A9D" w:rsidR="693321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Moon, H.C., Rugman, A.M. and Verbeke, A. 1998, ‘A generalized double diamond approach to the global competitiveness of Korea and Singapore’, International Business Review, vol. 7, no. 2, pp. 135–150. </w:t>
      </w:r>
      <w:hyperlink r:id="R3f9e9dd1500d4348">
        <w:r w:rsidRPr="0BE43A9D" w:rsidR="69332145">
          <w:rPr>
            <w:rStyle w:val="Hyperlink"/>
            <w:b w:val="0"/>
            <w:bCs w:val="0"/>
            <w:noProof w:val="0"/>
            <w:lang w:val="en-GB"/>
          </w:rPr>
          <w:t>https://www-sciencedirect-com.uwtsd.idm.oclc.org/science/article/pii/S096959319800002X</w:t>
        </w:r>
      </w:hyperlink>
      <w:r w:rsidRPr="0BE43A9D" w:rsidR="2550C2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w:t>
      </w:r>
      <w:r w:rsidRPr="0BE43A9D" w:rsidR="2550C220">
        <w:rPr>
          <w:rFonts w:ascii="Aptos" w:hAnsi="Aptos" w:eastAsia="Aptos" w:cs="Aptos"/>
          <w:noProof w:val="0"/>
          <w:sz w:val="24"/>
          <w:szCs w:val="24"/>
          <w:lang w:val="en-GB"/>
        </w:rPr>
        <w:t>(Accessed: 27 April 2026)</w:t>
      </w:r>
    </w:p>
    <w:p w:rsidR="0E864ECA" w:rsidP="50CA1F5F" w:rsidRDefault="0E864ECA" w14:paraId="76BFF7FD" w14:textId="75FB6F30">
      <w:pPr>
        <w:pStyle w:val="Normal"/>
        <w:spacing w:before="240" w:beforeAutospacing="off" w:after="240" w:afterAutospacing="off"/>
        <w:jc w:val="both"/>
      </w:pPr>
      <w:r w:rsidRPr="50CA1F5F" w:rsidR="5EBA7D93">
        <w:rPr>
          <w:rFonts w:ascii="Aptos" w:hAnsi="Aptos" w:eastAsia="Aptos" w:cs="Aptos"/>
          <w:b w:val="0"/>
          <w:bCs w:val="0"/>
          <w:i w:val="0"/>
          <w:iCs w:val="0"/>
          <w:noProof w:val="0"/>
          <w:color w:val="000000" w:themeColor="text1" w:themeTint="FF" w:themeShade="FF"/>
          <w:sz w:val="24"/>
          <w:szCs w:val="24"/>
          <w:lang w:val="en-GB"/>
        </w:rPr>
        <w:t xml:space="preserve">OECD 2023, Handbook on Environmental Due Diligence in Mineral Supply Chains, OECD Publishing, Paris. Available at: </w:t>
      </w:r>
      <w:hyperlink r:id="R12f45e4edd7e4191">
        <w:r w:rsidRPr="50CA1F5F" w:rsidR="5EBA7D93">
          <w:rPr>
            <w:rStyle w:val="Hyperlink"/>
            <w:b w:val="0"/>
            <w:bCs w:val="0"/>
            <w:i w:val="0"/>
            <w:iCs w:val="0"/>
            <w:noProof w:val="0"/>
            <w:sz w:val="24"/>
            <w:szCs w:val="24"/>
            <w:lang w:val="en-GB"/>
          </w:rPr>
          <w:t>https://doi.org/10.1787/cef843bf-en</w:t>
        </w:r>
      </w:hyperlink>
      <w:r w:rsidRPr="50CA1F5F" w:rsidR="5EBA7D93">
        <w:rPr>
          <w:rFonts w:ascii="Aptos" w:hAnsi="Aptos" w:eastAsia="Aptos" w:cs="Aptos"/>
          <w:b w:val="0"/>
          <w:bCs w:val="0"/>
          <w:i w:val="0"/>
          <w:iCs w:val="0"/>
          <w:noProof w:val="0"/>
          <w:color w:val="000000" w:themeColor="text1" w:themeTint="FF" w:themeShade="FF"/>
          <w:sz w:val="24"/>
          <w:szCs w:val="24"/>
          <w:lang w:val="en-GB"/>
        </w:rPr>
        <w:t xml:space="preserve"> (Accessed: 30 July 2026).</w:t>
      </w:r>
    </w:p>
    <w:p w:rsidR="0E864ECA" w:rsidP="50CA1F5F" w:rsidRDefault="0E864ECA" w14:paraId="67B9EF51" w14:textId="22EF3F4F">
      <w:pPr>
        <w:pStyle w:val="Normal"/>
        <w:spacing w:before="40" w:beforeAutospacing="off" w:after="62" w:afterAutospacing="off" w:line="240" w:lineRule="auto"/>
        <w:ind w:left="0" w:right="0" w:hanging="0"/>
        <w:jc w:val="left"/>
      </w:pPr>
      <w:r w:rsidRPr="0BE43A9D" w:rsidR="63A09FA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Porter, M.E. 1990, 'The competitive advantage of nations', Harvard Business Review, March-April. Available at:</w:t>
      </w:r>
      <w:r w:rsidRPr="0BE43A9D" w:rsidR="26E98972">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https://economie.ens.psl.eu/IMG/pdf/porter_1990_-_the_competitive_advantage_of_nations.pdf</w:t>
      </w:r>
      <w:r w:rsidRPr="0BE43A9D" w:rsidR="63A09FA3">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GB"/>
        </w:rPr>
        <w:t xml:space="preserve"> (Accessed: 30 July 2026).</w:t>
      </w:r>
    </w:p>
    <w:p w:rsidR="0E864ECA" w:rsidP="0BE43A9D" w:rsidRDefault="0E864ECA" w14:paraId="7BFC3CC8" w14:textId="2286709B">
      <w:pPr>
        <w:pStyle w:val="Normal"/>
        <w:spacing w:before="240" w:beforeAutospacing="off" w:after="240"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0E864ECA" w:rsidP="0BE43A9D" w:rsidRDefault="0E864ECA" w14:paraId="67C3EB36" w14:textId="77D18DBA">
      <w:pPr>
        <w:shd w:val="clear" w:color="auto" w:fill="FFFFFF" w:themeFill="background1"/>
        <w:spacing w:before="0" w:beforeAutospacing="off" w:after="12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E43A9D" w:rsidR="6E52CD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Reserve Bank of Australia 2026, Statement on Monetary Policy - May 2026. Available at: </w:t>
      </w:r>
      <w:hyperlink r:id="R274db649d1b24fc9">
        <w:r w:rsidRPr="0BE43A9D" w:rsidR="6E52CD7D">
          <w:rPr>
            <w:rStyle w:val="Hyperlink"/>
            <w:rFonts w:ascii="Aptos" w:hAnsi="Aptos" w:eastAsia="Aptos" w:cs="Aptos" w:asciiTheme="minorAscii" w:hAnsiTheme="minorAscii" w:eastAsiaTheme="minorAscii" w:cstheme="minorAscii"/>
            <w:b w:val="0"/>
            <w:bCs w:val="0"/>
            <w:i w:val="0"/>
            <w:iCs w:val="0"/>
            <w:caps w:val="0"/>
            <w:smallCaps w:val="0"/>
            <w:noProof w:val="0"/>
            <w:lang w:val="en-GB"/>
          </w:rPr>
          <w:t>https://www.rba.gov.au/publications/smp/2026/may/</w:t>
        </w:r>
      </w:hyperlink>
      <w:r w:rsidRPr="0BE43A9D" w:rsidR="6E52CD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6 August 2026).</w:t>
      </w:r>
    </w:p>
    <w:p w:rsidR="0E864ECA" w:rsidP="0BE43A9D" w:rsidRDefault="0E864ECA" w14:paraId="0589A2BC" w14:textId="69E0D560">
      <w:pPr>
        <w:pStyle w:val="Normal"/>
        <w:spacing w:before="40" w:beforeAutospacing="off" w:after="62" w:afterAutospacing="off" w:line="240" w:lineRule="auto"/>
        <w:ind w:left="0" w:right="0" w:hanging="0"/>
        <w:jc w:val="left"/>
      </w:pPr>
      <w:r w:rsidRPr="0BE43A9D" w:rsidR="0615655E">
        <w:rPr>
          <w:rFonts w:ascii="Aptos" w:hAnsi="Aptos" w:eastAsia="Aptos" w:cs="Aptos"/>
          <w:noProof w:val="0"/>
          <w:sz w:val="24"/>
          <w:szCs w:val="24"/>
          <w:lang w:val="en-GB"/>
        </w:rPr>
        <w:t xml:space="preserve">Reuters 2025, ‘Australia passes tax incentives law for critical minerals’, </w:t>
      </w:r>
      <w:r w:rsidRPr="0BE43A9D" w:rsidR="0615655E">
        <w:rPr>
          <w:rFonts w:ascii="Aptos" w:hAnsi="Aptos" w:eastAsia="Aptos" w:cs="Aptos"/>
          <w:i w:val="1"/>
          <w:iCs w:val="1"/>
          <w:noProof w:val="0"/>
          <w:sz w:val="24"/>
          <w:szCs w:val="24"/>
          <w:lang w:val="en-GB"/>
        </w:rPr>
        <w:t>Reuters</w:t>
      </w:r>
      <w:r w:rsidRPr="0BE43A9D" w:rsidR="0615655E">
        <w:rPr>
          <w:rFonts w:ascii="Aptos" w:hAnsi="Aptos" w:eastAsia="Aptos" w:cs="Aptos"/>
          <w:noProof w:val="0"/>
          <w:sz w:val="24"/>
          <w:szCs w:val="24"/>
          <w:lang w:val="en-GB"/>
        </w:rPr>
        <w:t xml:space="preserve">, 11 February. Available at: </w:t>
      </w:r>
      <w:hyperlink r:id="Rd4ddd7e06b4f493e">
        <w:r w:rsidRPr="0BE43A9D" w:rsidR="0615655E">
          <w:rPr>
            <w:rStyle w:val="Hyperlink"/>
            <w:rFonts w:ascii="Aptos" w:hAnsi="Aptos" w:eastAsia="Aptos" w:cs="Aptos"/>
            <w:noProof w:val="0"/>
            <w:sz w:val="24"/>
            <w:szCs w:val="24"/>
            <w:lang w:val="en-GB"/>
          </w:rPr>
          <w:t>https://www.reuters.com/markets/commodities/australia-passes-tax-incentives-law-critical-minerals-2025-02-11/</w:t>
        </w:r>
      </w:hyperlink>
      <w:r w:rsidRPr="0BE43A9D" w:rsidR="0615655E">
        <w:rPr>
          <w:rFonts w:ascii="Aptos" w:hAnsi="Aptos" w:eastAsia="Aptos" w:cs="Aptos"/>
          <w:noProof w:val="0"/>
          <w:sz w:val="24"/>
          <w:szCs w:val="24"/>
          <w:lang w:val="en-GB"/>
        </w:rPr>
        <w:t xml:space="preserve"> (Accessed: 27 April 2026).</w:t>
      </w:r>
    </w:p>
    <w:p w:rsidR="0E864ECA" w:rsidP="0BE43A9D" w:rsidRDefault="0E864ECA" w14:paraId="51982E83" w14:textId="7AC04A89">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Rudko, H.I. and Bala, H.R. 2021, ‘Critical mineral raw materials and their prospects in Ukraine’, </w:t>
      </w:r>
      <w:r w:rsidRPr="0BE43A9D" w:rsidR="5FFDE0BB">
        <w:rPr>
          <w:rFonts w:ascii="Aptos" w:hAnsi="Aptos" w:eastAsia="Aptos" w:cs="Aptos"/>
          <w:i w:val="1"/>
          <w:iCs w:val="1"/>
          <w:noProof w:val="0"/>
          <w:sz w:val="24"/>
          <w:szCs w:val="24"/>
          <w:lang w:val="en-GB"/>
        </w:rPr>
        <w:t xml:space="preserve">Мінеральні </w:t>
      </w:r>
      <w:r w:rsidRPr="0BE43A9D" w:rsidR="5FFDE0BB">
        <w:rPr>
          <w:rFonts w:ascii="Aptos" w:hAnsi="Aptos" w:eastAsia="Aptos" w:cs="Aptos"/>
          <w:i w:val="1"/>
          <w:iCs w:val="1"/>
          <w:noProof w:val="0"/>
          <w:sz w:val="24"/>
          <w:szCs w:val="24"/>
          <w:lang w:val="en-GB"/>
        </w:rPr>
        <w:t>ресурси</w:t>
      </w:r>
      <w:r w:rsidRPr="0BE43A9D" w:rsidR="5FFDE0BB">
        <w:rPr>
          <w:rFonts w:ascii="Aptos" w:hAnsi="Aptos" w:eastAsia="Aptos" w:cs="Aptos"/>
          <w:i w:val="1"/>
          <w:iCs w:val="1"/>
          <w:noProof w:val="0"/>
          <w:sz w:val="24"/>
          <w:szCs w:val="24"/>
          <w:lang w:val="en-GB"/>
        </w:rPr>
        <w:t xml:space="preserve"> України</w:t>
      </w:r>
      <w:r w:rsidRPr="0BE43A9D" w:rsidR="5FFDE0BB">
        <w:rPr>
          <w:rFonts w:ascii="Aptos" w:hAnsi="Aptos" w:eastAsia="Aptos" w:cs="Aptos"/>
          <w:noProof w:val="0"/>
          <w:sz w:val="24"/>
          <w:szCs w:val="24"/>
          <w:lang w:val="en-GB"/>
        </w:rPr>
        <w:t xml:space="preserve">, no. 2, pp. 3–14. Available at: </w:t>
      </w:r>
      <w:hyperlink r:id="R5c516c66fafc4dde">
        <w:r w:rsidRPr="0BE43A9D" w:rsidR="5FFDE0BB">
          <w:rPr>
            <w:rStyle w:val="Hyperlink"/>
            <w:rFonts w:ascii="Aptos" w:hAnsi="Aptos" w:eastAsia="Aptos" w:cs="Aptos"/>
            <w:noProof w:val="0"/>
            <w:sz w:val="24"/>
            <w:szCs w:val="24"/>
            <w:lang w:val="en-GB"/>
          </w:rPr>
          <w:t>https://doi.org/10.31996/mru.2021.2.3-14</w:t>
        </w:r>
      </w:hyperlink>
      <w:r w:rsidRPr="0BE43A9D" w:rsidR="5FFDE0BB">
        <w:rPr>
          <w:rFonts w:ascii="Aptos" w:hAnsi="Aptos" w:eastAsia="Aptos" w:cs="Aptos"/>
          <w:noProof w:val="0"/>
          <w:sz w:val="24"/>
          <w:szCs w:val="24"/>
          <w:lang w:val="en-GB"/>
        </w:rPr>
        <w:t>.</w:t>
      </w:r>
      <w:r w:rsidRPr="0BE43A9D" w:rsidR="55BC9E26">
        <w:rPr>
          <w:rFonts w:ascii="Aptos" w:hAnsi="Aptos" w:eastAsia="Aptos" w:cs="Aptos"/>
          <w:noProof w:val="0"/>
          <w:sz w:val="24"/>
          <w:szCs w:val="24"/>
          <w:lang w:val="en-GB"/>
        </w:rPr>
        <w:t xml:space="preserve"> (Accessed: 27 April 2026)</w:t>
      </w:r>
    </w:p>
    <w:p w:rsidR="0E864ECA" w:rsidP="4DF95668" w:rsidRDefault="0E864ECA" w14:paraId="4149F020" w14:textId="314A3BB2">
      <w:pPr>
        <w:spacing w:before="240" w:beforeAutospacing="off" w:after="240" w:afterAutospacing="off"/>
        <w:jc w:val="both"/>
      </w:pPr>
      <w:r w:rsidRPr="4DF95668" w:rsidR="0E864ECA">
        <w:rPr>
          <w:rFonts w:ascii="Aptos" w:hAnsi="Aptos" w:eastAsia="Aptos" w:cs="Aptos"/>
          <w:noProof w:val="0"/>
          <w:sz w:val="24"/>
          <w:szCs w:val="24"/>
          <w:lang w:val="en-GB"/>
        </w:rPr>
        <w:t xml:space="preserve">Smit, A.J. 2010, ‘The competitive advantage of nations: is Porter’s Diamond Framework a new theory that explains the international competitiveness of countries?’, </w:t>
      </w:r>
      <w:r w:rsidRPr="4DF95668" w:rsidR="0E864ECA">
        <w:rPr>
          <w:rFonts w:ascii="Aptos" w:hAnsi="Aptos" w:eastAsia="Aptos" w:cs="Aptos"/>
          <w:i w:val="1"/>
          <w:iCs w:val="1"/>
          <w:noProof w:val="0"/>
          <w:sz w:val="24"/>
          <w:szCs w:val="24"/>
          <w:lang w:val="en-GB"/>
        </w:rPr>
        <w:t>Southern African Business Review</w:t>
      </w:r>
      <w:r w:rsidRPr="4DF95668" w:rsidR="0E864ECA">
        <w:rPr>
          <w:rFonts w:ascii="Aptos" w:hAnsi="Aptos" w:eastAsia="Aptos" w:cs="Aptos"/>
          <w:noProof w:val="0"/>
          <w:sz w:val="24"/>
          <w:szCs w:val="24"/>
          <w:lang w:val="en-GB"/>
        </w:rPr>
        <w:t>, vol. 14, no. 1, pp. 105–130.</w:t>
      </w:r>
    </w:p>
    <w:p w:rsidR="0E864ECA" w:rsidP="4DF95668" w:rsidRDefault="0E864ECA" w14:paraId="59091FB9" w14:textId="5C5A2E16">
      <w:pPr>
        <w:spacing w:before="240" w:beforeAutospacing="off" w:after="240" w:afterAutospacing="off"/>
        <w:jc w:val="both"/>
      </w:pPr>
      <w:r w:rsidRPr="4DF95668" w:rsidR="0E864ECA">
        <w:rPr>
          <w:rFonts w:ascii="Aptos" w:hAnsi="Aptos" w:eastAsia="Aptos" w:cs="Aptos"/>
          <w:noProof w:val="0"/>
          <w:sz w:val="24"/>
          <w:szCs w:val="24"/>
          <w:lang w:val="en-GB"/>
        </w:rPr>
        <w:t xml:space="preserve">Teng, D. 2011, ‘National competitiveness in global economy: evolution of approaches and methods of assessment’, </w:t>
      </w:r>
      <w:r w:rsidRPr="4DF95668" w:rsidR="0E864ECA">
        <w:rPr>
          <w:rFonts w:ascii="Aptos" w:hAnsi="Aptos" w:eastAsia="Aptos" w:cs="Aptos"/>
          <w:i w:val="1"/>
          <w:iCs w:val="1"/>
          <w:noProof w:val="0"/>
          <w:sz w:val="24"/>
          <w:szCs w:val="24"/>
          <w:lang w:val="en-GB"/>
        </w:rPr>
        <w:t>Vestnik</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Rossiĭskogo</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universiteta</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druzhby</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narodov</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Seriia</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Mezhdunarodnye</w:t>
      </w:r>
      <w:r w:rsidRPr="4DF95668" w:rsidR="0E864ECA">
        <w:rPr>
          <w:rFonts w:ascii="Aptos" w:hAnsi="Aptos" w:eastAsia="Aptos" w:cs="Aptos"/>
          <w:i w:val="1"/>
          <w:iCs w:val="1"/>
          <w:noProof w:val="0"/>
          <w:sz w:val="24"/>
          <w:szCs w:val="24"/>
          <w:lang w:val="en-GB"/>
        </w:rPr>
        <w:t xml:space="preserve"> </w:t>
      </w:r>
      <w:r w:rsidRPr="4DF95668" w:rsidR="0E864ECA">
        <w:rPr>
          <w:rFonts w:ascii="Aptos" w:hAnsi="Aptos" w:eastAsia="Aptos" w:cs="Aptos"/>
          <w:i w:val="1"/>
          <w:iCs w:val="1"/>
          <w:noProof w:val="0"/>
          <w:sz w:val="24"/>
          <w:szCs w:val="24"/>
          <w:lang w:val="en-GB"/>
        </w:rPr>
        <w:t>otnosheniia</w:t>
      </w:r>
      <w:r w:rsidRPr="4DF95668" w:rsidR="0E864ECA">
        <w:rPr>
          <w:rFonts w:ascii="Aptos" w:hAnsi="Aptos" w:eastAsia="Aptos" w:cs="Aptos"/>
          <w:noProof w:val="0"/>
          <w:sz w:val="24"/>
          <w:szCs w:val="24"/>
          <w:lang w:val="en-GB"/>
        </w:rPr>
        <w:t>, no. 3, pp. 51–55.</w:t>
      </w:r>
    </w:p>
    <w:p w:rsidR="2446A190" w:rsidP="4DF95668" w:rsidRDefault="2446A190" w14:paraId="4AAB985F" w14:textId="77AE92DF">
      <w:pPr>
        <w:pStyle w:val="Normal"/>
        <w:spacing w:before="240" w:beforeAutospacing="off" w:after="240" w:afterAutospacing="off"/>
        <w:jc w:val="both"/>
      </w:pPr>
      <w:r w:rsidRPr="4DF95668" w:rsidR="2446A190">
        <w:rPr>
          <w:rFonts w:ascii="Aptos" w:hAnsi="Aptos" w:eastAsia="Aptos" w:cs="Aptos"/>
          <w:noProof w:val="0"/>
          <w:sz w:val="24"/>
          <w:szCs w:val="24"/>
          <w:lang w:val="en-GB"/>
        </w:rPr>
        <w:t xml:space="preserve">Teixeira, N.M. (2020) </w:t>
      </w:r>
      <w:r w:rsidRPr="4DF95668" w:rsidR="2446A190">
        <w:rPr>
          <w:rFonts w:ascii="Aptos" w:hAnsi="Aptos" w:eastAsia="Aptos" w:cs="Aptos"/>
          <w:i w:val="1"/>
          <w:iCs w:val="1"/>
          <w:noProof w:val="0"/>
          <w:sz w:val="24"/>
          <w:szCs w:val="24"/>
          <w:lang w:val="en-GB"/>
        </w:rPr>
        <w:t>Management Control Systems and Tools for Internationalization Success</w:t>
      </w:r>
      <w:r w:rsidRPr="4DF95668" w:rsidR="2446A190">
        <w:rPr>
          <w:rFonts w:ascii="Aptos" w:hAnsi="Aptos" w:eastAsia="Aptos" w:cs="Aptos"/>
          <w:noProof w:val="0"/>
          <w:sz w:val="24"/>
          <w:szCs w:val="24"/>
          <w:lang w:val="en-GB"/>
        </w:rPr>
        <w:t>. Hershey, PA: IGI Global.</w:t>
      </w:r>
    </w:p>
    <w:p w:rsidR="0E864ECA" w:rsidP="4DF95668" w:rsidRDefault="0E864ECA" w14:paraId="78FFE16E" w14:textId="3BDEFD66">
      <w:pPr>
        <w:spacing w:before="240" w:beforeAutospacing="off" w:after="240" w:afterAutospacing="off"/>
        <w:jc w:val="both"/>
      </w:pPr>
      <w:r w:rsidRPr="4DF95668" w:rsidR="0E864ECA">
        <w:rPr>
          <w:rFonts w:ascii="Aptos" w:hAnsi="Aptos" w:eastAsia="Aptos" w:cs="Aptos"/>
          <w:noProof w:val="0"/>
          <w:sz w:val="24"/>
          <w:szCs w:val="24"/>
          <w:lang w:val="en-GB"/>
        </w:rPr>
        <w:t xml:space="preserve">The Culture Factor Group n.d., </w:t>
      </w:r>
      <w:r w:rsidRPr="4DF95668" w:rsidR="0E864ECA">
        <w:rPr>
          <w:rFonts w:ascii="Aptos" w:hAnsi="Aptos" w:eastAsia="Aptos" w:cs="Aptos"/>
          <w:i w:val="1"/>
          <w:iCs w:val="1"/>
          <w:noProof w:val="0"/>
          <w:sz w:val="24"/>
          <w:szCs w:val="24"/>
          <w:lang w:val="en-GB"/>
        </w:rPr>
        <w:t>Country Comparison Tool</w:t>
      </w:r>
      <w:r w:rsidRPr="4DF95668" w:rsidR="0E864ECA">
        <w:rPr>
          <w:rFonts w:ascii="Aptos" w:hAnsi="Aptos" w:eastAsia="Aptos" w:cs="Aptos"/>
          <w:noProof w:val="0"/>
          <w:sz w:val="24"/>
          <w:szCs w:val="24"/>
          <w:lang w:val="en-GB"/>
        </w:rPr>
        <w:t xml:space="preserve">. Available at: </w:t>
      </w:r>
      <w:hyperlink r:id="R1111182631964935">
        <w:r w:rsidRPr="4DF95668" w:rsidR="0E864ECA">
          <w:rPr>
            <w:rStyle w:val="Hyperlink"/>
            <w:rFonts w:ascii="Aptos" w:hAnsi="Aptos" w:eastAsia="Aptos" w:cs="Aptos"/>
            <w:noProof w:val="0"/>
            <w:sz w:val="24"/>
            <w:szCs w:val="24"/>
            <w:lang w:val="en-GB"/>
          </w:rPr>
          <w:t>https://www.theculturefactor.com/country-comparison-tool?countries=australia%2Cchina</w:t>
        </w:r>
      </w:hyperlink>
      <w:r w:rsidRPr="4DF95668" w:rsidR="0E864ECA">
        <w:rPr>
          <w:rFonts w:ascii="Aptos" w:hAnsi="Aptos" w:eastAsia="Aptos" w:cs="Aptos"/>
          <w:noProof w:val="0"/>
          <w:sz w:val="24"/>
          <w:szCs w:val="24"/>
          <w:lang w:val="en-GB"/>
        </w:rPr>
        <w:t xml:space="preserve"> (Accessed: 27 April 2026).</w:t>
      </w:r>
    </w:p>
    <w:p w:rsidR="0E864ECA" w:rsidP="4DF95668" w:rsidRDefault="0E864ECA" w14:paraId="49138E75" w14:textId="1E9A3CAA">
      <w:pPr>
        <w:spacing w:before="240" w:beforeAutospacing="off" w:after="240" w:afterAutospacing="off"/>
        <w:jc w:val="both"/>
      </w:pPr>
      <w:r w:rsidRPr="4DF95668" w:rsidR="0E864ECA">
        <w:rPr>
          <w:rFonts w:ascii="Aptos" w:hAnsi="Aptos" w:eastAsia="Aptos" w:cs="Aptos"/>
          <w:noProof w:val="0"/>
          <w:sz w:val="24"/>
          <w:szCs w:val="24"/>
          <w:lang w:val="en-GB"/>
        </w:rPr>
        <w:t xml:space="preserve">Young, I. 2020, ‘Metals firm IGO buys Australia lithium mine stake from Tianqi’, </w:t>
      </w:r>
      <w:r w:rsidRPr="4DF95668" w:rsidR="0E864ECA">
        <w:rPr>
          <w:rFonts w:ascii="Aptos" w:hAnsi="Aptos" w:eastAsia="Aptos" w:cs="Aptos"/>
          <w:i w:val="1"/>
          <w:iCs w:val="1"/>
          <w:noProof w:val="0"/>
          <w:sz w:val="24"/>
          <w:szCs w:val="24"/>
          <w:lang w:val="en-GB"/>
        </w:rPr>
        <w:t>Chemical Week</w:t>
      </w:r>
      <w:r w:rsidRPr="4DF95668" w:rsidR="0E864ECA">
        <w:rPr>
          <w:rFonts w:ascii="Aptos" w:hAnsi="Aptos" w:eastAsia="Aptos" w:cs="Aptos"/>
          <w:noProof w:val="0"/>
          <w:sz w:val="24"/>
          <w:szCs w:val="24"/>
          <w:lang w:val="en-GB"/>
        </w:rPr>
        <w:t>, vol. 183, no. 1, p. 12.</w:t>
      </w:r>
    </w:p>
    <w:p w:rsidR="0E864ECA" w:rsidP="0BE43A9D" w:rsidRDefault="0E864ECA" w14:paraId="1F591869" w14:textId="4CEC5DC1">
      <w:pPr>
        <w:pStyle w:val="Normal"/>
        <w:spacing w:before="240" w:beforeAutospacing="off" w:after="240" w:afterAutospacing="off"/>
        <w:jc w:val="both"/>
      </w:pPr>
      <w:r w:rsidRPr="0BE43A9D" w:rsidR="5FFDE0BB">
        <w:rPr>
          <w:rFonts w:ascii="Aptos" w:hAnsi="Aptos" w:eastAsia="Aptos" w:cs="Aptos"/>
          <w:noProof w:val="0"/>
          <w:sz w:val="24"/>
          <w:szCs w:val="24"/>
          <w:lang w:val="en-GB"/>
        </w:rPr>
        <w:t xml:space="preserve">Zhang, P. and London, K. 2013, ‘Towards an internationalized sustainable industrial competitiveness model’, </w:t>
      </w:r>
      <w:r w:rsidRPr="0BE43A9D" w:rsidR="5FFDE0BB">
        <w:rPr>
          <w:rFonts w:ascii="Aptos" w:hAnsi="Aptos" w:eastAsia="Aptos" w:cs="Aptos"/>
          <w:i w:val="1"/>
          <w:iCs w:val="1"/>
          <w:noProof w:val="0"/>
          <w:sz w:val="24"/>
          <w:szCs w:val="24"/>
          <w:lang w:val="en-GB"/>
        </w:rPr>
        <w:t>Competitiveness Review</w:t>
      </w:r>
      <w:r w:rsidRPr="0BE43A9D" w:rsidR="5FFDE0BB">
        <w:rPr>
          <w:rFonts w:ascii="Aptos" w:hAnsi="Aptos" w:eastAsia="Aptos" w:cs="Aptos"/>
          <w:noProof w:val="0"/>
          <w:sz w:val="24"/>
          <w:szCs w:val="24"/>
          <w:lang w:val="en-GB"/>
        </w:rPr>
        <w:t xml:space="preserve">, vol. 23, no. 2, pp. 95–113. Available at: </w:t>
      </w:r>
      <w:hyperlink r:id="R0a98530d9892494c">
        <w:r w:rsidRPr="0BE43A9D" w:rsidR="5FFDE0BB">
          <w:rPr>
            <w:rStyle w:val="Hyperlink"/>
            <w:rFonts w:ascii="Aptos" w:hAnsi="Aptos" w:eastAsia="Aptos" w:cs="Aptos"/>
            <w:noProof w:val="0"/>
            <w:sz w:val="24"/>
            <w:szCs w:val="24"/>
            <w:lang w:val="en-GB"/>
          </w:rPr>
          <w:t>https://doi.org/10.1108/10595421311305325</w:t>
        </w:r>
      </w:hyperlink>
      <w:r w:rsidRPr="0BE43A9D" w:rsidR="41AA2590">
        <w:rPr>
          <w:rFonts w:ascii="Aptos" w:hAnsi="Aptos" w:eastAsia="Aptos" w:cs="Aptos"/>
          <w:noProof w:val="0"/>
          <w:sz w:val="24"/>
          <w:szCs w:val="24"/>
          <w:lang w:val="en-GB"/>
        </w:rPr>
        <w:t xml:space="preserve"> </w:t>
      </w:r>
      <w:r w:rsidRPr="0BE43A9D" w:rsidR="41AA2590">
        <w:rPr>
          <w:rFonts w:ascii="Aptos" w:hAnsi="Aptos" w:eastAsia="Aptos" w:cs="Aptos"/>
          <w:noProof w:val="0"/>
          <w:sz w:val="24"/>
          <w:szCs w:val="24"/>
          <w:lang w:val="en-GB"/>
        </w:rPr>
        <w:t>(Accessed: 27 April 2026)</w:t>
      </w:r>
    </w:p>
    <w:p w:rsidR="4DF95668" w:rsidP="4DF95668" w:rsidRDefault="4DF95668" w14:paraId="4FFF46E7" w14:textId="14CF44EF">
      <w:pPr>
        <w:pStyle w:val="Normal"/>
        <w:ind w:left="0"/>
        <w:jc w:val="both"/>
        <w:rPr>
          <w:rFonts w:ascii="Aptos" w:hAnsi="Aptos" w:eastAsia="Aptos" w:cs="Aptos"/>
          <w:b w:val="1"/>
          <w:bCs w:val="1"/>
          <w:noProof w:val="0"/>
          <w:sz w:val="24"/>
          <w:szCs w:val="24"/>
          <w:lang w:val="en-GB"/>
        </w:rPr>
      </w:pPr>
    </w:p>
    <w:p w:rsidR="05806B51" w:rsidP="05806B51" w:rsidRDefault="05806B51" w14:paraId="5CB34AA1" w14:textId="16B2CB72">
      <w:pPr>
        <w:pStyle w:val="Normal"/>
        <w:jc w:val="both"/>
        <w:rPr>
          <w:rFonts w:ascii="Aptos" w:hAnsi="Aptos" w:eastAsia="Aptos" w:cs="Aptos"/>
          <w:b w:val="1"/>
          <w:bCs w:val="1"/>
          <w:noProof w:val="0"/>
          <w:sz w:val="36"/>
          <w:szCs w:val="36"/>
          <w:lang w:val="en-GB"/>
        </w:rPr>
      </w:pPr>
    </w:p>
    <w:p w:rsidR="272F73A6" w:rsidP="272F73A6" w:rsidRDefault="272F73A6" w14:paraId="17D65DC6" w14:textId="1D733280">
      <w:pPr>
        <w:pStyle w:val="Normal"/>
      </w:pPr>
    </w:p>
    <w:p w:rsidR="272F73A6" w:rsidP="272F73A6" w:rsidRDefault="272F73A6" w14:paraId="516FAA1B" w14:textId="70B3365C">
      <w:pPr>
        <w:pStyle w:val="Normal"/>
      </w:pPr>
    </w:p>
    <w:p w:rsidR="272F73A6" w:rsidP="272F73A6" w:rsidRDefault="272F73A6" w14:paraId="634F3E1A" w14:textId="174723C8">
      <w:pPr>
        <w:pStyle w:val="Normal"/>
      </w:pPr>
    </w:p>
    <w:p w:rsidR="272F73A6" w:rsidP="272F73A6" w:rsidRDefault="272F73A6" w14:paraId="278FEB58" w14:textId="45FDBC0C">
      <w:pPr>
        <w:pStyle w:val="Normal"/>
      </w:pPr>
    </w:p>
    <w:p w:rsidR="272F73A6" w:rsidP="272F73A6" w:rsidRDefault="272F73A6" w14:paraId="4DB29785" w14:textId="099CE325">
      <w:pPr>
        <w:pStyle w:val="Normal"/>
      </w:pPr>
    </w:p>
    <w:p w:rsidR="272F73A6" w:rsidP="272F73A6" w:rsidRDefault="272F73A6" w14:paraId="3630FB58" w14:textId="5F3EC88D">
      <w:pPr>
        <w:pStyle w:val="Normal"/>
      </w:pPr>
    </w:p>
    <w:p w:rsidR="272F73A6" w:rsidP="272F73A6" w:rsidRDefault="272F73A6" w14:paraId="4D086ACB" w14:textId="6F719A97">
      <w:pPr>
        <w:pStyle w:val="Normal"/>
      </w:pPr>
    </w:p>
    <w:p w:rsidR="272F73A6" w:rsidP="272F73A6" w:rsidRDefault="272F73A6" w14:paraId="7BCDF610" w14:textId="22D5AE7B">
      <w:pPr>
        <w:pStyle w:val="Normal"/>
      </w:pPr>
    </w:p>
    <w:p w:rsidR="272F73A6" w:rsidP="272F73A6" w:rsidRDefault="272F73A6" w14:paraId="21DB9891" w14:textId="292BA79E">
      <w:pPr>
        <w:pStyle w:val="Normal"/>
      </w:pPr>
    </w:p>
    <w:p w:rsidR="272F73A6" w:rsidP="272F73A6" w:rsidRDefault="272F73A6" w14:paraId="44A4A3EF" w14:textId="4717FB43">
      <w:pPr>
        <w:pStyle w:val="Normal"/>
      </w:pPr>
    </w:p>
    <w:sectPr>
      <w:type w:val="nextPage"/>
      <w:pgSz w:w="11906" w:h="16838" w:orient="portrait"/>
      <w:pgMar w:top="1440" w:right="1440" w:bottom="1440" w:left="1440" w:header="0" w:footer="0" w:gutter="0"/>
      <w:pgNumType w:fmt="decimal"/>
      <w:formProt w:val="false"/>
      <w:textDirection w:val="lrTb"/>
      <w:docGrid w:type="default" w:linePitch="360" w:charSpace="0"/>
      <w:cols w:num="1"/>
      <w:headerReference w:type="default" r:id="R63afd7f1f6e24358"/>
      <w:footerReference w:type="default" r:id="Rc4fe4b5301ca4694"/>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03E2D6" w:rsidTr="2803E2D6" w14:paraId="23786714">
      <w:trPr>
        <w:trHeight w:val="300"/>
      </w:trPr>
      <w:tc>
        <w:tcPr>
          <w:tcW w:w="3005" w:type="dxa"/>
          <w:tcMar/>
        </w:tcPr>
        <w:p w:rsidR="2803E2D6" w:rsidP="2803E2D6" w:rsidRDefault="2803E2D6" w14:paraId="3EC0C2E5" w14:textId="2CA43262">
          <w:pPr>
            <w:pStyle w:val="Header"/>
            <w:bidi w:val="0"/>
            <w:ind w:left="-115"/>
            <w:jc w:val="left"/>
          </w:pPr>
        </w:p>
      </w:tc>
      <w:tc>
        <w:tcPr>
          <w:tcW w:w="3005" w:type="dxa"/>
          <w:tcMar/>
        </w:tcPr>
        <w:p w:rsidR="2803E2D6" w:rsidP="2803E2D6" w:rsidRDefault="2803E2D6" w14:paraId="5DCDB6AD" w14:textId="1B75FBC2">
          <w:pPr>
            <w:pStyle w:val="Header"/>
            <w:bidi w:val="0"/>
            <w:jc w:val="center"/>
          </w:pPr>
        </w:p>
      </w:tc>
      <w:tc>
        <w:tcPr>
          <w:tcW w:w="3005" w:type="dxa"/>
          <w:tcMar/>
        </w:tcPr>
        <w:p w:rsidR="2803E2D6" w:rsidP="2803E2D6" w:rsidRDefault="2803E2D6" w14:paraId="0D6236B5" w14:textId="55B5752A">
          <w:pPr>
            <w:pStyle w:val="Header"/>
            <w:bidi w:val="0"/>
            <w:ind w:right="-115"/>
            <w:jc w:val="right"/>
          </w:pPr>
        </w:p>
      </w:tc>
    </w:tr>
  </w:tbl>
  <w:p w:rsidR="2803E2D6" w:rsidP="2803E2D6" w:rsidRDefault="2803E2D6" w14:paraId="05759671" w14:textId="63FDC31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803E2D6" w:rsidTr="2803E2D6" w14:paraId="050EBE91">
      <w:trPr>
        <w:trHeight w:val="300"/>
      </w:trPr>
      <w:tc>
        <w:tcPr>
          <w:tcW w:w="3005" w:type="dxa"/>
          <w:tcMar/>
        </w:tcPr>
        <w:p w:rsidR="2803E2D6" w:rsidP="2803E2D6" w:rsidRDefault="2803E2D6" w14:paraId="1929BB59" w14:textId="18263D08">
          <w:pPr>
            <w:pStyle w:val="Header"/>
            <w:bidi w:val="0"/>
            <w:ind w:left="-115"/>
            <w:jc w:val="left"/>
          </w:pPr>
        </w:p>
      </w:tc>
      <w:tc>
        <w:tcPr>
          <w:tcW w:w="3005" w:type="dxa"/>
          <w:tcMar/>
        </w:tcPr>
        <w:p w:rsidR="2803E2D6" w:rsidP="2803E2D6" w:rsidRDefault="2803E2D6" w14:paraId="711EEB11" w14:textId="21676763">
          <w:pPr>
            <w:pStyle w:val="Header"/>
            <w:bidi w:val="0"/>
            <w:jc w:val="center"/>
          </w:pPr>
        </w:p>
      </w:tc>
      <w:tc>
        <w:tcPr>
          <w:tcW w:w="3005" w:type="dxa"/>
          <w:tcMar/>
        </w:tcPr>
        <w:p w:rsidR="2803E2D6" w:rsidP="2803E2D6" w:rsidRDefault="2803E2D6" w14:paraId="5CDF7981" w14:textId="7F6F963C">
          <w:pPr>
            <w:pStyle w:val="Header"/>
            <w:bidi w:val="0"/>
            <w:ind w:right="-115"/>
            <w:jc w:val="right"/>
          </w:pPr>
        </w:p>
      </w:tc>
    </w:tr>
  </w:tbl>
  <w:p w:rsidR="2803E2D6" w:rsidP="2803E2D6" w:rsidRDefault="2803E2D6" w14:paraId="67D0D4BC" w14:textId="451B99C8">
    <w:pPr>
      <w:pStyle w:val="Header"/>
      <w:bidi w:val="0"/>
    </w:pPr>
  </w:p>
</w:hdr>
</file>

<file path=word/intelligence2.xml><?xml version="1.0" encoding="utf-8"?>
<int2:intelligence xmlns:int2="http://schemas.microsoft.com/office/intelligence/2020/intelligence">
  <int2:observations>
    <int2:bookmark int2:bookmarkName="_Int_0MFRKdlw" int2:invalidationBookmarkName="" int2:hashCode="H0oVtULUCjST2L" int2:id="4BLUzAQf">
      <int2:state int2:type="gram" int2:value="Rejected"/>
    </int2:bookmark>
    <int2:bookmark int2:bookmarkName="_Int_2jhq04RP" int2:invalidationBookmarkName="" int2:hashCode="GjPwfgEQuPsqUP" int2:id="qCLxMlGI">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4bac4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897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6ba8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7a2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7b7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7263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b23ba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fde35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b20c9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0789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df33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00"/>
  <w:trackRevisions w:val="false"/>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22CF64C"/>
    <w:rsid w:val="000B882E"/>
    <w:rsid w:val="000D93C5"/>
    <w:rsid w:val="00314A76"/>
    <w:rsid w:val="00358167"/>
    <w:rsid w:val="0041B4F2"/>
    <w:rsid w:val="00427EEA"/>
    <w:rsid w:val="00467D7F"/>
    <w:rsid w:val="00606E5A"/>
    <w:rsid w:val="00911DB4"/>
    <w:rsid w:val="009B8805"/>
    <w:rsid w:val="00A7F698"/>
    <w:rsid w:val="00A7F698"/>
    <w:rsid w:val="00B24FE9"/>
    <w:rsid w:val="00C32BD3"/>
    <w:rsid w:val="00C9355E"/>
    <w:rsid w:val="00E4883F"/>
    <w:rsid w:val="00E53EEF"/>
    <w:rsid w:val="00EAD9FE"/>
    <w:rsid w:val="00F9BE12"/>
    <w:rsid w:val="011EE8FE"/>
    <w:rsid w:val="01748F18"/>
    <w:rsid w:val="01792C9B"/>
    <w:rsid w:val="01989300"/>
    <w:rsid w:val="01A91DE7"/>
    <w:rsid w:val="01E32B23"/>
    <w:rsid w:val="01E3FDAC"/>
    <w:rsid w:val="01E996E5"/>
    <w:rsid w:val="022CF64C"/>
    <w:rsid w:val="0271F5EF"/>
    <w:rsid w:val="02885A58"/>
    <w:rsid w:val="02A6EF44"/>
    <w:rsid w:val="02A9CD58"/>
    <w:rsid w:val="02AD026D"/>
    <w:rsid w:val="02AD6ACD"/>
    <w:rsid w:val="02B58261"/>
    <w:rsid w:val="02D4A794"/>
    <w:rsid w:val="02D635F8"/>
    <w:rsid w:val="02E1BB80"/>
    <w:rsid w:val="0321B436"/>
    <w:rsid w:val="032A1738"/>
    <w:rsid w:val="0332DE83"/>
    <w:rsid w:val="033B1B7F"/>
    <w:rsid w:val="03462C8F"/>
    <w:rsid w:val="034C27BB"/>
    <w:rsid w:val="03507E8A"/>
    <w:rsid w:val="035D6F31"/>
    <w:rsid w:val="03BB4FCF"/>
    <w:rsid w:val="03C169B2"/>
    <w:rsid w:val="03D3B69E"/>
    <w:rsid w:val="03E0F5F7"/>
    <w:rsid w:val="03F7C1AD"/>
    <w:rsid w:val="03FAC39B"/>
    <w:rsid w:val="0419A631"/>
    <w:rsid w:val="04223543"/>
    <w:rsid w:val="044A144B"/>
    <w:rsid w:val="045F0D74"/>
    <w:rsid w:val="049717FB"/>
    <w:rsid w:val="049AFEAE"/>
    <w:rsid w:val="049FD0D5"/>
    <w:rsid w:val="04B2B349"/>
    <w:rsid w:val="04D129E6"/>
    <w:rsid w:val="04DA6B07"/>
    <w:rsid w:val="04F6C5A2"/>
    <w:rsid w:val="04FBE2D3"/>
    <w:rsid w:val="04FDDAAA"/>
    <w:rsid w:val="0528545F"/>
    <w:rsid w:val="052A91D3"/>
    <w:rsid w:val="052FDDA2"/>
    <w:rsid w:val="05378400"/>
    <w:rsid w:val="05382DB3"/>
    <w:rsid w:val="053EDA6E"/>
    <w:rsid w:val="0546F777"/>
    <w:rsid w:val="054BC877"/>
    <w:rsid w:val="05597C5C"/>
    <w:rsid w:val="05741EF7"/>
    <w:rsid w:val="05806B51"/>
    <w:rsid w:val="05946310"/>
    <w:rsid w:val="05959F0E"/>
    <w:rsid w:val="0597F16F"/>
    <w:rsid w:val="059F27F9"/>
    <w:rsid w:val="05A9301E"/>
    <w:rsid w:val="05AE5B67"/>
    <w:rsid w:val="05CF6524"/>
    <w:rsid w:val="05DACA96"/>
    <w:rsid w:val="05F59C7D"/>
    <w:rsid w:val="05FDC8E4"/>
    <w:rsid w:val="0602BE4E"/>
    <w:rsid w:val="0613EB30"/>
    <w:rsid w:val="0615655E"/>
    <w:rsid w:val="06306A59"/>
    <w:rsid w:val="06309E10"/>
    <w:rsid w:val="0657D7E4"/>
    <w:rsid w:val="06718A7C"/>
    <w:rsid w:val="068E4AA5"/>
    <w:rsid w:val="06DD41A5"/>
    <w:rsid w:val="06E43DBC"/>
    <w:rsid w:val="073B1CDF"/>
    <w:rsid w:val="074B50B5"/>
    <w:rsid w:val="075A8CC9"/>
    <w:rsid w:val="0765788B"/>
    <w:rsid w:val="0773F201"/>
    <w:rsid w:val="0778FEC4"/>
    <w:rsid w:val="0780CDCB"/>
    <w:rsid w:val="0786BAA4"/>
    <w:rsid w:val="07B553D2"/>
    <w:rsid w:val="07C85945"/>
    <w:rsid w:val="07CF5A7E"/>
    <w:rsid w:val="07E13F9B"/>
    <w:rsid w:val="07ED4B40"/>
    <w:rsid w:val="08254468"/>
    <w:rsid w:val="082D0DE8"/>
    <w:rsid w:val="0842AAE9"/>
    <w:rsid w:val="085E6AFA"/>
    <w:rsid w:val="086EA34B"/>
    <w:rsid w:val="087E5A70"/>
    <w:rsid w:val="087F25E1"/>
    <w:rsid w:val="089CBC18"/>
    <w:rsid w:val="08A26761"/>
    <w:rsid w:val="08A42890"/>
    <w:rsid w:val="08B05837"/>
    <w:rsid w:val="08B5A41E"/>
    <w:rsid w:val="08BA151A"/>
    <w:rsid w:val="08C98FA1"/>
    <w:rsid w:val="08EA0F6F"/>
    <w:rsid w:val="09017AA4"/>
    <w:rsid w:val="0908522F"/>
    <w:rsid w:val="0909F6A8"/>
    <w:rsid w:val="090D6B0F"/>
    <w:rsid w:val="09321B27"/>
    <w:rsid w:val="09559529"/>
    <w:rsid w:val="095C2223"/>
    <w:rsid w:val="095CC5F3"/>
    <w:rsid w:val="099B20D8"/>
    <w:rsid w:val="099B20D8"/>
    <w:rsid w:val="09AB4CCF"/>
    <w:rsid w:val="09AB4CCF"/>
    <w:rsid w:val="09CD9776"/>
    <w:rsid w:val="09D78619"/>
    <w:rsid w:val="09E95817"/>
    <w:rsid w:val="09EEEF87"/>
    <w:rsid w:val="0A043569"/>
    <w:rsid w:val="0A135F54"/>
    <w:rsid w:val="0A3B31FE"/>
    <w:rsid w:val="0A48C586"/>
    <w:rsid w:val="0A6AB58E"/>
    <w:rsid w:val="0A9D3A06"/>
    <w:rsid w:val="0AAE0D20"/>
    <w:rsid w:val="0AB533B8"/>
    <w:rsid w:val="0AEABE31"/>
    <w:rsid w:val="0B0C2525"/>
    <w:rsid w:val="0B107694"/>
    <w:rsid w:val="0B1B7E63"/>
    <w:rsid w:val="0B376558"/>
    <w:rsid w:val="0B44711A"/>
    <w:rsid w:val="0B464C20"/>
    <w:rsid w:val="0B4E58C5"/>
    <w:rsid w:val="0B607D82"/>
    <w:rsid w:val="0B628D35"/>
    <w:rsid w:val="0B80DBAC"/>
    <w:rsid w:val="0B87CD25"/>
    <w:rsid w:val="0BA4AD42"/>
    <w:rsid w:val="0BD4E516"/>
    <w:rsid w:val="0BDB0923"/>
    <w:rsid w:val="0BE43A9D"/>
    <w:rsid w:val="0BF0D13E"/>
    <w:rsid w:val="0C16698F"/>
    <w:rsid w:val="0C17E67C"/>
    <w:rsid w:val="0C31AFC0"/>
    <w:rsid w:val="0C3BB153"/>
    <w:rsid w:val="0C3BB153"/>
    <w:rsid w:val="0C843261"/>
    <w:rsid w:val="0C93E33A"/>
    <w:rsid w:val="0CC15038"/>
    <w:rsid w:val="0CCC1648"/>
    <w:rsid w:val="0CDB1CC5"/>
    <w:rsid w:val="0CDF752A"/>
    <w:rsid w:val="0CEEC774"/>
    <w:rsid w:val="0CF99C8A"/>
    <w:rsid w:val="0D1871C5"/>
    <w:rsid w:val="0D263B89"/>
    <w:rsid w:val="0D65D85E"/>
    <w:rsid w:val="0D7F9341"/>
    <w:rsid w:val="0D88EA79"/>
    <w:rsid w:val="0DAE994D"/>
    <w:rsid w:val="0DB195AF"/>
    <w:rsid w:val="0DD6785A"/>
    <w:rsid w:val="0DD986FF"/>
    <w:rsid w:val="0DDBA9C1"/>
    <w:rsid w:val="0DE1AC1C"/>
    <w:rsid w:val="0DE86688"/>
    <w:rsid w:val="0DFA1C81"/>
    <w:rsid w:val="0E070424"/>
    <w:rsid w:val="0E57D4EA"/>
    <w:rsid w:val="0E591D17"/>
    <w:rsid w:val="0E66F160"/>
    <w:rsid w:val="0E7D8283"/>
    <w:rsid w:val="0E864ECA"/>
    <w:rsid w:val="0E9A4B0E"/>
    <w:rsid w:val="0EC89E78"/>
    <w:rsid w:val="0EF96DB8"/>
    <w:rsid w:val="0EFD4C9F"/>
    <w:rsid w:val="0F1030B8"/>
    <w:rsid w:val="0F167E06"/>
    <w:rsid w:val="0F214C03"/>
    <w:rsid w:val="0F4B522D"/>
    <w:rsid w:val="0F4C18CC"/>
    <w:rsid w:val="0F4FF802"/>
    <w:rsid w:val="0F58DD57"/>
    <w:rsid w:val="0F76CC0C"/>
    <w:rsid w:val="0F8A3677"/>
    <w:rsid w:val="0F8D3999"/>
    <w:rsid w:val="0F91FD91"/>
    <w:rsid w:val="0F99F57A"/>
    <w:rsid w:val="0FBD1B6E"/>
    <w:rsid w:val="0FCCC696"/>
    <w:rsid w:val="0FCCF554"/>
    <w:rsid w:val="0FF71880"/>
    <w:rsid w:val="10058C90"/>
    <w:rsid w:val="1015537F"/>
    <w:rsid w:val="101FF4C3"/>
    <w:rsid w:val="10299EC1"/>
    <w:rsid w:val="102B41FA"/>
    <w:rsid w:val="102EBC87"/>
    <w:rsid w:val="10377724"/>
    <w:rsid w:val="103B9B4C"/>
    <w:rsid w:val="103CDBC1"/>
    <w:rsid w:val="10469C91"/>
    <w:rsid w:val="104B91CE"/>
    <w:rsid w:val="1087BC7D"/>
    <w:rsid w:val="10880A91"/>
    <w:rsid w:val="1093DD0D"/>
    <w:rsid w:val="10A0D7B4"/>
    <w:rsid w:val="10A21913"/>
    <w:rsid w:val="10B5FF8A"/>
    <w:rsid w:val="10BF7408"/>
    <w:rsid w:val="10C35FF1"/>
    <w:rsid w:val="10C615DE"/>
    <w:rsid w:val="10C6E357"/>
    <w:rsid w:val="10C8492B"/>
    <w:rsid w:val="10C8492B"/>
    <w:rsid w:val="10CC1B2E"/>
    <w:rsid w:val="10EC20A6"/>
    <w:rsid w:val="10F57D2E"/>
    <w:rsid w:val="110B4EF6"/>
    <w:rsid w:val="110F829A"/>
    <w:rsid w:val="114200F4"/>
    <w:rsid w:val="114E200D"/>
    <w:rsid w:val="114E5510"/>
    <w:rsid w:val="114F577F"/>
    <w:rsid w:val="1154A62A"/>
    <w:rsid w:val="115EA59A"/>
    <w:rsid w:val="115EA59A"/>
    <w:rsid w:val="116040CB"/>
    <w:rsid w:val="1196077D"/>
    <w:rsid w:val="1196077D"/>
    <w:rsid w:val="11994DA0"/>
    <w:rsid w:val="119A18CF"/>
    <w:rsid w:val="11A0CACF"/>
    <w:rsid w:val="11AF781C"/>
    <w:rsid w:val="11B0DD0F"/>
    <w:rsid w:val="11B28E3D"/>
    <w:rsid w:val="11BA0A44"/>
    <w:rsid w:val="11E166D3"/>
    <w:rsid w:val="11E1DBD7"/>
    <w:rsid w:val="1218E51F"/>
    <w:rsid w:val="1231A622"/>
    <w:rsid w:val="1237F420"/>
    <w:rsid w:val="123C94DD"/>
    <w:rsid w:val="1262C962"/>
    <w:rsid w:val="127024EE"/>
    <w:rsid w:val="128C7BB6"/>
    <w:rsid w:val="12AF5A71"/>
    <w:rsid w:val="12CFE91B"/>
    <w:rsid w:val="12D1710C"/>
    <w:rsid w:val="12EB5AED"/>
    <w:rsid w:val="12FEE048"/>
    <w:rsid w:val="1312ABC6"/>
    <w:rsid w:val="132FBDE3"/>
    <w:rsid w:val="13368E4C"/>
    <w:rsid w:val="133BF025"/>
    <w:rsid w:val="13485FD5"/>
    <w:rsid w:val="135BCE15"/>
    <w:rsid w:val="138C8586"/>
    <w:rsid w:val="13967137"/>
    <w:rsid w:val="13A0F8D9"/>
    <w:rsid w:val="13CB903A"/>
    <w:rsid w:val="13D98B93"/>
    <w:rsid w:val="13E747F7"/>
    <w:rsid w:val="13EDAFAC"/>
    <w:rsid w:val="142B2A80"/>
    <w:rsid w:val="14370DAA"/>
    <w:rsid w:val="143C7FE3"/>
    <w:rsid w:val="14515A22"/>
    <w:rsid w:val="147228C6"/>
    <w:rsid w:val="148DAFF2"/>
    <w:rsid w:val="14BBFB81"/>
    <w:rsid w:val="14BFCCE8"/>
    <w:rsid w:val="14D0A36E"/>
    <w:rsid w:val="14E33A85"/>
    <w:rsid w:val="14F3452C"/>
    <w:rsid w:val="14F56255"/>
    <w:rsid w:val="14FB918E"/>
    <w:rsid w:val="1541D8F8"/>
    <w:rsid w:val="156E66B3"/>
    <w:rsid w:val="15A0F5E8"/>
    <w:rsid w:val="15AE21EC"/>
    <w:rsid w:val="15B2149D"/>
    <w:rsid w:val="15B8104F"/>
    <w:rsid w:val="15C654F5"/>
    <w:rsid w:val="15C8204F"/>
    <w:rsid w:val="15D3C72B"/>
    <w:rsid w:val="15D84612"/>
    <w:rsid w:val="1648F4F9"/>
    <w:rsid w:val="1650C507"/>
    <w:rsid w:val="1652FB15"/>
    <w:rsid w:val="165BB014"/>
    <w:rsid w:val="16610CE5"/>
    <w:rsid w:val="16761EA1"/>
    <w:rsid w:val="167F3B35"/>
    <w:rsid w:val="16AC3090"/>
    <w:rsid w:val="16B0B339"/>
    <w:rsid w:val="16B3AC8A"/>
    <w:rsid w:val="16BA1DA3"/>
    <w:rsid w:val="16CBE24D"/>
    <w:rsid w:val="16D88EAE"/>
    <w:rsid w:val="16F177C5"/>
    <w:rsid w:val="17149B64"/>
    <w:rsid w:val="1719305E"/>
    <w:rsid w:val="1728449F"/>
    <w:rsid w:val="174CAB42"/>
    <w:rsid w:val="1750B384"/>
    <w:rsid w:val="177FC93D"/>
    <w:rsid w:val="17D74ADB"/>
    <w:rsid w:val="17DC9775"/>
    <w:rsid w:val="17EB199F"/>
    <w:rsid w:val="18069971"/>
    <w:rsid w:val="1808038F"/>
    <w:rsid w:val="183546DB"/>
    <w:rsid w:val="184ABC2E"/>
    <w:rsid w:val="1850A71C"/>
    <w:rsid w:val="185593A7"/>
    <w:rsid w:val="185C92FE"/>
    <w:rsid w:val="1874E8D9"/>
    <w:rsid w:val="188588A9"/>
    <w:rsid w:val="18A0B176"/>
    <w:rsid w:val="18B178C4"/>
    <w:rsid w:val="18B33000"/>
    <w:rsid w:val="18B90D09"/>
    <w:rsid w:val="18BAF16B"/>
    <w:rsid w:val="18BD3DB3"/>
    <w:rsid w:val="18C76D3D"/>
    <w:rsid w:val="18C76D3D"/>
    <w:rsid w:val="18CA69F6"/>
    <w:rsid w:val="18D4EFCD"/>
    <w:rsid w:val="18DC0F51"/>
    <w:rsid w:val="18EFC619"/>
    <w:rsid w:val="18FC6F81"/>
    <w:rsid w:val="18FF2842"/>
    <w:rsid w:val="1905C280"/>
    <w:rsid w:val="193A5E26"/>
    <w:rsid w:val="1947B20A"/>
    <w:rsid w:val="1958371B"/>
    <w:rsid w:val="195CD621"/>
    <w:rsid w:val="197A5B1A"/>
    <w:rsid w:val="198A1206"/>
    <w:rsid w:val="19B644D8"/>
    <w:rsid w:val="19BDC387"/>
    <w:rsid w:val="19C5AF05"/>
    <w:rsid w:val="19CB793B"/>
    <w:rsid w:val="19D37F0A"/>
    <w:rsid w:val="19DA690F"/>
    <w:rsid w:val="19EFD05E"/>
    <w:rsid w:val="19F85437"/>
    <w:rsid w:val="19FE44EB"/>
    <w:rsid w:val="1A05EBCE"/>
    <w:rsid w:val="1A0A3B87"/>
    <w:rsid w:val="1A0C530E"/>
    <w:rsid w:val="1A3BE239"/>
    <w:rsid w:val="1A56CBA0"/>
    <w:rsid w:val="1A5AC88F"/>
    <w:rsid w:val="1A5BD62A"/>
    <w:rsid w:val="1A5F3DDE"/>
    <w:rsid w:val="1A76A88C"/>
    <w:rsid w:val="1A9057BB"/>
    <w:rsid w:val="1A9FB149"/>
    <w:rsid w:val="1AA34D35"/>
    <w:rsid w:val="1AB10935"/>
    <w:rsid w:val="1AB6BDFC"/>
    <w:rsid w:val="1AB8DD59"/>
    <w:rsid w:val="1AF238A0"/>
    <w:rsid w:val="1AF4FD6C"/>
    <w:rsid w:val="1AF72238"/>
    <w:rsid w:val="1B0B79CD"/>
    <w:rsid w:val="1B19DA62"/>
    <w:rsid w:val="1B304849"/>
    <w:rsid w:val="1B505930"/>
    <w:rsid w:val="1B64458E"/>
    <w:rsid w:val="1B71BBC4"/>
    <w:rsid w:val="1B743E46"/>
    <w:rsid w:val="1B8C32E1"/>
    <w:rsid w:val="1BA0C09F"/>
    <w:rsid w:val="1BA1EF8A"/>
    <w:rsid w:val="1BA949B7"/>
    <w:rsid w:val="1BB747D1"/>
    <w:rsid w:val="1BD4E99B"/>
    <w:rsid w:val="1C02EE1E"/>
    <w:rsid w:val="1C1EE891"/>
    <w:rsid w:val="1C4A8B94"/>
    <w:rsid w:val="1C6000CC"/>
    <w:rsid w:val="1C8B54AB"/>
    <w:rsid w:val="1C9905F0"/>
    <w:rsid w:val="1CA11FD0"/>
    <w:rsid w:val="1CABE7E1"/>
    <w:rsid w:val="1CC3EF3E"/>
    <w:rsid w:val="1CD3D250"/>
    <w:rsid w:val="1CE5895D"/>
    <w:rsid w:val="1CED3FA3"/>
    <w:rsid w:val="1D0C4440"/>
    <w:rsid w:val="1D167728"/>
    <w:rsid w:val="1D167728"/>
    <w:rsid w:val="1D194805"/>
    <w:rsid w:val="1D1F9F58"/>
    <w:rsid w:val="1D1F9F58"/>
    <w:rsid w:val="1D21AB48"/>
    <w:rsid w:val="1D24351F"/>
    <w:rsid w:val="1D4CC707"/>
    <w:rsid w:val="1D54FE68"/>
    <w:rsid w:val="1D6CF04D"/>
    <w:rsid w:val="1D8DE969"/>
    <w:rsid w:val="1D9B9D30"/>
    <w:rsid w:val="1DA739E7"/>
    <w:rsid w:val="1DB1B72B"/>
    <w:rsid w:val="1DCBB98B"/>
    <w:rsid w:val="1DCD208B"/>
    <w:rsid w:val="1DFC235B"/>
    <w:rsid w:val="1E04759C"/>
    <w:rsid w:val="1E04759C"/>
    <w:rsid w:val="1E1684D4"/>
    <w:rsid w:val="1E17401C"/>
    <w:rsid w:val="1E229561"/>
    <w:rsid w:val="1E4CD98C"/>
    <w:rsid w:val="1E4F4D9C"/>
    <w:rsid w:val="1E61D254"/>
    <w:rsid w:val="1E6F80F3"/>
    <w:rsid w:val="1E87176C"/>
    <w:rsid w:val="1E87F701"/>
    <w:rsid w:val="1E908D0C"/>
    <w:rsid w:val="1E9A491F"/>
    <w:rsid w:val="1EA232F6"/>
    <w:rsid w:val="1EBCF505"/>
    <w:rsid w:val="1EC5C71F"/>
    <w:rsid w:val="1EC67643"/>
    <w:rsid w:val="1ECFC752"/>
    <w:rsid w:val="1EDC230D"/>
    <w:rsid w:val="1EDF38B8"/>
    <w:rsid w:val="1EFB527C"/>
    <w:rsid w:val="1F14595E"/>
    <w:rsid w:val="1F16D332"/>
    <w:rsid w:val="1F31A5A6"/>
    <w:rsid w:val="1F31F36B"/>
    <w:rsid w:val="1F57F9AD"/>
    <w:rsid w:val="1F59CF2A"/>
    <w:rsid w:val="1F706C30"/>
    <w:rsid w:val="1F8C27AA"/>
    <w:rsid w:val="1F99B522"/>
    <w:rsid w:val="1F9EC8ED"/>
    <w:rsid w:val="1FA0C351"/>
    <w:rsid w:val="1FBA73DE"/>
    <w:rsid w:val="1FC94AA1"/>
    <w:rsid w:val="1FEB1D28"/>
    <w:rsid w:val="1FEB1D28"/>
    <w:rsid w:val="1FF1DD40"/>
    <w:rsid w:val="20052FC6"/>
    <w:rsid w:val="200D5CCE"/>
    <w:rsid w:val="2019C4A1"/>
    <w:rsid w:val="202CBE68"/>
    <w:rsid w:val="20417133"/>
    <w:rsid w:val="20420A4B"/>
    <w:rsid w:val="204C05C3"/>
    <w:rsid w:val="20559BC8"/>
    <w:rsid w:val="2061DDCD"/>
    <w:rsid w:val="207EC604"/>
    <w:rsid w:val="2084D636"/>
    <w:rsid w:val="20B24352"/>
    <w:rsid w:val="20DB323F"/>
    <w:rsid w:val="20DB4DB8"/>
    <w:rsid w:val="20FB3B77"/>
    <w:rsid w:val="210DBC1F"/>
    <w:rsid w:val="21323F5B"/>
    <w:rsid w:val="215A0728"/>
    <w:rsid w:val="215D8C18"/>
    <w:rsid w:val="215DC098"/>
    <w:rsid w:val="2165BF8F"/>
    <w:rsid w:val="217E7990"/>
    <w:rsid w:val="21973BC9"/>
    <w:rsid w:val="21B0BED5"/>
    <w:rsid w:val="21C755BC"/>
    <w:rsid w:val="221BD704"/>
    <w:rsid w:val="222B5ACF"/>
    <w:rsid w:val="222ED78A"/>
    <w:rsid w:val="22498BC3"/>
    <w:rsid w:val="224AD90F"/>
    <w:rsid w:val="225DE072"/>
    <w:rsid w:val="22672954"/>
    <w:rsid w:val="226FABC6"/>
    <w:rsid w:val="227D8391"/>
    <w:rsid w:val="2280AFAA"/>
    <w:rsid w:val="2283AA70"/>
    <w:rsid w:val="228711CA"/>
    <w:rsid w:val="22956CB0"/>
    <w:rsid w:val="229B4B67"/>
    <w:rsid w:val="229BCDDA"/>
    <w:rsid w:val="22A6C0F3"/>
    <w:rsid w:val="22A6C0F3"/>
    <w:rsid w:val="22B2D4F7"/>
    <w:rsid w:val="22B7AA41"/>
    <w:rsid w:val="22E549DD"/>
    <w:rsid w:val="22E93796"/>
    <w:rsid w:val="23089DA3"/>
    <w:rsid w:val="231CD982"/>
    <w:rsid w:val="23266003"/>
    <w:rsid w:val="232B10DD"/>
    <w:rsid w:val="236CE911"/>
    <w:rsid w:val="23783335"/>
    <w:rsid w:val="23AD316D"/>
    <w:rsid w:val="23C31B07"/>
    <w:rsid w:val="23C6E5AC"/>
    <w:rsid w:val="23C846BA"/>
    <w:rsid w:val="23DD8F01"/>
    <w:rsid w:val="23E4C0A0"/>
    <w:rsid w:val="23E517E1"/>
    <w:rsid w:val="23E7E4DE"/>
    <w:rsid w:val="23F13CE7"/>
    <w:rsid w:val="2421D780"/>
    <w:rsid w:val="2429E214"/>
    <w:rsid w:val="242EC7A3"/>
    <w:rsid w:val="24374165"/>
    <w:rsid w:val="2446A190"/>
    <w:rsid w:val="245708D1"/>
    <w:rsid w:val="246859EF"/>
    <w:rsid w:val="24781BA5"/>
    <w:rsid w:val="24879682"/>
    <w:rsid w:val="248D9D63"/>
    <w:rsid w:val="24A25614"/>
    <w:rsid w:val="24A2B3F1"/>
    <w:rsid w:val="24B6EF42"/>
    <w:rsid w:val="24D733EA"/>
    <w:rsid w:val="24DC3114"/>
    <w:rsid w:val="2508FAB3"/>
    <w:rsid w:val="250F1906"/>
    <w:rsid w:val="252F127A"/>
    <w:rsid w:val="25311864"/>
    <w:rsid w:val="2538D669"/>
    <w:rsid w:val="254236CE"/>
    <w:rsid w:val="2550C220"/>
    <w:rsid w:val="257D8C5E"/>
    <w:rsid w:val="259BD21A"/>
    <w:rsid w:val="25C1B39D"/>
    <w:rsid w:val="25CA7CD8"/>
    <w:rsid w:val="25DB7475"/>
    <w:rsid w:val="25F542F5"/>
    <w:rsid w:val="25FDC098"/>
    <w:rsid w:val="2617455D"/>
    <w:rsid w:val="2621B6BB"/>
    <w:rsid w:val="264AB0B8"/>
    <w:rsid w:val="2657A43B"/>
    <w:rsid w:val="2662F24F"/>
    <w:rsid w:val="2663D496"/>
    <w:rsid w:val="2671EF07"/>
    <w:rsid w:val="268368D6"/>
    <w:rsid w:val="268B8417"/>
    <w:rsid w:val="268EF392"/>
    <w:rsid w:val="269F738B"/>
    <w:rsid w:val="26A004BC"/>
    <w:rsid w:val="26B6651D"/>
    <w:rsid w:val="26BB99BB"/>
    <w:rsid w:val="26C6284C"/>
    <w:rsid w:val="26C90932"/>
    <w:rsid w:val="26CFD925"/>
    <w:rsid w:val="26E25AE9"/>
    <w:rsid w:val="26E71785"/>
    <w:rsid w:val="26E98972"/>
    <w:rsid w:val="26FF3406"/>
    <w:rsid w:val="270A83D3"/>
    <w:rsid w:val="27101FCF"/>
    <w:rsid w:val="27101FCF"/>
    <w:rsid w:val="272F73A6"/>
    <w:rsid w:val="273BD5FF"/>
    <w:rsid w:val="27624E03"/>
    <w:rsid w:val="2768BC98"/>
    <w:rsid w:val="276E654F"/>
    <w:rsid w:val="27906943"/>
    <w:rsid w:val="27908E75"/>
    <w:rsid w:val="27A5D141"/>
    <w:rsid w:val="27C94D6F"/>
    <w:rsid w:val="27E512B3"/>
    <w:rsid w:val="27EE2616"/>
    <w:rsid w:val="28031C4C"/>
    <w:rsid w:val="2803E2D6"/>
    <w:rsid w:val="28194C1A"/>
    <w:rsid w:val="281DBD8C"/>
    <w:rsid w:val="28242883"/>
    <w:rsid w:val="282B44EB"/>
    <w:rsid w:val="284D2EAC"/>
    <w:rsid w:val="285F0490"/>
    <w:rsid w:val="287A2407"/>
    <w:rsid w:val="288AAACB"/>
    <w:rsid w:val="28967D89"/>
    <w:rsid w:val="2899C990"/>
    <w:rsid w:val="28D0A1C4"/>
    <w:rsid w:val="28D54AEE"/>
    <w:rsid w:val="28EF654D"/>
    <w:rsid w:val="28EF654D"/>
    <w:rsid w:val="2915C956"/>
    <w:rsid w:val="294786C8"/>
    <w:rsid w:val="29679A0B"/>
    <w:rsid w:val="29699D68"/>
    <w:rsid w:val="297948C4"/>
    <w:rsid w:val="298491E7"/>
    <w:rsid w:val="29877DA3"/>
    <w:rsid w:val="299F31D3"/>
    <w:rsid w:val="29CABBDD"/>
    <w:rsid w:val="29E6AF3C"/>
    <w:rsid w:val="2A0B9356"/>
    <w:rsid w:val="2A13F592"/>
    <w:rsid w:val="2A217F31"/>
    <w:rsid w:val="2A48D6B8"/>
    <w:rsid w:val="2AA0E703"/>
    <w:rsid w:val="2AB9B454"/>
    <w:rsid w:val="2ACA9694"/>
    <w:rsid w:val="2AD85059"/>
    <w:rsid w:val="2AF73684"/>
    <w:rsid w:val="2B22337F"/>
    <w:rsid w:val="2B252138"/>
    <w:rsid w:val="2B3FE1FE"/>
    <w:rsid w:val="2B4FAAC9"/>
    <w:rsid w:val="2B5A3E11"/>
    <w:rsid w:val="2B5F5F6B"/>
    <w:rsid w:val="2B642B62"/>
    <w:rsid w:val="2B6E74B1"/>
    <w:rsid w:val="2B72279F"/>
    <w:rsid w:val="2B7CDA8F"/>
    <w:rsid w:val="2B7DA3CC"/>
    <w:rsid w:val="2B95620D"/>
    <w:rsid w:val="2BBFFF87"/>
    <w:rsid w:val="2BC34416"/>
    <w:rsid w:val="2BC6903A"/>
    <w:rsid w:val="2BDE3E87"/>
    <w:rsid w:val="2BFBA5EF"/>
    <w:rsid w:val="2C05571E"/>
    <w:rsid w:val="2C11FB0F"/>
    <w:rsid w:val="2C335110"/>
    <w:rsid w:val="2C51250B"/>
    <w:rsid w:val="2C55FBF8"/>
    <w:rsid w:val="2C61BE7D"/>
    <w:rsid w:val="2C7ED639"/>
    <w:rsid w:val="2C8A131D"/>
    <w:rsid w:val="2CA62DAA"/>
    <w:rsid w:val="2CD7970C"/>
    <w:rsid w:val="2CE71E0D"/>
    <w:rsid w:val="2D0A76AF"/>
    <w:rsid w:val="2D19B1EE"/>
    <w:rsid w:val="2D1CC1B9"/>
    <w:rsid w:val="2D3D26E5"/>
    <w:rsid w:val="2D3D26E5"/>
    <w:rsid w:val="2D5CC787"/>
    <w:rsid w:val="2D6B3519"/>
    <w:rsid w:val="2D70D009"/>
    <w:rsid w:val="2D821F10"/>
    <w:rsid w:val="2DAF7766"/>
    <w:rsid w:val="2DB2331C"/>
    <w:rsid w:val="2DBDCF1A"/>
    <w:rsid w:val="2DD4C059"/>
    <w:rsid w:val="2DD6F960"/>
    <w:rsid w:val="2DE80FD2"/>
    <w:rsid w:val="2DEA6DC6"/>
    <w:rsid w:val="2DEA6DC6"/>
    <w:rsid w:val="2DFFC19A"/>
    <w:rsid w:val="2E0A141E"/>
    <w:rsid w:val="2E0CDB0C"/>
    <w:rsid w:val="2E0CDB0C"/>
    <w:rsid w:val="2E12ACAB"/>
    <w:rsid w:val="2E15B2C8"/>
    <w:rsid w:val="2E34E324"/>
    <w:rsid w:val="2E47C635"/>
    <w:rsid w:val="2E575D0D"/>
    <w:rsid w:val="2E661999"/>
    <w:rsid w:val="2E7FDD5D"/>
    <w:rsid w:val="2E9E564F"/>
    <w:rsid w:val="2EB5AD70"/>
    <w:rsid w:val="2EBB7CD2"/>
    <w:rsid w:val="2EFD4843"/>
    <w:rsid w:val="2F01C14B"/>
    <w:rsid w:val="2F0E9E36"/>
    <w:rsid w:val="2F11887A"/>
    <w:rsid w:val="2F148FEC"/>
    <w:rsid w:val="2F224DE7"/>
    <w:rsid w:val="2F2ECA7C"/>
    <w:rsid w:val="2F32D416"/>
    <w:rsid w:val="2F4C4C95"/>
    <w:rsid w:val="2F6D3030"/>
    <w:rsid w:val="2F796590"/>
    <w:rsid w:val="2F8E72E9"/>
    <w:rsid w:val="2F9C42BB"/>
    <w:rsid w:val="2F9C42BB"/>
    <w:rsid w:val="2FA001DD"/>
    <w:rsid w:val="2FA45ECC"/>
    <w:rsid w:val="2FEA1A4B"/>
    <w:rsid w:val="2FF4E9D0"/>
    <w:rsid w:val="2FF74345"/>
    <w:rsid w:val="300B78C5"/>
    <w:rsid w:val="301FD9AA"/>
    <w:rsid w:val="30208329"/>
    <w:rsid w:val="30290639"/>
    <w:rsid w:val="3037D574"/>
    <w:rsid w:val="30398B84"/>
    <w:rsid w:val="3052E463"/>
    <w:rsid w:val="305AD98C"/>
    <w:rsid w:val="30607D41"/>
    <w:rsid w:val="30624970"/>
    <w:rsid w:val="30639AF6"/>
    <w:rsid w:val="306D51A2"/>
    <w:rsid w:val="307BED19"/>
    <w:rsid w:val="30A98733"/>
    <w:rsid w:val="30C4C2A4"/>
    <w:rsid w:val="30CC5527"/>
    <w:rsid w:val="30D37B9D"/>
    <w:rsid w:val="30EE23A1"/>
    <w:rsid w:val="3108E1BD"/>
    <w:rsid w:val="31090FC7"/>
    <w:rsid w:val="311A6461"/>
    <w:rsid w:val="31369161"/>
    <w:rsid w:val="3146D440"/>
    <w:rsid w:val="31605CE2"/>
    <w:rsid w:val="3190AB5A"/>
    <w:rsid w:val="31A395D3"/>
    <w:rsid w:val="31A627C7"/>
    <w:rsid w:val="31B1791C"/>
    <w:rsid w:val="31B995BB"/>
    <w:rsid w:val="31BB468E"/>
    <w:rsid w:val="31BC022F"/>
    <w:rsid w:val="31BC022F"/>
    <w:rsid w:val="31C99DF7"/>
    <w:rsid w:val="31CFCB77"/>
    <w:rsid w:val="3209A3F0"/>
    <w:rsid w:val="323880D6"/>
    <w:rsid w:val="323C41B6"/>
    <w:rsid w:val="324A9599"/>
    <w:rsid w:val="32938DE2"/>
    <w:rsid w:val="32D55D74"/>
    <w:rsid w:val="32DA6C0C"/>
    <w:rsid w:val="32EC08E5"/>
    <w:rsid w:val="32F1AFFE"/>
    <w:rsid w:val="32F345CF"/>
    <w:rsid w:val="32F75DCD"/>
    <w:rsid w:val="32F89AF0"/>
    <w:rsid w:val="330B2789"/>
    <w:rsid w:val="331265E6"/>
    <w:rsid w:val="3313E2A4"/>
    <w:rsid w:val="331CCF29"/>
    <w:rsid w:val="33200083"/>
    <w:rsid w:val="3322781B"/>
    <w:rsid w:val="333F57BD"/>
    <w:rsid w:val="334928A5"/>
    <w:rsid w:val="3376100C"/>
    <w:rsid w:val="337C2255"/>
    <w:rsid w:val="337D0BF4"/>
    <w:rsid w:val="33DFE8C8"/>
    <w:rsid w:val="33E889BF"/>
    <w:rsid w:val="33F980E8"/>
    <w:rsid w:val="33FD7A18"/>
    <w:rsid w:val="33FE1C11"/>
    <w:rsid w:val="340388DB"/>
    <w:rsid w:val="34040E3C"/>
    <w:rsid w:val="340D6981"/>
    <w:rsid w:val="34166E3F"/>
    <w:rsid w:val="3450E30D"/>
    <w:rsid w:val="345BC986"/>
    <w:rsid w:val="3462ABF8"/>
    <w:rsid w:val="346397E9"/>
    <w:rsid w:val="3480D4C8"/>
    <w:rsid w:val="34CE02FB"/>
    <w:rsid w:val="34D12745"/>
    <w:rsid w:val="34D530E9"/>
    <w:rsid w:val="34EDAE63"/>
    <w:rsid w:val="350E0403"/>
    <w:rsid w:val="3510B28B"/>
    <w:rsid w:val="351DCE75"/>
    <w:rsid w:val="355045A8"/>
    <w:rsid w:val="3555115E"/>
    <w:rsid w:val="356556BD"/>
    <w:rsid w:val="359E318C"/>
    <w:rsid w:val="35AE01F9"/>
    <w:rsid w:val="35C66C63"/>
    <w:rsid w:val="35C808EC"/>
    <w:rsid w:val="35F064FD"/>
    <w:rsid w:val="35FB0622"/>
    <w:rsid w:val="360B92C0"/>
    <w:rsid w:val="36173F7E"/>
    <w:rsid w:val="366670BF"/>
    <w:rsid w:val="3667C186"/>
    <w:rsid w:val="368427EA"/>
    <w:rsid w:val="3695B408"/>
    <w:rsid w:val="36AFE3F7"/>
    <w:rsid w:val="36B165BF"/>
    <w:rsid w:val="36B1E906"/>
    <w:rsid w:val="36CC761F"/>
    <w:rsid w:val="36CC761F"/>
    <w:rsid w:val="36CF816E"/>
    <w:rsid w:val="36D5F4D3"/>
    <w:rsid w:val="36D989E5"/>
    <w:rsid w:val="36DE01B5"/>
    <w:rsid w:val="36EBE129"/>
    <w:rsid w:val="36EDDEFC"/>
    <w:rsid w:val="36F4BB70"/>
    <w:rsid w:val="36FB8F9E"/>
    <w:rsid w:val="3702754F"/>
    <w:rsid w:val="370EB30B"/>
    <w:rsid w:val="3751EA13"/>
    <w:rsid w:val="376B55B6"/>
    <w:rsid w:val="37745C8C"/>
    <w:rsid w:val="37803CCB"/>
    <w:rsid w:val="3781E0DB"/>
    <w:rsid w:val="37993B4D"/>
    <w:rsid w:val="37D7EEC7"/>
    <w:rsid w:val="37FEAB6C"/>
    <w:rsid w:val="37FEDB9F"/>
    <w:rsid w:val="3807D8EE"/>
    <w:rsid w:val="380E889F"/>
    <w:rsid w:val="3822D8D8"/>
    <w:rsid w:val="3835200A"/>
    <w:rsid w:val="38414C8D"/>
    <w:rsid w:val="386310E4"/>
    <w:rsid w:val="386AE35C"/>
    <w:rsid w:val="389CB2AC"/>
    <w:rsid w:val="389EF81B"/>
    <w:rsid w:val="38AFE4E6"/>
    <w:rsid w:val="3907DBCB"/>
    <w:rsid w:val="3909019D"/>
    <w:rsid w:val="39363EC9"/>
    <w:rsid w:val="395C3210"/>
    <w:rsid w:val="39606A3E"/>
    <w:rsid w:val="39638822"/>
    <w:rsid w:val="3989AA47"/>
    <w:rsid w:val="39A3F179"/>
    <w:rsid w:val="39A3F179"/>
    <w:rsid w:val="39D27374"/>
    <w:rsid w:val="39E09CBC"/>
    <w:rsid w:val="39EDE285"/>
    <w:rsid w:val="39F0B301"/>
    <w:rsid w:val="3A0E9BCA"/>
    <w:rsid w:val="3A3F67BE"/>
    <w:rsid w:val="3A4750E4"/>
    <w:rsid w:val="3A6690C3"/>
    <w:rsid w:val="3A999DE1"/>
    <w:rsid w:val="3A9F9A3A"/>
    <w:rsid w:val="3AA9C85F"/>
    <w:rsid w:val="3AB1F6C9"/>
    <w:rsid w:val="3ABA70EF"/>
    <w:rsid w:val="3ADAAC95"/>
    <w:rsid w:val="3AE61E76"/>
    <w:rsid w:val="3AF86214"/>
    <w:rsid w:val="3B0AE829"/>
    <w:rsid w:val="3B0EF9B0"/>
    <w:rsid w:val="3B255AD3"/>
    <w:rsid w:val="3B25B8D6"/>
    <w:rsid w:val="3B48CA10"/>
    <w:rsid w:val="3B724C2E"/>
    <w:rsid w:val="3B73BBBB"/>
    <w:rsid w:val="3B73BBD9"/>
    <w:rsid w:val="3B7D3A94"/>
    <w:rsid w:val="3B928BDB"/>
    <w:rsid w:val="3BCDB455"/>
    <w:rsid w:val="3BD7BE06"/>
    <w:rsid w:val="3BE61FBD"/>
    <w:rsid w:val="3BE6D032"/>
    <w:rsid w:val="3BEE6C1C"/>
    <w:rsid w:val="3BF2B684"/>
    <w:rsid w:val="3C15FA7A"/>
    <w:rsid w:val="3C380E10"/>
    <w:rsid w:val="3C522EF7"/>
    <w:rsid w:val="3C537498"/>
    <w:rsid w:val="3C5CEB5B"/>
    <w:rsid w:val="3C5D3213"/>
    <w:rsid w:val="3C66CC47"/>
    <w:rsid w:val="3C6F01A4"/>
    <w:rsid w:val="3C7D05EA"/>
    <w:rsid w:val="3C88BD26"/>
    <w:rsid w:val="3CB15940"/>
    <w:rsid w:val="3CB5411D"/>
    <w:rsid w:val="3CD72234"/>
    <w:rsid w:val="3CE3A242"/>
    <w:rsid w:val="3D006FF7"/>
    <w:rsid w:val="3D030B6E"/>
    <w:rsid w:val="3D059CA1"/>
    <w:rsid w:val="3D19ECE8"/>
    <w:rsid w:val="3D2D92AE"/>
    <w:rsid w:val="3D33DA60"/>
    <w:rsid w:val="3D40DBBD"/>
    <w:rsid w:val="3D416E96"/>
    <w:rsid w:val="3D680859"/>
    <w:rsid w:val="3D81DC69"/>
    <w:rsid w:val="3D8FF4D4"/>
    <w:rsid w:val="3DB6958D"/>
    <w:rsid w:val="3DC48AA5"/>
    <w:rsid w:val="3DDC0237"/>
    <w:rsid w:val="3DED9782"/>
    <w:rsid w:val="3E05C7A1"/>
    <w:rsid w:val="3E2CA72B"/>
    <w:rsid w:val="3E31F5FC"/>
    <w:rsid w:val="3E4646F9"/>
    <w:rsid w:val="3E516985"/>
    <w:rsid w:val="3E63163B"/>
    <w:rsid w:val="3E77DEF1"/>
    <w:rsid w:val="3E90C850"/>
    <w:rsid w:val="3E90C850"/>
    <w:rsid w:val="3E97C5F4"/>
    <w:rsid w:val="3E99E934"/>
    <w:rsid w:val="3ECF28C1"/>
    <w:rsid w:val="3ED5EAE5"/>
    <w:rsid w:val="3EF274D6"/>
    <w:rsid w:val="3F01AC75"/>
    <w:rsid w:val="3F06C6D4"/>
    <w:rsid w:val="3F231662"/>
    <w:rsid w:val="3F271910"/>
    <w:rsid w:val="3F2A74A6"/>
    <w:rsid w:val="3F30F07A"/>
    <w:rsid w:val="3F360525"/>
    <w:rsid w:val="3F58DAFA"/>
    <w:rsid w:val="3F62FFC0"/>
    <w:rsid w:val="3F751668"/>
    <w:rsid w:val="3F90F4D3"/>
    <w:rsid w:val="3F919652"/>
    <w:rsid w:val="3F9BDF31"/>
    <w:rsid w:val="3FD3229F"/>
    <w:rsid w:val="3FDC7D8E"/>
    <w:rsid w:val="3FE96CD4"/>
    <w:rsid w:val="4002AC18"/>
    <w:rsid w:val="4004A0FA"/>
    <w:rsid w:val="401D94E0"/>
    <w:rsid w:val="403FC10C"/>
    <w:rsid w:val="4048AE46"/>
    <w:rsid w:val="4071A42F"/>
    <w:rsid w:val="407616D4"/>
    <w:rsid w:val="407D5515"/>
    <w:rsid w:val="4098EA52"/>
    <w:rsid w:val="40A7D625"/>
    <w:rsid w:val="40AD5E78"/>
    <w:rsid w:val="40B15FAB"/>
    <w:rsid w:val="40BC0610"/>
    <w:rsid w:val="40DE84AE"/>
    <w:rsid w:val="40DFBA8D"/>
    <w:rsid w:val="411B9DAA"/>
    <w:rsid w:val="4131B629"/>
    <w:rsid w:val="41394A8A"/>
    <w:rsid w:val="4163BFBC"/>
    <w:rsid w:val="418CF7E9"/>
    <w:rsid w:val="4199A6CF"/>
    <w:rsid w:val="41AA2590"/>
    <w:rsid w:val="41AB35F8"/>
    <w:rsid w:val="41C514C7"/>
    <w:rsid w:val="41D2C190"/>
    <w:rsid w:val="41F68536"/>
    <w:rsid w:val="4219D867"/>
    <w:rsid w:val="421CCAFC"/>
    <w:rsid w:val="423F07AA"/>
    <w:rsid w:val="42457D4D"/>
    <w:rsid w:val="424C9A73"/>
    <w:rsid w:val="42560930"/>
    <w:rsid w:val="4270E48A"/>
    <w:rsid w:val="4273E2F2"/>
    <w:rsid w:val="428581A0"/>
    <w:rsid w:val="428C8442"/>
    <w:rsid w:val="428FF778"/>
    <w:rsid w:val="429768A4"/>
    <w:rsid w:val="42ABAAC0"/>
    <w:rsid w:val="42C8F13A"/>
    <w:rsid w:val="42C92B9E"/>
    <w:rsid w:val="42CA2C02"/>
    <w:rsid w:val="42D6EA14"/>
    <w:rsid w:val="42DD722F"/>
    <w:rsid w:val="42ECE839"/>
    <w:rsid w:val="42EF54F6"/>
    <w:rsid w:val="42EF6D96"/>
    <w:rsid w:val="42F8B301"/>
    <w:rsid w:val="42FCFE2E"/>
    <w:rsid w:val="43337A01"/>
    <w:rsid w:val="434603F0"/>
    <w:rsid w:val="435D628E"/>
    <w:rsid w:val="436AE352"/>
    <w:rsid w:val="4378865C"/>
    <w:rsid w:val="4399C2A3"/>
    <w:rsid w:val="43ACF64E"/>
    <w:rsid w:val="43B334F3"/>
    <w:rsid w:val="43B41605"/>
    <w:rsid w:val="43B4E560"/>
    <w:rsid w:val="43C96FC1"/>
    <w:rsid w:val="43E71DE3"/>
    <w:rsid w:val="43FA690A"/>
    <w:rsid w:val="4407FDAB"/>
    <w:rsid w:val="440DA388"/>
    <w:rsid w:val="440DE454"/>
    <w:rsid w:val="4410199C"/>
    <w:rsid w:val="4423BA4D"/>
    <w:rsid w:val="44266CC5"/>
    <w:rsid w:val="4434A02A"/>
    <w:rsid w:val="445905A3"/>
    <w:rsid w:val="445985C8"/>
    <w:rsid w:val="446039B9"/>
    <w:rsid w:val="4472672D"/>
    <w:rsid w:val="44778F14"/>
    <w:rsid w:val="448DBECA"/>
    <w:rsid w:val="44A3CD9F"/>
    <w:rsid w:val="44B0F9FF"/>
    <w:rsid w:val="44D95BBF"/>
    <w:rsid w:val="44F9C546"/>
    <w:rsid w:val="45109861"/>
    <w:rsid w:val="452B0F60"/>
    <w:rsid w:val="45529AE2"/>
    <w:rsid w:val="455ECC0C"/>
    <w:rsid w:val="456A1E17"/>
    <w:rsid w:val="457FEC67"/>
    <w:rsid w:val="458AEB08"/>
    <w:rsid w:val="45902CED"/>
    <w:rsid w:val="45AAA206"/>
    <w:rsid w:val="45B59CB1"/>
    <w:rsid w:val="45CB24EA"/>
    <w:rsid w:val="45E0656B"/>
    <w:rsid w:val="45FD9793"/>
    <w:rsid w:val="46059CF6"/>
    <w:rsid w:val="46239A4C"/>
    <w:rsid w:val="4632A3A9"/>
    <w:rsid w:val="4633472E"/>
    <w:rsid w:val="464415CD"/>
    <w:rsid w:val="464415CD"/>
    <w:rsid w:val="464A12B3"/>
    <w:rsid w:val="46520F2A"/>
    <w:rsid w:val="4674C9D3"/>
    <w:rsid w:val="467FF93B"/>
    <w:rsid w:val="4682C601"/>
    <w:rsid w:val="468C2AD9"/>
    <w:rsid w:val="46963D42"/>
    <w:rsid w:val="46B22B54"/>
    <w:rsid w:val="46C25809"/>
    <w:rsid w:val="46E48733"/>
    <w:rsid w:val="46F1F01A"/>
    <w:rsid w:val="47020060"/>
    <w:rsid w:val="4704D7E2"/>
    <w:rsid w:val="471E3EBC"/>
    <w:rsid w:val="47219BDD"/>
    <w:rsid w:val="4730CADD"/>
    <w:rsid w:val="4737457D"/>
    <w:rsid w:val="4757F2B5"/>
    <w:rsid w:val="47992AE2"/>
    <w:rsid w:val="479D5546"/>
    <w:rsid w:val="479D5546"/>
    <w:rsid w:val="47B402BF"/>
    <w:rsid w:val="47BEA824"/>
    <w:rsid w:val="47C20FAD"/>
    <w:rsid w:val="47CFA0DC"/>
    <w:rsid w:val="47E8E0F0"/>
    <w:rsid w:val="47ED7B4A"/>
    <w:rsid w:val="47F85E32"/>
    <w:rsid w:val="481EC966"/>
    <w:rsid w:val="4862985F"/>
    <w:rsid w:val="4862985F"/>
    <w:rsid w:val="487A8782"/>
    <w:rsid w:val="48A6E187"/>
    <w:rsid w:val="48A70FE5"/>
    <w:rsid w:val="48AB0E8A"/>
    <w:rsid w:val="48B6B3A3"/>
    <w:rsid w:val="48E2B108"/>
    <w:rsid w:val="48ED2219"/>
    <w:rsid w:val="490F450D"/>
    <w:rsid w:val="49172DE7"/>
    <w:rsid w:val="491E2A44"/>
    <w:rsid w:val="492768AD"/>
    <w:rsid w:val="4928B673"/>
    <w:rsid w:val="49336C31"/>
    <w:rsid w:val="495E7EA0"/>
    <w:rsid w:val="4963929E"/>
    <w:rsid w:val="4979558F"/>
    <w:rsid w:val="498E00CC"/>
    <w:rsid w:val="49A46B9D"/>
    <w:rsid w:val="49A52811"/>
    <w:rsid w:val="49AB7881"/>
    <w:rsid w:val="49BCC5F3"/>
    <w:rsid w:val="49C740AE"/>
    <w:rsid w:val="49E66D2A"/>
    <w:rsid w:val="49EB2369"/>
    <w:rsid w:val="4A1F6F7E"/>
    <w:rsid w:val="4A259790"/>
    <w:rsid w:val="4A2EA5B6"/>
    <w:rsid w:val="4A44E5A7"/>
    <w:rsid w:val="4A47BA74"/>
    <w:rsid w:val="4A856BF7"/>
    <w:rsid w:val="4A8BFD5E"/>
    <w:rsid w:val="4A95D006"/>
    <w:rsid w:val="4AB2CCAB"/>
    <w:rsid w:val="4ACFAB66"/>
    <w:rsid w:val="4AD7AB3B"/>
    <w:rsid w:val="4AD9D641"/>
    <w:rsid w:val="4AE64E81"/>
    <w:rsid w:val="4AF040DF"/>
    <w:rsid w:val="4AFBFB0B"/>
    <w:rsid w:val="4B03FFB4"/>
    <w:rsid w:val="4B09EA20"/>
    <w:rsid w:val="4B191B1C"/>
    <w:rsid w:val="4B29E5FF"/>
    <w:rsid w:val="4BC43A71"/>
    <w:rsid w:val="4BC810A4"/>
    <w:rsid w:val="4C1423FB"/>
    <w:rsid w:val="4C1C270C"/>
    <w:rsid w:val="4C57FEC4"/>
    <w:rsid w:val="4C600DEF"/>
    <w:rsid w:val="4C6A65F1"/>
    <w:rsid w:val="4C78D2A6"/>
    <w:rsid w:val="4CA3B819"/>
    <w:rsid w:val="4CAF11A2"/>
    <w:rsid w:val="4CBA5E6F"/>
    <w:rsid w:val="4CC86C96"/>
    <w:rsid w:val="4CD41314"/>
    <w:rsid w:val="4CE56100"/>
    <w:rsid w:val="4CEEC905"/>
    <w:rsid w:val="4CF04335"/>
    <w:rsid w:val="4D0ED4F7"/>
    <w:rsid w:val="4D23D6BB"/>
    <w:rsid w:val="4D5A3B83"/>
    <w:rsid w:val="4D76D244"/>
    <w:rsid w:val="4D9F672D"/>
    <w:rsid w:val="4DCC782C"/>
    <w:rsid w:val="4DD3F49A"/>
    <w:rsid w:val="4DD898E5"/>
    <w:rsid w:val="4DEBD2FA"/>
    <w:rsid w:val="4DEEAC24"/>
    <w:rsid w:val="4DF4C386"/>
    <w:rsid w:val="4DF95668"/>
    <w:rsid w:val="4E0F4B33"/>
    <w:rsid w:val="4E101B08"/>
    <w:rsid w:val="4E2999F5"/>
    <w:rsid w:val="4E2999F5"/>
    <w:rsid w:val="4E4181BA"/>
    <w:rsid w:val="4E5828E9"/>
    <w:rsid w:val="4E7740EE"/>
    <w:rsid w:val="4E7A44F6"/>
    <w:rsid w:val="4E8E3075"/>
    <w:rsid w:val="4E936CAB"/>
    <w:rsid w:val="4EA091ED"/>
    <w:rsid w:val="4EC275C5"/>
    <w:rsid w:val="4EC8175A"/>
    <w:rsid w:val="4EC83725"/>
    <w:rsid w:val="4F1553A9"/>
    <w:rsid w:val="4F189851"/>
    <w:rsid w:val="4F1E64F7"/>
    <w:rsid w:val="4F2B47AA"/>
    <w:rsid w:val="4F2BC2EC"/>
    <w:rsid w:val="4F2C3874"/>
    <w:rsid w:val="4F495B40"/>
    <w:rsid w:val="4F832539"/>
    <w:rsid w:val="4F8E7775"/>
    <w:rsid w:val="4F9C25E3"/>
    <w:rsid w:val="4FB8C1E3"/>
    <w:rsid w:val="4FC80D9F"/>
    <w:rsid w:val="4FDAFD9B"/>
    <w:rsid w:val="4FE932EB"/>
    <w:rsid w:val="4FFCC23E"/>
    <w:rsid w:val="5005EE7B"/>
    <w:rsid w:val="50106411"/>
    <w:rsid w:val="50127D7C"/>
    <w:rsid w:val="504412C7"/>
    <w:rsid w:val="504612FA"/>
    <w:rsid w:val="5046F8DC"/>
    <w:rsid w:val="50472648"/>
    <w:rsid w:val="50472648"/>
    <w:rsid w:val="5062FFCB"/>
    <w:rsid w:val="5064C219"/>
    <w:rsid w:val="5075876F"/>
    <w:rsid w:val="507E1D83"/>
    <w:rsid w:val="507FC784"/>
    <w:rsid w:val="509EFC6F"/>
    <w:rsid w:val="50A1DA0D"/>
    <w:rsid w:val="50A2003B"/>
    <w:rsid w:val="50A2DE47"/>
    <w:rsid w:val="50BAC7B1"/>
    <w:rsid w:val="50C2877E"/>
    <w:rsid w:val="50CA1F5F"/>
    <w:rsid w:val="50F419B8"/>
    <w:rsid w:val="51008173"/>
    <w:rsid w:val="513E9C75"/>
    <w:rsid w:val="51461E12"/>
    <w:rsid w:val="5147613A"/>
    <w:rsid w:val="5159FBA1"/>
    <w:rsid w:val="516F468A"/>
    <w:rsid w:val="5190ED78"/>
    <w:rsid w:val="5190ED78"/>
    <w:rsid w:val="519F74AB"/>
    <w:rsid w:val="51ABBF82"/>
    <w:rsid w:val="51D29C44"/>
    <w:rsid w:val="51DBD87A"/>
    <w:rsid w:val="51EA8203"/>
    <w:rsid w:val="5232A654"/>
    <w:rsid w:val="5235B99C"/>
    <w:rsid w:val="523E1D1A"/>
    <w:rsid w:val="5245CA2B"/>
    <w:rsid w:val="5276243A"/>
    <w:rsid w:val="52837178"/>
    <w:rsid w:val="52904A8C"/>
    <w:rsid w:val="52969349"/>
    <w:rsid w:val="52A81DC4"/>
    <w:rsid w:val="52A81DC4"/>
    <w:rsid w:val="52AB6B90"/>
    <w:rsid w:val="52AB6B90"/>
    <w:rsid w:val="52BCB07A"/>
    <w:rsid w:val="52C0BCC7"/>
    <w:rsid w:val="52C0BCC7"/>
    <w:rsid w:val="52C60258"/>
    <w:rsid w:val="52CDCD54"/>
    <w:rsid w:val="52D435B3"/>
    <w:rsid w:val="53148BD8"/>
    <w:rsid w:val="5321616A"/>
    <w:rsid w:val="53289249"/>
    <w:rsid w:val="5361421F"/>
    <w:rsid w:val="53649D5D"/>
    <w:rsid w:val="53656EB7"/>
    <w:rsid w:val="5371A3D1"/>
    <w:rsid w:val="5374AE85"/>
    <w:rsid w:val="5375710F"/>
    <w:rsid w:val="53796BA0"/>
    <w:rsid w:val="537D0234"/>
    <w:rsid w:val="539C2D9F"/>
    <w:rsid w:val="53C0A780"/>
    <w:rsid w:val="53E0AEA5"/>
    <w:rsid w:val="540534D6"/>
    <w:rsid w:val="5410256E"/>
    <w:rsid w:val="541317F1"/>
    <w:rsid w:val="5416BFFD"/>
    <w:rsid w:val="5419C26A"/>
    <w:rsid w:val="54311A47"/>
    <w:rsid w:val="543ACDD2"/>
    <w:rsid w:val="5445BCD4"/>
    <w:rsid w:val="545A3C59"/>
    <w:rsid w:val="546C75BB"/>
    <w:rsid w:val="5491DB38"/>
    <w:rsid w:val="54A50898"/>
    <w:rsid w:val="54A640AD"/>
    <w:rsid w:val="54C63575"/>
    <w:rsid w:val="54DCC29A"/>
    <w:rsid w:val="54DF787A"/>
    <w:rsid w:val="5510F28C"/>
    <w:rsid w:val="55236C8D"/>
    <w:rsid w:val="5533067A"/>
    <w:rsid w:val="554A42C6"/>
    <w:rsid w:val="554CB51B"/>
    <w:rsid w:val="556E3D6D"/>
    <w:rsid w:val="558EF6DC"/>
    <w:rsid w:val="559B6493"/>
    <w:rsid w:val="55BC9E26"/>
    <w:rsid w:val="55C5AEA4"/>
    <w:rsid w:val="55DDBAE1"/>
    <w:rsid w:val="55E14483"/>
    <w:rsid w:val="55F9D761"/>
    <w:rsid w:val="55FB4DAB"/>
    <w:rsid w:val="5609EC72"/>
    <w:rsid w:val="56131CFA"/>
    <w:rsid w:val="562C3C85"/>
    <w:rsid w:val="56343766"/>
    <w:rsid w:val="563E5526"/>
    <w:rsid w:val="5643738E"/>
    <w:rsid w:val="56463638"/>
    <w:rsid w:val="564E27D3"/>
    <w:rsid w:val="56532210"/>
    <w:rsid w:val="56587710"/>
    <w:rsid w:val="565E2427"/>
    <w:rsid w:val="56714BB1"/>
    <w:rsid w:val="568BBDBF"/>
    <w:rsid w:val="569C2355"/>
    <w:rsid w:val="56BE9B82"/>
    <w:rsid w:val="56D2446C"/>
    <w:rsid w:val="5702BE54"/>
    <w:rsid w:val="570EB720"/>
    <w:rsid w:val="5727C7EB"/>
    <w:rsid w:val="5736B4A5"/>
    <w:rsid w:val="5738DDD1"/>
    <w:rsid w:val="5740CEFF"/>
    <w:rsid w:val="575912D7"/>
    <w:rsid w:val="576CABED"/>
    <w:rsid w:val="57767214"/>
    <w:rsid w:val="5779B2B7"/>
    <w:rsid w:val="57878BE0"/>
    <w:rsid w:val="5793D439"/>
    <w:rsid w:val="57A08252"/>
    <w:rsid w:val="57ADF0D8"/>
    <w:rsid w:val="57AF82FF"/>
    <w:rsid w:val="57CE377E"/>
    <w:rsid w:val="57CEA84B"/>
    <w:rsid w:val="57D4117E"/>
    <w:rsid w:val="5802D728"/>
    <w:rsid w:val="580CCE09"/>
    <w:rsid w:val="58272C68"/>
    <w:rsid w:val="5843DE22"/>
    <w:rsid w:val="58538CF7"/>
    <w:rsid w:val="585D7A79"/>
    <w:rsid w:val="5860706A"/>
    <w:rsid w:val="58809004"/>
    <w:rsid w:val="58917352"/>
    <w:rsid w:val="58A6260F"/>
    <w:rsid w:val="58AB5002"/>
    <w:rsid w:val="58AE2071"/>
    <w:rsid w:val="58CCEAE1"/>
    <w:rsid w:val="58EB3CA2"/>
    <w:rsid w:val="58F6B5B0"/>
    <w:rsid w:val="58FE33F5"/>
    <w:rsid w:val="590622BC"/>
    <w:rsid w:val="59175C93"/>
    <w:rsid w:val="59234ED9"/>
    <w:rsid w:val="5936FC8E"/>
    <w:rsid w:val="5941ADC3"/>
    <w:rsid w:val="594B1EBF"/>
    <w:rsid w:val="597D5EA8"/>
    <w:rsid w:val="5986F95D"/>
    <w:rsid w:val="598B12ED"/>
    <w:rsid w:val="5990BDE1"/>
    <w:rsid w:val="5996709F"/>
    <w:rsid w:val="59974A6A"/>
    <w:rsid w:val="59A35D98"/>
    <w:rsid w:val="59B697B8"/>
    <w:rsid w:val="59BBC61C"/>
    <w:rsid w:val="59C11927"/>
    <w:rsid w:val="59D290A3"/>
    <w:rsid w:val="59E40EC1"/>
    <w:rsid w:val="59F9DB7A"/>
    <w:rsid w:val="5A2BAAEA"/>
    <w:rsid w:val="5A51C59E"/>
    <w:rsid w:val="5A526710"/>
    <w:rsid w:val="5A5A8116"/>
    <w:rsid w:val="5A784373"/>
    <w:rsid w:val="5A8B8848"/>
    <w:rsid w:val="5A92753C"/>
    <w:rsid w:val="5ABAADFD"/>
    <w:rsid w:val="5ABCB028"/>
    <w:rsid w:val="5AD6E0F2"/>
    <w:rsid w:val="5ADEF272"/>
    <w:rsid w:val="5B02D765"/>
    <w:rsid w:val="5B2B647A"/>
    <w:rsid w:val="5B4C4AB3"/>
    <w:rsid w:val="5B4F1B78"/>
    <w:rsid w:val="5B516208"/>
    <w:rsid w:val="5B5A209E"/>
    <w:rsid w:val="5B93C76D"/>
    <w:rsid w:val="5BAE47F8"/>
    <w:rsid w:val="5BDFB9BA"/>
    <w:rsid w:val="5BE16B4F"/>
    <w:rsid w:val="5BE5BF86"/>
    <w:rsid w:val="5BEF1643"/>
    <w:rsid w:val="5BF34707"/>
    <w:rsid w:val="5BF39066"/>
    <w:rsid w:val="5BFD7369"/>
    <w:rsid w:val="5C01D91A"/>
    <w:rsid w:val="5C11528C"/>
    <w:rsid w:val="5C2AFE45"/>
    <w:rsid w:val="5C2C8D49"/>
    <w:rsid w:val="5C2C8D49"/>
    <w:rsid w:val="5C3CBDC1"/>
    <w:rsid w:val="5C4601A4"/>
    <w:rsid w:val="5C5A172B"/>
    <w:rsid w:val="5CAF09A5"/>
    <w:rsid w:val="5CB80885"/>
    <w:rsid w:val="5CCB4EF9"/>
    <w:rsid w:val="5CCD62AC"/>
    <w:rsid w:val="5CE135E1"/>
    <w:rsid w:val="5CE135E1"/>
    <w:rsid w:val="5CE85855"/>
    <w:rsid w:val="5D19FFC8"/>
    <w:rsid w:val="5D35E77B"/>
    <w:rsid w:val="5D45CFB0"/>
    <w:rsid w:val="5D58E479"/>
    <w:rsid w:val="5D5D8757"/>
    <w:rsid w:val="5D7C9E19"/>
    <w:rsid w:val="5D8DE0A3"/>
    <w:rsid w:val="5DA2E0B4"/>
    <w:rsid w:val="5DB29375"/>
    <w:rsid w:val="5DB29375"/>
    <w:rsid w:val="5DB3D0B1"/>
    <w:rsid w:val="5DC0BAED"/>
    <w:rsid w:val="5DD4C5B5"/>
    <w:rsid w:val="5DED3B75"/>
    <w:rsid w:val="5E011E48"/>
    <w:rsid w:val="5E011E48"/>
    <w:rsid w:val="5E0790EA"/>
    <w:rsid w:val="5E1F21CC"/>
    <w:rsid w:val="5E2194C6"/>
    <w:rsid w:val="5E33265B"/>
    <w:rsid w:val="5E5D88C3"/>
    <w:rsid w:val="5E67BA3C"/>
    <w:rsid w:val="5E696028"/>
    <w:rsid w:val="5E7D0512"/>
    <w:rsid w:val="5E83694B"/>
    <w:rsid w:val="5EADE3DD"/>
    <w:rsid w:val="5EBA7D93"/>
    <w:rsid w:val="5ED232D9"/>
    <w:rsid w:val="5EDB3B02"/>
    <w:rsid w:val="5EFAF2BB"/>
    <w:rsid w:val="5EFFB50A"/>
    <w:rsid w:val="5F045406"/>
    <w:rsid w:val="5F084CBA"/>
    <w:rsid w:val="5F12543F"/>
    <w:rsid w:val="5F2309EA"/>
    <w:rsid w:val="5F28B275"/>
    <w:rsid w:val="5F31A850"/>
    <w:rsid w:val="5F41AC3F"/>
    <w:rsid w:val="5F440A09"/>
    <w:rsid w:val="5F48A1DD"/>
    <w:rsid w:val="5F4C76B1"/>
    <w:rsid w:val="5F51927C"/>
    <w:rsid w:val="5F5E367A"/>
    <w:rsid w:val="5F6C344A"/>
    <w:rsid w:val="5F6EF8FE"/>
    <w:rsid w:val="5F996B3E"/>
    <w:rsid w:val="5FAEBFB5"/>
    <w:rsid w:val="5FD01D91"/>
    <w:rsid w:val="5FD01D91"/>
    <w:rsid w:val="5FD0AEB6"/>
    <w:rsid w:val="5FD93865"/>
    <w:rsid w:val="5FDA7AAE"/>
    <w:rsid w:val="5FE3B452"/>
    <w:rsid w:val="5FF16AB1"/>
    <w:rsid w:val="5FF7BEA3"/>
    <w:rsid w:val="5FFDE0BB"/>
    <w:rsid w:val="6008749D"/>
    <w:rsid w:val="6013FDA6"/>
    <w:rsid w:val="6032D82F"/>
    <w:rsid w:val="604D3A2C"/>
    <w:rsid w:val="605347AE"/>
    <w:rsid w:val="6059DB7D"/>
    <w:rsid w:val="606FA872"/>
    <w:rsid w:val="60A4513F"/>
    <w:rsid w:val="60B61174"/>
    <w:rsid w:val="60D6FB17"/>
    <w:rsid w:val="60EA3618"/>
    <w:rsid w:val="60EDA86D"/>
    <w:rsid w:val="61113555"/>
    <w:rsid w:val="612C1505"/>
    <w:rsid w:val="613AAAEA"/>
    <w:rsid w:val="613B77BC"/>
    <w:rsid w:val="615125C0"/>
    <w:rsid w:val="6152CC0E"/>
    <w:rsid w:val="61698E32"/>
    <w:rsid w:val="618F25C2"/>
    <w:rsid w:val="6193F749"/>
    <w:rsid w:val="619C0D01"/>
    <w:rsid w:val="61B354C8"/>
    <w:rsid w:val="61B81872"/>
    <w:rsid w:val="61C3AA84"/>
    <w:rsid w:val="61E5D625"/>
    <w:rsid w:val="61EA2395"/>
    <w:rsid w:val="62021E91"/>
    <w:rsid w:val="6208D015"/>
    <w:rsid w:val="620A50EE"/>
    <w:rsid w:val="620A6924"/>
    <w:rsid w:val="62543BEA"/>
    <w:rsid w:val="625CCD07"/>
    <w:rsid w:val="625D373C"/>
    <w:rsid w:val="626386C1"/>
    <w:rsid w:val="62672084"/>
    <w:rsid w:val="6284983E"/>
    <w:rsid w:val="62A6F849"/>
    <w:rsid w:val="62B2EABC"/>
    <w:rsid w:val="62D8933E"/>
    <w:rsid w:val="62E5F7C0"/>
    <w:rsid w:val="62EAA085"/>
    <w:rsid w:val="62F6404B"/>
    <w:rsid w:val="631531A7"/>
    <w:rsid w:val="6320C826"/>
    <w:rsid w:val="63348DB0"/>
    <w:rsid w:val="6334CCDD"/>
    <w:rsid w:val="63460143"/>
    <w:rsid w:val="634CD9D5"/>
    <w:rsid w:val="63675669"/>
    <w:rsid w:val="6379148D"/>
    <w:rsid w:val="63841138"/>
    <w:rsid w:val="638B83C8"/>
    <w:rsid w:val="6396CA16"/>
    <w:rsid w:val="63A09FA3"/>
    <w:rsid w:val="63B86557"/>
    <w:rsid w:val="63CE287F"/>
    <w:rsid w:val="63FE4E46"/>
    <w:rsid w:val="64085EA6"/>
    <w:rsid w:val="641086F0"/>
    <w:rsid w:val="6420329E"/>
    <w:rsid w:val="6422BF07"/>
    <w:rsid w:val="643860E4"/>
    <w:rsid w:val="643A44EF"/>
    <w:rsid w:val="6446D568"/>
    <w:rsid w:val="64778660"/>
    <w:rsid w:val="648176CF"/>
    <w:rsid w:val="648176CF"/>
    <w:rsid w:val="649B206F"/>
    <w:rsid w:val="64B775E7"/>
    <w:rsid w:val="64C6B1B7"/>
    <w:rsid w:val="64D39796"/>
    <w:rsid w:val="64E34E35"/>
    <w:rsid w:val="64EB3905"/>
    <w:rsid w:val="64F786D2"/>
    <w:rsid w:val="65000E6B"/>
    <w:rsid w:val="653619D7"/>
    <w:rsid w:val="65371577"/>
    <w:rsid w:val="655E0346"/>
    <w:rsid w:val="6577A8F2"/>
    <w:rsid w:val="657BA034"/>
    <w:rsid w:val="65810E13"/>
    <w:rsid w:val="6591B8DF"/>
    <w:rsid w:val="65D46B10"/>
    <w:rsid w:val="65D53BF0"/>
    <w:rsid w:val="65D71EFF"/>
    <w:rsid w:val="65DD14C2"/>
    <w:rsid w:val="660D5C3C"/>
    <w:rsid w:val="660E2253"/>
    <w:rsid w:val="6619A1D3"/>
    <w:rsid w:val="6635AC22"/>
    <w:rsid w:val="6649DB04"/>
    <w:rsid w:val="66647EAA"/>
    <w:rsid w:val="666721D4"/>
    <w:rsid w:val="666721D4"/>
    <w:rsid w:val="666E3A97"/>
    <w:rsid w:val="6681407C"/>
    <w:rsid w:val="66A2B1A1"/>
    <w:rsid w:val="66A4EFFC"/>
    <w:rsid w:val="66BA0A17"/>
    <w:rsid w:val="66C520D6"/>
    <w:rsid w:val="66CEF6F6"/>
    <w:rsid w:val="66DA44CB"/>
    <w:rsid w:val="66DE2F67"/>
    <w:rsid w:val="66E3B7F5"/>
    <w:rsid w:val="66F1570A"/>
    <w:rsid w:val="66F9F1D0"/>
    <w:rsid w:val="6705A13B"/>
    <w:rsid w:val="6725C4C5"/>
    <w:rsid w:val="6725C4C5"/>
    <w:rsid w:val="676C9633"/>
    <w:rsid w:val="6770F89C"/>
    <w:rsid w:val="677C65C6"/>
    <w:rsid w:val="677F7CF6"/>
    <w:rsid w:val="67BD1B39"/>
    <w:rsid w:val="67F812E1"/>
    <w:rsid w:val="6801F363"/>
    <w:rsid w:val="6816130B"/>
    <w:rsid w:val="681BD6A7"/>
    <w:rsid w:val="6848F1ED"/>
    <w:rsid w:val="685210F4"/>
    <w:rsid w:val="68600C55"/>
    <w:rsid w:val="6869B1D4"/>
    <w:rsid w:val="6898B37C"/>
    <w:rsid w:val="68A3B2EB"/>
    <w:rsid w:val="68B3EC6E"/>
    <w:rsid w:val="68B3EC6E"/>
    <w:rsid w:val="68B8B56C"/>
    <w:rsid w:val="68BBF9BC"/>
    <w:rsid w:val="68C6677F"/>
    <w:rsid w:val="68D64F05"/>
    <w:rsid w:val="68E3011E"/>
    <w:rsid w:val="68E88ABA"/>
    <w:rsid w:val="68EA9689"/>
    <w:rsid w:val="69265FD5"/>
    <w:rsid w:val="6928551A"/>
    <w:rsid w:val="692D968F"/>
    <w:rsid w:val="69332145"/>
    <w:rsid w:val="695C56A9"/>
    <w:rsid w:val="695E7775"/>
    <w:rsid w:val="6963BD84"/>
    <w:rsid w:val="697A15B5"/>
    <w:rsid w:val="69A9B1B5"/>
    <w:rsid w:val="69BBD969"/>
    <w:rsid w:val="69C2811C"/>
    <w:rsid w:val="69D9B720"/>
    <w:rsid w:val="69E43340"/>
    <w:rsid w:val="69F4AD02"/>
    <w:rsid w:val="69F667FC"/>
    <w:rsid w:val="6A0FBE60"/>
    <w:rsid w:val="6A1A5801"/>
    <w:rsid w:val="6A2D8F59"/>
    <w:rsid w:val="6A457F29"/>
    <w:rsid w:val="6A489527"/>
    <w:rsid w:val="6A583AB6"/>
    <w:rsid w:val="6A68748E"/>
    <w:rsid w:val="6A7F2C3E"/>
    <w:rsid w:val="6A7F984F"/>
    <w:rsid w:val="6A90AA23"/>
    <w:rsid w:val="6AB1AE4D"/>
    <w:rsid w:val="6AB2D530"/>
    <w:rsid w:val="6AED1824"/>
    <w:rsid w:val="6B0A9C54"/>
    <w:rsid w:val="6B0FFE9F"/>
    <w:rsid w:val="6B1ED24F"/>
    <w:rsid w:val="6B2AFE4E"/>
    <w:rsid w:val="6B3E6C2A"/>
    <w:rsid w:val="6B4BB23C"/>
    <w:rsid w:val="6B4FA5C8"/>
    <w:rsid w:val="6B5E4E54"/>
    <w:rsid w:val="6B8F2940"/>
    <w:rsid w:val="6B93917F"/>
    <w:rsid w:val="6B9A1B2C"/>
    <w:rsid w:val="6B9ED061"/>
    <w:rsid w:val="6BA1B2C7"/>
    <w:rsid w:val="6BA1B2C7"/>
    <w:rsid w:val="6BA88E96"/>
    <w:rsid w:val="6BB0FF96"/>
    <w:rsid w:val="6BC08F78"/>
    <w:rsid w:val="6BC4B14C"/>
    <w:rsid w:val="6BD1D16C"/>
    <w:rsid w:val="6BF38E72"/>
    <w:rsid w:val="6C05EAB7"/>
    <w:rsid w:val="6C18E296"/>
    <w:rsid w:val="6C2E5753"/>
    <w:rsid w:val="6C308993"/>
    <w:rsid w:val="6C5C2243"/>
    <w:rsid w:val="6C5CA17C"/>
    <w:rsid w:val="6C6EF251"/>
    <w:rsid w:val="6C778716"/>
    <w:rsid w:val="6C77D454"/>
    <w:rsid w:val="6C7D9380"/>
    <w:rsid w:val="6C82452B"/>
    <w:rsid w:val="6C9A2BB4"/>
    <w:rsid w:val="6CB0A3A8"/>
    <w:rsid w:val="6CB1FC5A"/>
    <w:rsid w:val="6CD88B31"/>
    <w:rsid w:val="6CDA3875"/>
    <w:rsid w:val="6CDD3F0C"/>
    <w:rsid w:val="6CEF7312"/>
    <w:rsid w:val="6D062475"/>
    <w:rsid w:val="6D08BEA0"/>
    <w:rsid w:val="6D13D0DE"/>
    <w:rsid w:val="6D22232B"/>
    <w:rsid w:val="6D23DF68"/>
    <w:rsid w:val="6D32D608"/>
    <w:rsid w:val="6D4281CC"/>
    <w:rsid w:val="6D7A7775"/>
    <w:rsid w:val="6D9227D2"/>
    <w:rsid w:val="6D937F08"/>
    <w:rsid w:val="6DC6F8B0"/>
    <w:rsid w:val="6E02A9E5"/>
    <w:rsid w:val="6E2046B2"/>
    <w:rsid w:val="6E20CEEF"/>
    <w:rsid w:val="6E28B9B1"/>
    <w:rsid w:val="6E510C35"/>
    <w:rsid w:val="6E52CD7D"/>
    <w:rsid w:val="6E55E67E"/>
    <w:rsid w:val="6E57EC94"/>
    <w:rsid w:val="6E641CEA"/>
    <w:rsid w:val="6E8649BE"/>
    <w:rsid w:val="6E8AB3A1"/>
    <w:rsid w:val="6E9EB63F"/>
    <w:rsid w:val="6EAA7803"/>
    <w:rsid w:val="6EB5E078"/>
    <w:rsid w:val="6ED8B0D2"/>
    <w:rsid w:val="6EE808FE"/>
    <w:rsid w:val="6F7C7A3D"/>
    <w:rsid w:val="6F8A495A"/>
    <w:rsid w:val="6F8AC732"/>
    <w:rsid w:val="6F96A555"/>
    <w:rsid w:val="6F9C203A"/>
    <w:rsid w:val="6FAE48FF"/>
    <w:rsid w:val="6FC2D87C"/>
    <w:rsid w:val="6FC9DB50"/>
    <w:rsid w:val="6FCA204A"/>
    <w:rsid w:val="6FD2D38B"/>
    <w:rsid w:val="6FECD2F7"/>
    <w:rsid w:val="6FECD2F7"/>
    <w:rsid w:val="6FF12153"/>
    <w:rsid w:val="6FFD7E8B"/>
    <w:rsid w:val="7011E82A"/>
    <w:rsid w:val="70122E95"/>
    <w:rsid w:val="70389E9D"/>
    <w:rsid w:val="7040748D"/>
    <w:rsid w:val="705BEBAD"/>
    <w:rsid w:val="706E5EF5"/>
    <w:rsid w:val="7082A550"/>
    <w:rsid w:val="708BF4B9"/>
    <w:rsid w:val="708E35FC"/>
    <w:rsid w:val="7091A1FC"/>
    <w:rsid w:val="7098D6D1"/>
    <w:rsid w:val="709BD745"/>
    <w:rsid w:val="70A48331"/>
    <w:rsid w:val="70BCF96E"/>
    <w:rsid w:val="70C4EE82"/>
    <w:rsid w:val="70EA5405"/>
    <w:rsid w:val="7107E0B1"/>
    <w:rsid w:val="71116139"/>
    <w:rsid w:val="71221FF3"/>
    <w:rsid w:val="712D51E9"/>
    <w:rsid w:val="713AB6A3"/>
    <w:rsid w:val="713AB6A3"/>
    <w:rsid w:val="7162D706"/>
    <w:rsid w:val="7179E31C"/>
    <w:rsid w:val="717AE92C"/>
    <w:rsid w:val="71A8E337"/>
    <w:rsid w:val="71E6E505"/>
    <w:rsid w:val="72097E8B"/>
    <w:rsid w:val="720B8BB1"/>
    <w:rsid w:val="72395282"/>
    <w:rsid w:val="723D7F51"/>
    <w:rsid w:val="72488812"/>
    <w:rsid w:val="724DD82F"/>
    <w:rsid w:val="72957B97"/>
    <w:rsid w:val="72C6FCF6"/>
    <w:rsid w:val="72CA5245"/>
    <w:rsid w:val="72F1DAF1"/>
    <w:rsid w:val="72F3E829"/>
    <w:rsid w:val="72F99DEC"/>
    <w:rsid w:val="72F99DEC"/>
    <w:rsid w:val="72FC4303"/>
    <w:rsid w:val="730FE500"/>
    <w:rsid w:val="7314E938"/>
    <w:rsid w:val="73271486"/>
    <w:rsid w:val="73393BA1"/>
    <w:rsid w:val="73662BD3"/>
    <w:rsid w:val="736A8518"/>
    <w:rsid w:val="736FE4A0"/>
    <w:rsid w:val="736FE4A0"/>
    <w:rsid w:val="737B85DD"/>
    <w:rsid w:val="7393D70A"/>
    <w:rsid w:val="73D2DFD0"/>
    <w:rsid w:val="73D4A41D"/>
    <w:rsid w:val="73D7FC1D"/>
    <w:rsid w:val="73DB9079"/>
    <w:rsid w:val="73E33550"/>
    <w:rsid w:val="73ED2203"/>
    <w:rsid w:val="73FB71EA"/>
    <w:rsid w:val="73FC3B26"/>
    <w:rsid w:val="7432D632"/>
    <w:rsid w:val="746E66ED"/>
    <w:rsid w:val="74900A6C"/>
    <w:rsid w:val="74903A09"/>
    <w:rsid w:val="749664CC"/>
    <w:rsid w:val="74A10626"/>
    <w:rsid w:val="74A86A43"/>
    <w:rsid w:val="74B3AD06"/>
    <w:rsid w:val="74B67115"/>
    <w:rsid w:val="74C71CFA"/>
    <w:rsid w:val="74CC9301"/>
    <w:rsid w:val="74DA344C"/>
    <w:rsid w:val="74E0E0DF"/>
    <w:rsid w:val="74E7BB5C"/>
    <w:rsid w:val="74EF7CF9"/>
    <w:rsid w:val="74FD21E2"/>
    <w:rsid w:val="74FF0EEC"/>
    <w:rsid w:val="7513F2F8"/>
    <w:rsid w:val="7515F49B"/>
    <w:rsid w:val="7521E02A"/>
    <w:rsid w:val="752FDDA3"/>
    <w:rsid w:val="75333664"/>
    <w:rsid w:val="7535F4A1"/>
    <w:rsid w:val="754F2ADA"/>
    <w:rsid w:val="755CBF44"/>
    <w:rsid w:val="75764C60"/>
    <w:rsid w:val="75784B25"/>
    <w:rsid w:val="75905658"/>
    <w:rsid w:val="75B937CB"/>
    <w:rsid w:val="75F1EA93"/>
    <w:rsid w:val="75F71945"/>
    <w:rsid w:val="76190D30"/>
    <w:rsid w:val="7633A8CE"/>
    <w:rsid w:val="7636CFB1"/>
    <w:rsid w:val="763AC6BC"/>
    <w:rsid w:val="764E8A37"/>
    <w:rsid w:val="766A5F42"/>
    <w:rsid w:val="766C9E53"/>
    <w:rsid w:val="767A2BB4"/>
    <w:rsid w:val="768A9B10"/>
    <w:rsid w:val="76A36B13"/>
    <w:rsid w:val="76BACAAE"/>
    <w:rsid w:val="76D38001"/>
    <w:rsid w:val="76E4F138"/>
    <w:rsid w:val="76E74E04"/>
    <w:rsid w:val="771051C4"/>
    <w:rsid w:val="776B7DB9"/>
    <w:rsid w:val="779648F9"/>
    <w:rsid w:val="7798E885"/>
    <w:rsid w:val="779BAF7B"/>
    <w:rsid w:val="77A0175E"/>
    <w:rsid w:val="77ABF4AE"/>
    <w:rsid w:val="77ACFEF0"/>
    <w:rsid w:val="77C36091"/>
    <w:rsid w:val="77CFBE66"/>
    <w:rsid w:val="77DC07D2"/>
    <w:rsid w:val="77DC07D2"/>
    <w:rsid w:val="77E4A496"/>
    <w:rsid w:val="77E88215"/>
    <w:rsid w:val="77EC524E"/>
    <w:rsid w:val="783061BB"/>
    <w:rsid w:val="7836E270"/>
    <w:rsid w:val="7836E270"/>
    <w:rsid w:val="786A6F38"/>
    <w:rsid w:val="786FDE4A"/>
    <w:rsid w:val="7874FE19"/>
    <w:rsid w:val="78992334"/>
    <w:rsid w:val="78B0D118"/>
    <w:rsid w:val="78C6F410"/>
    <w:rsid w:val="78CAF306"/>
    <w:rsid w:val="78CC7982"/>
    <w:rsid w:val="78DDCEAE"/>
    <w:rsid w:val="78EA21A6"/>
    <w:rsid w:val="78F56905"/>
    <w:rsid w:val="792EA4DF"/>
    <w:rsid w:val="794211B7"/>
    <w:rsid w:val="7955A5E2"/>
    <w:rsid w:val="7961D428"/>
    <w:rsid w:val="7984951E"/>
    <w:rsid w:val="798A787A"/>
    <w:rsid w:val="79E3B119"/>
    <w:rsid w:val="79EE9B45"/>
    <w:rsid w:val="7A0E3529"/>
    <w:rsid w:val="7A141B8D"/>
    <w:rsid w:val="7A22B5C0"/>
    <w:rsid w:val="7A3361C9"/>
    <w:rsid w:val="7A44B7F3"/>
    <w:rsid w:val="7A4BB668"/>
    <w:rsid w:val="7A5ECB77"/>
    <w:rsid w:val="7AA0EA0A"/>
    <w:rsid w:val="7AA0EA0A"/>
    <w:rsid w:val="7AB1BA25"/>
    <w:rsid w:val="7AB9D163"/>
    <w:rsid w:val="7AC78B6E"/>
    <w:rsid w:val="7AE2AD27"/>
    <w:rsid w:val="7AF69C8C"/>
    <w:rsid w:val="7AFEF1C4"/>
    <w:rsid w:val="7B1A64C2"/>
    <w:rsid w:val="7B1AEF20"/>
    <w:rsid w:val="7B1B7552"/>
    <w:rsid w:val="7B2CACEF"/>
    <w:rsid w:val="7B350678"/>
    <w:rsid w:val="7B350CA2"/>
    <w:rsid w:val="7B37019D"/>
    <w:rsid w:val="7B465B65"/>
    <w:rsid w:val="7B465B65"/>
    <w:rsid w:val="7B4E63AB"/>
    <w:rsid w:val="7B618023"/>
    <w:rsid w:val="7B686860"/>
    <w:rsid w:val="7B70A31F"/>
    <w:rsid w:val="7B77852F"/>
    <w:rsid w:val="7B983B79"/>
    <w:rsid w:val="7BBD581A"/>
    <w:rsid w:val="7BC92A8B"/>
    <w:rsid w:val="7BCC2446"/>
    <w:rsid w:val="7BD1E996"/>
    <w:rsid w:val="7BF2C7AF"/>
    <w:rsid w:val="7C031C65"/>
    <w:rsid w:val="7C0B86ED"/>
    <w:rsid w:val="7C120280"/>
    <w:rsid w:val="7C1EB20D"/>
    <w:rsid w:val="7C1FAE86"/>
    <w:rsid w:val="7C20E848"/>
    <w:rsid w:val="7C2753B4"/>
    <w:rsid w:val="7C2ACD90"/>
    <w:rsid w:val="7C4873CE"/>
    <w:rsid w:val="7C6061D7"/>
    <w:rsid w:val="7CA66828"/>
    <w:rsid w:val="7CA6E783"/>
    <w:rsid w:val="7CA85378"/>
    <w:rsid w:val="7CAC1E30"/>
    <w:rsid w:val="7CBBF15E"/>
    <w:rsid w:val="7CBC5E5A"/>
    <w:rsid w:val="7CCB1B84"/>
    <w:rsid w:val="7CCCF6B6"/>
    <w:rsid w:val="7CCD5059"/>
    <w:rsid w:val="7CE0A2B5"/>
    <w:rsid w:val="7D0D017E"/>
    <w:rsid w:val="7D20DB8E"/>
    <w:rsid w:val="7D36FF3B"/>
    <w:rsid w:val="7D42DA42"/>
    <w:rsid w:val="7D52FE96"/>
    <w:rsid w:val="7D52FE96"/>
    <w:rsid w:val="7D5ECCEB"/>
    <w:rsid w:val="7D72339E"/>
    <w:rsid w:val="7D992477"/>
    <w:rsid w:val="7D9A1FBF"/>
    <w:rsid w:val="7DA983EA"/>
    <w:rsid w:val="7DB7CC07"/>
    <w:rsid w:val="7DE8CCA5"/>
    <w:rsid w:val="7E00AF8D"/>
    <w:rsid w:val="7E00AF8D"/>
    <w:rsid w:val="7E036496"/>
    <w:rsid w:val="7E1068C3"/>
    <w:rsid w:val="7E164910"/>
    <w:rsid w:val="7E18F48A"/>
    <w:rsid w:val="7E2D84E0"/>
    <w:rsid w:val="7E343693"/>
    <w:rsid w:val="7E49640D"/>
    <w:rsid w:val="7E73D3EC"/>
    <w:rsid w:val="7E83A4A3"/>
    <w:rsid w:val="7E873288"/>
    <w:rsid w:val="7E914093"/>
    <w:rsid w:val="7E9B98DD"/>
    <w:rsid w:val="7EBACEDA"/>
    <w:rsid w:val="7EBBDDEF"/>
    <w:rsid w:val="7EC4B96D"/>
    <w:rsid w:val="7EFDA5D6"/>
    <w:rsid w:val="7F28F470"/>
    <w:rsid w:val="7F3758CF"/>
    <w:rsid w:val="7F42FD16"/>
    <w:rsid w:val="7F45F3A1"/>
    <w:rsid w:val="7F5252ED"/>
    <w:rsid w:val="7F55911A"/>
    <w:rsid w:val="7F73DB85"/>
    <w:rsid w:val="7F8E0DCC"/>
    <w:rsid w:val="7F950098"/>
    <w:rsid w:val="7FAB7730"/>
    <w:rsid w:val="7FAF5A1B"/>
    <w:rsid w:val="7FB18BE5"/>
    <w:rsid w:val="7FB1AD5C"/>
    <w:rsid w:val="7FBE0844"/>
    <w:rsid w:val="7FD8F56F"/>
    <w:rsid w:val="7FF0D046"/>
    <w:rsid w:val="7FF58349"/>
    <w:rsid w:val="7FFE593A"/>
  </w:rsids>
  <w:themeFontLang w:val="en-GB" w:eastAsia="zh-CN" w:bidi="ar-SA"/>
  <w14:docId w14:val="5918A8D7"/>
  <w15:docId w15:val="{8D6D94CD-58AF-41E6-8D70-99ACCB6BE05C}"/>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Aptos" w:hAnsi="Aptos" w:eastAsia="Aptos" w:cs="Arial" w:asciiTheme="minorHAnsi" w:hAnsiTheme="minorHAnsi" w:eastAsiaTheme="minorHAnsi" w:cstheme="minorBidi"/>
        <w:kern w:val="2"/>
        <w:sz w:val="24"/>
        <w:szCs w:val="24"/>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Aptos" w:hAnsi="Aptos" w:eastAsia="Aptos" w:cs="Arial" w:asciiTheme="minorHAnsi" w:hAnsiTheme="minorHAnsi" w:eastAsiaTheme="minorHAnsi" w:cstheme="minorBidi"/>
      <w:color w:val="auto"/>
      <w:kern w:val="2"/>
      <w:sz w:val="24"/>
      <w:szCs w:val="24"/>
      <w:lang w:val="en-GB" w:eastAsia="en-US" w:bidi="ar-SA"/>
      <w14:ligatures w14:val="standardContextual"/>
    </w:rPr>
  </w:style>
  <w:style w:type="paragraph" w:styleId="Heading1">
    <w:name w:val="heading 1"/>
    <w:basedOn w:val="Normal"/>
    <w:next w:val="Normal"/>
    <w:link w:val="Heading1Char"/>
    <w:uiPriority w:val="9"/>
    <w:qFormat/>
    <w:rsid w:val="00646406"/>
    <w:pPr>
      <w:keepNext w:val="true"/>
      <w:keepLines/>
      <w:spacing w:before="360" w:after="80"/>
      <w:outlineLvl w:val="0"/>
    </w:pPr>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val="true"/>
      <w:keepLines/>
      <w:spacing w:before="160" w:after="80"/>
      <w:outlineLvl w:val="1"/>
    </w:pPr>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val="true"/>
      <w:keepLines/>
      <w:spacing w:before="160" w:after="80"/>
      <w:outlineLvl w:val="2"/>
    </w:pPr>
    <w:rPr>
      <w:rFonts w:eastAsia="等线 Light" w:cs="Times New Roman"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val="true"/>
      <w:keepLines/>
      <w:spacing w:before="80" w:after="40"/>
      <w:outlineLvl w:val="3"/>
    </w:pPr>
    <w:rPr>
      <w:rFonts w:eastAsia="等线 Light" w:cs="Times New Roman"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val="true"/>
      <w:keepLines/>
      <w:spacing w:before="80" w:after="40"/>
      <w:outlineLvl w:val="4"/>
    </w:pPr>
    <w:rPr>
      <w:rFonts w:eastAsia="等线 Light" w:cs="Times New Roman"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val="true"/>
      <w:keepLines/>
      <w:spacing w:before="40" w:after="0"/>
      <w:outlineLvl w:val="5"/>
    </w:pPr>
    <w:rPr>
      <w:rFonts w:eastAsia="等线 Light" w:cs="Times New Roman"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val="true"/>
      <w:keepLines/>
      <w:spacing w:before="40" w:after="0"/>
      <w:outlineLvl w:val="6"/>
    </w:pPr>
    <w:rPr>
      <w:rFonts w:eastAsia="等线 Light" w:cs="Times New Roman"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val="true"/>
      <w:keepLines/>
      <w:outlineLvl w:val="7"/>
    </w:pPr>
    <w:rPr>
      <w:rFonts w:eastAsia="等线 Light" w:cs="Times New Roman"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val="true"/>
      <w:keepLines/>
      <w:outlineLvl w:val="8"/>
    </w:pPr>
    <w:rPr>
      <w:rFonts w:eastAsia="等线 Light" w:cs="Times New Roman" w:eastAsiaTheme="majorEastAsia" w:cstheme="majorBidi"/>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646406"/>
    <w:rPr>
      <w:rFonts w:ascii="Aptos Display" w:hAnsi="Aptos Display" w:eastAsia="等线 Light" w:cs="Times New Roman"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qFormat/>
    <w:rsid w:val="00646406"/>
    <w:rPr>
      <w:rFonts w:ascii="Aptos Display" w:hAnsi="Aptos Display" w:eastAsia="等线 Light" w:cs="Times New Roman"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qFormat/>
    <w:rsid w:val="00646406"/>
    <w:rPr>
      <w:rFonts w:eastAsia="等线 Light" w:cs="Times New Roman"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qFormat/>
    <w:rsid w:val="00646406"/>
    <w:rPr>
      <w:rFonts w:eastAsia="等线 Light" w:cs="Times New Roman"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qFormat/>
    <w:rsid w:val="00646406"/>
    <w:rPr>
      <w:rFonts w:eastAsia="等线 Light" w:cs="Times New Roman" w:eastAsiaTheme="majorEastAsia" w:cstheme="majorBidi"/>
      <w:color w:val="0F4761" w:themeColor="accent1" w:themeShade="bf"/>
    </w:rPr>
  </w:style>
  <w:style w:type="character" w:styleId="Heading6Char" w:customStyle="1">
    <w:name w:val="Heading 6 Char"/>
    <w:basedOn w:val="DefaultParagraphFont"/>
    <w:link w:val="Heading6"/>
    <w:uiPriority w:val="9"/>
    <w:semiHidden/>
    <w:qFormat/>
    <w:rsid w:val="00646406"/>
    <w:rPr>
      <w:rFonts w:eastAsia="等线 Light" w:cs="Times New Roman"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qFormat/>
    <w:rsid w:val="00646406"/>
    <w:rPr>
      <w:rFonts w:eastAsia="等线 Light" w:cs="Times New Roman" w:eastAsiaTheme="majorEastAsia" w:cstheme="majorBidi"/>
      <w:color w:val="595959" w:themeColor="text1" w:themeTint="a6"/>
    </w:rPr>
  </w:style>
  <w:style w:type="character" w:styleId="Heading8Char" w:customStyle="1">
    <w:name w:val="Heading 8 Char"/>
    <w:basedOn w:val="DefaultParagraphFont"/>
    <w:link w:val="Heading8"/>
    <w:uiPriority w:val="9"/>
    <w:semiHidden/>
    <w:qFormat/>
    <w:rsid w:val="00646406"/>
    <w:rPr>
      <w:rFonts w:eastAsia="等线 Light" w:cs="Times New Roman"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qFormat/>
    <w:rsid w:val="00646406"/>
    <w:rPr>
      <w:rFonts w:eastAsia="等线 Light" w:cs="Times New Roman" w:eastAsiaTheme="majorEastAsia" w:cstheme="majorBidi"/>
      <w:color w:val="272727" w:themeColor="text1" w:themeTint="d8"/>
    </w:rPr>
  </w:style>
  <w:style w:type="character" w:styleId="TitleChar" w:customStyle="1">
    <w:name w:val="Title Char"/>
    <w:basedOn w:val="DefaultParagraphFont"/>
    <w:link w:val="Title"/>
    <w:uiPriority w:val="10"/>
    <w:qFormat/>
    <w:rsid w:val="00646406"/>
    <w:rPr>
      <w:rFonts w:ascii="Aptos Display" w:hAnsi="Aptos Display" w:eastAsia="等线 Light" w:cs="Times New Roman" w:asciiTheme="majorHAnsi" w:hAnsiTheme="majorHAnsi" w:eastAsiaTheme="majorEastAsia" w:cstheme="majorBidi"/>
      <w:spacing w:val="-10"/>
      <w:kern w:val="2"/>
      <w:sz w:val="56"/>
      <w:szCs w:val="56"/>
    </w:rPr>
  </w:style>
  <w:style w:type="character" w:styleId="SubtitleChar" w:customStyle="1">
    <w:name w:val="Subtitle Char"/>
    <w:basedOn w:val="DefaultParagraphFont"/>
    <w:link w:val="Subtitle"/>
    <w:uiPriority w:val="11"/>
    <w:qFormat/>
    <w:rsid w:val="00646406"/>
    <w:rPr>
      <w:rFonts w:eastAsia="等线 Light" w:cs="Times New Roman" w:eastAsiaTheme="majorEastAsia" w:cstheme="majorBidi"/>
      <w:color w:val="595959" w:themeColor="text1" w:themeTint="a6"/>
      <w:spacing w:val="15"/>
      <w:sz w:val="28"/>
      <w:szCs w:val="28"/>
    </w:rPr>
  </w:style>
  <w:style w:type="character" w:styleId="QuoteChar" w:customStyle="1">
    <w:name w:val="Quote Char"/>
    <w:basedOn w:val="DefaultParagraphFont"/>
    <w:link w:val="Quote"/>
    <w:uiPriority w:val="29"/>
    <w:qFormat/>
    <w:rsid w:val="00646406"/>
    <w:rPr>
      <w:i/>
      <w:iCs/>
      <w:color w:val="404040" w:themeColor="text1" w:themeTint="bf"/>
    </w:rPr>
  </w:style>
  <w:style w:type="character" w:styleId="IntenseEmphasis">
    <w:name w:val="Intense Emphasis"/>
    <w:basedOn w:val="DefaultParagraphFont"/>
    <w:uiPriority w:val="21"/>
    <w:qFormat/>
    <w:rsid w:val="00646406"/>
    <w:rPr>
      <w:i/>
      <w:iCs/>
      <w:color w:val="0F4761" w:themeColor="accent1" w:themeShade="bf"/>
    </w:rPr>
  </w:style>
  <w:style w:type="character" w:styleId="IntenseQuoteChar" w:customStyle="1">
    <w:name w:val="Intense Quote Char"/>
    <w:basedOn w:val="DefaultParagraphFont"/>
    <w:link w:val="IntenseQuote"/>
    <w:uiPriority w:val="30"/>
    <w:qFormat/>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character" w:styleId="InternetLink">
    <w:name w:val="Internet Link"/>
    <w:basedOn w:val="DefaultParagraphFont"/>
    <w:uiPriority w:val="99"/>
    <w:unhideWhenUsed/>
    <w:rsid w:val="00cb01f0"/>
    <w:rPr>
      <w:color w:val="467886" w:themeColor="hyperlink"/>
      <w:u w:val="single"/>
    </w:rPr>
  </w:style>
  <w:style w:type="character" w:styleId="ListLabel1">
    <w:name w:val="ListLabel 1"/>
    <w:qFormat/>
    <w:rPr>
      <w:sz w:val="20"/>
    </w:rPr>
  </w:style>
  <w:style w:type="character" w:styleId="ListLabel2">
    <w:name w:val="ListLabel 2"/>
    <w:qFormat/>
    <w:rPr>
      <w:sz w:val="20"/>
    </w:rPr>
  </w:style>
  <w:style w:type="character" w:styleId="ListLabel3">
    <w:name w:val="ListLabel 3"/>
    <w:qFormat/>
    <w:rPr>
      <w:sz w:val="20"/>
    </w:rPr>
  </w:style>
  <w:style w:type="character" w:styleId="ListLabel4">
    <w:name w:val="ListLabel 4"/>
    <w:qFormat/>
    <w:rPr>
      <w:sz w:val="20"/>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sz w:val="20"/>
    </w:rPr>
  </w:style>
  <w:style w:type="character" w:styleId="ListLabel15">
    <w:name w:val="ListLabel 15"/>
    <w:qFormat/>
    <w:rPr>
      <w:sz w:val="20"/>
    </w:rPr>
  </w:style>
  <w:style w:type="character" w:styleId="ListLabel16">
    <w:name w:val="ListLabel 16"/>
    <w:qFormat/>
    <w:rPr>
      <w:sz w:val="20"/>
    </w:rPr>
  </w:style>
  <w:style w:type="character" w:styleId="ListLabel17">
    <w:name w:val="ListLabel 17"/>
    <w:qFormat/>
    <w:rPr>
      <w:sz w:val="20"/>
    </w:rPr>
  </w:style>
  <w:style w:type="character" w:styleId="ListLabel18">
    <w:name w:val="ListLabel 18"/>
    <w:qFormat/>
    <w:rPr>
      <w:sz w:val="20"/>
    </w:rPr>
  </w:style>
  <w:style w:type="character" w:styleId="ListLabel19">
    <w:name w:val="ListLabel 19"/>
    <w:qFormat/>
    <w:rPr>
      <w:sz w:val="20"/>
    </w:rPr>
  </w:style>
  <w:style w:type="character" w:styleId="ListLabel20">
    <w:name w:val="ListLabel 20"/>
    <w:qFormat/>
    <w:rPr>
      <w:sz w:val="20"/>
    </w:rPr>
  </w:style>
  <w:style w:type="character" w:styleId="ListLabel21">
    <w:name w:val="ListLabel 21"/>
    <w:qFormat/>
    <w:rPr>
      <w:sz w:val="20"/>
    </w:rPr>
  </w:style>
  <w:style w:type="character" w:styleId="ListLabel22">
    <w:name w:val="ListLabel 22"/>
    <w:qFormat/>
    <w:rPr>
      <w:sz w:val="20"/>
    </w:rPr>
  </w:style>
  <w:style w:type="character" w:styleId="ListLabel23">
    <w:name w:val="ListLabel 23"/>
    <w:qFormat/>
    <w:rPr>
      <w:sz w:val="20"/>
    </w:rPr>
  </w:style>
  <w:style w:type="character" w:styleId="ListLabel24">
    <w:name w:val="ListLabel 24"/>
    <w:qFormat/>
    <w:rPr>
      <w:sz w:val="20"/>
    </w:rPr>
  </w:style>
  <w:style w:type="character" w:styleId="ListLabel25">
    <w:name w:val="ListLabel 25"/>
    <w:qFormat/>
    <w:rPr>
      <w:sz w:val="20"/>
    </w:rPr>
  </w:style>
  <w:style w:type="character" w:styleId="ListLabel26">
    <w:name w:val="ListLabel 26"/>
    <w:qFormat/>
    <w:rPr>
      <w:sz w:val="20"/>
    </w:rPr>
  </w:style>
  <w:style w:type="character" w:styleId="ListLabel27">
    <w:name w:val="ListLabel 27"/>
    <w:qFormat/>
    <w:rPr>
      <w:sz w:val="20"/>
    </w:rPr>
  </w:style>
  <w:style w:type="character" w:styleId="ListLabel28">
    <w:name w:val="ListLabel 28"/>
    <w:qFormat/>
    <w:rPr>
      <w:sz w:val="20"/>
    </w:rPr>
  </w:style>
  <w:style w:type="character" w:styleId="ListLabel29">
    <w:name w:val="ListLabel 29"/>
    <w:qFormat/>
    <w:rPr>
      <w:sz w:val="20"/>
    </w:rPr>
  </w:style>
  <w:style w:type="character" w:styleId="ListLabel30">
    <w:name w:val="ListLabel 30"/>
    <w:qFormat/>
    <w:rPr>
      <w:sz w:val="20"/>
    </w:rPr>
  </w:style>
  <w:style w:type="character" w:styleId="ListLabel31">
    <w:name w:val="ListLabel 31"/>
    <w:qFormat/>
    <w:rPr>
      <w:sz w:val="20"/>
    </w:rPr>
  </w:style>
  <w:style w:type="character" w:styleId="ListLabel32">
    <w:name w:val="ListLabel 32"/>
    <w:qFormat/>
    <w:rPr>
      <w:sz w:val="20"/>
    </w:rPr>
  </w:style>
  <w:style w:type="character" w:styleId="ListLabel33">
    <w:name w:val="ListLabel 33"/>
    <w:qFormat/>
    <w:rPr>
      <w:sz w:val="20"/>
    </w:rPr>
  </w:style>
  <w:style w:type="character" w:styleId="ListLabel34">
    <w:name w:val="ListLabel 34"/>
    <w:qFormat/>
    <w:rPr>
      <w:sz w:val="20"/>
    </w:rPr>
  </w:style>
  <w:style w:type="character" w:styleId="ListLabel35">
    <w:name w:val="ListLabel 35"/>
    <w:qFormat/>
    <w:rPr>
      <w:sz w:val="20"/>
    </w:rPr>
  </w:style>
  <w:style w:type="character" w:styleId="ListLabel36">
    <w:name w:val="ListLabel 36"/>
    <w:qFormat/>
    <w:rPr>
      <w:sz w:val="20"/>
    </w:rPr>
  </w:style>
  <w:style w:type="character" w:styleId="ListLabel37">
    <w:name w:val="ListLabel 37"/>
    <w:qFormat/>
    <w:rPr>
      <w:sz w:val="20"/>
    </w:rPr>
  </w:style>
  <w:style w:type="character" w:styleId="ListLabel38">
    <w:name w:val="ListLabel 38"/>
    <w:qFormat/>
    <w:rPr>
      <w:sz w:val="20"/>
    </w:rPr>
  </w:style>
  <w:style w:type="character" w:styleId="ListLabel39">
    <w:name w:val="ListLabel 39"/>
    <w:qFormat/>
    <w:rPr>
      <w:sz w:val="20"/>
    </w:rPr>
  </w:style>
  <w:style w:type="character" w:styleId="ListLabel40">
    <w:name w:val="ListLabel 40"/>
    <w:qFormat/>
    <w:rPr>
      <w:sz w:val="20"/>
    </w:rPr>
  </w:style>
  <w:style w:type="character" w:styleId="ListLabel41">
    <w:name w:val="ListLabel 41"/>
    <w:qFormat/>
    <w:rPr>
      <w:sz w:val="20"/>
    </w:rPr>
  </w:style>
  <w:style w:type="character" w:styleId="ListLabel42">
    <w:name w:val="ListLabel 42"/>
    <w:qFormat/>
    <w:rPr>
      <w:sz w:val="20"/>
    </w:rPr>
  </w:style>
  <w:style w:type="character" w:styleId="ListLabel43">
    <w:name w:val="ListLabel 43"/>
    <w:qFormat/>
    <w:rPr>
      <w:sz w:val="20"/>
    </w:rPr>
  </w:style>
  <w:style w:type="character" w:styleId="ListLabel44">
    <w:name w:val="ListLabel 44"/>
    <w:qFormat/>
    <w:rPr>
      <w:sz w:val="20"/>
    </w:rPr>
  </w:style>
  <w:style w:type="character" w:styleId="ListLabel45">
    <w:name w:val="ListLabel 45"/>
    <w:qFormat/>
    <w:rPr>
      <w:sz w:val="20"/>
    </w:rPr>
  </w:style>
  <w:style w:type="character" w:styleId="ListLabel46">
    <w:name w:val="ListLabel 46"/>
    <w:qFormat/>
    <w:rPr>
      <w:sz w:val="20"/>
    </w:rPr>
  </w:style>
  <w:style w:type="character" w:styleId="ListLabel47">
    <w:name w:val="ListLabel 47"/>
    <w:qFormat/>
    <w:rPr>
      <w:sz w:val="20"/>
    </w:rPr>
  </w:style>
  <w:style w:type="character" w:styleId="ListLabel48">
    <w:name w:val="ListLabel 48"/>
    <w:qFormat/>
    <w:rPr>
      <w:sz w:val="20"/>
    </w:rPr>
  </w:style>
  <w:style w:type="character" w:styleId="ListLabel49">
    <w:name w:val="ListLabel 49"/>
    <w:qFormat/>
    <w:rPr>
      <w:sz w:val="20"/>
    </w:rPr>
  </w:style>
  <w:style w:type="character" w:styleId="ListLabel50">
    <w:name w:val="ListLabel 50"/>
    <w:qFormat/>
    <w:rPr>
      <w:sz w:val="20"/>
    </w:rPr>
  </w:style>
  <w:style w:type="character" w:styleId="ListLabel51">
    <w:name w:val="ListLabel 51"/>
    <w:qFormat/>
    <w:rPr>
      <w:sz w:val="20"/>
    </w:rPr>
  </w:style>
  <w:style w:type="character" w:styleId="ListLabel52">
    <w:name w:val="ListLabel 52"/>
    <w:qFormat/>
    <w:rPr>
      <w:sz w:val="20"/>
    </w:rPr>
  </w:style>
  <w:style w:type="character" w:styleId="ListLabel53">
    <w:name w:val="ListLabel 53"/>
    <w:qFormat/>
    <w:rPr>
      <w:sz w:val="20"/>
    </w:rPr>
  </w:style>
  <w:style w:type="character" w:styleId="ListLabel54">
    <w:name w:val="ListLabel 54"/>
    <w:qFormat/>
    <w:rPr>
      <w:sz w:val="20"/>
    </w:rPr>
  </w:style>
  <w:style w:type="character" w:styleId="ListLabel55">
    <w:name w:val="ListLabel 55"/>
    <w:qFormat/>
    <w:rPr>
      <w:sz w:val="20"/>
    </w:rPr>
  </w:style>
  <w:style w:type="character" w:styleId="ListLabel56">
    <w:name w:val="ListLabel 56"/>
    <w:qFormat/>
    <w:rPr>
      <w:sz w:val="20"/>
    </w:rPr>
  </w:style>
  <w:style w:type="character" w:styleId="ListLabel57">
    <w:name w:val="ListLabel 57"/>
    <w:qFormat/>
    <w:rPr>
      <w:sz w:val="20"/>
    </w:rPr>
  </w:style>
  <w:style w:type="character" w:styleId="ListLabel58">
    <w:name w:val="ListLabel 58"/>
    <w:qFormat/>
    <w:rPr>
      <w:sz w:val="20"/>
    </w:rPr>
  </w:style>
  <w:style w:type="character" w:styleId="ListLabel59">
    <w:name w:val="ListLabel 59"/>
    <w:qFormat/>
    <w:rPr>
      <w:sz w:val="20"/>
    </w:rPr>
  </w:style>
  <w:style w:type="character" w:styleId="ListLabel60">
    <w:name w:val="ListLabel 60"/>
    <w:qFormat/>
    <w:rPr>
      <w:sz w:val="20"/>
    </w:rPr>
  </w:style>
  <w:style w:type="character" w:styleId="ListLabel61">
    <w:name w:val="ListLabel 61"/>
    <w:qFormat/>
    <w:rPr>
      <w:sz w:val="20"/>
    </w:rPr>
  </w:style>
  <w:style w:type="character" w:styleId="ListLabel62">
    <w:name w:val="ListLabel 62"/>
    <w:qFormat/>
    <w:rPr>
      <w:sz w:val="20"/>
    </w:rPr>
  </w:style>
  <w:style w:type="character" w:styleId="ListLabel63">
    <w:name w:val="ListLabel 63"/>
    <w:qFormat/>
    <w:rPr>
      <w:sz w:val="20"/>
    </w:rPr>
  </w:style>
  <w:style w:type="character" w:styleId="ListLabel64">
    <w:name w:val="ListLabel 64"/>
    <w:qFormat/>
    <w:rPr>
      <w:sz w:val="20"/>
    </w:rPr>
  </w:style>
  <w:style w:type="character" w:styleId="ListLabel65">
    <w:name w:val="ListLabel 65"/>
    <w:qFormat/>
    <w:rPr>
      <w:sz w:val="20"/>
    </w:rPr>
  </w:style>
  <w:style w:type="character" w:styleId="ListLabel66">
    <w:name w:val="ListLabel 66"/>
    <w:qFormat/>
    <w:rPr>
      <w:sz w:val="20"/>
    </w:rPr>
  </w:style>
  <w:style w:type="character" w:styleId="ListLabel67">
    <w:name w:val="ListLabel 67"/>
    <w:qFormat/>
    <w:rPr>
      <w:sz w:val="20"/>
    </w:rPr>
  </w:style>
  <w:style w:type="character" w:styleId="ListLabel68">
    <w:name w:val="ListLabel 68"/>
    <w:qFormat/>
    <w:rPr>
      <w:sz w:val="20"/>
    </w:rPr>
  </w:style>
  <w:style w:type="character" w:styleId="ListLabel69">
    <w:name w:val="ListLabel 69"/>
    <w:qFormat/>
    <w:rPr>
      <w:sz w:val="20"/>
    </w:rPr>
  </w:style>
  <w:style w:type="character" w:styleId="ListLabel70">
    <w:name w:val="ListLabel 70"/>
    <w:qFormat/>
    <w:rPr>
      <w:sz w:val="20"/>
    </w:rPr>
  </w:style>
  <w:style w:type="character" w:styleId="ListLabel71">
    <w:name w:val="ListLabel 71"/>
    <w:qFormat/>
    <w:rPr>
      <w:sz w:val="20"/>
    </w:rPr>
  </w:style>
  <w:style w:type="character" w:styleId="ListLabel72">
    <w:name w:val="ListLabel 72"/>
    <w:qFormat/>
    <w:rPr>
      <w:sz w:val="20"/>
    </w:rPr>
  </w:style>
  <w:style w:type="character" w:styleId="ListLabel73">
    <w:name w:val="ListLabel 73"/>
    <w:qFormat/>
    <w:rPr>
      <w:sz w:val="20"/>
    </w:rPr>
  </w:style>
  <w:style w:type="character" w:styleId="ListLabel74">
    <w:name w:val="ListLabel 74"/>
    <w:qFormat/>
    <w:rPr>
      <w:sz w:val="20"/>
    </w:rPr>
  </w:style>
  <w:style w:type="character" w:styleId="ListLabel75">
    <w:name w:val="ListLabel 75"/>
    <w:qFormat/>
    <w:rPr>
      <w:sz w:val="20"/>
    </w:rPr>
  </w:style>
  <w:style w:type="character" w:styleId="ListLabel76">
    <w:name w:val="ListLabel 76"/>
    <w:qFormat/>
    <w:rPr>
      <w:sz w:val="20"/>
    </w:rPr>
  </w:style>
  <w:style w:type="character" w:styleId="ListLabel77">
    <w:name w:val="ListLabel 77"/>
    <w:qFormat/>
    <w:rPr>
      <w:sz w:val="20"/>
    </w:rPr>
  </w:style>
  <w:style w:type="character" w:styleId="ListLabel78">
    <w:name w:val="ListLabel 78"/>
    <w:qFormat/>
    <w:rPr>
      <w:sz w:val="20"/>
    </w:rPr>
  </w:style>
  <w:style w:type="character" w:styleId="ListLabel79">
    <w:name w:val="ListLabel 79"/>
    <w:qFormat/>
    <w:rPr>
      <w:sz w:val="20"/>
    </w:rPr>
  </w:style>
  <w:style w:type="character" w:styleId="ListLabel80">
    <w:name w:val="ListLabel 80"/>
    <w:qFormat/>
    <w:rPr>
      <w:sz w:val="20"/>
    </w:rPr>
  </w:style>
  <w:style w:type="character" w:styleId="ListLabel81">
    <w:name w:val="ListLabel 81"/>
    <w:qFormat/>
    <w:rPr>
      <w:sz w:val="20"/>
    </w:rPr>
  </w:style>
  <w:style w:type="character" w:styleId="ListLabel82">
    <w:name w:val="ListLabel 82"/>
    <w:qFormat/>
    <w:rPr>
      <w:sz w:val="20"/>
    </w:rPr>
  </w:style>
  <w:style w:type="character" w:styleId="ListLabel83">
    <w:name w:val="ListLabel 83"/>
    <w:qFormat/>
    <w:rPr>
      <w:sz w:val="20"/>
    </w:rPr>
  </w:style>
  <w:style w:type="character" w:styleId="ListLabel84">
    <w:name w:val="ListLabel 84"/>
    <w:qFormat/>
    <w:rPr>
      <w:sz w:val="20"/>
    </w:rPr>
  </w:style>
  <w:style w:type="character" w:styleId="ListLabel85">
    <w:name w:val="ListLabel 85"/>
    <w:qFormat/>
    <w:rPr>
      <w:sz w:val="20"/>
    </w:rPr>
  </w:style>
  <w:style w:type="character" w:styleId="ListLabel86">
    <w:name w:val="ListLabel 86"/>
    <w:qFormat/>
    <w:rPr>
      <w:sz w:val="20"/>
    </w:rPr>
  </w:style>
  <w:style w:type="character" w:styleId="ListLabel87">
    <w:name w:val="ListLabel 87"/>
    <w:qFormat/>
    <w:rPr>
      <w:sz w:val="20"/>
    </w:rPr>
  </w:style>
  <w:style w:type="character" w:styleId="ListLabel88">
    <w:name w:val="ListLabel 88"/>
    <w:qFormat/>
    <w:rPr>
      <w:sz w:val="20"/>
    </w:rPr>
  </w:style>
  <w:style w:type="character" w:styleId="ListLabel89">
    <w:name w:val="ListLabel 89"/>
    <w:qFormat/>
    <w:rPr>
      <w:sz w:val="20"/>
    </w:rPr>
  </w:style>
  <w:style w:type="character" w:styleId="ListLabel90">
    <w:name w:val="ListLabel 90"/>
    <w:qFormat/>
    <w:rPr>
      <w:sz w:val="20"/>
    </w:rPr>
  </w:style>
  <w:style w:type="character" w:styleId="ListLabel91">
    <w:name w:val="ListLabel 91"/>
    <w:qFormat/>
    <w:rPr>
      <w:sz w:val="20"/>
    </w:rPr>
  </w:style>
  <w:style w:type="character" w:styleId="ListLabel92">
    <w:name w:val="ListLabel 92"/>
    <w:qFormat/>
    <w:rPr>
      <w:sz w:val="20"/>
    </w:rPr>
  </w:style>
  <w:style w:type="character" w:styleId="ListLabel93">
    <w:name w:val="ListLabel 93"/>
    <w:qFormat/>
    <w:rPr>
      <w:sz w:val="20"/>
    </w:rPr>
  </w:style>
  <w:style w:type="character" w:styleId="ListLabel94">
    <w:name w:val="ListLabel 94"/>
    <w:qFormat/>
    <w:rPr>
      <w:sz w:val="20"/>
    </w:rPr>
  </w:style>
  <w:style w:type="character" w:styleId="ListLabel95">
    <w:name w:val="ListLabel 95"/>
    <w:qFormat/>
    <w:rPr>
      <w:sz w:val="20"/>
    </w:rPr>
  </w:style>
  <w:style w:type="character" w:styleId="ListLabel96">
    <w:name w:val="ListLabel 96"/>
    <w:qFormat/>
    <w:rPr>
      <w:sz w:val="20"/>
    </w:rPr>
  </w:style>
  <w:style w:type="character" w:styleId="ListLabel97">
    <w:name w:val="ListLabel 97"/>
    <w:qFormat/>
    <w:rPr>
      <w:sz w:val="20"/>
    </w:rPr>
  </w:style>
  <w:style w:type="character" w:styleId="ListLabel98">
    <w:name w:val="ListLabel 98"/>
    <w:qFormat/>
    <w:rPr>
      <w:sz w:val="20"/>
    </w:rPr>
  </w:style>
  <w:style w:type="character" w:styleId="ListLabel99">
    <w:name w:val="ListLabel 99"/>
    <w:qFormat/>
    <w:rPr>
      <w:sz w:val="20"/>
    </w:rPr>
  </w:style>
  <w:style w:type="character" w:styleId="ListLabel100">
    <w:name w:val="ListLabel 100"/>
    <w:qFormat/>
    <w:rPr>
      <w:rFonts w:cs="Courier New"/>
    </w:rPr>
  </w:style>
  <w:style w:type="character" w:styleId="ListLabel101">
    <w:name w:val="ListLabel 101"/>
    <w:qFormat/>
    <w:rPr>
      <w:rFonts w:cs="Courier New"/>
    </w:rPr>
  </w:style>
  <w:style w:type="character" w:styleId="ListLabel102">
    <w:name w:val="ListLabel 102"/>
    <w:qFormat/>
    <w:rPr>
      <w:rFonts w:cs="Courier New"/>
    </w:rPr>
  </w:style>
  <w:style w:type="character" w:styleId="ListLabel103">
    <w:name w:val="ListLabel 103"/>
    <w:qFormat/>
    <w:rPr>
      <w:rFonts w:cs="Courier New"/>
    </w:rPr>
  </w:style>
  <w:style w:type="character" w:styleId="ListLabel104">
    <w:name w:val="ListLabel 104"/>
    <w:qFormat/>
    <w:rPr>
      <w:rFonts w:cs="Courier New"/>
    </w:rPr>
  </w:style>
  <w:style w:type="character" w:styleId="ListLabel105">
    <w:name w:val="ListLabel 105"/>
    <w:qFormat/>
    <w:rPr>
      <w:rFonts w:cs="Courier New"/>
    </w:rPr>
  </w:style>
  <w:style w:type="character" w:styleId="ListLabel106">
    <w:name w:val="ListLabel 106"/>
    <w:qFormat/>
    <w:rPr>
      <w:rFonts w:cs="Courier New"/>
    </w:rPr>
  </w:style>
  <w:style w:type="character" w:styleId="ListLabel107">
    <w:name w:val="ListLabel 107"/>
    <w:qFormat/>
    <w:rPr>
      <w:rFonts w:cs="Courier New"/>
    </w:rPr>
  </w:style>
  <w:style w:type="character" w:styleId="ListLabel108">
    <w:name w:val="ListLabel 108"/>
    <w:qFormat/>
    <w:rPr>
      <w:rFonts w:cs="Courier New"/>
    </w:rPr>
  </w:style>
  <w:style w:type="character" w:styleId="ListLabel109">
    <w:name w:val="ListLabel 109"/>
    <w:qFormat/>
    <w:rPr>
      <w:rFonts w:cs="Courier New"/>
    </w:rPr>
  </w:style>
  <w:style w:type="character" w:styleId="ListLabel110">
    <w:name w:val="ListLabel 110"/>
    <w:qFormat/>
    <w:rPr>
      <w:rFonts w:cs="Courier New"/>
    </w:rPr>
  </w:style>
  <w:style w:type="character" w:styleId="ListLabel111">
    <w:name w:val="ListLabel 111"/>
    <w:qFormat/>
    <w:rPr>
      <w:rFonts w:cs="Courier New"/>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before="0" w:after="140" w:line="276" w:lineRule="auto"/>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46406"/>
    <w:pPr>
      <w:spacing w:before="0" w:after="80"/>
      <w:contextualSpacing/>
    </w:pPr>
    <w:rPr>
      <w:rFonts w:ascii="Aptos Display" w:hAnsi="Aptos Display" w:eastAsia="等线 Light" w:cs="Times New Roman" w:asciiTheme="majorHAnsi" w:hAnsiTheme="majorHAnsi" w:eastAsiaTheme="majorEastAsia" w:cstheme="majorBidi"/>
      <w:spacing w:val="-10"/>
      <w:kern w:val="2"/>
      <w:sz w:val="56"/>
      <w:szCs w:val="56"/>
    </w:rPr>
  </w:style>
  <w:style w:type="paragraph" w:styleId="Subtitle">
    <w:name w:val="Subtitle"/>
    <w:basedOn w:val="Normal"/>
    <w:next w:val="Normal"/>
    <w:link w:val="SubtitleChar"/>
    <w:uiPriority w:val="11"/>
    <w:qFormat/>
    <w:rsid w:val="00646406"/>
    <w:pPr>
      <w:spacing w:before="0" w:after="160"/>
    </w:pPr>
    <w:rPr>
      <w:rFonts w:eastAsia="等线 Light" w:cs="Times New Roman"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paragraph" w:styleId="ListParagraph">
    <w:name w:val="List Paragraph"/>
    <w:basedOn w:val="Normal"/>
    <w:uiPriority w:val="34"/>
    <w:qFormat/>
    <w:rsid w:val="00646406"/>
    <w:pPr>
      <w:spacing w:before="0" w:after="0"/>
      <w:ind w:left="720" w:hanging="0"/>
      <w:contextualSpacing/>
    </w:pPr>
    <w:rPr/>
  </w:style>
  <w:style w:type="paragraph" w:styleId="IntenseQuote">
    <w:name w:val="Intense Quote"/>
    <w:basedOn w:val="Normal"/>
    <w:next w:val="Normal"/>
    <w:link w:val="IntenseQuoteChar"/>
    <w:uiPriority w:val="30"/>
    <w:qFormat/>
    <w:rsid w:val="00646406"/>
    <w:pPr>
      <w:pBdr>
        <w:top w:val="single" w:color="0F4761" w:sz="4" w:space="10"/>
        <w:bottom w:val="single" w:color="0F4761" w:sz="4" w:space="10"/>
      </w:pBdr>
      <w:spacing w:before="360" w:after="360"/>
      <w:ind w:left="864" w:right="864" w:hanging="0"/>
      <w:jc w:val="center"/>
    </w:pPr>
    <w:rPr>
      <w:i/>
      <w:iCs/>
      <w:color w:val="0F4761" w:themeColor="accent1" w:themeShade="bf"/>
    </w:rPr>
  </w:style>
  <w:style w:type="paragraph" w:styleId="TOCHeading">
    <w:name w:val="TOC Heading"/>
    <w:basedOn w:val="Heading1"/>
    <w:next w:val="Normal"/>
    <w:uiPriority w:val="39"/>
    <w:unhideWhenUsed/>
    <w:qFormat/>
    <w:rsid w:val="00cb01f0"/>
    <w:pPr>
      <w:spacing w:before="480" w:after="0" w:line="276" w:lineRule="auto"/>
    </w:pPr>
    <w:rPr>
      <w:b/>
      <w:bCs/>
      <w:kern w:val="0"/>
      <w:sz w:val="28"/>
      <w:szCs w:val="28"/>
      <w:lang w:val="en-US"/>
      <w14:ligatures w14:val="none"/>
    </w:rPr>
  </w:style>
  <w:style w:type="paragraph" w:styleId="Contents1">
    <w:name w:val="TOC 1"/>
    <w:basedOn w:val="Normal"/>
    <w:next w:val="Normal"/>
    <w:autoRedefine/>
    <w:uiPriority w:val="39"/>
    <w:unhideWhenUsed/>
    <w:rsid w:val="00cb01f0"/>
    <w:pPr>
      <w:spacing w:before="120" w:after="0"/>
    </w:pPr>
    <w:rPr>
      <w:b/>
      <w:bCs/>
      <w:i/>
      <w:iCs/>
    </w:rPr>
  </w:style>
  <w:style w:type="paragraph" w:styleId="Contents2">
    <w:name w:val="TOC 2"/>
    <w:basedOn w:val="Normal"/>
    <w:next w:val="Normal"/>
    <w:autoRedefine/>
    <w:uiPriority w:val="39"/>
    <w:semiHidden/>
    <w:unhideWhenUsed/>
    <w:rsid w:val="00cb01f0"/>
    <w:pPr>
      <w:spacing w:before="120" w:after="0"/>
      <w:ind w:left="240" w:hanging="0"/>
    </w:pPr>
    <w:rPr>
      <w:b/>
      <w:bCs/>
      <w:sz w:val="22"/>
      <w:szCs w:val="22"/>
    </w:rPr>
  </w:style>
  <w:style w:type="paragraph" w:styleId="Contents3">
    <w:name w:val="TOC 3"/>
    <w:basedOn w:val="Normal"/>
    <w:next w:val="Normal"/>
    <w:autoRedefine/>
    <w:uiPriority w:val="39"/>
    <w:semiHidden/>
    <w:unhideWhenUsed/>
    <w:rsid w:val="00cb01f0"/>
    <w:pPr>
      <w:ind w:left="480" w:hanging="0"/>
    </w:pPr>
    <w:rPr>
      <w:sz w:val="20"/>
      <w:szCs w:val="20"/>
    </w:rPr>
  </w:style>
  <w:style w:type="paragraph" w:styleId="Contents4">
    <w:name w:val="TOC 4"/>
    <w:basedOn w:val="Normal"/>
    <w:next w:val="Normal"/>
    <w:autoRedefine/>
    <w:uiPriority w:val="39"/>
    <w:semiHidden/>
    <w:unhideWhenUsed/>
    <w:rsid w:val="00cb01f0"/>
    <w:pPr>
      <w:ind w:left="720" w:hanging="0"/>
    </w:pPr>
    <w:rPr>
      <w:sz w:val="20"/>
      <w:szCs w:val="20"/>
    </w:rPr>
  </w:style>
  <w:style w:type="paragraph" w:styleId="Contents5">
    <w:name w:val="TOC 5"/>
    <w:basedOn w:val="Normal"/>
    <w:next w:val="Normal"/>
    <w:autoRedefine/>
    <w:uiPriority w:val="39"/>
    <w:semiHidden/>
    <w:unhideWhenUsed/>
    <w:rsid w:val="00cb01f0"/>
    <w:pPr>
      <w:ind w:left="960" w:hanging="0"/>
    </w:pPr>
    <w:rPr>
      <w:sz w:val="20"/>
      <w:szCs w:val="20"/>
    </w:rPr>
  </w:style>
  <w:style w:type="paragraph" w:styleId="Contents6">
    <w:name w:val="TOC 6"/>
    <w:basedOn w:val="Normal"/>
    <w:next w:val="Normal"/>
    <w:autoRedefine/>
    <w:uiPriority w:val="39"/>
    <w:semiHidden/>
    <w:unhideWhenUsed/>
    <w:rsid w:val="00cb01f0"/>
    <w:pPr>
      <w:ind w:left="1200" w:hanging="0"/>
    </w:pPr>
    <w:rPr>
      <w:sz w:val="20"/>
      <w:szCs w:val="20"/>
    </w:rPr>
  </w:style>
  <w:style w:type="paragraph" w:styleId="Contents7">
    <w:name w:val="TOC 7"/>
    <w:basedOn w:val="Normal"/>
    <w:next w:val="Normal"/>
    <w:autoRedefine/>
    <w:uiPriority w:val="39"/>
    <w:semiHidden/>
    <w:unhideWhenUsed/>
    <w:rsid w:val="00cb01f0"/>
    <w:pPr>
      <w:ind w:left="1440" w:hanging="0"/>
    </w:pPr>
    <w:rPr>
      <w:sz w:val="20"/>
      <w:szCs w:val="20"/>
    </w:rPr>
  </w:style>
  <w:style w:type="paragraph" w:styleId="Contents8">
    <w:name w:val="TOC 8"/>
    <w:basedOn w:val="Normal"/>
    <w:next w:val="Normal"/>
    <w:autoRedefine/>
    <w:uiPriority w:val="39"/>
    <w:semiHidden/>
    <w:unhideWhenUsed/>
    <w:rsid w:val="00cb01f0"/>
    <w:pPr>
      <w:ind w:left="1680" w:hanging="0"/>
    </w:pPr>
    <w:rPr>
      <w:sz w:val="20"/>
      <w:szCs w:val="20"/>
    </w:rPr>
  </w:style>
  <w:style w:type="paragraph" w:styleId="Contents9">
    <w:name w:val="TOC 9"/>
    <w:basedOn w:val="Normal"/>
    <w:next w:val="Normal"/>
    <w:autoRedefine/>
    <w:uiPriority w:val="39"/>
    <w:semiHidden/>
    <w:unhideWhenUsed/>
    <w:rsid w:val="00cb01f0"/>
    <w:pPr>
      <w:ind w:left="1920" w:hanging="0"/>
    </w:pPr>
    <w:rPr>
      <w:sz w:val="20"/>
      <w:szCs w:val="20"/>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character" w:styleId="Hyperlink">
    <w:uiPriority w:val="99"/>
    <w:name w:val="Hyperlink"/>
    <w:basedOn w:val="DefaultParagraphFont"/>
    <w:unhideWhenUsed/>
    <w:rsid w:val="6C9A2BB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2803E2D6"/>
    <w:pPr>
      <w:tabs>
        <w:tab w:val="center" w:leader="none" w:pos="4680"/>
        <w:tab w:val="right" w:leader="none" w:pos="9360"/>
      </w:tabs>
      <w:spacing w:after="0" w:line="240" w:lineRule="auto"/>
    </w:pPr>
  </w:style>
  <w:style w:type="paragraph" w:styleId="Footer">
    <w:uiPriority w:val="99"/>
    <w:name w:val="footer"/>
    <w:basedOn w:val="Normal"/>
    <w:unhideWhenUsed/>
    <w:rsid w:val="2803E2D6"/>
    <w:pPr>
      <w:tabs>
        <w:tab w:val="center" w:leader="none" w:pos="4680"/>
        <w:tab w:val="right" w:leader="none" w:pos="9360"/>
      </w:tabs>
      <w:spacing w:after="0" w:line="240" w:lineRule="auto"/>
    </w:p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fontTable" Target="fontTable.xml" Id="rId4" /><Relationship Type="http://schemas.openxmlformats.org/officeDocument/2006/relationships/settings" Target="settings.xml" Id="rId5" /><Relationship Type="http://schemas.openxmlformats.org/officeDocument/2006/relationships/theme" Target="theme/theme1.xml" Id="rId6" /><Relationship Type="http://schemas.openxmlformats.org/officeDocument/2006/relationships/customXml" Target="../customXml/item1.xml" Id="rId7" /><Relationship Type="http://schemas.microsoft.com/office/2020/10/relationships/intelligence" Target="intelligence2.xml" Id="R80f961d026934d37" /><Relationship Type="http://schemas.openxmlformats.org/officeDocument/2006/relationships/numbering" Target="numbering.xml" Id="R21460f05e90c4199" /><Relationship Type="http://schemas.openxmlformats.org/officeDocument/2006/relationships/header" Target="header.xml" Id="R63afd7f1f6e24358" /><Relationship Type="http://schemas.openxmlformats.org/officeDocument/2006/relationships/footer" Target="footer.xml" Id="Rc4fe4b5301ca4694" /><Relationship Type="http://schemas.openxmlformats.org/officeDocument/2006/relationships/image" Target="/media/image4.png" Id="rId1382298176" /><Relationship Type="http://schemas.openxmlformats.org/officeDocument/2006/relationships/image" Target="/media/image5.png" Id="rId253622136" /><Relationship Type="http://schemas.openxmlformats.org/officeDocument/2006/relationships/image" Target="/media/image6.png" Id="rId1112695652" /><Relationship Type="http://schemas.openxmlformats.org/officeDocument/2006/relationships/image" Target="/media/image8.png" Id="rId155533290" /><Relationship Type="http://schemas.openxmlformats.org/officeDocument/2006/relationships/image" Target="/media/image9.png" Id="rId865948599" /><Relationship Type="http://schemas.openxmlformats.org/officeDocument/2006/relationships/hyperlink" Target="https://www.arultd.com/projects/nolans/?utm_source=chatgpt.com" TargetMode="External" Id="R37a66031479a4721" /><Relationship Type="http://schemas.openxmlformats.org/officeDocument/2006/relationships/hyperlink" Target="https://www.cmegroup.com/markets/metals/battery-metals/lithium-hydroxide-cif-cjk-fastmarkets.html?utm_source=chatgpt.com" TargetMode="External" Id="R4a5ec1a32d154128" /><Relationship Type="http://schemas.openxmlformats.org/officeDocument/2006/relationships/hyperlink" Target="https://www.industry.gov.au/publications/critical-minerals-strategy-2023-2030?utm_source=chatgpt.com" TargetMode="External" Id="Ra49b8bc62137425d" /><Relationship Type="http://schemas.openxmlformats.org/officeDocument/2006/relationships/hyperlink" Target="https://www.pmc.gov.au/domestic-policy/critical-minerals-strategic-reserve?utm_source=chatgpt.com" TargetMode="External" Id="R73c687484e274bdc" /><Relationship Type="http://schemas.openxmlformats.org/officeDocument/2006/relationships/hyperlink" Target="https://www.covalentlithium.com/news/covalent-lithium-operational-update-23-july-2025?utm_source=chatgpt.com" TargetMode="External" Id="R4e8be355d8b9450c" /><Relationship Type="http://schemas.openxmlformats.org/officeDocument/2006/relationships/hyperlink" Target="https://foreigninvestment.gov.au/guidance/types-investments/national-security?utm_source=chatgpt.com" TargetMode="External" Id="R5995353635d64f19" /><Relationship Type="http://schemas.openxmlformats.org/officeDocument/2006/relationships/hyperlink" Target="https://www.iea.org/reports/global-critical-minerals-outlook-2024?utm_source=chatgpt.com" TargetMode="External" Id="R1a21fe10fd454f1f" /><Relationship Type="http://schemas.openxmlformats.org/officeDocument/2006/relationships/hyperlink" Target="https://www.iea.org/reports/global-critical-minerals-outlook-2025?utm_source=chatgpt.com" TargetMode="External" Id="Rcb731e29254741e6" /><Relationship Type="http://schemas.openxmlformats.org/officeDocument/2006/relationships/hyperlink" Target="https://www.igo.com.au/site/operations/lithium-holdco-joint-venture" TargetMode="External" Id="R16b99d3e07ab4932" /><Relationship Type="http://schemas.openxmlformats.org/officeDocument/2006/relationships/hyperlink" Target="https://www.igo.com.au/site/pdf/378b29b1-90bc-4fca-afbe-28f669c92d0d/IGO-Annual-Report-2025.pdf" TargetMode="External" Id="R2ee4fae3a0354694" /><Relationship Type="http://schemas.openxmlformats.org/officeDocument/2006/relationships/hyperlink" Target="https://www.iluka.com/media/jp1mawlt/2025-full-year-results-presentation.pdf?utm_source=chatgpt.com" TargetMode="External" Id="R18c4d92d3d884dd0" /><Relationship Type="http://schemas.openxmlformats.org/officeDocument/2006/relationships/hyperlink" Target="https://www.lme.com/metals/ev/lme-lithium-hydroxide-cif-fastmarkets-mb/contract-specifications?utm_source=chatgpt.com" TargetMode="External" Id="Rb48ecddebb594ece" /><Relationship Type="http://schemas.openxmlformats.org/officeDocument/2006/relationships/hyperlink" Target="https://www.theculturefactor.com/country-comparison-tool?countries=australia,china&amp;utm_source=chatgpt.com" TargetMode="External" Id="R1111182631964935" /><Relationship Type="http://schemas.openxmlformats.org/officeDocument/2006/relationships/image" Target="/media/imaged.png" Id="rId1065918806" /><Relationship Type="http://schemas.openxmlformats.org/officeDocument/2006/relationships/hyperlink" Target="https://foreigninvestment.gov.au/sites/foreigninvestment.gov.au/files/2026-01/guidance-note-5-mining.pdf?utm_source=chatgpt.com" TargetMode="External" Id="R8179fdbde904498b" /><Relationship Type="http://schemas.openxmlformats.org/officeDocument/2006/relationships/hyperlink" Target="https://www.ato.gov.au/about-ato/new-legislation/in-detail/businesses/hydrogen-production-and-critical-minerals-tax-incentives" TargetMode="External" Id="Rf2e91c5ab7564054" /><Relationship Type="http://schemas.openxmlformats.org/officeDocument/2006/relationships/hyperlink" Target="https://www.reuters.com/markets/commodities/chinas-tianqi-open-renegotiating-lithium-refinery-deal-with-australias-igo-2025-08-20/?utm_source=chatgpt.com" TargetMode="External" Id="R053920bd80334443" /><Relationship Type="http://schemas.openxmlformats.org/officeDocument/2006/relationships/hyperlink" Target="https://www.industry.gov.au/sites/default/files/2024-12/remp_2024.pdf?utm_source=chatgpt.com" TargetMode="External" Id="R2d2cf3f987194384" /><Relationship Type="http://schemas.openxmlformats.org/officeDocument/2006/relationships/hyperlink" Target="https://www.listcorp.com/asx/lyc/lynas-rare-earths-limited/news/appendix-4e-and-2025-annual-report-3234309.html?utm_source=chatgpt.com" TargetMode="External" Id="R27ec74e8c4d647af" /><Relationship Type="http://schemas.openxmlformats.org/officeDocument/2006/relationships/hyperlink" Target="https://doi.org/10.1787/cef843bf-en" TargetMode="External" Id="R12f45e4edd7e4191" /><Relationship Type="http://schemas.openxmlformats.org/officeDocument/2006/relationships/hyperlink" Target="https://doi.org/10.3390/systems14040338" TargetMode="External" Id="R32a05cb14ca64ec3" /><Relationship Type="http://schemas.openxmlformats.org/officeDocument/2006/relationships/hyperlink" Target="https://doi.org/10.1108/CR-12-2017-0088" TargetMode="External" Id="Ra41e20e4345f4e34" /><Relationship Type="http://schemas.openxmlformats.org/officeDocument/2006/relationships/hyperlink" Target="https://doi.org/10.1504/IJBSR.2020.108269" TargetMode="External" Id="Rdecd8ff0583146ed" /><Relationship Type="http://schemas.openxmlformats.org/officeDocument/2006/relationships/hyperlink" Target="https://www.argusmedia.com/en/news-and-insights/latest-market-news/2725675-australia-s-igo-tianqi-in-talks-over-lithium-refinery?utm_source=chatgpt.com" TargetMode="External" Id="R53c21f4d5ed94922" /><Relationship Type="http://schemas.openxmlformats.org/officeDocument/2006/relationships/hyperlink" Target="https://www.abs.gov.au/statistics/economy/national-accounts/australian-national-accounts-national-income-expenditure-and-product/latest-release" TargetMode="External" Id="R78e4013e0e2943cc" /><Relationship Type="http://schemas.openxmlformats.org/officeDocument/2006/relationships/hyperlink" Target="https://www.abs.gov.au/statistics/labour/earnings-and-working-conditions/average-weekly-earnings-australia/latest-release" TargetMode="External" Id="R0744ecf3762c476a" /><Relationship Type="http://schemas.openxmlformats.org/officeDocument/2006/relationships/hyperlink" Target="https://doi.org/10.1016/j.iimb.2015.01.003" TargetMode="External" Id="R217f42aae5044166" /><Relationship Type="http://schemas.openxmlformats.org/officeDocument/2006/relationships/hyperlink" Target="https://www.industry.gov.au/mining-oil-and-gas/minerals/critical-minerals/critical-minerals-production-tax-incentive" TargetMode="External" Id="R3de4efa4ede94a58" /><Relationship Type="http://schemas.openxmlformats.org/officeDocument/2006/relationships/hyperlink" Target="https://www.industry.gov.au/publications/resources-and-energy-quarterly-june-2026" TargetMode="External" Id="R08517369dd224e79" /><Relationship Type="http://schemas.openxmlformats.org/officeDocument/2006/relationships/hyperlink" Target="https://www.wa.gov.au/system/files/2024-05/00361_battery_strategy_a4_5.3_web.pdf?utm_source=chatgpt.com" TargetMode="External" Id="R0a122d1dea134605" /><Relationship Type="http://schemas.openxmlformats.org/officeDocument/2006/relationships/hyperlink" Target="https://doi.org/10.1177/2381468319871018" TargetMode="External" Id="R08b924dab6c44f99" /><Relationship Type="http://schemas.openxmlformats.org/officeDocument/2006/relationships/hyperlink" Target="https://www.ga.gov.au/aimr2024/introduction" TargetMode="External" Id="Rd4e9f2bf83374c26" /><Relationship Type="http://schemas.openxmlformats.org/officeDocument/2006/relationships/hyperlink" Target="https://www.ga.gov.au/aimr2025/commodity-summaries" TargetMode="External" Id="R1fdb55d997924d9a" /><Relationship Type="http://schemas.openxmlformats.org/officeDocument/2006/relationships/hyperlink" Target="https://www.ga.gov.au/scientific-topics/minerals/critical-minerals?utm_source=chatgpt.com" TargetMode="External" Id="R969b2336ad124bc5" /><Relationship Type="http://schemas.openxmlformats.org/officeDocument/2006/relationships/hyperlink" Target="https://www.wa.gov.au/government/media-statements/McGowan%20Labor%20Government/Tianqi-produces-Australia%27s-first-battery-grade-lithium-hydroxide-20220520?utm_source=chatgpt.com" TargetMode="External" Id="Rb5ef2a914a3e4295" /><Relationship Type="http://schemas.openxmlformats.org/officeDocument/2006/relationships/hyperlink" Target="https://doi.org/10.1108/CR-02-2016-0007" TargetMode="External" Id="R2d4887794e844b29" /><Relationship Type="http://schemas.openxmlformats.org/officeDocument/2006/relationships/hyperlink" Target="https://doi.org/10.1088/1757-899X/688/5/055053" TargetMode="External" Id="Raa8c2bfd7ddc4168" /><Relationship Type="http://schemas.openxmlformats.org/officeDocument/2006/relationships/hyperlink" Target="https://www-sciencedirect-com.uwtsd.idm.oclc.org/science/article/pii/S096959319800002X" TargetMode="External" Id="R3f9e9dd1500d4348" /><Relationship Type="http://schemas.openxmlformats.org/officeDocument/2006/relationships/hyperlink" Target="https://www.rba.gov.au/publications/smp/2026/may/" TargetMode="External" Id="R274db649d1b24fc9" /><Relationship Type="http://schemas.openxmlformats.org/officeDocument/2006/relationships/hyperlink" Target="https://www.reuters.com/markets/commodities/australia-passes-tax-incentives-law-critical-minerals-2025-02-11/?utm_source=chatgpt.com" TargetMode="External" Id="Rd4ddd7e06b4f493e" /><Relationship Type="http://schemas.openxmlformats.org/officeDocument/2006/relationships/hyperlink" Target="https://doi.org/10.31996/mru.2021.2.3-14" TargetMode="External" Id="R5c516c66fafc4dde" /><Relationship Type="http://schemas.openxmlformats.org/officeDocument/2006/relationships/hyperlink" Target="https://doi.org/10.1108/10595421311305325" TargetMode="External" Id="R0a98530d9892494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2025-07-23T11:58:00.0000000Z</dcterms:created>
  <dc:creator>Laila Maazouz</dc:creator>
  <dc:description/>
  <dc:language>en-GB</dc:language>
  <lastModifiedBy>Luca Gerardi (2219573)</lastModifiedBy>
  <dcterms:modified xsi:type="dcterms:W3CDTF">2026-08-10T02:50:32.9136332Z</dcterms:modified>
  <revision>28</revision>
  <dc:subject/>
  <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