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EC40A4" w14:textId="2CBC9E54" w:rsidR="00A8186F" w:rsidRDefault="00A8186F" w:rsidP="00A8186F">
      <w:pPr>
        <w:pStyle w:val="Title"/>
        <w:rPr>
          <w:rFonts w:ascii="Times New Roman" w:hAnsi="Times New Roman" w:cs="Times New Roman"/>
          <w:b/>
          <w:bCs/>
          <w:sz w:val="40"/>
          <w:szCs w:val="40"/>
        </w:rPr>
      </w:pPr>
      <w:r>
        <w:rPr>
          <w:rFonts w:ascii="Times New Roman" w:hAnsi="Times New Roman" w:cs="Times New Roman"/>
          <w:b/>
          <w:bCs/>
          <w:noProof/>
          <w:sz w:val="40"/>
          <w:szCs w:val="40"/>
          <w:lang w:val="en-US"/>
        </w:rPr>
        <w:drawing>
          <wp:inline distT="0" distB="0" distL="0" distR="0" wp14:anchorId="119A8100" wp14:editId="43C8D085">
            <wp:extent cx="2351314" cy="1175657"/>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57790" cy="1178895"/>
                    </a:xfrm>
                    <a:prstGeom prst="rect">
                      <a:avLst/>
                    </a:prstGeom>
                    <a:noFill/>
                  </pic:spPr>
                </pic:pic>
              </a:graphicData>
            </a:graphic>
          </wp:inline>
        </w:drawing>
      </w:r>
    </w:p>
    <w:p w14:paraId="738CD1E6" w14:textId="77777777" w:rsidR="00A8186F" w:rsidRDefault="00A8186F" w:rsidP="001834FC">
      <w:pPr>
        <w:pStyle w:val="Title"/>
        <w:jc w:val="center"/>
        <w:rPr>
          <w:rFonts w:ascii="Times New Roman" w:hAnsi="Times New Roman" w:cs="Times New Roman"/>
          <w:b/>
          <w:bCs/>
          <w:sz w:val="40"/>
          <w:szCs w:val="40"/>
        </w:rPr>
      </w:pPr>
    </w:p>
    <w:p w14:paraId="24376C16" w14:textId="77777777" w:rsidR="00A8186F" w:rsidRDefault="00A8186F" w:rsidP="001834FC">
      <w:pPr>
        <w:pStyle w:val="Title"/>
        <w:jc w:val="center"/>
        <w:rPr>
          <w:rFonts w:ascii="Times New Roman" w:hAnsi="Times New Roman" w:cs="Times New Roman"/>
          <w:b/>
          <w:bCs/>
          <w:sz w:val="40"/>
          <w:szCs w:val="40"/>
        </w:rPr>
      </w:pPr>
    </w:p>
    <w:p w14:paraId="42918805" w14:textId="77777777" w:rsidR="00A8186F" w:rsidRDefault="00A8186F" w:rsidP="001834FC">
      <w:pPr>
        <w:pStyle w:val="Title"/>
        <w:jc w:val="center"/>
        <w:rPr>
          <w:rFonts w:ascii="Times New Roman" w:hAnsi="Times New Roman" w:cs="Times New Roman"/>
          <w:b/>
          <w:bCs/>
          <w:sz w:val="40"/>
          <w:szCs w:val="40"/>
        </w:rPr>
      </w:pPr>
    </w:p>
    <w:p w14:paraId="2F83281F" w14:textId="37795A54" w:rsidR="00913C8F" w:rsidRDefault="007B6DA1" w:rsidP="001834FC">
      <w:pPr>
        <w:pStyle w:val="Title"/>
        <w:jc w:val="center"/>
        <w:rPr>
          <w:rFonts w:ascii="Times New Roman" w:hAnsi="Times New Roman" w:cs="Times New Roman"/>
          <w:sz w:val="40"/>
          <w:szCs w:val="40"/>
          <w:u w:val="single"/>
        </w:rPr>
      </w:pPr>
      <w:r w:rsidRPr="007B6DA1">
        <w:rPr>
          <w:rFonts w:ascii="Times New Roman" w:hAnsi="Times New Roman" w:cs="Times New Roman"/>
          <w:b/>
          <w:bCs/>
          <w:sz w:val="40"/>
          <w:szCs w:val="40"/>
          <w:u w:val="single"/>
        </w:rPr>
        <w:t xml:space="preserve">Level 4- Student journal </w:t>
      </w:r>
      <w:r>
        <w:rPr>
          <w:rFonts w:ascii="Times New Roman" w:hAnsi="Times New Roman" w:cs="Times New Roman"/>
          <w:b/>
          <w:bCs/>
          <w:sz w:val="40"/>
          <w:szCs w:val="40"/>
          <w:u w:val="single"/>
        </w:rPr>
        <w:br/>
      </w:r>
      <w:r w:rsidRPr="007F5928">
        <w:rPr>
          <w:rFonts w:ascii="Times New Roman" w:hAnsi="Times New Roman" w:cs="Times New Roman"/>
          <w:sz w:val="40"/>
          <w:szCs w:val="40"/>
        </w:rPr>
        <w:t xml:space="preserve">International </w:t>
      </w:r>
      <w:r w:rsidR="00D220F0">
        <w:rPr>
          <w:rFonts w:ascii="Times New Roman" w:hAnsi="Times New Roman" w:cs="Times New Roman"/>
          <w:sz w:val="40"/>
          <w:szCs w:val="40"/>
        </w:rPr>
        <w:t>Hotel</w:t>
      </w:r>
      <w:r w:rsidRPr="007F5928">
        <w:rPr>
          <w:rFonts w:ascii="Times New Roman" w:hAnsi="Times New Roman" w:cs="Times New Roman"/>
          <w:sz w:val="40"/>
          <w:szCs w:val="40"/>
        </w:rPr>
        <w:t xml:space="preserve"> management</w:t>
      </w:r>
      <w:r w:rsidRPr="007B6DA1">
        <w:rPr>
          <w:rFonts w:ascii="Times New Roman" w:hAnsi="Times New Roman" w:cs="Times New Roman"/>
          <w:sz w:val="40"/>
          <w:szCs w:val="40"/>
          <w:u w:val="single"/>
        </w:rPr>
        <w:t xml:space="preserve"> </w:t>
      </w:r>
    </w:p>
    <w:p w14:paraId="458B0A61" w14:textId="0219F81E" w:rsidR="00E9580D" w:rsidRDefault="00E9580D" w:rsidP="00E9580D"/>
    <w:p w14:paraId="39505850" w14:textId="5A58BE7E" w:rsidR="00E9580D" w:rsidRDefault="00E9580D" w:rsidP="00E9580D"/>
    <w:p w14:paraId="1990D8EB" w14:textId="64DE6D7C" w:rsidR="00E9580D" w:rsidRDefault="00E9580D" w:rsidP="00E9580D"/>
    <w:p w14:paraId="441B1E24" w14:textId="5F601ABA" w:rsidR="00E9580D" w:rsidRPr="00E9580D" w:rsidRDefault="00E9580D" w:rsidP="00E9580D">
      <w:pPr>
        <w:rPr>
          <w:b/>
          <w:bCs/>
          <w:sz w:val="32"/>
          <w:szCs w:val="28"/>
        </w:rPr>
      </w:pPr>
    </w:p>
    <w:p w14:paraId="04EE2EA3" w14:textId="3C72CA67" w:rsidR="00E9580D" w:rsidRPr="00E9580D" w:rsidRDefault="00E9580D" w:rsidP="00E9580D">
      <w:pPr>
        <w:rPr>
          <w:b/>
          <w:bCs/>
          <w:sz w:val="32"/>
          <w:szCs w:val="28"/>
        </w:rPr>
      </w:pPr>
      <w:r w:rsidRPr="00E9580D">
        <w:rPr>
          <w:b/>
          <w:bCs/>
          <w:sz w:val="32"/>
          <w:szCs w:val="28"/>
        </w:rPr>
        <w:t xml:space="preserve">Sustainability within the hotel industry </w:t>
      </w:r>
    </w:p>
    <w:p w14:paraId="4E515B0E" w14:textId="77777777" w:rsidR="007B6DA1" w:rsidRPr="007B6DA1" w:rsidRDefault="007B6DA1" w:rsidP="007B6DA1"/>
    <w:tbl>
      <w:tblPr>
        <w:tblStyle w:val="TableGrid"/>
        <w:tblW w:w="0" w:type="auto"/>
        <w:tblLook w:val="04A0" w:firstRow="1" w:lastRow="0" w:firstColumn="1" w:lastColumn="0" w:noHBand="0" w:noVBand="1"/>
      </w:tblPr>
      <w:tblGrid>
        <w:gridCol w:w="2335"/>
        <w:gridCol w:w="7015"/>
      </w:tblGrid>
      <w:tr w:rsidR="00B22D6F" w14:paraId="58E5B499" w14:textId="77777777" w:rsidTr="00545BA3">
        <w:tc>
          <w:tcPr>
            <w:tcW w:w="2335" w:type="dxa"/>
          </w:tcPr>
          <w:p w14:paraId="4A664C26" w14:textId="1FD9E656" w:rsidR="00B22D6F" w:rsidRDefault="00B22D6F" w:rsidP="007B6DA1">
            <w:r>
              <w:t xml:space="preserve">Student name: </w:t>
            </w:r>
          </w:p>
        </w:tc>
        <w:tc>
          <w:tcPr>
            <w:tcW w:w="7015" w:type="dxa"/>
          </w:tcPr>
          <w:p w14:paraId="51843B59" w14:textId="76AD72FD" w:rsidR="00B22D6F" w:rsidRDefault="00792B2A" w:rsidP="007B6DA1">
            <w:r>
              <w:t xml:space="preserve">Alina </w:t>
            </w:r>
            <w:proofErr w:type="spellStart"/>
            <w:r>
              <w:t>Neagu</w:t>
            </w:r>
            <w:proofErr w:type="spellEnd"/>
          </w:p>
        </w:tc>
      </w:tr>
      <w:tr w:rsidR="00B22D6F" w14:paraId="67895186" w14:textId="77777777" w:rsidTr="00545BA3">
        <w:tc>
          <w:tcPr>
            <w:tcW w:w="2335" w:type="dxa"/>
          </w:tcPr>
          <w:p w14:paraId="7F4E47AA" w14:textId="6E8F453C" w:rsidR="00B22D6F" w:rsidRDefault="00B22D6F" w:rsidP="007B6DA1">
            <w:r>
              <w:t xml:space="preserve">Student Number: </w:t>
            </w:r>
          </w:p>
        </w:tc>
        <w:tc>
          <w:tcPr>
            <w:tcW w:w="7015" w:type="dxa"/>
          </w:tcPr>
          <w:p w14:paraId="79204F26" w14:textId="6908C1D1" w:rsidR="00B22D6F" w:rsidRDefault="00792B2A" w:rsidP="007B6DA1">
            <w:r w:rsidRPr="00792B2A">
              <w:t>2121368</w:t>
            </w:r>
          </w:p>
        </w:tc>
      </w:tr>
      <w:tr w:rsidR="00B22D6F" w14:paraId="2030B9D0" w14:textId="77777777" w:rsidTr="00545BA3">
        <w:tc>
          <w:tcPr>
            <w:tcW w:w="2335" w:type="dxa"/>
          </w:tcPr>
          <w:p w14:paraId="1A09711A" w14:textId="675E505B" w:rsidR="00B22D6F" w:rsidRDefault="00545BA3" w:rsidP="007B6DA1">
            <w:r>
              <w:t xml:space="preserve">Module </w:t>
            </w:r>
          </w:p>
        </w:tc>
        <w:tc>
          <w:tcPr>
            <w:tcW w:w="7015" w:type="dxa"/>
          </w:tcPr>
          <w:p w14:paraId="7744A9BD" w14:textId="4CB67135" w:rsidR="00B22D6F" w:rsidRDefault="00A61CBC" w:rsidP="007B6DA1">
            <w:r w:rsidRPr="00A61CBC">
              <w:t>BMIH4006</w:t>
            </w:r>
          </w:p>
        </w:tc>
      </w:tr>
      <w:tr w:rsidR="00B22D6F" w14:paraId="31F30A15" w14:textId="77777777" w:rsidTr="00545BA3">
        <w:tc>
          <w:tcPr>
            <w:tcW w:w="2335" w:type="dxa"/>
          </w:tcPr>
          <w:p w14:paraId="085527AC" w14:textId="0F554EBF" w:rsidR="00B22D6F" w:rsidRDefault="00545BA3" w:rsidP="007B6DA1">
            <w:r>
              <w:t xml:space="preserve">Placement Tutor: </w:t>
            </w:r>
          </w:p>
        </w:tc>
        <w:tc>
          <w:tcPr>
            <w:tcW w:w="7015" w:type="dxa"/>
          </w:tcPr>
          <w:p w14:paraId="45DFB36C" w14:textId="0B0FA678" w:rsidR="00B22D6F" w:rsidRDefault="003C7B2E" w:rsidP="007B6DA1">
            <w:r>
              <w:t xml:space="preserve">Lisa </w:t>
            </w:r>
            <w:proofErr w:type="spellStart"/>
            <w:r>
              <w:t>Bassler</w:t>
            </w:r>
            <w:proofErr w:type="spellEnd"/>
          </w:p>
        </w:tc>
      </w:tr>
    </w:tbl>
    <w:p w14:paraId="65D7CC41" w14:textId="77777777" w:rsidR="007B6DA1" w:rsidRPr="007B6DA1" w:rsidRDefault="007B6DA1" w:rsidP="007B6DA1"/>
    <w:p w14:paraId="57E2CD9E" w14:textId="3B2959D1" w:rsidR="001834FC" w:rsidRDefault="001834FC"/>
    <w:p w14:paraId="3C67747A" w14:textId="77777777" w:rsidR="001834FC" w:rsidRDefault="001834FC">
      <w:r>
        <w:br w:type="page"/>
      </w:r>
    </w:p>
    <w:sdt>
      <w:sdtPr>
        <w:rPr>
          <w:rFonts w:eastAsiaTheme="minorHAnsi"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71F13B4C" w14:textId="2A6A40F8" w:rsidR="00F11505"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20570325" w:history="1">
            <w:r w:rsidR="00F11505" w:rsidRPr="00ED0978">
              <w:rPr>
                <w:rStyle w:val="Hyperlink"/>
                <w:noProof/>
              </w:rPr>
              <w:t>Introduction</w:t>
            </w:r>
            <w:r w:rsidR="00F11505">
              <w:rPr>
                <w:noProof/>
                <w:webHidden/>
              </w:rPr>
              <w:tab/>
            </w:r>
            <w:r w:rsidR="00F11505">
              <w:rPr>
                <w:noProof/>
                <w:webHidden/>
              </w:rPr>
              <w:fldChar w:fldCharType="begin"/>
            </w:r>
            <w:r w:rsidR="00F11505">
              <w:rPr>
                <w:noProof/>
                <w:webHidden/>
              </w:rPr>
              <w:instrText xml:space="preserve"> PAGEREF _Toc120570325 \h </w:instrText>
            </w:r>
            <w:r w:rsidR="00F11505">
              <w:rPr>
                <w:noProof/>
                <w:webHidden/>
              </w:rPr>
            </w:r>
            <w:r w:rsidR="00F11505">
              <w:rPr>
                <w:noProof/>
                <w:webHidden/>
              </w:rPr>
              <w:fldChar w:fldCharType="separate"/>
            </w:r>
            <w:r w:rsidR="00F11505">
              <w:rPr>
                <w:noProof/>
                <w:webHidden/>
              </w:rPr>
              <w:t>1</w:t>
            </w:r>
            <w:r w:rsidR="00F11505">
              <w:rPr>
                <w:noProof/>
                <w:webHidden/>
              </w:rPr>
              <w:fldChar w:fldCharType="end"/>
            </w:r>
          </w:hyperlink>
        </w:p>
        <w:p w14:paraId="4E7CC998" w14:textId="5BCD98EF" w:rsidR="00F11505" w:rsidRDefault="00165013">
          <w:pPr>
            <w:pStyle w:val="TOC1"/>
            <w:tabs>
              <w:tab w:val="right" w:leader="dot" w:pos="9350"/>
            </w:tabs>
            <w:rPr>
              <w:rFonts w:asciiTheme="minorHAnsi" w:eastAsiaTheme="minorEastAsia" w:hAnsiTheme="minorHAnsi"/>
              <w:noProof/>
              <w:color w:val="auto"/>
              <w:sz w:val="22"/>
              <w:lang w:val="en-US"/>
            </w:rPr>
          </w:pPr>
          <w:hyperlink w:anchor="_Toc120570326" w:history="1">
            <w:r w:rsidR="00F11505" w:rsidRPr="00ED0978">
              <w:rPr>
                <w:rStyle w:val="Hyperlink"/>
                <w:noProof/>
              </w:rPr>
              <w:t>Employee Engagement</w:t>
            </w:r>
            <w:r w:rsidR="00F11505">
              <w:rPr>
                <w:noProof/>
                <w:webHidden/>
              </w:rPr>
              <w:tab/>
            </w:r>
            <w:r w:rsidR="00F11505">
              <w:rPr>
                <w:noProof/>
                <w:webHidden/>
              </w:rPr>
              <w:fldChar w:fldCharType="begin"/>
            </w:r>
            <w:r w:rsidR="00F11505">
              <w:rPr>
                <w:noProof/>
                <w:webHidden/>
              </w:rPr>
              <w:instrText xml:space="preserve"> PAGEREF _Toc120570326 \h </w:instrText>
            </w:r>
            <w:r w:rsidR="00F11505">
              <w:rPr>
                <w:noProof/>
                <w:webHidden/>
              </w:rPr>
            </w:r>
            <w:r w:rsidR="00F11505">
              <w:rPr>
                <w:noProof/>
                <w:webHidden/>
              </w:rPr>
              <w:fldChar w:fldCharType="separate"/>
            </w:r>
            <w:r w:rsidR="00F11505">
              <w:rPr>
                <w:noProof/>
                <w:webHidden/>
              </w:rPr>
              <w:t>3</w:t>
            </w:r>
            <w:r w:rsidR="00F11505">
              <w:rPr>
                <w:noProof/>
                <w:webHidden/>
              </w:rPr>
              <w:fldChar w:fldCharType="end"/>
            </w:r>
          </w:hyperlink>
        </w:p>
        <w:p w14:paraId="244EB725" w14:textId="2C5A5593" w:rsidR="00F11505" w:rsidRDefault="00165013">
          <w:pPr>
            <w:pStyle w:val="TOC1"/>
            <w:tabs>
              <w:tab w:val="right" w:leader="dot" w:pos="9350"/>
            </w:tabs>
            <w:rPr>
              <w:rFonts w:asciiTheme="minorHAnsi" w:eastAsiaTheme="minorEastAsia" w:hAnsiTheme="minorHAnsi"/>
              <w:noProof/>
              <w:color w:val="auto"/>
              <w:sz w:val="22"/>
              <w:lang w:val="en-US"/>
            </w:rPr>
          </w:pPr>
          <w:hyperlink w:anchor="_Toc120570327" w:history="1">
            <w:r w:rsidR="00F11505" w:rsidRPr="00ED0978">
              <w:rPr>
                <w:rStyle w:val="Hyperlink"/>
                <w:noProof/>
              </w:rPr>
              <w:t>Employee Engagement model: The Kahn Model</w:t>
            </w:r>
            <w:r w:rsidR="00F11505">
              <w:rPr>
                <w:noProof/>
                <w:webHidden/>
              </w:rPr>
              <w:tab/>
            </w:r>
            <w:r w:rsidR="00F11505">
              <w:rPr>
                <w:noProof/>
                <w:webHidden/>
              </w:rPr>
              <w:fldChar w:fldCharType="begin"/>
            </w:r>
            <w:r w:rsidR="00F11505">
              <w:rPr>
                <w:noProof/>
                <w:webHidden/>
              </w:rPr>
              <w:instrText xml:space="preserve"> PAGEREF _Toc120570327 \h </w:instrText>
            </w:r>
            <w:r w:rsidR="00F11505">
              <w:rPr>
                <w:noProof/>
                <w:webHidden/>
              </w:rPr>
            </w:r>
            <w:r w:rsidR="00F11505">
              <w:rPr>
                <w:noProof/>
                <w:webHidden/>
              </w:rPr>
              <w:fldChar w:fldCharType="separate"/>
            </w:r>
            <w:r w:rsidR="00F11505">
              <w:rPr>
                <w:noProof/>
                <w:webHidden/>
              </w:rPr>
              <w:t>5</w:t>
            </w:r>
            <w:r w:rsidR="00F11505">
              <w:rPr>
                <w:noProof/>
                <w:webHidden/>
              </w:rPr>
              <w:fldChar w:fldCharType="end"/>
            </w:r>
          </w:hyperlink>
        </w:p>
        <w:p w14:paraId="7AD4C1A2" w14:textId="5AD1455A" w:rsidR="00F11505" w:rsidRDefault="00165013">
          <w:pPr>
            <w:pStyle w:val="TOC1"/>
            <w:tabs>
              <w:tab w:val="right" w:leader="dot" w:pos="9350"/>
            </w:tabs>
            <w:rPr>
              <w:rFonts w:asciiTheme="minorHAnsi" w:eastAsiaTheme="minorEastAsia" w:hAnsiTheme="minorHAnsi"/>
              <w:noProof/>
              <w:color w:val="auto"/>
              <w:sz w:val="22"/>
              <w:lang w:val="en-US"/>
            </w:rPr>
          </w:pPr>
          <w:hyperlink w:anchor="_Toc120570328" w:history="1">
            <w:r w:rsidR="00F11505" w:rsidRPr="00ED0978">
              <w:rPr>
                <w:rStyle w:val="Hyperlink"/>
                <w:noProof/>
              </w:rPr>
              <w:t>The importance of employee engagement within the hotel industry.</w:t>
            </w:r>
            <w:r w:rsidR="00F11505">
              <w:rPr>
                <w:noProof/>
                <w:webHidden/>
              </w:rPr>
              <w:tab/>
            </w:r>
            <w:r w:rsidR="00F11505">
              <w:rPr>
                <w:noProof/>
                <w:webHidden/>
              </w:rPr>
              <w:fldChar w:fldCharType="begin"/>
            </w:r>
            <w:r w:rsidR="00F11505">
              <w:rPr>
                <w:noProof/>
                <w:webHidden/>
              </w:rPr>
              <w:instrText xml:space="preserve"> PAGEREF _Toc120570328 \h </w:instrText>
            </w:r>
            <w:r w:rsidR="00F11505">
              <w:rPr>
                <w:noProof/>
                <w:webHidden/>
              </w:rPr>
            </w:r>
            <w:r w:rsidR="00F11505">
              <w:rPr>
                <w:noProof/>
                <w:webHidden/>
              </w:rPr>
              <w:fldChar w:fldCharType="separate"/>
            </w:r>
            <w:r w:rsidR="00F11505">
              <w:rPr>
                <w:noProof/>
                <w:webHidden/>
              </w:rPr>
              <w:t>7</w:t>
            </w:r>
            <w:r w:rsidR="00F11505">
              <w:rPr>
                <w:noProof/>
                <w:webHidden/>
              </w:rPr>
              <w:fldChar w:fldCharType="end"/>
            </w:r>
          </w:hyperlink>
        </w:p>
        <w:p w14:paraId="4F1550B9" w14:textId="61AF2E75" w:rsidR="00F11505" w:rsidRDefault="00165013">
          <w:pPr>
            <w:pStyle w:val="TOC1"/>
            <w:tabs>
              <w:tab w:val="right" w:leader="dot" w:pos="9350"/>
            </w:tabs>
            <w:rPr>
              <w:rFonts w:asciiTheme="minorHAnsi" w:eastAsiaTheme="minorEastAsia" w:hAnsiTheme="minorHAnsi"/>
              <w:noProof/>
              <w:color w:val="auto"/>
              <w:sz w:val="22"/>
              <w:lang w:val="en-US"/>
            </w:rPr>
          </w:pPr>
          <w:hyperlink w:anchor="_Toc120570329" w:history="1">
            <w:r w:rsidR="00F11505" w:rsidRPr="00ED0978">
              <w:rPr>
                <w:rStyle w:val="Hyperlink"/>
                <w:noProof/>
              </w:rPr>
              <w:t>Best practice to engage employees from the hotel industry</w:t>
            </w:r>
            <w:r w:rsidR="00F11505">
              <w:rPr>
                <w:noProof/>
                <w:webHidden/>
              </w:rPr>
              <w:tab/>
            </w:r>
            <w:r w:rsidR="00F11505">
              <w:rPr>
                <w:noProof/>
                <w:webHidden/>
              </w:rPr>
              <w:fldChar w:fldCharType="begin"/>
            </w:r>
            <w:r w:rsidR="00F11505">
              <w:rPr>
                <w:noProof/>
                <w:webHidden/>
              </w:rPr>
              <w:instrText xml:space="preserve"> PAGEREF _Toc120570329 \h </w:instrText>
            </w:r>
            <w:r w:rsidR="00F11505">
              <w:rPr>
                <w:noProof/>
                <w:webHidden/>
              </w:rPr>
            </w:r>
            <w:r w:rsidR="00F11505">
              <w:rPr>
                <w:noProof/>
                <w:webHidden/>
              </w:rPr>
              <w:fldChar w:fldCharType="separate"/>
            </w:r>
            <w:r w:rsidR="00F11505">
              <w:rPr>
                <w:noProof/>
                <w:webHidden/>
              </w:rPr>
              <w:t>9</w:t>
            </w:r>
            <w:r w:rsidR="00F11505">
              <w:rPr>
                <w:noProof/>
                <w:webHidden/>
              </w:rPr>
              <w:fldChar w:fldCharType="end"/>
            </w:r>
          </w:hyperlink>
        </w:p>
        <w:p w14:paraId="7FC6A032" w14:textId="4B117F02" w:rsidR="00F11505" w:rsidRDefault="00165013">
          <w:pPr>
            <w:pStyle w:val="TOC1"/>
            <w:tabs>
              <w:tab w:val="right" w:leader="dot" w:pos="9350"/>
            </w:tabs>
            <w:rPr>
              <w:rFonts w:asciiTheme="minorHAnsi" w:eastAsiaTheme="minorEastAsia" w:hAnsiTheme="minorHAnsi"/>
              <w:noProof/>
              <w:color w:val="auto"/>
              <w:sz w:val="22"/>
              <w:lang w:val="en-US"/>
            </w:rPr>
          </w:pPr>
          <w:hyperlink w:anchor="_Toc120570330" w:history="1">
            <w:r w:rsidR="00F11505" w:rsidRPr="00ED0978">
              <w:rPr>
                <w:rStyle w:val="Hyperlink"/>
                <w:noProof/>
              </w:rPr>
              <w:t>Conclusion</w:t>
            </w:r>
            <w:r w:rsidR="00F11505">
              <w:rPr>
                <w:noProof/>
                <w:webHidden/>
              </w:rPr>
              <w:tab/>
            </w:r>
            <w:r w:rsidR="00F11505">
              <w:rPr>
                <w:noProof/>
                <w:webHidden/>
              </w:rPr>
              <w:fldChar w:fldCharType="begin"/>
            </w:r>
            <w:r w:rsidR="00F11505">
              <w:rPr>
                <w:noProof/>
                <w:webHidden/>
              </w:rPr>
              <w:instrText xml:space="preserve"> PAGEREF _Toc120570330 \h </w:instrText>
            </w:r>
            <w:r w:rsidR="00F11505">
              <w:rPr>
                <w:noProof/>
                <w:webHidden/>
              </w:rPr>
            </w:r>
            <w:r w:rsidR="00F11505">
              <w:rPr>
                <w:noProof/>
                <w:webHidden/>
              </w:rPr>
              <w:fldChar w:fldCharType="separate"/>
            </w:r>
            <w:r w:rsidR="00F11505">
              <w:rPr>
                <w:noProof/>
                <w:webHidden/>
              </w:rPr>
              <w:t>11</w:t>
            </w:r>
            <w:r w:rsidR="00F11505">
              <w:rPr>
                <w:noProof/>
                <w:webHidden/>
              </w:rPr>
              <w:fldChar w:fldCharType="end"/>
            </w:r>
          </w:hyperlink>
        </w:p>
        <w:p w14:paraId="01FC99F3" w14:textId="21E400E7" w:rsidR="00F11505" w:rsidRDefault="00165013">
          <w:pPr>
            <w:pStyle w:val="TOC1"/>
            <w:tabs>
              <w:tab w:val="right" w:leader="dot" w:pos="9350"/>
            </w:tabs>
            <w:rPr>
              <w:rFonts w:asciiTheme="minorHAnsi" w:eastAsiaTheme="minorEastAsia" w:hAnsiTheme="minorHAnsi"/>
              <w:noProof/>
              <w:color w:val="auto"/>
              <w:sz w:val="22"/>
              <w:lang w:val="en-US"/>
            </w:rPr>
          </w:pPr>
          <w:hyperlink w:anchor="_Toc120570331" w:history="1">
            <w:r w:rsidR="00F11505" w:rsidRPr="00ED0978">
              <w:rPr>
                <w:rStyle w:val="Hyperlink"/>
                <w:noProof/>
              </w:rPr>
              <w:t>References</w:t>
            </w:r>
            <w:r w:rsidR="00F11505">
              <w:rPr>
                <w:noProof/>
                <w:webHidden/>
              </w:rPr>
              <w:tab/>
            </w:r>
            <w:r w:rsidR="00F11505">
              <w:rPr>
                <w:noProof/>
                <w:webHidden/>
              </w:rPr>
              <w:fldChar w:fldCharType="begin"/>
            </w:r>
            <w:r w:rsidR="00F11505">
              <w:rPr>
                <w:noProof/>
                <w:webHidden/>
              </w:rPr>
              <w:instrText xml:space="preserve"> PAGEREF _Toc120570331 \h </w:instrText>
            </w:r>
            <w:r w:rsidR="00F11505">
              <w:rPr>
                <w:noProof/>
                <w:webHidden/>
              </w:rPr>
            </w:r>
            <w:r w:rsidR="00F11505">
              <w:rPr>
                <w:noProof/>
                <w:webHidden/>
              </w:rPr>
              <w:fldChar w:fldCharType="separate"/>
            </w:r>
            <w:r w:rsidR="00F11505">
              <w:rPr>
                <w:noProof/>
                <w:webHidden/>
              </w:rPr>
              <w:t>12</w:t>
            </w:r>
            <w:r w:rsidR="00F11505">
              <w:rPr>
                <w:noProof/>
                <w:webHidden/>
              </w:rPr>
              <w:fldChar w:fldCharType="end"/>
            </w:r>
          </w:hyperlink>
        </w:p>
        <w:p w14:paraId="11FB9FCD" w14:textId="52AAB573"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7238F144" w14:textId="184FC3CA" w:rsidR="00F11505" w:rsidRDefault="00F11505" w:rsidP="00F11505"/>
    <w:p w14:paraId="194129F4" w14:textId="082266D2" w:rsidR="001834FC" w:rsidRDefault="001834FC" w:rsidP="001834FC">
      <w:pPr>
        <w:pStyle w:val="Heading1"/>
      </w:pPr>
      <w:bookmarkStart w:id="0" w:name="_Toc120570325"/>
      <w:r>
        <w:t>Introduction</w:t>
      </w:r>
      <w:bookmarkEnd w:id="0"/>
      <w:r>
        <w:t xml:space="preserve"> </w:t>
      </w:r>
    </w:p>
    <w:p w14:paraId="2ACF3379" w14:textId="3C2D3B56" w:rsidR="00F11505" w:rsidRPr="00F11505" w:rsidRDefault="00F11505" w:rsidP="00F11505">
      <w:r>
        <w:rPr>
          <w:noProof/>
          <w:lang w:val="en-US"/>
        </w:rPr>
        <w:drawing>
          <wp:inline distT="0" distB="0" distL="0" distR="0" wp14:anchorId="2E4A23EA" wp14:editId="2FF59589">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7EABEBD4" w14:textId="18674C38" w:rsidR="00BF4961" w:rsidRDefault="00BF4961" w:rsidP="00BF4961">
      <w:r>
        <w:t>People can provide their best effort every day when they are fully engaged in their job. The foundations of employee engagement include mutual regard, honesty, dedication on both sides, and open communication channels</w:t>
      </w:r>
      <w:sdt>
        <w:sdtPr>
          <w:id w:val="883215033"/>
          <w:citation/>
        </w:sdtPr>
        <w:sdtEndPr/>
        <w:sdtContent>
          <w:r w:rsidR="00BE1A2D">
            <w:fldChar w:fldCharType="begin"/>
          </w:r>
          <w:r w:rsidR="00BE1A2D">
            <w:rPr>
              <w:lang w:val="en-US"/>
            </w:rPr>
            <w:instrText xml:space="preserve"> CITATION Bot19 \l 1033 </w:instrText>
          </w:r>
          <w:r w:rsidR="00BE1A2D">
            <w:fldChar w:fldCharType="separate"/>
          </w:r>
          <w:r w:rsidR="00BE1A2D">
            <w:rPr>
              <w:noProof/>
              <w:lang w:val="en-US"/>
            </w:rPr>
            <w:t xml:space="preserve"> </w:t>
          </w:r>
          <w:r w:rsidR="00BE1A2D" w:rsidRPr="00BE1A2D">
            <w:rPr>
              <w:noProof/>
              <w:lang w:val="en-US"/>
            </w:rPr>
            <w:t>(Botzen, 2019)</w:t>
          </w:r>
          <w:r w:rsidR="00BE1A2D">
            <w:fldChar w:fldCharType="end"/>
          </w:r>
        </w:sdtContent>
      </w:sdt>
      <w:r>
        <w:t>. It's a plan of action that boosts productivity, performance, and happiness in the workplace and among employees. The hotel sector is the topic of this talk on employee engagement. The Kahn Model and employee involvement will be managed by IT. It will also delve into the significance of employee engagement in the hospitality industry and the best methods for fostering it.</w:t>
      </w:r>
    </w:p>
    <w:p w14:paraId="73D41FEB" w14:textId="77777777" w:rsidR="00CF7C27" w:rsidRDefault="00CF7C27">
      <w:pPr>
        <w:spacing w:line="259" w:lineRule="auto"/>
        <w:jc w:val="left"/>
        <w:rPr>
          <w:rFonts w:eastAsiaTheme="majorEastAsia" w:cstheme="majorBidi"/>
          <w:b/>
          <w:sz w:val="32"/>
          <w:szCs w:val="32"/>
        </w:rPr>
      </w:pPr>
      <w:r>
        <w:br w:type="page"/>
      </w:r>
    </w:p>
    <w:p w14:paraId="1EE3B9EC" w14:textId="3FA73E9A" w:rsidR="00DD685E" w:rsidRDefault="00DD685E" w:rsidP="00DD685E">
      <w:pPr>
        <w:pStyle w:val="Heading1"/>
      </w:pPr>
      <w:bookmarkStart w:id="1" w:name="_Toc120570326"/>
      <w:r>
        <w:t>Employee E</w:t>
      </w:r>
      <w:r w:rsidRPr="00DD685E">
        <w:t>ngagement</w:t>
      </w:r>
      <w:bookmarkEnd w:id="1"/>
      <w:r w:rsidRPr="00DD685E">
        <w:t xml:space="preserve"> </w:t>
      </w:r>
    </w:p>
    <w:p w14:paraId="0E196B2C" w14:textId="6B26514C" w:rsidR="00F11505" w:rsidRPr="00F11505" w:rsidRDefault="00F11505" w:rsidP="00F11505">
      <w:r>
        <w:rPr>
          <w:noProof/>
          <w:lang w:val="en-US"/>
        </w:rPr>
        <w:drawing>
          <wp:inline distT="0" distB="0" distL="0" distR="0" wp14:anchorId="3809CC18" wp14:editId="16FEC33C">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29650683" w14:textId="66CE7143" w:rsidR="00BF4961" w:rsidRDefault="00BF4961" w:rsidP="00BF4961">
      <w:r>
        <w:t>Human resources (HR) engagement describes a worker's level of interest in and dedication to their position. Engaged workers care about their work and the company's success and believe that their contributions matter. The engaged worker has deeper motivations than financial reward; they may feel their success and the success of their firm are inextricably linked</w:t>
      </w:r>
      <w:sdt>
        <w:sdtPr>
          <w:id w:val="1278219766"/>
          <w:citation/>
        </w:sdtPr>
        <w:sdtEndPr/>
        <w:sdtContent>
          <w:r w:rsidR="00BE1A2D">
            <w:fldChar w:fldCharType="begin"/>
          </w:r>
          <w:r w:rsidR="00BE1A2D">
            <w:rPr>
              <w:lang w:val="en-US"/>
            </w:rPr>
            <w:instrText xml:space="preserve"> CITATION Gür19 \l 1033 </w:instrText>
          </w:r>
          <w:r w:rsidR="00BE1A2D">
            <w:fldChar w:fldCharType="separate"/>
          </w:r>
          <w:r w:rsidR="00BE1A2D">
            <w:rPr>
              <w:noProof/>
              <w:lang w:val="en-US"/>
            </w:rPr>
            <w:t xml:space="preserve"> </w:t>
          </w:r>
          <w:r w:rsidR="00BE1A2D" w:rsidRPr="00BE1A2D">
            <w:rPr>
              <w:noProof/>
              <w:lang w:val="en-US"/>
            </w:rPr>
            <w:t>(Gürlek, 2019)</w:t>
          </w:r>
          <w:r w:rsidR="00BE1A2D">
            <w:fldChar w:fldCharType="end"/>
          </w:r>
        </w:sdtContent>
      </w:sdt>
      <w:r>
        <w:t>. Employee engagement has significantly impacted work satisfaction and morale, suggesting that it may be an essential factor in a company's overall success. Constructing and keeping up employee enthusiasm requires clear and constant lines of communication</w:t>
      </w:r>
      <w:sdt>
        <w:sdtPr>
          <w:id w:val="1347986224"/>
          <w:citation/>
        </w:sdtPr>
        <w:sdtEndPr/>
        <w:sdtContent>
          <w:r w:rsidR="00BE1A2D">
            <w:fldChar w:fldCharType="begin"/>
          </w:r>
          <w:r w:rsidR="00BE1A2D">
            <w:rPr>
              <w:lang w:val="en-US"/>
            </w:rPr>
            <w:instrText xml:space="preserve"> CITATION Sun19 \l 1033 </w:instrText>
          </w:r>
          <w:r w:rsidR="00BE1A2D">
            <w:fldChar w:fldCharType="separate"/>
          </w:r>
          <w:r w:rsidR="00BE1A2D">
            <w:rPr>
              <w:noProof/>
              <w:lang w:val="en-US"/>
            </w:rPr>
            <w:t xml:space="preserve"> </w:t>
          </w:r>
          <w:r w:rsidR="00BE1A2D" w:rsidRPr="00BE1A2D">
            <w:rPr>
              <w:noProof/>
              <w:lang w:val="en-US"/>
            </w:rPr>
            <w:t>(Sun, 2019)</w:t>
          </w:r>
          <w:r w:rsidR="00BE1A2D">
            <w:fldChar w:fldCharType="end"/>
          </w:r>
        </w:sdtContent>
      </w:sdt>
      <w:r>
        <w:t>. When workers are invested in their work, they are more likely to achieve their organizational goals. They often show a deeper dedication to the company's values and goals.</w:t>
      </w:r>
    </w:p>
    <w:p w14:paraId="0A2AE888" w14:textId="281B7D72" w:rsidR="00DD685E" w:rsidRPr="00184E2D" w:rsidRDefault="00BF4961" w:rsidP="00184E2D">
      <w:r>
        <w:t>There are various ways in which employers may promote employee participation, such as establishing clear standards, rewarding exceptional performance, informing workers about the company's achievements, and offering constructive criticism regularly</w:t>
      </w:r>
      <w:sdt>
        <w:sdtPr>
          <w:id w:val="-1705622534"/>
          <w:citation/>
        </w:sdtPr>
        <w:sdtEndPr/>
        <w:sdtContent>
          <w:r w:rsidR="00BE1A2D">
            <w:fldChar w:fldCharType="begin"/>
          </w:r>
          <w:r w:rsidR="00BE1A2D">
            <w:rPr>
              <w:lang w:val="en-US"/>
            </w:rPr>
            <w:instrText xml:space="preserve"> CITATION Sun19 \l 1033 </w:instrText>
          </w:r>
          <w:r w:rsidR="00BE1A2D">
            <w:fldChar w:fldCharType="separate"/>
          </w:r>
          <w:r w:rsidR="00BE1A2D">
            <w:rPr>
              <w:noProof/>
              <w:lang w:val="en-US"/>
            </w:rPr>
            <w:t xml:space="preserve"> </w:t>
          </w:r>
          <w:r w:rsidR="00BE1A2D" w:rsidRPr="00BE1A2D">
            <w:rPr>
              <w:noProof/>
              <w:lang w:val="en-US"/>
            </w:rPr>
            <w:t>(Sun, 2019)</w:t>
          </w:r>
          <w:r w:rsidR="00BE1A2D">
            <w:fldChar w:fldCharType="end"/>
          </w:r>
        </w:sdtContent>
      </w:sdt>
      <w:r>
        <w:t>. Employees may be motivated in other ways, such as by making them feel that their contributions matter and that their ideas are being taken seriously. Engaged workers take pride in their job because they know how important it is, that their managers value and support them and that they directly impact the company's achievements.</w:t>
      </w:r>
    </w:p>
    <w:p w14:paraId="577E2DC7" w14:textId="46949F0D" w:rsidR="00DD685E" w:rsidRDefault="00DD685E" w:rsidP="00DD685E">
      <w:pPr>
        <w:pStyle w:val="Heading1"/>
      </w:pPr>
      <w:bookmarkStart w:id="2" w:name="_Toc120570327"/>
      <w:r>
        <w:t>Employee E</w:t>
      </w:r>
      <w:r w:rsidRPr="00DD685E">
        <w:t>ngagement model</w:t>
      </w:r>
      <w:r>
        <w:t xml:space="preserve">: </w:t>
      </w:r>
      <w:r w:rsidRPr="00DD685E">
        <w:t>The Kahn Model</w:t>
      </w:r>
      <w:bookmarkEnd w:id="2"/>
    </w:p>
    <w:p w14:paraId="4EA68FC9" w14:textId="08B80E02" w:rsidR="00F11505" w:rsidRPr="00F11505" w:rsidRDefault="00F11505" w:rsidP="00F11505">
      <w:r>
        <w:rPr>
          <w:noProof/>
          <w:lang w:val="en-US"/>
        </w:rPr>
        <w:drawing>
          <wp:inline distT="0" distB="0" distL="0" distR="0" wp14:anchorId="17FE08A5" wp14:editId="6905975E">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6717E0AE" w14:textId="6F068C01" w:rsidR="00BF4961" w:rsidRDefault="00BF4961" w:rsidP="00BF4961">
      <w:r>
        <w:t xml:space="preserve">One of the pioneers in developing the notion of employee engagement was organizational psychologist William Kahn. Physical, mental, and emotional involvement were the three categories of employee involvement he saw. </w:t>
      </w:r>
    </w:p>
    <w:p w14:paraId="36011F67" w14:textId="28D87CCE" w:rsidR="00BF4961" w:rsidRDefault="00CF7C27" w:rsidP="00BF4961">
      <w:r w:rsidRPr="00CF7C27">
        <w:rPr>
          <w:b/>
          <w:bCs/>
        </w:rPr>
        <w:t>Physical engagement:</w:t>
      </w:r>
      <w:r>
        <w:t xml:space="preserve"> </w:t>
      </w:r>
      <w:r w:rsidR="00BF4961">
        <w:t>This relates to the time and effort workers (mentally and physically) put into completing their jobs</w:t>
      </w:r>
      <w:sdt>
        <w:sdtPr>
          <w:id w:val="743756858"/>
          <w:citation/>
        </w:sdtPr>
        <w:sdtEndPr/>
        <w:sdtContent>
          <w:r w:rsidR="00BE1A2D">
            <w:fldChar w:fldCharType="begin"/>
          </w:r>
          <w:r w:rsidR="00BE1A2D">
            <w:rPr>
              <w:lang w:val="en-US"/>
            </w:rPr>
            <w:instrText xml:space="preserve"> CITATION Umr20 \l 1033 </w:instrText>
          </w:r>
          <w:r w:rsidR="00BE1A2D">
            <w:fldChar w:fldCharType="separate"/>
          </w:r>
          <w:r w:rsidR="00BE1A2D">
            <w:rPr>
              <w:noProof/>
              <w:lang w:val="en-US"/>
            </w:rPr>
            <w:t xml:space="preserve"> </w:t>
          </w:r>
          <w:r w:rsidR="00BE1A2D" w:rsidRPr="00BE1A2D">
            <w:rPr>
              <w:noProof/>
              <w:lang w:val="en-US"/>
            </w:rPr>
            <w:t>(Umrani, 2020)</w:t>
          </w:r>
          <w:r w:rsidR="00BE1A2D">
            <w:fldChar w:fldCharType="end"/>
          </w:r>
        </w:sdtContent>
      </w:sdt>
      <w:r w:rsidR="00BF4961">
        <w:t xml:space="preserve">. Kahn gave instances of workers who were invested in their work and described it as "flying around." </w:t>
      </w:r>
      <w:r w:rsidR="00883685">
        <w:t xml:space="preserve">It </w:t>
      </w:r>
      <w:r w:rsidR="00BF4961">
        <w:t>connected using body and mind at work and coming away with a sense of accomplishment and pride.</w:t>
      </w:r>
    </w:p>
    <w:p w14:paraId="36E7D7F2" w14:textId="7718AE97" w:rsidR="00BF4961" w:rsidRDefault="00CF7C27" w:rsidP="00BF4961">
      <w:r w:rsidRPr="00CF7C27">
        <w:rPr>
          <w:b/>
          <w:bCs/>
        </w:rPr>
        <w:t>Cognitive engagement</w:t>
      </w:r>
      <w:r>
        <w:rPr>
          <w:b/>
          <w:bCs/>
        </w:rPr>
        <w:t xml:space="preserve">: </w:t>
      </w:r>
      <w:r w:rsidR="00BF4961">
        <w:t>For employees to be fully invested at this level, they must understand the company's mission and strategic priorities and the level of performance required to have the greatest possible impact on those initiatives</w:t>
      </w:r>
      <w:sdt>
        <w:sdtPr>
          <w:id w:val="-692379479"/>
          <w:citation/>
        </w:sdtPr>
        <w:sdtEndPr/>
        <w:sdtContent>
          <w:r w:rsidR="00BE1A2D">
            <w:fldChar w:fldCharType="begin"/>
          </w:r>
          <w:r w:rsidR="00BE1A2D">
            <w:rPr>
              <w:lang w:val="en-US"/>
            </w:rPr>
            <w:instrText xml:space="preserve"> CITATION Kwo20 \l 1033 </w:instrText>
          </w:r>
          <w:r w:rsidR="00BE1A2D">
            <w:fldChar w:fldCharType="separate"/>
          </w:r>
          <w:r w:rsidR="00BE1A2D">
            <w:rPr>
              <w:noProof/>
              <w:lang w:val="en-US"/>
            </w:rPr>
            <w:t xml:space="preserve"> </w:t>
          </w:r>
          <w:r w:rsidR="00BE1A2D" w:rsidRPr="00BE1A2D">
            <w:rPr>
              <w:noProof/>
              <w:lang w:val="en-US"/>
            </w:rPr>
            <w:t>(Kwon, 2020)</w:t>
          </w:r>
          <w:r w:rsidR="00BE1A2D">
            <w:fldChar w:fldCharType="end"/>
          </w:r>
        </w:sdtContent>
      </w:sdt>
      <w:r w:rsidR="00BF4961">
        <w:t>. Kahn also stressed the value of the individual in the workplace, stating that education leads to more innovation and confidence.</w:t>
      </w:r>
    </w:p>
    <w:p w14:paraId="2E3C689D" w14:textId="6FF8A22F" w:rsidR="00DD685E" w:rsidRPr="00184E2D" w:rsidRDefault="00CF7C27" w:rsidP="00CF7C27">
      <w:r w:rsidRPr="00CF7C27">
        <w:rPr>
          <w:b/>
          <w:bCs/>
        </w:rPr>
        <w:t>Emotional engagement</w:t>
      </w:r>
      <w:r>
        <w:rPr>
          <w:b/>
          <w:bCs/>
        </w:rPr>
        <w:t xml:space="preserve">: </w:t>
      </w:r>
      <w:r w:rsidR="00BF4961">
        <w:t>This is because of the sentimental investment workers have in their workplace</w:t>
      </w:r>
      <w:sdt>
        <w:sdtPr>
          <w:id w:val="-806006326"/>
          <w:citation/>
        </w:sdtPr>
        <w:sdtEndPr/>
        <w:sdtContent>
          <w:r w:rsidR="00BE1A2D">
            <w:fldChar w:fldCharType="begin"/>
          </w:r>
          <w:r w:rsidR="00BE1A2D">
            <w:rPr>
              <w:lang w:val="en-US"/>
            </w:rPr>
            <w:instrText xml:space="preserve"> CITATION Kwo20 \l 1033 </w:instrText>
          </w:r>
          <w:r w:rsidR="00BE1A2D">
            <w:fldChar w:fldCharType="separate"/>
          </w:r>
          <w:r w:rsidR="00BE1A2D">
            <w:rPr>
              <w:noProof/>
              <w:lang w:val="en-US"/>
            </w:rPr>
            <w:t xml:space="preserve"> </w:t>
          </w:r>
          <w:r w:rsidR="00BE1A2D" w:rsidRPr="00BE1A2D">
            <w:rPr>
              <w:noProof/>
              <w:lang w:val="en-US"/>
            </w:rPr>
            <w:t>(Kwon, 2020)</w:t>
          </w:r>
          <w:r w:rsidR="00BE1A2D">
            <w:fldChar w:fldCharType="end"/>
          </w:r>
        </w:sdtContent>
      </w:sdt>
      <w:r w:rsidR="00BF4961">
        <w:t xml:space="preserve">. Creating a sense of community inside the workplace is crucial for fostering employee buy-in to the company's vision and goals and fostering a positive work environment. Kahn cites several methods for fostering trust and safety, including effective communication, group dynamics, and leadership. </w:t>
      </w:r>
    </w:p>
    <w:p w14:paraId="322E47C6" w14:textId="168CDF98" w:rsidR="00DD685E" w:rsidRDefault="00DD685E" w:rsidP="00DD685E">
      <w:pPr>
        <w:pStyle w:val="Heading1"/>
      </w:pPr>
      <w:bookmarkStart w:id="3" w:name="_Toc120570328"/>
      <w:r>
        <w:t>The importance of employee engagement within the hotel industry.</w:t>
      </w:r>
      <w:bookmarkEnd w:id="3"/>
    </w:p>
    <w:p w14:paraId="356A9A05" w14:textId="07553B97" w:rsidR="00F11505" w:rsidRPr="00F11505" w:rsidRDefault="00F11505" w:rsidP="00F11505">
      <w:r>
        <w:rPr>
          <w:noProof/>
          <w:lang w:val="en-US"/>
        </w:rPr>
        <w:drawing>
          <wp:inline distT="0" distB="0" distL="0" distR="0" wp14:anchorId="12816462" wp14:editId="21FD23DB">
            <wp:extent cx="5944235" cy="33407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66709F3D" w14:textId="7D0EF5CE" w:rsidR="00BF4961" w:rsidRDefault="00BF4961" w:rsidP="00BF4961">
      <w:r>
        <w:rPr>
          <w:b/>
          <w:bCs/>
        </w:rPr>
        <w:t>P</w:t>
      </w:r>
      <w:r w:rsidR="00CF7C27" w:rsidRPr="00CF7C27">
        <w:rPr>
          <w:b/>
          <w:bCs/>
        </w:rPr>
        <w:t>roduce more revenue:</w:t>
      </w:r>
      <w:r w:rsidR="00CF7C27">
        <w:t xml:space="preserve"> </w:t>
      </w:r>
      <w:r>
        <w:t>Employees that are very invested in their work bring in 147% more money than those who aren't</w:t>
      </w:r>
      <w:sdt>
        <w:sdtPr>
          <w:id w:val="-1082213533"/>
          <w:citation/>
        </w:sdtPr>
        <w:sdtEndPr/>
        <w:sdtContent>
          <w:r w:rsidR="00BE1A2D">
            <w:fldChar w:fldCharType="begin"/>
          </w:r>
          <w:r w:rsidR="00BE1A2D">
            <w:rPr>
              <w:lang w:val="en-US"/>
            </w:rPr>
            <w:instrText xml:space="preserve"> CITATION Sun19 \l 1033 </w:instrText>
          </w:r>
          <w:r w:rsidR="00BE1A2D">
            <w:fldChar w:fldCharType="separate"/>
          </w:r>
          <w:r w:rsidR="00BE1A2D">
            <w:rPr>
              <w:noProof/>
              <w:lang w:val="en-US"/>
            </w:rPr>
            <w:t xml:space="preserve"> </w:t>
          </w:r>
          <w:r w:rsidR="00BE1A2D" w:rsidRPr="00BE1A2D">
            <w:rPr>
              <w:noProof/>
              <w:lang w:val="en-US"/>
            </w:rPr>
            <w:t>(Sun, 2019)</w:t>
          </w:r>
          <w:r w:rsidR="00BE1A2D">
            <w:fldChar w:fldCharType="end"/>
          </w:r>
        </w:sdtContent>
      </w:sdt>
      <w:r>
        <w:t>. Customers are more open to sales pitches when front-of-house workers are enthusiastic about what they do, which increases the likelihood of upselling and honest service.</w:t>
      </w:r>
    </w:p>
    <w:p w14:paraId="1EA522B4" w14:textId="70BB0D8A" w:rsidR="00BF4961" w:rsidRDefault="00BF4961" w:rsidP="00BF4961">
      <w:r>
        <w:rPr>
          <w:b/>
          <w:bCs/>
        </w:rPr>
        <w:t>M</w:t>
      </w:r>
      <w:r w:rsidRPr="00CF7C27">
        <w:rPr>
          <w:b/>
          <w:bCs/>
        </w:rPr>
        <w:t>ore productive:</w:t>
      </w:r>
      <w:r>
        <w:t xml:space="preserve"> Turnover is expensive for venues because of the time and money required to recruit, hire, and train new workers. When workers are unhappy, they are less committed to their work and more likely to take time off for personal reasons</w:t>
      </w:r>
      <w:sdt>
        <w:sdtPr>
          <w:id w:val="1313830866"/>
          <w:citation/>
        </w:sdtPr>
        <w:sdtEndPr/>
        <w:sdtContent>
          <w:r w:rsidR="00BE1A2D">
            <w:fldChar w:fldCharType="begin"/>
          </w:r>
          <w:r w:rsidR="00BE1A2D">
            <w:rPr>
              <w:lang w:val="en-US"/>
            </w:rPr>
            <w:instrText xml:space="preserve"> CITATION Wan20 \l 1033 </w:instrText>
          </w:r>
          <w:r w:rsidR="00BE1A2D">
            <w:fldChar w:fldCharType="separate"/>
          </w:r>
          <w:r w:rsidR="00BE1A2D">
            <w:rPr>
              <w:noProof/>
              <w:lang w:val="en-US"/>
            </w:rPr>
            <w:t xml:space="preserve"> </w:t>
          </w:r>
          <w:r w:rsidR="00BE1A2D" w:rsidRPr="00BE1A2D">
            <w:rPr>
              <w:noProof/>
              <w:lang w:val="en-US"/>
            </w:rPr>
            <w:t>(Wang, 2020)</w:t>
          </w:r>
          <w:r w:rsidR="00BE1A2D">
            <w:fldChar w:fldCharType="end"/>
          </w:r>
        </w:sdtContent>
      </w:sdt>
      <w:r>
        <w:t>. However, engaged employees are ten times less likely to miss work due to illness than their less-motivated counterparts.</w:t>
      </w:r>
    </w:p>
    <w:p w14:paraId="3448BFAA" w14:textId="2CCA52A5" w:rsidR="00BF4961" w:rsidRDefault="00BF4961" w:rsidP="00BF4961">
      <w:r>
        <w:rPr>
          <w:b/>
          <w:bCs/>
        </w:rPr>
        <w:t>R</w:t>
      </w:r>
      <w:r w:rsidRPr="00CF7C27">
        <w:rPr>
          <w:b/>
          <w:bCs/>
        </w:rPr>
        <w:t>educes turnover:</w:t>
      </w:r>
      <w:r>
        <w:t xml:space="preserve"> An astonishing 73% of venue employees leave their jobs each year. Motivated workers are less likely to look for work elsewhere and more likely to stick around in their current position</w:t>
      </w:r>
      <w:sdt>
        <w:sdtPr>
          <w:id w:val="-1997873934"/>
          <w:citation/>
        </w:sdtPr>
        <w:sdtEndPr/>
        <w:sdtContent>
          <w:r w:rsidR="00BE1A2D">
            <w:fldChar w:fldCharType="begin"/>
          </w:r>
          <w:r w:rsidR="00BE1A2D">
            <w:rPr>
              <w:lang w:val="en-US"/>
            </w:rPr>
            <w:instrText xml:space="preserve"> CITATION Wan20 \l 1033 </w:instrText>
          </w:r>
          <w:r w:rsidR="00BE1A2D">
            <w:fldChar w:fldCharType="separate"/>
          </w:r>
          <w:r w:rsidR="00BE1A2D">
            <w:rPr>
              <w:noProof/>
              <w:lang w:val="en-US"/>
            </w:rPr>
            <w:t xml:space="preserve"> </w:t>
          </w:r>
          <w:r w:rsidR="00BE1A2D" w:rsidRPr="00BE1A2D">
            <w:rPr>
              <w:noProof/>
              <w:lang w:val="en-US"/>
            </w:rPr>
            <w:t>(Wang, 2020)</w:t>
          </w:r>
          <w:r w:rsidR="00BE1A2D">
            <w:fldChar w:fldCharType="end"/>
          </w:r>
        </w:sdtContent>
      </w:sdt>
      <w:r>
        <w:t xml:space="preserve">. Cornell University's </w:t>
      </w:r>
      <w:proofErr w:type="spellStart"/>
      <w:r>
        <w:t>Center</w:t>
      </w:r>
      <w:proofErr w:type="spellEnd"/>
      <w:r>
        <w:t xml:space="preserve"> for Hospitality Research reports that the hospitality business loses $5,864 for every person who leaves their job. Think about how busines</w:t>
      </w:r>
      <w:r w:rsidR="00C67B6F">
        <w:t>se</w:t>
      </w:r>
      <w:r>
        <w:t>s may benefit from keeping one, five, or ten workers for another year.</w:t>
      </w:r>
      <w:sdt>
        <w:sdtPr>
          <w:id w:val="1673218348"/>
          <w:citation/>
        </w:sdtPr>
        <w:sdtEndPr/>
        <w:sdtContent>
          <w:r w:rsidR="00BE1A2D">
            <w:fldChar w:fldCharType="begin"/>
          </w:r>
          <w:r w:rsidR="00BE1A2D">
            <w:rPr>
              <w:lang w:val="en-US"/>
            </w:rPr>
            <w:instrText xml:space="preserve"> CITATION Gür19 \l 1033 </w:instrText>
          </w:r>
          <w:r w:rsidR="00BE1A2D">
            <w:fldChar w:fldCharType="separate"/>
          </w:r>
          <w:r w:rsidR="00BE1A2D">
            <w:rPr>
              <w:noProof/>
              <w:lang w:val="en-US"/>
            </w:rPr>
            <w:t xml:space="preserve"> </w:t>
          </w:r>
          <w:r w:rsidR="00BE1A2D" w:rsidRPr="00BE1A2D">
            <w:rPr>
              <w:noProof/>
              <w:lang w:val="en-US"/>
            </w:rPr>
            <w:t>(Gürlek, 2019)</w:t>
          </w:r>
          <w:r w:rsidR="00BE1A2D">
            <w:fldChar w:fldCharType="end"/>
          </w:r>
        </w:sdtContent>
      </w:sdt>
    </w:p>
    <w:p w14:paraId="5E27A2B8" w14:textId="3EFB92C5" w:rsidR="00DD685E" w:rsidRDefault="00DD685E" w:rsidP="00184E2D">
      <w:pPr>
        <w:rPr>
          <w:rFonts w:eastAsiaTheme="majorEastAsia" w:cstheme="majorBidi"/>
          <w:b/>
          <w:sz w:val="32"/>
          <w:szCs w:val="32"/>
        </w:rPr>
      </w:pPr>
      <w:r>
        <w:br w:type="page"/>
      </w:r>
    </w:p>
    <w:p w14:paraId="5654A97A" w14:textId="1EF80AFD" w:rsidR="00CF7C27" w:rsidRDefault="00C67B6F" w:rsidP="00DD685E">
      <w:pPr>
        <w:pStyle w:val="Heading1"/>
      </w:pPr>
      <w:bookmarkStart w:id="4" w:name="_Toc120570329"/>
      <w:r>
        <w:t>The b</w:t>
      </w:r>
      <w:r w:rsidR="00DD685E" w:rsidRPr="00DD685E">
        <w:t>est practice to engage employees from the hotel industry</w:t>
      </w:r>
      <w:bookmarkEnd w:id="4"/>
      <w:r w:rsidR="00DD685E" w:rsidRPr="00DD685E">
        <w:t xml:space="preserve"> </w:t>
      </w:r>
    </w:p>
    <w:p w14:paraId="6723D998" w14:textId="3ECFE642" w:rsidR="00F11505" w:rsidRPr="00F11505" w:rsidRDefault="00F11505" w:rsidP="00F11505">
      <w:r>
        <w:rPr>
          <w:noProof/>
          <w:lang w:val="en-US"/>
        </w:rPr>
        <w:drawing>
          <wp:inline distT="0" distB="0" distL="0" distR="0" wp14:anchorId="48C14CDD" wp14:editId="7F04C1D1">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7618D0CE" w14:textId="539DF1E0" w:rsidR="00BF4961" w:rsidRDefault="00CF7C27" w:rsidP="00BF4961">
      <w:r w:rsidRPr="00CF7C27">
        <w:rPr>
          <w:b/>
          <w:bCs/>
        </w:rPr>
        <w:t>Development Opportunities:</w:t>
      </w:r>
      <w:r>
        <w:t xml:space="preserve"> </w:t>
      </w:r>
      <w:r w:rsidR="00BF4961">
        <w:t xml:space="preserve">It's important to note the wide range of people </w:t>
      </w:r>
      <w:r w:rsidR="00883685">
        <w:t>companies wi</w:t>
      </w:r>
      <w:r w:rsidR="00BF4961">
        <w:t>ll find working in hotels. Servers at a restaurant and those in a cleaning service have distinct needs from secretaries, stockroom workers, and managers</w:t>
      </w:r>
      <w:sdt>
        <w:sdtPr>
          <w:id w:val="-462819951"/>
          <w:citation/>
        </w:sdtPr>
        <w:sdtEndPr/>
        <w:sdtContent>
          <w:r w:rsidR="00BE1A2D">
            <w:fldChar w:fldCharType="begin"/>
          </w:r>
          <w:r w:rsidR="00BE1A2D">
            <w:rPr>
              <w:lang w:val="en-US"/>
            </w:rPr>
            <w:instrText xml:space="preserve"> CITATION Gür19 \l 1033 </w:instrText>
          </w:r>
          <w:r w:rsidR="00BE1A2D">
            <w:fldChar w:fldCharType="separate"/>
          </w:r>
          <w:r w:rsidR="00BE1A2D">
            <w:rPr>
              <w:noProof/>
              <w:lang w:val="en-US"/>
            </w:rPr>
            <w:t xml:space="preserve"> </w:t>
          </w:r>
          <w:r w:rsidR="00BE1A2D" w:rsidRPr="00BE1A2D">
            <w:rPr>
              <w:noProof/>
              <w:lang w:val="en-US"/>
            </w:rPr>
            <w:t>(Gürlek, 2019)</w:t>
          </w:r>
          <w:r w:rsidR="00BE1A2D">
            <w:fldChar w:fldCharType="end"/>
          </w:r>
        </w:sdtContent>
      </w:sdt>
      <w:r w:rsidR="00BF4961">
        <w:t xml:space="preserve">. The staff, however, must be trained since they represent the hotel's approach to hospitality. In the hospitality sector, many workers enter from the bottom and rise to the top. Investing in </w:t>
      </w:r>
      <w:r w:rsidR="00883685">
        <w:t>thei</w:t>
      </w:r>
      <w:r w:rsidR="00BF4961">
        <w:t>r staff's education and growth is essential in the hospitality business. Maintaining uniformity in their actions will serve them well.</w:t>
      </w:r>
    </w:p>
    <w:p w14:paraId="25BF9EEA" w14:textId="77777777" w:rsidR="00BF4961" w:rsidRDefault="00CF7C27" w:rsidP="00BF4961">
      <w:r w:rsidRPr="00CF7C27">
        <w:rPr>
          <w:b/>
          <w:bCs/>
        </w:rPr>
        <w:t>Friendly Competitions:</w:t>
      </w:r>
      <w:r>
        <w:t xml:space="preserve"> </w:t>
      </w:r>
      <w:r w:rsidR="00BF4961">
        <w:t>Employee output, enthusiasm, and sales benefit from a healthy rivalry throughout the ranks. Inspire them to reach their goals and even surpass them on occasion.</w:t>
      </w:r>
    </w:p>
    <w:p w14:paraId="7B5C025F" w14:textId="2DC13A50" w:rsidR="00BF4961" w:rsidRDefault="00CF7C27" w:rsidP="00BF4961">
      <w:r w:rsidRPr="00CF7C27">
        <w:rPr>
          <w:b/>
          <w:bCs/>
        </w:rPr>
        <w:t>Compensatory Time:</w:t>
      </w:r>
      <w:r>
        <w:t xml:space="preserve"> </w:t>
      </w:r>
      <w:r w:rsidR="00BF4961">
        <w:t>The hotel business must consider guests' free time and discretionary money. In this respect, the needs of customers come first. Because of this, people's lives may be affected by the nonstop nature of their employment</w:t>
      </w:r>
      <w:sdt>
        <w:sdtPr>
          <w:id w:val="-1337764002"/>
          <w:citation/>
        </w:sdtPr>
        <w:sdtEndPr/>
        <w:sdtContent>
          <w:r w:rsidR="00BE1A2D">
            <w:fldChar w:fldCharType="begin"/>
          </w:r>
          <w:r w:rsidR="00BE1A2D">
            <w:rPr>
              <w:lang w:val="en-US"/>
            </w:rPr>
            <w:instrText xml:space="preserve"> CITATION Kwo20 \l 1033 </w:instrText>
          </w:r>
          <w:r w:rsidR="00BE1A2D">
            <w:fldChar w:fldCharType="separate"/>
          </w:r>
          <w:r w:rsidR="00BE1A2D">
            <w:rPr>
              <w:noProof/>
              <w:lang w:val="en-US"/>
            </w:rPr>
            <w:t xml:space="preserve"> </w:t>
          </w:r>
          <w:r w:rsidR="00BE1A2D" w:rsidRPr="00BE1A2D">
            <w:rPr>
              <w:noProof/>
              <w:lang w:val="en-US"/>
            </w:rPr>
            <w:t>(Kwon, 2020)</w:t>
          </w:r>
          <w:r w:rsidR="00BE1A2D">
            <w:fldChar w:fldCharType="end"/>
          </w:r>
        </w:sdtContent>
      </w:sdt>
      <w:r w:rsidR="00BF4961">
        <w:t xml:space="preserve">. Therefore, giving a worker in the hotel industry a brief vacation is typically the nicest thing </w:t>
      </w:r>
      <w:r w:rsidR="00883685">
        <w:t>they</w:t>
      </w:r>
      <w:r w:rsidR="00BF4961">
        <w:t xml:space="preserve"> can do for them. Knowing that </w:t>
      </w:r>
      <w:r w:rsidR="00883685">
        <w:t>they wi</w:t>
      </w:r>
      <w:r w:rsidR="00BF4961">
        <w:t>ll soon be able to take a day or a few hours off makes putting in those long hours much more bearable.</w:t>
      </w:r>
    </w:p>
    <w:p w14:paraId="5DECDC0F" w14:textId="35723B74" w:rsidR="00BF4961" w:rsidRDefault="00CF7C27" w:rsidP="00BF4961">
      <w:r w:rsidRPr="00CF7C27">
        <w:rPr>
          <w:b/>
          <w:bCs/>
        </w:rPr>
        <w:t>Freebies:</w:t>
      </w:r>
      <w:r>
        <w:t xml:space="preserve"> </w:t>
      </w:r>
      <w:r w:rsidR="00BF4961">
        <w:t>The hospitality business, at every level, deserves recognition for its efforts. Everyone in the establishment should treat customers like royalty, from cleaning to the front desk</w:t>
      </w:r>
      <w:sdt>
        <w:sdtPr>
          <w:id w:val="1867023361"/>
          <w:citation/>
        </w:sdtPr>
        <w:sdtEndPr/>
        <w:sdtContent>
          <w:r w:rsidR="00BE1A2D">
            <w:fldChar w:fldCharType="begin"/>
          </w:r>
          <w:r w:rsidR="00BE1A2D">
            <w:rPr>
              <w:lang w:val="en-US"/>
            </w:rPr>
            <w:instrText xml:space="preserve"> CITATION Wan20 \l 1033 </w:instrText>
          </w:r>
          <w:r w:rsidR="00BE1A2D">
            <w:fldChar w:fldCharType="separate"/>
          </w:r>
          <w:r w:rsidR="00BE1A2D">
            <w:rPr>
              <w:noProof/>
              <w:lang w:val="en-US"/>
            </w:rPr>
            <w:t xml:space="preserve"> </w:t>
          </w:r>
          <w:r w:rsidR="00BE1A2D" w:rsidRPr="00BE1A2D">
            <w:rPr>
              <w:noProof/>
              <w:lang w:val="en-US"/>
            </w:rPr>
            <w:t>(Wang, 2020)</w:t>
          </w:r>
          <w:r w:rsidR="00BE1A2D">
            <w:fldChar w:fldCharType="end"/>
          </w:r>
        </w:sdtContent>
      </w:sdt>
      <w:r w:rsidR="00BF4961">
        <w:t xml:space="preserve">. Free snacks and beverages, such as fruit, coffee, and soda, should be offered periodically throughout the day. This will ensure that </w:t>
      </w:r>
      <w:r w:rsidR="00883685">
        <w:t>thei</w:t>
      </w:r>
      <w:r w:rsidR="00BF4961">
        <w:t>r staff remains healthy and energized. What's more, it's a low-cost strategy!</w:t>
      </w:r>
    </w:p>
    <w:p w14:paraId="341E1F0E" w14:textId="228E7471" w:rsidR="00BF4961" w:rsidRDefault="00CF7C27" w:rsidP="00BF4961">
      <w:r w:rsidRPr="00CF7C27">
        <w:rPr>
          <w:b/>
          <w:bCs/>
        </w:rPr>
        <w:t>Rewards and Recognition:</w:t>
      </w:r>
      <w:r>
        <w:t xml:space="preserve"> </w:t>
      </w:r>
      <w:r w:rsidR="00BF4961">
        <w:t>A survey found that those who work in the hotel industry had different ideas about how they should be rewarded. Therefore, the hotel industry should think about creating a structure for rewards and recognition that is fair but flexible</w:t>
      </w:r>
      <w:sdt>
        <w:sdtPr>
          <w:id w:val="-445622369"/>
          <w:citation/>
        </w:sdtPr>
        <w:sdtEndPr/>
        <w:sdtContent>
          <w:r w:rsidR="00BE1A2D">
            <w:fldChar w:fldCharType="begin"/>
          </w:r>
          <w:r w:rsidR="00BE1A2D">
            <w:rPr>
              <w:lang w:val="en-US"/>
            </w:rPr>
            <w:instrText xml:space="preserve"> CITATION Bot19 \l 1033 </w:instrText>
          </w:r>
          <w:r w:rsidR="00BE1A2D">
            <w:fldChar w:fldCharType="separate"/>
          </w:r>
          <w:r w:rsidR="00BE1A2D">
            <w:rPr>
              <w:noProof/>
              <w:lang w:val="en-US"/>
            </w:rPr>
            <w:t xml:space="preserve"> </w:t>
          </w:r>
          <w:r w:rsidR="00BE1A2D" w:rsidRPr="00BE1A2D">
            <w:rPr>
              <w:noProof/>
              <w:lang w:val="en-US"/>
            </w:rPr>
            <w:t>(Botzen, 2019)</w:t>
          </w:r>
          <w:r w:rsidR="00BE1A2D">
            <w:fldChar w:fldCharType="end"/>
          </w:r>
        </w:sdtContent>
      </w:sdt>
      <w:r w:rsidR="00BF4961">
        <w:t>. The objective of every firm should be to inspire its workers to achieve both their own goals and those of the business as a whole.</w:t>
      </w:r>
    </w:p>
    <w:p w14:paraId="1133F87D" w14:textId="70D179BE" w:rsidR="001834FC" w:rsidRDefault="001834FC" w:rsidP="00CF7C27">
      <w:r>
        <w:br w:type="page"/>
      </w:r>
    </w:p>
    <w:p w14:paraId="0C5D1297" w14:textId="748C5979" w:rsidR="001834FC" w:rsidRDefault="001834FC" w:rsidP="001834FC">
      <w:pPr>
        <w:pStyle w:val="Heading1"/>
      </w:pPr>
      <w:bookmarkStart w:id="5" w:name="_Toc120570330"/>
      <w:r>
        <w:t>Conclusion</w:t>
      </w:r>
      <w:bookmarkEnd w:id="5"/>
      <w:r>
        <w:t xml:space="preserve"> </w:t>
      </w:r>
    </w:p>
    <w:p w14:paraId="47515C2F" w14:textId="0427B7FF" w:rsidR="00F11505" w:rsidRPr="00F11505" w:rsidRDefault="00F11505" w:rsidP="00F11505">
      <w:r>
        <w:rPr>
          <w:noProof/>
          <w:lang w:val="en-US"/>
        </w:rPr>
        <w:drawing>
          <wp:inline distT="0" distB="0" distL="0" distR="0" wp14:anchorId="02CA65F1" wp14:editId="4637E807">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230EAEDE" w14:textId="77777777" w:rsidR="00BF4961" w:rsidRDefault="00BF4961" w:rsidP="00BF4961">
      <w:r>
        <w:t xml:space="preserve">Many different types of businesses care about employee involvement. Finding methods to inspire workers to feel more invested in their work and the success of the company is a goal that many employers have held for a very long time. For one thing, it takes place in an unfamiliar environment, making it novel. </w:t>
      </w:r>
    </w:p>
    <w:p w14:paraId="3681A04B" w14:textId="1FCD53A5" w:rsidR="001834FC" w:rsidRDefault="001834FC">
      <w:r>
        <w:br w:type="page"/>
      </w:r>
    </w:p>
    <w:p w14:paraId="17598CB2" w14:textId="69CD2038" w:rsidR="001834FC" w:rsidRDefault="001834FC" w:rsidP="001834FC">
      <w:pPr>
        <w:pStyle w:val="Heading1"/>
      </w:pPr>
      <w:bookmarkStart w:id="6" w:name="_Toc120570331"/>
      <w:r>
        <w:t>Reference</w:t>
      </w:r>
      <w:r w:rsidR="00C86061">
        <w:t>s</w:t>
      </w:r>
      <w:bookmarkEnd w:id="6"/>
      <w:r>
        <w:t xml:space="preserve"> </w:t>
      </w:r>
    </w:p>
    <w:p w14:paraId="7D59EFB6" w14:textId="7A79F4FA" w:rsidR="00F11505" w:rsidRPr="00F11505" w:rsidRDefault="00F11505" w:rsidP="00F11505">
      <w:r>
        <w:rPr>
          <w:noProof/>
          <w:lang w:val="en-US"/>
        </w:rPr>
        <w:drawing>
          <wp:inline distT="0" distB="0" distL="0" distR="0" wp14:anchorId="33B809B7" wp14:editId="11272828">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630A58DB" w14:textId="77777777" w:rsidR="002D6F21" w:rsidRPr="002D6F21" w:rsidRDefault="002D6F21" w:rsidP="002D6F21">
      <w:pPr>
        <w:rPr>
          <w:rFonts w:cs="Times New Roman"/>
          <w:color w:val="auto"/>
          <w:szCs w:val="24"/>
          <w:shd w:val="clear" w:color="auto" w:fill="FFFFFF"/>
        </w:rPr>
      </w:pPr>
      <w:r w:rsidRPr="002D6F21">
        <w:rPr>
          <w:rFonts w:cs="Times New Roman"/>
          <w:color w:val="auto"/>
          <w:szCs w:val="24"/>
          <w:shd w:val="clear" w:color="auto" w:fill="FFFFFF"/>
        </w:rPr>
        <w:t xml:space="preserve">Ahmed, M., </w:t>
      </w:r>
      <w:proofErr w:type="spellStart"/>
      <w:r w:rsidRPr="002D6F21">
        <w:rPr>
          <w:rFonts w:cs="Times New Roman"/>
          <w:color w:val="auto"/>
          <w:szCs w:val="24"/>
          <w:shd w:val="clear" w:color="auto" w:fill="FFFFFF"/>
        </w:rPr>
        <w:t>Guo</w:t>
      </w:r>
      <w:proofErr w:type="spellEnd"/>
      <w:r w:rsidRPr="002D6F21">
        <w:rPr>
          <w:rFonts w:cs="Times New Roman"/>
          <w:color w:val="auto"/>
          <w:szCs w:val="24"/>
          <w:shd w:val="clear" w:color="auto" w:fill="FFFFFF"/>
        </w:rPr>
        <w:t xml:space="preserve">, Q., Qureshi, M.A., Raza, S.A., Khan, K.A. and Salam, J., 2021. Do green HR practices enhance green motivation and proactive environmental management maturity in hotel </w:t>
      </w:r>
      <w:proofErr w:type="gramStart"/>
      <w:r w:rsidRPr="002D6F21">
        <w:rPr>
          <w:rFonts w:cs="Times New Roman"/>
          <w:color w:val="auto"/>
          <w:szCs w:val="24"/>
          <w:shd w:val="clear" w:color="auto" w:fill="FFFFFF"/>
        </w:rPr>
        <w:t>industry?.</w:t>
      </w:r>
      <w:proofErr w:type="gramEnd"/>
      <w:r w:rsidRPr="002D6F21">
        <w:rPr>
          <w:rFonts w:cs="Times New Roman"/>
          <w:color w:val="auto"/>
          <w:szCs w:val="24"/>
          <w:shd w:val="clear" w:color="auto" w:fill="FFFFFF"/>
        </w:rPr>
        <w:t> </w:t>
      </w:r>
      <w:r w:rsidRPr="002D6F21">
        <w:rPr>
          <w:rFonts w:cs="Times New Roman"/>
          <w:i/>
          <w:iCs/>
          <w:color w:val="auto"/>
          <w:szCs w:val="24"/>
          <w:shd w:val="clear" w:color="auto" w:fill="FFFFFF"/>
        </w:rPr>
        <w:t>International Journal of Hospitality Management</w:t>
      </w:r>
      <w:r w:rsidRPr="002D6F21">
        <w:rPr>
          <w:rFonts w:cs="Times New Roman"/>
          <w:color w:val="auto"/>
          <w:szCs w:val="24"/>
          <w:shd w:val="clear" w:color="auto" w:fill="FFFFFF"/>
        </w:rPr>
        <w:t>, </w:t>
      </w:r>
      <w:r w:rsidRPr="002D6F21">
        <w:rPr>
          <w:rFonts w:cs="Times New Roman"/>
          <w:i/>
          <w:iCs/>
          <w:color w:val="auto"/>
          <w:szCs w:val="24"/>
          <w:shd w:val="clear" w:color="auto" w:fill="FFFFFF"/>
        </w:rPr>
        <w:t>94</w:t>
      </w:r>
      <w:r w:rsidRPr="002D6F21">
        <w:rPr>
          <w:rFonts w:cs="Times New Roman"/>
          <w:color w:val="auto"/>
          <w:szCs w:val="24"/>
          <w:shd w:val="clear" w:color="auto" w:fill="FFFFFF"/>
        </w:rPr>
        <w:t>, p.102852.</w:t>
      </w:r>
    </w:p>
    <w:p w14:paraId="1EFFB276" w14:textId="77777777" w:rsidR="002D6F21" w:rsidRPr="002D6F21" w:rsidRDefault="002D6F21" w:rsidP="002D6F21">
      <w:pPr>
        <w:rPr>
          <w:rFonts w:cs="Times New Roman"/>
          <w:color w:val="auto"/>
          <w:szCs w:val="24"/>
          <w:shd w:val="clear" w:color="auto" w:fill="FFFFFF"/>
        </w:rPr>
      </w:pPr>
      <w:proofErr w:type="spellStart"/>
      <w:r w:rsidRPr="002D6F21">
        <w:rPr>
          <w:rFonts w:cs="Times New Roman"/>
          <w:color w:val="auto"/>
          <w:szCs w:val="24"/>
          <w:shd w:val="clear" w:color="auto" w:fill="FFFFFF"/>
        </w:rPr>
        <w:t>Botzen</w:t>
      </w:r>
      <w:proofErr w:type="spellEnd"/>
      <w:r w:rsidRPr="002D6F21">
        <w:rPr>
          <w:rFonts w:cs="Times New Roman"/>
          <w:color w:val="auto"/>
          <w:szCs w:val="24"/>
          <w:shd w:val="clear" w:color="auto" w:fill="FFFFFF"/>
        </w:rPr>
        <w:t xml:space="preserve">, W.W., </w:t>
      </w:r>
      <w:proofErr w:type="spellStart"/>
      <w:r w:rsidRPr="002D6F21">
        <w:rPr>
          <w:rFonts w:cs="Times New Roman"/>
          <w:color w:val="auto"/>
          <w:szCs w:val="24"/>
          <w:shd w:val="clear" w:color="auto" w:fill="FFFFFF"/>
        </w:rPr>
        <w:t>Deschenes</w:t>
      </w:r>
      <w:proofErr w:type="spellEnd"/>
      <w:r w:rsidRPr="002D6F21">
        <w:rPr>
          <w:rFonts w:cs="Times New Roman"/>
          <w:color w:val="auto"/>
          <w:szCs w:val="24"/>
          <w:shd w:val="clear" w:color="auto" w:fill="FFFFFF"/>
        </w:rPr>
        <w:t>, O. and Sanders, M., 2019. The economic impacts of natural disasters: A review of models and empirical studies. </w:t>
      </w:r>
      <w:r w:rsidRPr="002D6F21">
        <w:rPr>
          <w:rFonts w:cs="Times New Roman"/>
          <w:i/>
          <w:iCs/>
          <w:color w:val="auto"/>
          <w:szCs w:val="24"/>
          <w:shd w:val="clear" w:color="auto" w:fill="FFFFFF"/>
        </w:rPr>
        <w:t>Review of Environmental Economics and Policy</w:t>
      </w:r>
      <w:r w:rsidRPr="002D6F21">
        <w:rPr>
          <w:rFonts w:cs="Times New Roman"/>
          <w:color w:val="auto"/>
          <w:szCs w:val="24"/>
          <w:shd w:val="clear" w:color="auto" w:fill="FFFFFF"/>
        </w:rPr>
        <w:t>.</w:t>
      </w:r>
    </w:p>
    <w:p w14:paraId="526E17BB" w14:textId="77777777" w:rsidR="002D6F21" w:rsidRPr="002D6F21" w:rsidRDefault="002D6F21" w:rsidP="002D6F21">
      <w:pPr>
        <w:rPr>
          <w:rFonts w:cs="Times New Roman"/>
          <w:color w:val="auto"/>
          <w:szCs w:val="24"/>
          <w:shd w:val="clear" w:color="auto" w:fill="FFFFFF"/>
        </w:rPr>
      </w:pPr>
      <w:proofErr w:type="spellStart"/>
      <w:r w:rsidRPr="002D6F21">
        <w:rPr>
          <w:rFonts w:cs="Times New Roman"/>
          <w:color w:val="auto"/>
          <w:szCs w:val="24"/>
          <w:shd w:val="clear" w:color="auto" w:fill="FFFFFF"/>
        </w:rPr>
        <w:t>Gürlek</w:t>
      </w:r>
      <w:proofErr w:type="spellEnd"/>
      <w:r w:rsidRPr="002D6F21">
        <w:rPr>
          <w:rFonts w:cs="Times New Roman"/>
          <w:color w:val="auto"/>
          <w:szCs w:val="24"/>
          <w:shd w:val="clear" w:color="auto" w:fill="FFFFFF"/>
        </w:rPr>
        <w:t>, M. and Tuna, M., 2019. Corporate social responsibility and work engagement: Evidence from the hotel industry. </w:t>
      </w:r>
      <w:r w:rsidRPr="002D6F21">
        <w:rPr>
          <w:rFonts w:cs="Times New Roman"/>
          <w:i/>
          <w:iCs/>
          <w:color w:val="auto"/>
          <w:szCs w:val="24"/>
          <w:shd w:val="clear" w:color="auto" w:fill="FFFFFF"/>
        </w:rPr>
        <w:t>Tourism Management Perspectives</w:t>
      </w:r>
      <w:r w:rsidRPr="002D6F21">
        <w:rPr>
          <w:rFonts w:cs="Times New Roman"/>
          <w:color w:val="auto"/>
          <w:szCs w:val="24"/>
          <w:shd w:val="clear" w:color="auto" w:fill="FFFFFF"/>
        </w:rPr>
        <w:t>, </w:t>
      </w:r>
      <w:r w:rsidRPr="002D6F21">
        <w:rPr>
          <w:rFonts w:cs="Times New Roman"/>
          <w:i/>
          <w:iCs/>
          <w:color w:val="auto"/>
          <w:szCs w:val="24"/>
          <w:shd w:val="clear" w:color="auto" w:fill="FFFFFF"/>
        </w:rPr>
        <w:t>31</w:t>
      </w:r>
      <w:r w:rsidRPr="002D6F21">
        <w:rPr>
          <w:rFonts w:cs="Times New Roman"/>
          <w:color w:val="auto"/>
          <w:szCs w:val="24"/>
          <w:shd w:val="clear" w:color="auto" w:fill="FFFFFF"/>
        </w:rPr>
        <w:t>, pp.195-208.</w:t>
      </w:r>
    </w:p>
    <w:p w14:paraId="649149FB" w14:textId="77777777" w:rsidR="002D6F21" w:rsidRPr="002D6F21" w:rsidRDefault="002D6F21" w:rsidP="002D6F21">
      <w:pPr>
        <w:rPr>
          <w:rFonts w:cs="Times New Roman"/>
          <w:color w:val="auto"/>
          <w:szCs w:val="24"/>
          <w:shd w:val="clear" w:color="auto" w:fill="FFFFFF"/>
        </w:rPr>
      </w:pPr>
      <w:r w:rsidRPr="002D6F21">
        <w:rPr>
          <w:rFonts w:cs="Times New Roman"/>
          <w:color w:val="auto"/>
          <w:szCs w:val="24"/>
          <w:shd w:val="clear" w:color="auto" w:fill="FFFFFF"/>
        </w:rPr>
        <w:t xml:space="preserve">Kwon, K. and Kim, T., 2020. An integrative literature review of employee engagement and innovative </w:t>
      </w:r>
      <w:proofErr w:type="spellStart"/>
      <w:r w:rsidRPr="002D6F21">
        <w:rPr>
          <w:rFonts w:cs="Times New Roman"/>
          <w:color w:val="auto"/>
          <w:szCs w:val="24"/>
          <w:shd w:val="clear" w:color="auto" w:fill="FFFFFF"/>
        </w:rPr>
        <w:t>behavior</w:t>
      </w:r>
      <w:proofErr w:type="spellEnd"/>
      <w:r w:rsidRPr="002D6F21">
        <w:rPr>
          <w:rFonts w:cs="Times New Roman"/>
          <w:color w:val="auto"/>
          <w:szCs w:val="24"/>
          <w:shd w:val="clear" w:color="auto" w:fill="FFFFFF"/>
        </w:rPr>
        <w:t>: Revisiting the JD-R model. </w:t>
      </w:r>
      <w:r w:rsidRPr="002D6F21">
        <w:rPr>
          <w:rFonts w:cs="Times New Roman"/>
          <w:i/>
          <w:iCs/>
          <w:color w:val="auto"/>
          <w:szCs w:val="24"/>
          <w:shd w:val="clear" w:color="auto" w:fill="FFFFFF"/>
        </w:rPr>
        <w:t>Human Resource Management Review</w:t>
      </w:r>
      <w:r w:rsidRPr="002D6F21">
        <w:rPr>
          <w:rFonts w:cs="Times New Roman"/>
          <w:color w:val="auto"/>
          <w:szCs w:val="24"/>
          <w:shd w:val="clear" w:color="auto" w:fill="FFFFFF"/>
        </w:rPr>
        <w:t>, </w:t>
      </w:r>
      <w:r w:rsidRPr="002D6F21">
        <w:rPr>
          <w:rFonts w:cs="Times New Roman"/>
          <w:i/>
          <w:iCs/>
          <w:color w:val="auto"/>
          <w:szCs w:val="24"/>
          <w:shd w:val="clear" w:color="auto" w:fill="FFFFFF"/>
        </w:rPr>
        <w:t>30</w:t>
      </w:r>
      <w:r w:rsidRPr="002D6F21">
        <w:rPr>
          <w:rFonts w:cs="Times New Roman"/>
          <w:color w:val="auto"/>
          <w:szCs w:val="24"/>
          <w:shd w:val="clear" w:color="auto" w:fill="FFFFFF"/>
        </w:rPr>
        <w:t>(2), p.100704.</w:t>
      </w:r>
    </w:p>
    <w:p w14:paraId="34D01559" w14:textId="77777777" w:rsidR="002D6F21" w:rsidRPr="002D6F21" w:rsidRDefault="002D6F21" w:rsidP="002D6F21">
      <w:pPr>
        <w:rPr>
          <w:rFonts w:cs="Times New Roman"/>
          <w:color w:val="auto"/>
          <w:szCs w:val="24"/>
          <w:shd w:val="clear" w:color="auto" w:fill="FFFFFF"/>
        </w:rPr>
      </w:pPr>
      <w:proofErr w:type="spellStart"/>
      <w:r w:rsidRPr="002D6F21">
        <w:rPr>
          <w:rFonts w:cs="Times New Roman"/>
          <w:color w:val="auto"/>
          <w:szCs w:val="24"/>
          <w:shd w:val="clear" w:color="auto" w:fill="FFFFFF"/>
        </w:rPr>
        <w:t>Piir</w:t>
      </w:r>
      <w:proofErr w:type="spellEnd"/>
      <w:r w:rsidRPr="002D6F21">
        <w:rPr>
          <w:rFonts w:cs="Times New Roman"/>
          <w:color w:val="auto"/>
          <w:szCs w:val="24"/>
          <w:shd w:val="clear" w:color="auto" w:fill="FFFFFF"/>
        </w:rPr>
        <w:t xml:space="preserve">, G., Kahn, I., </w:t>
      </w:r>
      <w:proofErr w:type="spellStart"/>
      <w:r w:rsidRPr="002D6F21">
        <w:rPr>
          <w:rFonts w:cs="Times New Roman"/>
          <w:color w:val="auto"/>
          <w:szCs w:val="24"/>
          <w:shd w:val="clear" w:color="auto" w:fill="FFFFFF"/>
        </w:rPr>
        <w:t>García</w:t>
      </w:r>
      <w:proofErr w:type="spellEnd"/>
      <w:r w:rsidRPr="002D6F21">
        <w:rPr>
          <w:rFonts w:cs="Times New Roman"/>
          <w:color w:val="auto"/>
          <w:szCs w:val="24"/>
          <w:shd w:val="clear" w:color="auto" w:fill="FFFFFF"/>
        </w:rPr>
        <w:t xml:space="preserve">-Sosa, A.T., </w:t>
      </w:r>
      <w:proofErr w:type="spellStart"/>
      <w:r w:rsidRPr="002D6F21">
        <w:rPr>
          <w:rFonts w:cs="Times New Roman"/>
          <w:color w:val="auto"/>
          <w:szCs w:val="24"/>
          <w:shd w:val="clear" w:color="auto" w:fill="FFFFFF"/>
        </w:rPr>
        <w:t>Sild</w:t>
      </w:r>
      <w:proofErr w:type="spellEnd"/>
      <w:r w:rsidRPr="002D6F21">
        <w:rPr>
          <w:rFonts w:cs="Times New Roman"/>
          <w:color w:val="auto"/>
          <w:szCs w:val="24"/>
          <w:shd w:val="clear" w:color="auto" w:fill="FFFFFF"/>
        </w:rPr>
        <w:t xml:space="preserve">, S., </w:t>
      </w:r>
      <w:proofErr w:type="spellStart"/>
      <w:r w:rsidRPr="002D6F21">
        <w:rPr>
          <w:rFonts w:cs="Times New Roman"/>
          <w:color w:val="auto"/>
          <w:szCs w:val="24"/>
          <w:shd w:val="clear" w:color="auto" w:fill="FFFFFF"/>
        </w:rPr>
        <w:t>Ahte</w:t>
      </w:r>
      <w:proofErr w:type="spellEnd"/>
      <w:r w:rsidRPr="002D6F21">
        <w:rPr>
          <w:rFonts w:cs="Times New Roman"/>
          <w:color w:val="auto"/>
          <w:szCs w:val="24"/>
          <w:shd w:val="clear" w:color="auto" w:fill="FFFFFF"/>
        </w:rPr>
        <w:t xml:space="preserve">, P. and </w:t>
      </w:r>
      <w:proofErr w:type="spellStart"/>
      <w:r w:rsidRPr="002D6F21">
        <w:rPr>
          <w:rFonts w:cs="Times New Roman"/>
          <w:color w:val="auto"/>
          <w:szCs w:val="24"/>
          <w:shd w:val="clear" w:color="auto" w:fill="FFFFFF"/>
        </w:rPr>
        <w:t>Maran</w:t>
      </w:r>
      <w:proofErr w:type="spellEnd"/>
      <w:r w:rsidRPr="002D6F21">
        <w:rPr>
          <w:rFonts w:cs="Times New Roman"/>
          <w:color w:val="auto"/>
          <w:szCs w:val="24"/>
          <w:shd w:val="clear" w:color="auto" w:fill="FFFFFF"/>
        </w:rPr>
        <w:t xml:space="preserve">, U., 2018. Best practices for QSAR model reporting: physical and chemical properties, </w:t>
      </w:r>
      <w:proofErr w:type="spellStart"/>
      <w:r w:rsidRPr="002D6F21">
        <w:rPr>
          <w:rFonts w:cs="Times New Roman"/>
          <w:color w:val="auto"/>
          <w:szCs w:val="24"/>
          <w:shd w:val="clear" w:color="auto" w:fill="FFFFFF"/>
        </w:rPr>
        <w:t>ecotoxicity</w:t>
      </w:r>
      <w:proofErr w:type="spellEnd"/>
      <w:r w:rsidRPr="002D6F21">
        <w:rPr>
          <w:rFonts w:cs="Times New Roman"/>
          <w:color w:val="auto"/>
          <w:szCs w:val="24"/>
          <w:shd w:val="clear" w:color="auto" w:fill="FFFFFF"/>
        </w:rPr>
        <w:t xml:space="preserve">, environmental fate, human health, and </w:t>
      </w:r>
      <w:proofErr w:type="spellStart"/>
      <w:r w:rsidRPr="002D6F21">
        <w:rPr>
          <w:rFonts w:cs="Times New Roman"/>
          <w:color w:val="auto"/>
          <w:szCs w:val="24"/>
          <w:shd w:val="clear" w:color="auto" w:fill="FFFFFF"/>
        </w:rPr>
        <w:t>toxicokinetics</w:t>
      </w:r>
      <w:proofErr w:type="spellEnd"/>
      <w:r w:rsidRPr="002D6F21">
        <w:rPr>
          <w:rFonts w:cs="Times New Roman"/>
          <w:color w:val="auto"/>
          <w:szCs w:val="24"/>
          <w:shd w:val="clear" w:color="auto" w:fill="FFFFFF"/>
        </w:rPr>
        <w:t xml:space="preserve"> endpoints. </w:t>
      </w:r>
      <w:r w:rsidRPr="002D6F21">
        <w:rPr>
          <w:rFonts w:cs="Times New Roman"/>
          <w:i/>
          <w:iCs/>
          <w:color w:val="auto"/>
          <w:szCs w:val="24"/>
          <w:shd w:val="clear" w:color="auto" w:fill="FFFFFF"/>
        </w:rPr>
        <w:t>Environmental health perspectives</w:t>
      </w:r>
      <w:r w:rsidRPr="002D6F21">
        <w:rPr>
          <w:rFonts w:cs="Times New Roman"/>
          <w:color w:val="auto"/>
          <w:szCs w:val="24"/>
          <w:shd w:val="clear" w:color="auto" w:fill="FFFFFF"/>
        </w:rPr>
        <w:t>, </w:t>
      </w:r>
      <w:r w:rsidRPr="002D6F21">
        <w:rPr>
          <w:rFonts w:cs="Times New Roman"/>
          <w:i/>
          <w:iCs/>
          <w:color w:val="auto"/>
          <w:szCs w:val="24"/>
          <w:shd w:val="clear" w:color="auto" w:fill="FFFFFF"/>
        </w:rPr>
        <w:t>126</w:t>
      </w:r>
      <w:r w:rsidRPr="002D6F21">
        <w:rPr>
          <w:rFonts w:cs="Times New Roman"/>
          <w:color w:val="auto"/>
          <w:szCs w:val="24"/>
          <w:shd w:val="clear" w:color="auto" w:fill="FFFFFF"/>
        </w:rPr>
        <w:t>(12), p.126001.</w:t>
      </w:r>
    </w:p>
    <w:p w14:paraId="2DCFD824" w14:textId="77777777" w:rsidR="002D6F21" w:rsidRPr="002D6F21" w:rsidRDefault="002D6F21" w:rsidP="002D6F21">
      <w:pPr>
        <w:rPr>
          <w:rFonts w:cs="Times New Roman"/>
          <w:color w:val="auto"/>
          <w:szCs w:val="24"/>
        </w:rPr>
      </w:pPr>
      <w:r w:rsidRPr="002D6F21">
        <w:rPr>
          <w:rFonts w:cs="Times New Roman"/>
          <w:color w:val="auto"/>
          <w:szCs w:val="24"/>
        </w:rPr>
        <w:t xml:space="preserve">Sun, L. and </w:t>
      </w:r>
      <w:proofErr w:type="spellStart"/>
      <w:r w:rsidRPr="002D6F21">
        <w:rPr>
          <w:rFonts w:cs="Times New Roman"/>
          <w:color w:val="auto"/>
          <w:szCs w:val="24"/>
        </w:rPr>
        <w:t>Bunchapattanasakda</w:t>
      </w:r>
      <w:proofErr w:type="spellEnd"/>
      <w:r w:rsidRPr="002D6F21">
        <w:rPr>
          <w:rFonts w:cs="Times New Roman"/>
          <w:color w:val="auto"/>
          <w:szCs w:val="24"/>
        </w:rPr>
        <w:t>, C., 2019. Employee engagement: A literature review. International Journal of Human Resource Studies, 9(1), pp.63-80.</w:t>
      </w:r>
    </w:p>
    <w:p w14:paraId="19A3AAA2" w14:textId="77777777" w:rsidR="002D6F21" w:rsidRPr="002D6F21" w:rsidRDefault="002D6F21" w:rsidP="002D6F21">
      <w:pPr>
        <w:rPr>
          <w:rFonts w:cs="Times New Roman"/>
          <w:color w:val="auto"/>
          <w:szCs w:val="24"/>
        </w:rPr>
      </w:pPr>
      <w:proofErr w:type="spellStart"/>
      <w:r w:rsidRPr="002D6F21">
        <w:rPr>
          <w:rFonts w:cs="Times New Roman"/>
          <w:color w:val="auto"/>
          <w:szCs w:val="24"/>
          <w:shd w:val="clear" w:color="auto" w:fill="FFFFFF"/>
        </w:rPr>
        <w:t>Umrani</w:t>
      </w:r>
      <w:proofErr w:type="spellEnd"/>
      <w:r w:rsidRPr="002D6F21">
        <w:rPr>
          <w:rFonts w:cs="Times New Roman"/>
          <w:color w:val="auto"/>
          <w:szCs w:val="24"/>
          <w:shd w:val="clear" w:color="auto" w:fill="FFFFFF"/>
        </w:rPr>
        <w:t xml:space="preserve">, W.A., </w:t>
      </w:r>
      <w:proofErr w:type="spellStart"/>
      <w:r w:rsidRPr="002D6F21">
        <w:rPr>
          <w:rFonts w:cs="Times New Roman"/>
          <w:color w:val="auto"/>
          <w:szCs w:val="24"/>
          <w:shd w:val="clear" w:color="auto" w:fill="FFFFFF"/>
        </w:rPr>
        <w:t>Channa</w:t>
      </w:r>
      <w:proofErr w:type="spellEnd"/>
      <w:r w:rsidRPr="002D6F21">
        <w:rPr>
          <w:rFonts w:cs="Times New Roman"/>
          <w:color w:val="auto"/>
          <w:szCs w:val="24"/>
          <w:shd w:val="clear" w:color="auto" w:fill="FFFFFF"/>
        </w:rPr>
        <w:t xml:space="preserve">, N.A., </w:t>
      </w:r>
      <w:proofErr w:type="spellStart"/>
      <w:r w:rsidRPr="002D6F21">
        <w:rPr>
          <w:rFonts w:cs="Times New Roman"/>
          <w:color w:val="auto"/>
          <w:szCs w:val="24"/>
          <w:shd w:val="clear" w:color="auto" w:fill="FFFFFF"/>
        </w:rPr>
        <w:t>Yousaf</w:t>
      </w:r>
      <w:proofErr w:type="spellEnd"/>
      <w:r w:rsidRPr="002D6F21">
        <w:rPr>
          <w:rFonts w:cs="Times New Roman"/>
          <w:color w:val="auto"/>
          <w:szCs w:val="24"/>
          <w:shd w:val="clear" w:color="auto" w:fill="FFFFFF"/>
        </w:rPr>
        <w:t xml:space="preserve">, A., Ahmed, U., </w:t>
      </w:r>
      <w:proofErr w:type="spellStart"/>
      <w:r w:rsidRPr="002D6F21">
        <w:rPr>
          <w:rFonts w:cs="Times New Roman"/>
          <w:color w:val="auto"/>
          <w:szCs w:val="24"/>
          <w:shd w:val="clear" w:color="auto" w:fill="FFFFFF"/>
        </w:rPr>
        <w:t>Pahi</w:t>
      </w:r>
      <w:proofErr w:type="spellEnd"/>
      <w:r w:rsidRPr="002D6F21">
        <w:rPr>
          <w:rFonts w:cs="Times New Roman"/>
          <w:color w:val="auto"/>
          <w:szCs w:val="24"/>
          <w:shd w:val="clear" w:color="auto" w:fill="FFFFFF"/>
        </w:rPr>
        <w:t xml:space="preserve">, M.H. and </w:t>
      </w:r>
      <w:proofErr w:type="spellStart"/>
      <w:r w:rsidRPr="002D6F21">
        <w:rPr>
          <w:rFonts w:cs="Times New Roman"/>
          <w:color w:val="auto"/>
          <w:szCs w:val="24"/>
          <w:shd w:val="clear" w:color="auto" w:fill="FFFFFF"/>
        </w:rPr>
        <w:t>Ramayah</w:t>
      </w:r>
      <w:proofErr w:type="spellEnd"/>
      <w:r w:rsidRPr="002D6F21">
        <w:rPr>
          <w:rFonts w:cs="Times New Roman"/>
          <w:color w:val="auto"/>
          <w:szCs w:val="24"/>
          <w:shd w:val="clear" w:color="auto" w:fill="FFFFFF"/>
        </w:rPr>
        <w:t>, T., 2020. Greening the workforce to achieve environmental performance in hotel industry: A serial mediation model. </w:t>
      </w:r>
      <w:r w:rsidRPr="002D6F21">
        <w:rPr>
          <w:rFonts w:cs="Times New Roman"/>
          <w:i/>
          <w:iCs/>
          <w:color w:val="auto"/>
          <w:szCs w:val="24"/>
          <w:shd w:val="clear" w:color="auto" w:fill="FFFFFF"/>
        </w:rPr>
        <w:t>Journal of Hospitality and Tourism Management</w:t>
      </w:r>
      <w:r w:rsidRPr="002D6F21">
        <w:rPr>
          <w:rFonts w:cs="Times New Roman"/>
          <w:color w:val="auto"/>
          <w:szCs w:val="24"/>
          <w:shd w:val="clear" w:color="auto" w:fill="FFFFFF"/>
        </w:rPr>
        <w:t>, </w:t>
      </w:r>
      <w:r w:rsidRPr="002D6F21">
        <w:rPr>
          <w:rFonts w:cs="Times New Roman"/>
          <w:i/>
          <w:iCs/>
          <w:color w:val="auto"/>
          <w:szCs w:val="24"/>
          <w:shd w:val="clear" w:color="auto" w:fill="FFFFFF"/>
        </w:rPr>
        <w:t>44</w:t>
      </w:r>
      <w:r w:rsidRPr="002D6F21">
        <w:rPr>
          <w:rFonts w:cs="Times New Roman"/>
          <w:color w:val="auto"/>
          <w:szCs w:val="24"/>
          <w:shd w:val="clear" w:color="auto" w:fill="FFFFFF"/>
        </w:rPr>
        <w:t>, pp.50-60.</w:t>
      </w:r>
    </w:p>
    <w:p w14:paraId="36D5BC41" w14:textId="77777777" w:rsidR="002D6F21" w:rsidRPr="002D6F21" w:rsidRDefault="002D6F21" w:rsidP="002D6F21">
      <w:pPr>
        <w:rPr>
          <w:rFonts w:cs="Times New Roman"/>
          <w:color w:val="auto"/>
          <w:szCs w:val="24"/>
        </w:rPr>
      </w:pPr>
      <w:r w:rsidRPr="002D6F21">
        <w:rPr>
          <w:rFonts w:cs="Times New Roman"/>
          <w:color w:val="auto"/>
          <w:szCs w:val="24"/>
          <w:shd w:val="clear" w:color="auto" w:fill="FFFFFF"/>
        </w:rPr>
        <w:t>Wang, C., Xu, J., Zhang, T.C. and Li, Q.M., 2020. Effects of professional identity on turnover intention in China's hotel employees: The mediating role of employee engagement and job satisfaction. </w:t>
      </w:r>
      <w:r w:rsidRPr="002D6F21">
        <w:rPr>
          <w:rFonts w:cs="Times New Roman"/>
          <w:i/>
          <w:iCs/>
          <w:color w:val="auto"/>
          <w:szCs w:val="24"/>
          <w:shd w:val="clear" w:color="auto" w:fill="FFFFFF"/>
        </w:rPr>
        <w:t>Journal of Hospitality and Tourism Management</w:t>
      </w:r>
      <w:r w:rsidRPr="002D6F21">
        <w:rPr>
          <w:rFonts w:cs="Times New Roman"/>
          <w:color w:val="auto"/>
          <w:szCs w:val="24"/>
          <w:shd w:val="clear" w:color="auto" w:fill="FFFFFF"/>
        </w:rPr>
        <w:t>, </w:t>
      </w:r>
      <w:r w:rsidRPr="002D6F21">
        <w:rPr>
          <w:rFonts w:cs="Times New Roman"/>
          <w:i/>
          <w:iCs/>
          <w:color w:val="auto"/>
          <w:szCs w:val="24"/>
          <w:shd w:val="clear" w:color="auto" w:fill="FFFFFF"/>
        </w:rPr>
        <w:t>45</w:t>
      </w:r>
      <w:r w:rsidRPr="002D6F21">
        <w:rPr>
          <w:rFonts w:cs="Times New Roman"/>
          <w:color w:val="auto"/>
          <w:szCs w:val="24"/>
          <w:shd w:val="clear" w:color="auto" w:fill="FFFFFF"/>
        </w:rPr>
        <w:t>, pp.10-22.</w:t>
      </w:r>
    </w:p>
    <w:sectPr w:rsidR="002D6F21" w:rsidRPr="002D6F21"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099E5" w14:textId="77777777" w:rsidR="00054ED7" w:rsidRDefault="00054ED7" w:rsidP="001834FC">
      <w:pPr>
        <w:spacing w:after="0" w:line="240" w:lineRule="auto"/>
      </w:pPr>
      <w:r>
        <w:separator/>
      </w:r>
    </w:p>
  </w:endnote>
  <w:endnote w:type="continuationSeparator" w:id="0">
    <w:p w14:paraId="055A601D" w14:textId="77777777" w:rsidR="00054ED7" w:rsidRDefault="00054ED7"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1558A87F" w:rsidR="001834FC" w:rsidRDefault="001834FC">
        <w:pPr>
          <w:pStyle w:val="Footer"/>
          <w:jc w:val="right"/>
        </w:pPr>
        <w:r>
          <w:fldChar w:fldCharType="begin"/>
        </w:r>
        <w:r>
          <w:instrText xml:space="preserve"> PAGE   \* MERGEFORMAT </w:instrText>
        </w:r>
        <w:r>
          <w:fldChar w:fldCharType="separate"/>
        </w:r>
        <w:r w:rsidR="00792B2A">
          <w:rPr>
            <w:noProof/>
          </w:rPr>
          <w:t>10</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91A95" w14:textId="77777777" w:rsidR="00054ED7" w:rsidRDefault="00054ED7" w:rsidP="001834FC">
      <w:pPr>
        <w:spacing w:after="0" w:line="240" w:lineRule="auto"/>
      </w:pPr>
      <w:r>
        <w:separator/>
      </w:r>
    </w:p>
  </w:footnote>
  <w:footnote w:type="continuationSeparator" w:id="0">
    <w:p w14:paraId="6DE7BFCC" w14:textId="77777777" w:rsidR="00054ED7" w:rsidRDefault="00054ED7"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54ED7"/>
    <w:rsid w:val="000E047C"/>
    <w:rsid w:val="000F02BF"/>
    <w:rsid w:val="00103CA1"/>
    <w:rsid w:val="00165013"/>
    <w:rsid w:val="001834FC"/>
    <w:rsid w:val="00184E2D"/>
    <w:rsid w:val="001A4F63"/>
    <w:rsid w:val="001D16F6"/>
    <w:rsid w:val="0022399E"/>
    <w:rsid w:val="00252195"/>
    <w:rsid w:val="002651DF"/>
    <w:rsid w:val="002D6F21"/>
    <w:rsid w:val="00321242"/>
    <w:rsid w:val="003C7B2E"/>
    <w:rsid w:val="00430312"/>
    <w:rsid w:val="004F6E55"/>
    <w:rsid w:val="0050539B"/>
    <w:rsid w:val="00541F9C"/>
    <w:rsid w:val="00545BA3"/>
    <w:rsid w:val="006F3E7B"/>
    <w:rsid w:val="00792B2A"/>
    <w:rsid w:val="007B6DA1"/>
    <w:rsid w:val="007F5928"/>
    <w:rsid w:val="007F715F"/>
    <w:rsid w:val="00883685"/>
    <w:rsid w:val="008D6245"/>
    <w:rsid w:val="008F1729"/>
    <w:rsid w:val="00913C8F"/>
    <w:rsid w:val="00975554"/>
    <w:rsid w:val="00A60069"/>
    <w:rsid w:val="00A61CBC"/>
    <w:rsid w:val="00A8186F"/>
    <w:rsid w:val="00B22D6F"/>
    <w:rsid w:val="00BB6D54"/>
    <w:rsid w:val="00BE1A2D"/>
    <w:rsid w:val="00BF4961"/>
    <w:rsid w:val="00C67B6F"/>
    <w:rsid w:val="00C86061"/>
    <w:rsid w:val="00CF7C27"/>
    <w:rsid w:val="00D220F0"/>
    <w:rsid w:val="00DD685E"/>
    <w:rsid w:val="00E00A59"/>
    <w:rsid w:val="00E31C91"/>
    <w:rsid w:val="00E9580D"/>
    <w:rsid w:val="00EB7A2D"/>
    <w:rsid w:val="00EC16C3"/>
    <w:rsid w:val="00F11505"/>
    <w:rsid w:val="00F42575"/>
    <w:rsid w:val="00FC5D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E00A59"/>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00A59"/>
    <w:pPr>
      <w:keepNext/>
      <w:keepLines/>
      <w:spacing w:before="40" w:after="0" w:line="240" w:lineRule="auto"/>
      <w:outlineLvl w:val="1"/>
    </w:pPr>
    <w:rPr>
      <w:rFonts w:eastAsiaTheme="majorEastAsia" w:cstheme="majorBidi"/>
      <w:b/>
      <w:i/>
      <w:color w:val="1F3864" w:themeColor="accent1" w:themeShade="80"/>
      <w:sz w:val="28"/>
      <w:szCs w:val="26"/>
      <w:lang w:val="en-US"/>
    </w:rPr>
  </w:style>
  <w:style w:type="paragraph" w:styleId="Heading3">
    <w:name w:val="heading 3"/>
    <w:basedOn w:val="Normal"/>
    <w:next w:val="Normal"/>
    <w:link w:val="Heading3Char"/>
    <w:uiPriority w:val="9"/>
    <w:semiHidden/>
    <w:unhideWhenUsed/>
    <w:qFormat/>
    <w:rsid w:val="00E00A59"/>
    <w:pPr>
      <w:keepNext/>
      <w:keepLines/>
      <w:spacing w:before="40" w:after="0" w:line="240" w:lineRule="auto"/>
      <w:outlineLvl w:val="2"/>
    </w:pPr>
    <w:rPr>
      <w:rFonts w:eastAsiaTheme="majorEastAsia" w:cstheme="majorBidi"/>
      <w:b/>
      <w:color w:val="auto"/>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00A59"/>
    <w:rPr>
      <w:rFonts w:ascii="Times New Roman" w:eastAsiaTheme="majorEastAsia" w:hAnsi="Times New Roman" w:cstheme="majorBidi"/>
      <w:b/>
      <w:i/>
      <w:color w:val="1F3864" w:themeColor="accent1" w:themeShade="80"/>
      <w:sz w:val="28"/>
      <w:szCs w:val="26"/>
    </w:rPr>
  </w:style>
  <w:style w:type="character" w:customStyle="1" w:styleId="Heading1Char">
    <w:name w:val="Heading 1 Char"/>
    <w:basedOn w:val="DefaultParagraphFont"/>
    <w:link w:val="Heading1"/>
    <w:uiPriority w:val="9"/>
    <w:rsid w:val="00E00A59"/>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semiHidden/>
    <w:rsid w:val="00E00A59"/>
    <w:rPr>
      <w:rFonts w:ascii="Times New Roman" w:eastAsiaTheme="majorEastAsia" w:hAnsi="Times New Roman" w:cstheme="majorBidi"/>
      <w:b/>
      <w:sz w:val="26"/>
      <w:szCs w:val="24"/>
      <w:lang w:val="en-GB"/>
    </w:rPr>
  </w:style>
  <w:style w:type="table" w:styleId="TableGrid">
    <w:name w:val="Table Grid"/>
    <w:basedOn w:val="TableNormal"/>
    <w:uiPriority w:val="39"/>
    <w:rsid w:val="00B22D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4952">
      <w:bodyDiv w:val="1"/>
      <w:marLeft w:val="0"/>
      <w:marRight w:val="0"/>
      <w:marTop w:val="0"/>
      <w:marBottom w:val="0"/>
      <w:divBdr>
        <w:top w:val="none" w:sz="0" w:space="0" w:color="auto"/>
        <w:left w:val="none" w:sz="0" w:space="0" w:color="auto"/>
        <w:bottom w:val="none" w:sz="0" w:space="0" w:color="auto"/>
        <w:right w:val="none" w:sz="0" w:space="0" w:color="auto"/>
      </w:divBdr>
    </w:div>
    <w:div w:id="164323640">
      <w:bodyDiv w:val="1"/>
      <w:marLeft w:val="0"/>
      <w:marRight w:val="0"/>
      <w:marTop w:val="0"/>
      <w:marBottom w:val="0"/>
      <w:divBdr>
        <w:top w:val="none" w:sz="0" w:space="0" w:color="auto"/>
        <w:left w:val="none" w:sz="0" w:space="0" w:color="auto"/>
        <w:bottom w:val="none" w:sz="0" w:space="0" w:color="auto"/>
        <w:right w:val="none" w:sz="0" w:space="0" w:color="auto"/>
      </w:divBdr>
    </w:div>
    <w:div w:id="264504134">
      <w:bodyDiv w:val="1"/>
      <w:marLeft w:val="0"/>
      <w:marRight w:val="0"/>
      <w:marTop w:val="0"/>
      <w:marBottom w:val="0"/>
      <w:divBdr>
        <w:top w:val="none" w:sz="0" w:space="0" w:color="auto"/>
        <w:left w:val="none" w:sz="0" w:space="0" w:color="auto"/>
        <w:bottom w:val="none" w:sz="0" w:space="0" w:color="auto"/>
        <w:right w:val="none" w:sz="0" w:space="0" w:color="auto"/>
      </w:divBdr>
    </w:div>
    <w:div w:id="362169596">
      <w:bodyDiv w:val="1"/>
      <w:marLeft w:val="0"/>
      <w:marRight w:val="0"/>
      <w:marTop w:val="0"/>
      <w:marBottom w:val="0"/>
      <w:divBdr>
        <w:top w:val="none" w:sz="0" w:space="0" w:color="auto"/>
        <w:left w:val="none" w:sz="0" w:space="0" w:color="auto"/>
        <w:bottom w:val="none" w:sz="0" w:space="0" w:color="auto"/>
        <w:right w:val="none" w:sz="0" w:space="0" w:color="auto"/>
      </w:divBdr>
    </w:div>
    <w:div w:id="441069165">
      <w:bodyDiv w:val="1"/>
      <w:marLeft w:val="0"/>
      <w:marRight w:val="0"/>
      <w:marTop w:val="0"/>
      <w:marBottom w:val="0"/>
      <w:divBdr>
        <w:top w:val="none" w:sz="0" w:space="0" w:color="auto"/>
        <w:left w:val="none" w:sz="0" w:space="0" w:color="auto"/>
        <w:bottom w:val="none" w:sz="0" w:space="0" w:color="auto"/>
        <w:right w:val="none" w:sz="0" w:space="0" w:color="auto"/>
      </w:divBdr>
    </w:div>
    <w:div w:id="504976583">
      <w:bodyDiv w:val="1"/>
      <w:marLeft w:val="0"/>
      <w:marRight w:val="0"/>
      <w:marTop w:val="0"/>
      <w:marBottom w:val="0"/>
      <w:divBdr>
        <w:top w:val="none" w:sz="0" w:space="0" w:color="auto"/>
        <w:left w:val="none" w:sz="0" w:space="0" w:color="auto"/>
        <w:bottom w:val="none" w:sz="0" w:space="0" w:color="auto"/>
        <w:right w:val="none" w:sz="0" w:space="0" w:color="auto"/>
      </w:divBdr>
    </w:div>
    <w:div w:id="714046424">
      <w:bodyDiv w:val="1"/>
      <w:marLeft w:val="0"/>
      <w:marRight w:val="0"/>
      <w:marTop w:val="0"/>
      <w:marBottom w:val="0"/>
      <w:divBdr>
        <w:top w:val="none" w:sz="0" w:space="0" w:color="auto"/>
        <w:left w:val="none" w:sz="0" w:space="0" w:color="auto"/>
        <w:bottom w:val="none" w:sz="0" w:space="0" w:color="auto"/>
        <w:right w:val="none" w:sz="0" w:space="0" w:color="auto"/>
      </w:divBdr>
    </w:div>
    <w:div w:id="813835539">
      <w:bodyDiv w:val="1"/>
      <w:marLeft w:val="0"/>
      <w:marRight w:val="0"/>
      <w:marTop w:val="0"/>
      <w:marBottom w:val="0"/>
      <w:divBdr>
        <w:top w:val="none" w:sz="0" w:space="0" w:color="auto"/>
        <w:left w:val="none" w:sz="0" w:space="0" w:color="auto"/>
        <w:bottom w:val="none" w:sz="0" w:space="0" w:color="auto"/>
        <w:right w:val="none" w:sz="0" w:space="0" w:color="auto"/>
      </w:divBdr>
    </w:div>
    <w:div w:id="841553486">
      <w:bodyDiv w:val="1"/>
      <w:marLeft w:val="0"/>
      <w:marRight w:val="0"/>
      <w:marTop w:val="0"/>
      <w:marBottom w:val="0"/>
      <w:divBdr>
        <w:top w:val="none" w:sz="0" w:space="0" w:color="auto"/>
        <w:left w:val="none" w:sz="0" w:space="0" w:color="auto"/>
        <w:bottom w:val="none" w:sz="0" w:space="0" w:color="auto"/>
        <w:right w:val="none" w:sz="0" w:space="0" w:color="auto"/>
      </w:divBdr>
    </w:div>
    <w:div w:id="870069320">
      <w:bodyDiv w:val="1"/>
      <w:marLeft w:val="0"/>
      <w:marRight w:val="0"/>
      <w:marTop w:val="0"/>
      <w:marBottom w:val="0"/>
      <w:divBdr>
        <w:top w:val="none" w:sz="0" w:space="0" w:color="auto"/>
        <w:left w:val="none" w:sz="0" w:space="0" w:color="auto"/>
        <w:bottom w:val="none" w:sz="0" w:space="0" w:color="auto"/>
        <w:right w:val="none" w:sz="0" w:space="0" w:color="auto"/>
      </w:divBdr>
    </w:div>
    <w:div w:id="967734916">
      <w:bodyDiv w:val="1"/>
      <w:marLeft w:val="0"/>
      <w:marRight w:val="0"/>
      <w:marTop w:val="0"/>
      <w:marBottom w:val="0"/>
      <w:divBdr>
        <w:top w:val="none" w:sz="0" w:space="0" w:color="auto"/>
        <w:left w:val="none" w:sz="0" w:space="0" w:color="auto"/>
        <w:bottom w:val="none" w:sz="0" w:space="0" w:color="auto"/>
        <w:right w:val="none" w:sz="0" w:space="0" w:color="auto"/>
      </w:divBdr>
    </w:div>
    <w:div w:id="1036006778">
      <w:bodyDiv w:val="1"/>
      <w:marLeft w:val="0"/>
      <w:marRight w:val="0"/>
      <w:marTop w:val="0"/>
      <w:marBottom w:val="0"/>
      <w:divBdr>
        <w:top w:val="none" w:sz="0" w:space="0" w:color="auto"/>
        <w:left w:val="none" w:sz="0" w:space="0" w:color="auto"/>
        <w:bottom w:val="none" w:sz="0" w:space="0" w:color="auto"/>
        <w:right w:val="none" w:sz="0" w:space="0" w:color="auto"/>
      </w:divBdr>
    </w:div>
    <w:div w:id="1194541880">
      <w:bodyDiv w:val="1"/>
      <w:marLeft w:val="0"/>
      <w:marRight w:val="0"/>
      <w:marTop w:val="0"/>
      <w:marBottom w:val="0"/>
      <w:divBdr>
        <w:top w:val="none" w:sz="0" w:space="0" w:color="auto"/>
        <w:left w:val="none" w:sz="0" w:space="0" w:color="auto"/>
        <w:bottom w:val="none" w:sz="0" w:space="0" w:color="auto"/>
        <w:right w:val="none" w:sz="0" w:space="0" w:color="auto"/>
      </w:divBdr>
    </w:div>
    <w:div w:id="1211960920">
      <w:bodyDiv w:val="1"/>
      <w:marLeft w:val="0"/>
      <w:marRight w:val="0"/>
      <w:marTop w:val="0"/>
      <w:marBottom w:val="0"/>
      <w:divBdr>
        <w:top w:val="none" w:sz="0" w:space="0" w:color="auto"/>
        <w:left w:val="none" w:sz="0" w:space="0" w:color="auto"/>
        <w:bottom w:val="none" w:sz="0" w:space="0" w:color="auto"/>
        <w:right w:val="none" w:sz="0" w:space="0" w:color="auto"/>
      </w:divBdr>
    </w:div>
    <w:div w:id="1236089547">
      <w:bodyDiv w:val="1"/>
      <w:marLeft w:val="0"/>
      <w:marRight w:val="0"/>
      <w:marTop w:val="0"/>
      <w:marBottom w:val="0"/>
      <w:divBdr>
        <w:top w:val="none" w:sz="0" w:space="0" w:color="auto"/>
        <w:left w:val="none" w:sz="0" w:space="0" w:color="auto"/>
        <w:bottom w:val="none" w:sz="0" w:space="0" w:color="auto"/>
        <w:right w:val="none" w:sz="0" w:space="0" w:color="auto"/>
      </w:divBdr>
    </w:div>
    <w:div w:id="1342974409">
      <w:bodyDiv w:val="1"/>
      <w:marLeft w:val="0"/>
      <w:marRight w:val="0"/>
      <w:marTop w:val="0"/>
      <w:marBottom w:val="0"/>
      <w:divBdr>
        <w:top w:val="none" w:sz="0" w:space="0" w:color="auto"/>
        <w:left w:val="none" w:sz="0" w:space="0" w:color="auto"/>
        <w:bottom w:val="none" w:sz="0" w:space="0" w:color="auto"/>
        <w:right w:val="none" w:sz="0" w:space="0" w:color="auto"/>
      </w:divBdr>
    </w:div>
    <w:div w:id="1348949790">
      <w:bodyDiv w:val="1"/>
      <w:marLeft w:val="0"/>
      <w:marRight w:val="0"/>
      <w:marTop w:val="0"/>
      <w:marBottom w:val="0"/>
      <w:divBdr>
        <w:top w:val="none" w:sz="0" w:space="0" w:color="auto"/>
        <w:left w:val="none" w:sz="0" w:space="0" w:color="auto"/>
        <w:bottom w:val="none" w:sz="0" w:space="0" w:color="auto"/>
        <w:right w:val="none" w:sz="0" w:space="0" w:color="auto"/>
      </w:divBdr>
    </w:div>
    <w:div w:id="1379167980">
      <w:bodyDiv w:val="1"/>
      <w:marLeft w:val="0"/>
      <w:marRight w:val="0"/>
      <w:marTop w:val="0"/>
      <w:marBottom w:val="0"/>
      <w:divBdr>
        <w:top w:val="none" w:sz="0" w:space="0" w:color="auto"/>
        <w:left w:val="none" w:sz="0" w:space="0" w:color="auto"/>
        <w:bottom w:val="none" w:sz="0" w:space="0" w:color="auto"/>
        <w:right w:val="none" w:sz="0" w:space="0" w:color="auto"/>
      </w:divBdr>
    </w:div>
    <w:div w:id="1444035838">
      <w:bodyDiv w:val="1"/>
      <w:marLeft w:val="0"/>
      <w:marRight w:val="0"/>
      <w:marTop w:val="0"/>
      <w:marBottom w:val="0"/>
      <w:divBdr>
        <w:top w:val="none" w:sz="0" w:space="0" w:color="auto"/>
        <w:left w:val="none" w:sz="0" w:space="0" w:color="auto"/>
        <w:bottom w:val="none" w:sz="0" w:space="0" w:color="auto"/>
        <w:right w:val="none" w:sz="0" w:space="0" w:color="auto"/>
      </w:divBdr>
    </w:div>
    <w:div w:id="1667971286">
      <w:bodyDiv w:val="1"/>
      <w:marLeft w:val="0"/>
      <w:marRight w:val="0"/>
      <w:marTop w:val="0"/>
      <w:marBottom w:val="0"/>
      <w:divBdr>
        <w:top w:val="none" w:sz="0" w:space="0" w:color="auto"/>
        <w:left w:val="none" w:sz="0" w:space="0" w:color="auto"/>
        <w:bottom w:val="none" w:sz="0" w:space="0" w:color="auto"/>
        <w:right w:val="none" w:sz="0" w:space="0" w:color="auto"/>
      </w:divBdr>
    </w:div>
    <w:div w:id="1786268451">
      <w:bodyDiv w:val="1"/>
      <w:marLeft w:val="0"/>
      <w:marRight w:val="0"/>
      <w:marTop w:val="0"/>
      <w:marBottom w:val="0"/>
      <w:divBdr>
        <w:top w:val="none" w:sz="0" w:space="0" w:color="auto"/>
        <w:left w:val="none" w:sz="0" w:space="0" w:color="auto"/>
        <w:bottom w:val="none" w:sz="0" w:space="0" w:color="auto"/>
        <w:right w:val="none" w:sz="0" w:space="0" w:color="auto"/>
      </w:divBdr>
    </w:div>
    <w:div w:id="1890259572">
      <w:bodyDiv w:val="1"/>
      <w:marLeft w:val="0"/>
      <w:marRight w:val="0"/>
      <w:marTop w:val="0"/>
      <w:marBottom w:val="0"/>
      <w:divBdr>
        <w:top w:val="none" w:sz="0" w:space="0" w:color="auto"/>
        <w:left w:val="none" w:sz="0" w:space="0" w:color="auto"/>
        <w:bottom w:val="none" w:sz="0" w:space="0" w:color="auto"/>
        <w:right w:val="none" w:sz="0" w:space="0" w:color="auto"/>
      </w:divBdr>
    </w:div>
    <w:div w:id="1998145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ettings" Target="settings.xml" /><Relationship Id="rId21" Type="http://schemas.openxmlformats.org/officeDocument/2006/relationships/image" Target="media/image14.svg" /><Relationship Id="rId7" Type="http://schemas.openxmlformats.org/officeDocument/2006/relationships/image" Target="media/image1.png" /><Relationship Id="rId12" Type="http://schemas.openxmlformats.org/officeDocument/2006/relationships/image" Target="media/image5.svg" /><Relationship Id="rId17" Type="http://schemas.openxmlformats.org/officeDocument/2006/relationships/image" Target="media/image10.svg" /><Relationship Id="rId2" Type="http://schemas.openxmlformats.org/officeDocument/2006/relationships/styles" Target="styles.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png" /><Relationship Id="rId5"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theme" Target="theme/theme1.xml" /><Relationship Id="rId10" Type="http://schemas.openxmlformats.org/officeDocument/2006/relationships/image" Target="media/image3.svg" /><Relationship Id="rId19" Type="http://schemas.openxmlformats.org/officeDocument/2006/relationships/image" Target="media/image12.sv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sv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Ahm21</b:Tag>
    <b:SourceType>Book</b:SourceType>
    <b:Guid>{932E8A4A-F2A8-4E2B-9EB5-B4C27577353C}</b:Guid>
    <b:Author>
      <b:Author>
        <b:NameList>
          <b:Person>
            <b:Last>Ahmed</b:Last>
            <b:First>M.,</b:First>
            <b:Middle>Guo, Q., Qureshi, M.A., Raza, S.A., Khan, K.A. and Salam, J.,</b:Middle>
          </b:Person>
        </b:NameList>
      </b:Author>
    </b:Author>
    <b:Year>2021</b:Year>
    <b:RefOrder>7</b:RefOrder>
  </b:Source>
  <b:Source>
    <b:Tag>Bot19</b:Tag>
    <b:SourceType>Book</b:SourceType>
    <b:Guid>{3B29639B-5AE9-40BD-B543-18DA372440C0}</b:Guid>
    <b:Author>
      <b:Author>
        <b:NameList>
          <b:Person>
            <b:Last>Botzen</b:Last>
            <b:First>W.W.,</b:First>
            <b:Middle>Deschenes, O. and Sanders, M.,</b:Middle>
          </b:Person>
        </b:NameList>
      </b:Author>
    </b:Author>
    <b:Year>2019</b:Year>
    <b:RefOrder>1</b:RefOrder>
  </b:Source>
  <b:Source>
    <b:Tag>Gür19</b:Tag>
    <b:SourceType>Book</b:SourceType>
    <b:Guid>{0212ACD6-10E5-4F3A-8CAC-EA4405C424EB}</b:Guid>
    <b:Author>
      <b:Author>
        <b:NameList>
          <b:Person>
            <b:Last>Gürlek</b:Last>
            <b:First>M.</b:First>
            <b:Middle>and Tuna, M.,</b:Middle>
          </b:Person>
        </b:NameList>
      </b:Author>
    </b:Author>
    <b:Year>2019</b:Year>
    <b:RefOrder>2</b:RefOrder>
  </b:Source>
  <b:Source>
    <b:Tag>Kwo20</b:Tag>
    <b:SourceType>Book</b:SourceType>
    <b:Guid>{54403190-359B-490D-908E-93AF916CD032}</b:Guid>
    <b:Author>
      <b:Author>
        <b:NameList>
          <b:Person>
            <b:Last>Kwon</b:Last>
            <b:First>K.</b:First>
            <b:Middle>and Kim, T.,</b:Middle>
          </b:Person>
        </b:NameList>
      </b:Author>
    </b:Author>
    <b:Year>2020</b:Year>
    <b:RefOrder>5</b:RefOrder>
  </b:Source>
  <b:Source>
    <b:Tag>Pii18</b:Tag>
    <b:SourceType>Book</b:SourceType>
    <b:Guid>{09476B4C-0041-4A64-A8A9-590D46028892}</b:Guid>
    <b:Author>
      <b:Author>
        <b:NameList>
          <b:Person>
            <b:Last>Piir</b:Last>
            <b:First>G.,</b:First>
            <b:Middle>Kahn, I., García-Sosa, A.T., Sild, S., Ahte, P. and Maran, U.,</b:Middle>
          </b:Person>
        </b:NameList>
      </b:Author>
    </b:Author>
    <b:Year>2018</b:Year>
    <b:RefOrder>8</b:RefOrder>
  </b:Source>
  <b:Source>
    <b:Tag>Sun19</b:Tag>
    <b:SourceType>Book</b:SourceType>
    <b:Guid>{42FCB877-662F-4CCF-81D8-5D89D50A89E1}</b:Guid>
    <b:Author>
      <b:Author>
        <b:NameList>
          <b:Person>
            <b:Last>Sun</b:Last>
            <b:First>L.</b:First>
            <b:Middle>and Bunchapattanasakda, C.,</b:Middle>
          </b:Person>
        </b:NameList>
      </b:Author>
    </b:Author>
    <b:Year>2019</b:Year>
    <b:RefOrder>3</b:RefOrder>
  </b:Source>
  <b:Source>
    <b:Tag>Umr20</b:Tag>
    <b:SourceType>Book</b:SourceType>
    <b:Guid>{C437D9D6-DAB7-4566-AFEF-43DAC58F6BA3}</b:Guid>
    <b:Author>
      <b:Author>
        <b:NameList>
          <b:Person>
            <b:Last>Umrani</b:Last>
            <b:First>W.A.,</b:First>
            <b:Middle>Channa, N.A., Yousaf, A., Ahmed, U., Pahi, M.H. and Ramayah, T.,</b:Middle>
          </b:Person>
        </b:NameList>
      </b:Author>
    </b:Author>
    <b:Year>2020</b:Year>
    <b:RefOrder>4</b:RefOrder>
  </b:Source>
  <b:Source>
    <b:Tag>Wan20</b:Tag>
    <b:SourceType>Book</b:SourceType>
    <b:Guid>{7DFD83EC-DBBD-4FED-8ABD-B984542BCF5C}</b:Guid>
    <b:Author>
      <b:Author>
        <b:NameList>
          <b:Person>
            <b:Last>Wang</b:Last>
            <b:First>C.,</b:First>
            <b:Middle>Xu, J., Zhang, T.C. and Li, Q.M.,</b:Middle>
          </b:Person>
        </b:NameList>
      </b:Author>
    </b:Author>
    <b:Year>2020</b:Year>
    <b:RefOrder>6</b:RefOrder>
  </b:Source>
</b:Sources>
</file>

<file path=customXml/itemProps1.xml><?xml version="1.0" encoding="utf-8"?>
<ds:datastoreItem xmlns:ds="http://schemas.openxmlformats.org/officeDocument/2006/customXml" ds:itemID="{D8C9BF13-5755-488E-A90A-6966C8D54CD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1533</Words>
  <Characters>8741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2022-12-05T12:36:00Z</dcterms:created>
  <dcterms:modified xsi:type="dcterms:W3CDTF">2022-12-05T12:36:00Z</dcterms:modified>
</cp:coreProperties>
</file>