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noSpellErr="1" wp14:textId="1D5809E6">
      <w:bookmarkStart w:name="_GoBack" w:id="0"/>
      <w:bookmarkEnd w:id="0"/>
      <w:r w:rsidR="381F6E0F">
        <w:rPr/>
        <w:t xml:space="preserve">Lysias Against Simon </w:t>
      </w:r>
      <w:r w:rsidR="381F6E0F">
        <w:rPr/>
        <w:t>3.6</w:t>
      </w:r>
    </w:p>
    <w:p w:rsidR="381F6E0F" w:rsidP="381F6E0F" w:rsidRDefault="381F6E0F" w14:paraId="494EE1A4" w14:textId="32E3EF86">
      <w:pPr>
        <w:pStyle w:val="Normal"/>
      </w:pPr>
    </w:p>
    <w:p w:rsidR="381F6E0F" w:rsidP="381F6E0F" w:rsidRDefault="381F6E0F" w14:paraId="451AF09A" w14:textId="439D3223">
      <w:pPr>
        <w:pStyle w:val="Normal"/>
      </w:pPr>
      <w:r w:rsidR="4E127A05">
        <w:rPr/>
        <w:t xml:space="preserve">Lysias against Simon is one of the speeches that Lysias wrote for an unknown client. In this case the speech is </w:t>
      </w:r>
      <w:r w:rsidR="4E127A05">
        <w:rPr/>
        <w:t xml:space="preserve">given in a court of law where Lysias' </w:t>
      </w:r>
      <w:r w:rsidR="4E127A05">
        <w:rPr/>
        <w:t>client is defending himself against Simon who brought him to court over the issue of a male prostitute that they are both involved with.</w:t>
      </w:r>
      <w:r w:rsidR="4E127A05">
        <w:rPr/>
        <w:t xml:space="preserve"> This part of the speech involves more than just Simon and the unnamed client. It also involves the male prostitute, named </w:t>
      </w:r>
      <w:proofErr w:type="spellStart"/>
      <w:r w:rsidR="4E127A05">
        <w:rPr/>
        <w:t>Theodotus</w:t>
      </w:r>
      <w:proofErr w:type="spellEnd"/>
      <w:r w:rsidRPr="4E127A05">
        <w:rPr>
          <w:rStyle w:val="FootnoteReference"/>
        </w:rPr>
        <w:footnoteReference w:id="19986"/>
      </w:r>
      <w:r w:rsidR="4E127A05">
        <w:rPr/>
        <w:t xml:space="preserve"> and the client's sister and nieces. While it was Simon who brought the unnamed client to court, it is made out that Simon was the man in the wrong throughout the duration of the speech. The speech is made up of three main sections: the first part is the introduction to the speech, trying to gain goodwill with the jurors – of which </w:t>
      </w:r>
      <w:r w:rsidR="4E127A05">
        <w:rPr/>
        <w:t>there</w:t>
      </w:r>
      <w:r w:rsidR="4E127A05">
        <w:rPr/>
        <w:t xml:space="preserve"> could have </w:t>
      </w:r>
      <w:r w:rsidR="4E127A05">
        <w:rPr/>
        <w:t>been an average of 500; the second section is the main body of the speech where the speaker lays out the events of what happened; and the third section is the summary of the speech, again trying to gain goodwill from the jurors to see that he should not have to be defending himself</w:t>
      </w:r>
      <w:r w:rsidR="4E127A05">
        <w:rPr/>
        <w:t>. Part six is the beginning of the main body of the speech, and therefore the start of the recollection of the events of the night.</w:t>
      </w:r>
    </w:p>
    <w:p w:rsidR="4E127A05" w:rsidP="4E127A05" w:rsidRDefault="4E127A05" w14:paraId="38ADB1F2" w14:textId="76865CFB">
      <w:pPr>
        <w:pStyle w:val="Normal"/>
      </w:pPr>
    </w:p>
    <w:p w:rsidR="4E127A05" w:rsidP="4E127A05" w:rsidRDefault="4E127A05" w14:noSpellErr="1" w14:paraId="39A87D15" w14:textId="5807CFB3">
      <w:pPr>
        <w:pStyle w:val="Normal"/>
        <w:rPr>
          <w:i w:val="0"/>
          <w:iCs w:val="0"/>
        </w:rPr>
      </w:pPr>
      <w:r w:rsidRPr="4E127A05" w:rsidR="4E127A05">
        <w:rPr>
          <w:i w:val="0"/>
          <w:iCs w:val="0"/>
        </w:rPr>
        <w:t>The tone in this section is very outraged and loaded. The man giving the speech is very offended at what happened in his household, placing a lot of emphasis on the actions of Simon in this section.</w:t>
      </w:r>
      <w:r w:rsidRPr="4E127A05" w:rsidR="4E127A05">
        <w:rPr>
          <w:i w:val="0"/>
          <w:iCs w:val="0"/>
        </w:rPr>
        <w:t xml:space="preserve"> Simon came to his house "</w:t>
      </w:r>
      <w:r w:rsidRPr="4E127A05" w:rsidR="4E127A05">
        <w:rPr>
          <w:i w:val="1"/>
          <w:iCs w:val="1"/>
        </w:rPr>
        <w:t>at night in a drunken state,</w:t>
      </w:r>
      <w:r w:rsidRPr="4E127A05" w:rsidR="4E127A05">
        <w:rPr>
          <w:i w:val="0"/>
          <w:iCs w:val="0"/>
        </w:rPr>
        <w:t>" he "</w:t>
      </w:r>
      <w:r w:rsidRPr="4E127A05" w:rsidR="4E127A05">
        <w:rPr>
          <w:i w:val="1"/>
          <w:iCs w:val="1"/>
        </w:rPr>
        <w:t>broke down the doors</w:t>
      </w:r>
      <w:r w:rsidRPr="4E127A05" w:rsidR="4E127A05">
        <w:rPr>
          <w:i w:val="0"/>
          <w:iCs w:val="0"/>
        </w:rPr>
        <w:t xml:space="preserve">" and </w:t>
      </w:r>
      <w:r w:rsidRPr="4E127A05" w:rsidR="4E127A05">
        <w:rPr>
          <w:i w:val="0"/>
          <w:iCs w:val="0"/>
        </w:rPr>
        <w:t>he did not stop there, he then "</w:t>
      </w:r>
      <w:r w:rsidRPr="4E127A05" w:rsidR="4E127A05">
        <w:rPr>
          <w:i w:val="1"/>
          <w:iCs w:val="1"/>
        </w:rPr>
        <w:t>entered the women's rooms</w:t>
      </w:r>
      <w:r w:rsidRPr="4E127A05" w:rsidR="4E127A05">
        <w:rPr>
          <w:i w:val="0"/>
          <w:iCs w:val="0"/>
        </w:rPr>
        <w:t>". These women who are "</w:t>
      </w:r>
      <w:r w:rsidRPr="4E127A05" w:rsidR="4E127A05">
        <w:rPr>
          <w:i w:val="1"/>
          <w:iCs w:val="1"/>
        </w:rPr>
        <w:t>so well-</w:t>
      </w:r>
      <w:r w:rsidRPr="4E127A05" w:rsidR="4E127A05">
        <w:rPr>
          <w:i w:val="1"/>
          <w:iCs w:val="1"/>
        </w:rPr>
        <w:t>ordered that they are ashamed to be seen even by their kinsmen</w:t>
      </w:r>
      <w:r w:rsidRPr="4E127A05" w:rsidR="4E127A05">
        <w:rPr>
          <w:i w:val="0"/>
          <w:iCs w:val="0"/>
        </w:rPr>
        <w:t>". During ancient Greek times the women lived in seclusion, they:</w:t>
      </w:r>
    </w:p>
    <w:p w:rsidR="4E127A05" w:rsidP="4E127A05" w:rsidRDefault="4E127A05" w14:noSpellErr="1" w14:paraId="59F6313C" w14:textId="558C3DB1">
      <w:pPr>
        <w:pStyle w:val="Normal"/>
        <w:ind w:firstLine="0"/>
        <w:rPr>
          <w:i w:val="0"/>
          <w:iCs w:val="0"/>
        </w:rPr>
      </w:pPr>
      <w:r w:rsidRPr="2CA9B628" w:rsidR="4E127A05">
        <w:rPr>
          <w:i w:val="0"/>
          <w:iCs w:val="0"/>
        </w:rPr>
        <w:t>"</w:t>
      </w:r>
      <w:r w:rsidRPr="2CA9B628" w:rsidR="4E127A05">
        <w:rPr>
          <w:i w:val="1"/>
          <w:iCs w:val="1"/>
        </w:rPr>
        <w:t xml:space="preserve">seldom crossed the threshold of </w:t>
      </w:r>
      <w:r w:rsidRPr="2CA9B628" w:rsidR="4E127A05">
        <w:rPr>
          <w:i w:val="1"/>
          <w:iCs w:val="1"/>
        </w:rPr>
        <w:t>their own front door, adolescent girls were lucky if they were allowed as far as the inner courtyard since they had to stay where they could not be seen – well away even from the male members of the family.</w:t>
      </w:r>
      <w:r w:rsidRPr="2CA9B628" w:rsidR="4E127A05">
        <w:rPr>
          <w:i w:val="0"/>
          <w:iCs w:val="0"/>
        </w:rPr>
        <w:t>"</w:t>
      </w:r>
      <w:r w:rsidRPr="2CA9B628">
        <w:rPr>
          <w:rStyle w:val="FootnoteReference"/>
          <w:i w:val="1"/>
          <w:iCs w:val="1"/>
        </w:rPr>
        <w:footnoteReference w:id="13807"/>
      </w:r>
    </w:p>
    <w:p w:rsidR="4E127A05" w:rsidP="4E127A05" w:rsidRDefault="4E127A05" w14:noSpellErr="1" w14:paraId="25270401" w14:textId="7DE024A5">
      <w:pPr>
        <w:pStyle w:val="Normal"/>
        <w:ind w:firstLine="0"/>
        <w:rPr>
          <w:i w:val="0"/>
          <w:iCs w:val="0"/>
        </w:rPr>
      </w:pPr>
      <w:r w:rsidRPr="2CA9B628" w:rsidR="4E127A05">
        <w:rPr>
          <w:i w:val="0"/>
          <w:iCs w:val="0"/>
        </w:rPr>
        <w:t xml:space="preserve">The fact that some man, who is not even part of the family to barge into their rooms at night in a drunk and violent state is not only </w:t>
      </w:r>
      <w:r w:rsidRPr="2CA9B628" w:rsidR="4E127A05">
        <w:rPr>
          <w:i w:val="0"/>
          <w:iCs w:val="0"/>
        </w:rPr>
        <w:t>shameful</w:t>
      </w:r>
      <w:r w:rsidRPr="2CA9B628" w:rsidR="4E127A05">
        <w:rPr>
          <w:i w:val="0"/>
          <w:iCs w:val="0"/>
        </w:rPr>
        <w:t xml:space="preserve"> to them, but also to the men of the family whose job it is to protect and look after them. The client has a right to be outraged at Simon's behaviour in this circumstance. The tone that comes across here is also </w:t>
      </w:r>
      <w:r w:rsidRPr="2CA9B628" w:rsidR="4E127A05">
        <w:rPr>
          <w:i w:val="0"/>
          <w:iCs w:val="0"/>
        </w:rPr>
        <w:t>aggrieved</w:t>
      </w:r>
      <w:r w:rsidRPr="2CA9B628" w:rsidR="4E127A05">
        <w:rPr>
          <w:i w:val="0"/>
          <w:iCs w:val="0"/>
        </w:rPr>
        <w:t xml:space="preserve"> – a great wrong has come to his family that he was not able to control. In this context it is read like the client here is the man who should be bringing the action of this court against Simon and not the other way around. As in ancient Greece, </w:t>
      </w:r>
      <w:r w:rsidRPr="2CA9B628" w:rsidR="4E127A05">
        <w:rPr>
          <w:i w:val="0"/>
          <w:iCs w:val="0"/>
        </w:rPr>
        <w:t>"</w:t>
      </w:r>
      <w:r w:rsidRPr="2CA9B628" w:rsidR="4E127A05">
        <w:rPr>
          <w:i w:val="1"/>
          <w:iCs w:val="1"/>
        </w:rPr>
        <w:t>no matter how powerful or influential a person was, he still did not have the right to enter someone's house</w:t>
      </w:r>
      <w:r w:rsidRPr="2CA9B628" w:rsidR="4E127A05">
        <w:rPr>
          <w:i w:val="0"/>
          <w:iCs w:val="0"/>
        </w:rPr>
        <w:t>".</w:t>
      </w:r>
      <w:r w:rsidRPr="2CA9B628">
        <w:rPr>
          <w:rStyle w:val="FootnoteReference"/>
          <w:i w:val="0"/>
          <w:iCs w:val="0"/>
        </w:rPr>
        <w:footnoteReference w:id="18889"/>
      </w:r>
    </w:p>
    <w:p w:rsidR="4E127A05" w:rsidP="4E127A05" w:rsidRDefault="4E127A05" w14:paraId="21A69B00" w14:textId="6C58E2AE">
      <w:pPr>
        <w:pStyle w:val="Normal"/>
        <w:rPr>
          <w:i w:val="0"/>
          <w:iCs w:val="0"/>
        </w:rPr>
      </w:pPr>
    </w:p>
    <w:p w:rsidR="4E127A05" w:rsidP="4E127A05" w:rsidRDefault="4E127A05" w14:paraId="0B7A20C7" w14:textId="66DF572D">
      <w:pPr>
        <w:pStyle w:val="Normal"/>
        <w:rPr>
          <w:i w:val="0"/>
          <w:iCs w:val="0"/>
        </w:rPr>
      </w:pPr>
      <w:r w:rsidRPr="2CA9B628" w:rsidR="4E127A05">
        <w:rPr>
          <w:i w:val="0"/>
          <w:iCs w:val="0"/>
        </w:rPr>
        <w:t xml:space="preserve">In this passage a boy is mentioned – as said before this boy is </w:t>
      </w:r>
      <w:proofErr w:type="spellStart"/>
      <w:r w:rsidRPr="2CA9B628" w:rsidR="4E127A05">
        <w:rPr>
          <w:i w:val="0"/>
          <w:iCs w:val="0"/>
        </w:rPr>
        <w:t>Theodotus</w:t>
      </w:r>
      <w:proofErr w:type="spellEnd"/>
      <w:r w:rsidRPr="2CA9B628" w:rsidR="4E127A05">
        <w:rPr>
          <w:i w:val="0"/>
          <w:iCs w:val="0"/>
        </w:rPr>
        <w:t xml:space="preserve">, a male </w:t>
      </w:r>
      <w:r w:rsidRPr="2CA9B628" w:rsidR="4E127A05">
        <w:rPr>
          <w:i w:val="0"/>
          <w:iCs w:val="0"/>
        </w:rPr>
        <w:t>prostitute</w:t>
      </w:r>
      <w:r w:rsidRPr="2CA9B628" w:rsidR="4E127A05">
        <w:rPr>
          <w:i w:val="0"/>
          <w:iCs w:val="0"/>
        </w:rPr>
        <w:t xml:space="preserve"> that both men had different relationships with. </w:t>
      </w:r>
      <w:r w:rsidRPr="2CA9B628" w:rsidR="4E127A05">
        <w:rPr>
          <w:i w:val="0"/>
          <w:iCs w:val="0"/>
        </w:rPr>
        <w:t>Simon</w:t>
      </w:r>
      <w:r w:rsidRPr="2CA9B628" w:rsidR="4E127A05">
        <w:rPr>
          <w:i w:val="0"/>
          <w:iCs w:val="0"/>
        </w:rPr>
        <w:t xml:space="preserve"> is said to have a rather abusive relationship with </w:t>
      </w:r>
      <w:proofErr w:type="spellStart"/>
      <w:r w:rsidRPr="2CA9B628" w:rsidR="4E127A05">
        <w:rPr>
          <w:i w:val="0"/>
          <w:iCs w:val="0"/>
        </w:rPr>
        <w:t>Theodotus</w:t>
      </w:r>
      <w:proofErr w:type="spellEnd"/>
      <w:r w:rsidRPr="2CA9B628" w:rsidR="4E127A05">
        <w:rPr>
          <w:i w:val="0"/>
          <w:iCs w:val="0"/>
        </w:rPr>
        <w:t>: "</w:t>
      </w:r>
      <w:r w:rsidRPr="2CA9B628" w:rsidR="4E127A05">
        <w:rPr>
          <w:i w:val="1"/>
          <w:iCs w:val="1"/>
        </w:rPr>
        <w:t>to tell all the ill-treatment that the boy has suffered from him would be a lengthy business</w:t>
      </w:r>
      <w:r w:rsidRPr="2CA9B628" w:rsidR="4E127A05">
        <w:rPr>
          <w:i w:val="0"/>
          <w:iCs w:val="0"/>
        </w:rPr>
        <w:t>".</w:t>
      </w:r>
      <w:r w:rsidRPr="2CA9B628">
        <w:rPr>
          <w:rStyle w:val="FootnoteReference"/>
          <w:i w:val="0"/>
          <w:iCs w:val="0"/>
        </w:rPr>
        <w:footnoteReference w:id="11317"/>
      </w:r>
      <w:r w:rsidRPr="2CA9B628" w:rsidR="4E127A05">
        <w:rPr>
          <w:i w:val="0"/>
          <w:iCs w:val="0"/>
        </w:rPr>
        <w:t xml:space="preserve"> Whereas the unnamed client says that he "</w:t>
      </w:r>
      <w:r w:rsidRPr="2CA9B628" w:rsidR="4E127A05">
        <w:rPr>
          <w:i w:val="1"/>
          <w:iCs w:val="1"/>
        </w:rPr>
        <w:t>looked to win his affection by kindness</w:t>
      </w:r>
      <w:r w:rsidRPr="2CA9B628" w:rsidR="4E127A05">
        <w:rPr>
          <w:i w:val="0"/>
          <w:iCs w:val="0"/>
        </w:rPr>
        <w:t>"</w:t>
      </w:r>
      <w:r w:rsidRPr="2CA9B628">
        <w:rPr>
          <w:rStyle w:val="FootnoteReference"/>
          <w:i w:val="0"/>
          <w:iCs w:val="0"/>
        </w:rPr>
        <w:footnoteReference w:id="6405"/>
      </w:r>
      <w:r w:rsidRPr="2CA9B628" w:rsidR="4E127A05">
        <w:rPr>
          <w:i w:val="0"/>
          <w:iCs w:val="0"/>
        </w:rPr>
        <w:t>. Which man had the 'proper' relationship with this boy is unknown, as it was the case that:</w:t>
      </w:r>
    </w:p>
    <w:p w:rsidR="4E127A05" w:rsidP="4E127A05" w:rsidRDefault="4E127A05" w14:noSpellErr="1" w14:paraId="4AB1151D" w14:textId="39DC5BFB">
      <w:pPr>
        <w:pStyle w:val="Normal"/>
        <w:rPr>
          <w:i w:val="0"/>
          <w:iCs w:val="0"/>
        </w:rPr>
      </w:pPr>
      <w:r w:rsidRPr="2CA9B628" w:rsidR="4E127A05">
        <w:rPr>
          <w:i w:val="0"/>
          <w:iCs w:val="0"/>
        </w:rPr>
        <w:t>"</w:t>
      </w:r>
      <w:r w:rsidRPr="2CA9B628" w:rsidR="4E127A05">
        <w:rPr>
          <w:i w:val="1"/>
          <w:iCs w:val="1"/>
        </w:rPr>
        <w:t>homosexual relationships in Greek society are regarded as the product not of the reciprocated sentiments of equals but of the pursuit of those of lower status by those of higher status</w:t>
      </w:r>
      <w:r w:rsidRPr="2CA9B628" w:rsidR="4E127A05">
        <w:rPr>
          <w:i w:val="0"/>
          <w:iCs w:val="0"/>
        </w:rPr>
        <w:t>".</w:t>
      </w:r>
      <w:r w:rsidRPr="2CA9B628">
        <w:rPr>
          <w:rStyle w:val="FootnoteReference"/>
          <w:i w:val="0"/>
          <w:iCs w:val="0"/>
        </w:rPr>
        <w:footnoteReference w:id="13654"/>
      </w:r>
    </w:p>
    <w:p w:rsidR="4E127A05" w:rsidP="4E127A05" w:rsidRDefault="4E127A05" w14:paraId="59A17224" w14:textId="5203F715">
      <w:pPr>
        <w:pStyle w:val="Normal"/>
        <w:rPr>
          <w:i w:val="0"/>
          <w:iCs w:val="0"/>
        </w:rPr>
      </w:pPr>
      <w:r w:rsidRPr="4E127A05" w:rsidR="4E127A05">
        <w:rPr>
          <w:i w:val="0"/>
          <w:iCs w:val="0"/>
        </w:rPr>
        <w:t xml:space="preserve">It could be said that Simon believed he had more superiority in his relationship with </w:t>
      </w:r>
      <w:proofErr w:type="spellStart"/>
      <w:r w:rsidRPr="4E127A05" w:rsidR="4E127A05">
        <w:rPr>
          <w:i w:val="0"/>
          <w:iCs w:val="0"/>
        </w:rPr>
        <w:t>Theodotus</w:t>
      </w:r>
      <w:proofErr w:type="spellEnd"/>
      <w:r w:rsidRPr="4E127A05" w:rsidR="4E127A05">
        <w:rPr>
          <w:i w:val="0"/>
          <w:iCs w:val="0"/>
        </w:rPr>
        <w:t xml:space="preserve"> over the client and therefore this is why he came looking for the boy when he heard of his being at the client's house. However, the fact that the client felt the need to allude to the way that Simon treated the boy could show that Simon's relationship with the boy was not considered completely acceptable. If it were there would have been no reason to mention it in his speech, and it could have hindered him for the rest of the speech. </w:t>
      </w:r>
      <w:proofErr w:type="gramStart"/>
      <w:r w:rsidRPr="4E127A05" w:rsidR="4E127A05">
        <w:rPr>
          <w:i w:val="0"/>
          <w:iCs w:val="0"/>
        </w:rPr>
        <w:t>Simon</w:t>
      </w:r>
      <w:proofErr w:type="gramEnd"/>
      <w:r w:rsidRPr="4E127A05" w:rsidR="4E127A05">
        <w:rPr>
          <w:i w:val="0"/>
          <w:iCs w:val="0"/>
        </w:rPr>
        <w:t xml:space="preserve"> it seems is a violent </w:t>
      </w:r>
      <w:proofErr w:type="gramStart"/>
      <w:r w:rsidRPr="4E127A05" w:rsidR="4E127A05">
        <w:rPr>
          <w:i w:val="0"/>
          <w:iCs w:val="0"/>
        </w:rPr>
        <w:t>man</w:t>
      </w:r>
      <w:proofErr w:type="gramEnd"/>
      <w:r w:rsidRPr="4E127A05" w:rsidR="4E127A05">
        <w:rPr>
          <w:i w:val="0"/>
          <w:iCs w:val="0"/>
        </w:rPr>
        <w:t xml:space="preserve"> by nature. The way </w:t>
      </w:r>
      <w:r w:rsidRPr="4E127A05" w:rsidR="4E127A05">
        <w:rPr>
          <w:i w:val="0"/>
          <w:iCs w:val="0"/>
        </w:rPr>
        <w:t>that the unnamed speaker talks of Simon's relationship with the man suggests that he was violated, possibly meaning raped, and then a section later he talks about him breaking down the doors to his house, which is another violent act.</w:t>
      </w:r>
    </w:p>
    <w:p w:rsidR="4E127A05" w:rsidP="4E127A05" w:rsidRDefault="4E127A05" w14:paraId="7F316358" w14:textId="383B7F84">
      <w:pPr>
        <w:pStyle w:val="Normal"/>
        <w:rPr>
          <w:i w:val="0"/>
          <w:iCs w:val="0"/>
        </w:rPr>
      </w:pPr>
    </w:p>
    <w:p w:rsidR="4E127A05" w:rsidP="4E127A05" w:rsidRDefault="4E127A05" w14:paraId="04DF57A4" w14:textId="0576C470">
      <w:pPr>
        <w:pStyle w:val="Normal"/>
        <w:rPr>
          <w:i w:val="0"/>
          <w:iCs w:val="0"/>
        </w:rPr>
      </w:pPr>
      <w:r w:rsidRPr="4E127A05" w:rsidR="4E127A05">
        <w:rPr>
          <w:i w:val="0"/>
          <w:iCs w:val="0"/>
        </w:rPr>
        <w:t xml:space="preserve">We do not have evidence of the speech given by Simon for </w:t>
      </w:r>
      <w:r w:rsidRPr="4E127A05" w:rsidR="4E127A05">
        <w:rPr>
          <w:i w:val="0"/>
          <w:iCs w:val="0"/>
        </w:rPr>
        <w:t xml:space="preserve">this case, and therefore cannot find out his side of the story and whether or not this clients story is completely true. This speech will be bias towards the </w:t>
      </w:r>
      <w:r w:rsidRPr="4E127A05" w:rsidR="4E127A05">
        <w:rPr>
          <w:i w:val="0"/>
          <w:iCs w:val="0"/>
        </w:rPr>
        <w:t>client's</w:t>
      </w:r>
      <w:r w:rsidRPr="4E127A05" w:rsidR="4E127A05">
        <w:rPr>
          <w:i w:val="0"/>
          <w:iCs w:val="0"/>
        </w:rPr>
        <w:t xml:space="preserve"> side of the story, as he will not want to be punished for these actions – if the punishment would be exile then the stakes are very high for these men, as citizenship meant a lot to the Greeks, especially the Athenians</w:t>
      </w:r>
      <w:r w:rsidRPr="4E127A05" w:rsidR="4E127A05">
        <w:rPr>
          <w:i w:val="0"/>
          <w:iCs w:val="0"/>
        </w:rPr>
        <w:t xml:space="preserve">. </w:t>
      </w:r>
      <w:r w:rsidRPr="4E127A05" w:rsidR="4E127A05">
        <w:rPr>
          <w:i w:val="0"/>
          <w:iCs w:val="0"/>
        </w:rPr>
        <w:t xml:space="preserve">We also do not know the outcome of this court case, whether or not Lysias' client won, or whether Simon won. Looking at Lysias' other court speeches this fits the same pattern as the others – with the </w:t>
      </w:r>
      <w:r w:rsidRPr="4E127A05" w:rsidR="4E127A05">
        <w:rPr>
          <w:i w:val="0"/>
          <w:iCs w:val="0"/>
        </w:rPr>
        <w:t>introduction</w:t>
      </w:r>
      <w:r w:rsidRPr="4E127A05" w:rsidR="4E127A05">
        <w:rPr>
          <w:i w:val="0"/>
          <w:iCs w:val="0"/>
        </w:rPr>
        <w:t xml:space="preserve">, main body and the summary all laying out the situation of the case, and the reading of the laws in the speech is also fitting with his other speeches and how the court would have worked. If there was a need for witnesses they could also have been called upon through the duration of the speech, however, in this case there are none, as </w:t>
      </w:r>
      <w:proofErr w:type="spellStart"/>
      <w:r w:rsidRPr="4E127A05" w:rsidR="4E127A05">
        <w:rPr>
          <w:i w:val="0"/>
          <w:iCs w:val="0"/>
        </w:rPr>
        <w:t>Theodotus</w:t>
      </w:r>
      <w:proofErr w:type="spellEnd"/>
      <w:r w:rsidRPr="4E127A05" w:rsidR="4E127A05">
        <w:rPr>
          <w:i w:val="0"/>
          <w:iCs w:val="0"/>
        </w:rPr>
        <w:t xml:space="preserve"> is a slave, as he works as a prostitute,</w:t>
      </w:r>
      <w:r w:rsidRPr="4E127A05" w:rsidR="4E127A05">
        <w:rPr>
          <w:i w:val="0"/>
          <w:iCs w:val="0"/>
        </w:rPr>
        <w:t xml:space="preserve"> and therefore would not have been able to testify in court, as well as the women. This speech fits the normality of the way in which court cases were lead in ancient Athens.</w:t>
      </w:r>
    </w:p>
    <w:p w:rsidR="4E127A05" w:rsidRDefault="4E127A05" w14:paraId="0EB306C1" w14:textId="6FAACC50">
      <w:r>
        <w:br w:type="page"/>
      </w:r>
    </w:p>
    <w:p w:rsidR="4E127A05" w:rsidP="2CA9B628" w:rsidRDefault="4E127A05" w14:paraId="273F1906" w14:noSpellErr="1" w14:textId="5A528F4A">
      <w:pPr>
        <w:pStyle w:val="Normal"/>
        <w:rPr>
          <w:i w:val="0"/>
          <w:iCs w:val="0"/>
        </w:rPr>
      </w:pPr>
      <w:r w:rsidRPr="2CA9B628" w:rsidR="2CA9B628">
        <w:rPr>
          <w:b w:val="1"/>
          <w:bCs w:val="1"/>
          <w:i w:val="0"/>
          <w:iCs w:val="0"/>
        </w:rPr>
        <w:t>Bibliography</w:t>
      </w:r>
      <w:r w:rsidRPr="2CA9B628" w:rsidR="2CA9B628">
        <w:rPr>
          <w:i w:val="0"/>
          <w:iCs w:val="0"/>
        </w:rPr>
        <w:t>:</w:t>
      </w:r>
    </w:p>
    <w:p w:rsidR="2CA9B628" w:rsidP="2CA9B628" w:rsidRDefault="2CA9B628" w14:paraId="5CE7D831" w14:textId="30185343">
      <w:pPr>
        <w:pStyle w:val="Normal"/>
        <w:rPr>
          <w:i w:val="0"/>
          <w:iCs w:val="0"/>
        </w:rPr>
      </w:pPr>
    </w:p>
    <w:p w:rsidR="2CA9B628" w:rsidP="2CA9B628" w:rsidRDefault="2CA9B628" w14:noSpellErr="1" w14:paraId="2B4AF75B" w14:textId="2E59E66C">
      <w:pPr>
        <w:pStyle w:val="Normal"/>
        <w:rPr>
          <w:i w:val="0"/>
          <w:iCs w:val="0"/>
        </w:rPr>
      </w:pPr>
      <w:r w:rsidRPr="2CA9B628" w:rsidR="2CA9B628">
        <w:rPr>
          <w:i w:val="0"/>
          <w:iCs w:val="0"/>
        </w:rPr>
        <w:t xml:space="preserve">Roger, J. 1991. </w:t>
      </w:r>
      <w:r w:rsidRPr="2CA9B628" w:rsidR="2CA9B628">
        <w:rPr>
          <w:i w:val="1"/>
          <w:iCs w:val="1"/>
        </w:rPr>
        <w:t>Women in Athenian Law and Life</w:t>
      </w:r>
      <w:r w:rsidRPr="2CA9B628" w:rsidR="2CA9B628">
        <w:rPr>
          <w:i w:val="0"/>
          <w:iCs w:val="0"/>
        </w:rPr>
        <w:t>. London: Routledge</w:t>
      </w:r>
    </w:p>
    <w:p w:rsidR="2CA9B628" w:rsidP="2CA9B628" w:rsidRDefault="2CA9B628" w14:noSpellErr="1" w14:paraId="00B629EF" w14:textId="00E3A8C4">
      <w:pPr>
        <w:pStyle w:val="Normal"/>
        <w:rPr>
          <w:i w:val="0"/>
          <w:iCs w:val="0"/>
        </w:rPr>
      </w:pPr>
    </w:p>
    <w:p w:rsidR="2CA9B628" w:rsidP="2CA9B628" w:rsidRDefault="2CA9B628" w14:noSpellErr="1" w14:paraId="3E5B787A" w14:textId="685F2BB9">
      <w:pPr>
        <w:pStyle w:val="Normal"/>
        <w:rPr>
          <w:i w:val="0"/>
          <w:iCs w:val="0"/>
        </w:rPr>
      </w:pPr>
      <w:r w:rsidRPr="2CA9B628" w:rsidR="2CA9B628">
        <w:rPr>
          <w:i w:val="0"/>
          <w:iCs w:val="0"/>
        </w:rPr>
        <w:t xml:space="preserve">Cohen, D. 1989. 'Seclusion, Separation, and the Status of Women in Classical Athens', </w:t>
      </w:r>
      <w:r w:rsidRPr="2CA9B628" w:rsidR="2CA9B628">
        <w:rPr>
          <w:i w:val="1"/>
          <w:iCs w:val="1"/>
        </w:rPr>
        <w:t>Greece and Rome</w:t>
      </w:r>
      <w:r w:rsidRPr="2CA9B628" w:rsidR="2CA9B628">
        <w:rPr>
          <w:i w:val="0"/>
          <w:iCs w:val="0"/>
        </w:rPr>
        <w:t>, Volume 36, Number 1, April, pages 3-15</w:t>
      </w:r>
    </w:p>
    <w:p w:rsidR="2CA9B628" w:rsidP="2CA9B628" w:rsidRDefault="2CA9B628" w14:noSpellErr="1" w14:paraId="37FFD935" w14:textId="2D495820">
      <w:pPr>
        <w:pStyle w:val="Normal"/>
        <w:rPr>
          <w:i w:val="0"/>
          <w:iCs w:val="0"/>
        </w:rPr>
      </w:pPr>
      <w:r w:rsidRPr="2CA9B628" w:rsidR="2CA9B628">
        <w:rPr>
          <w:i w:val="0"/>
          <w:iCs w:val="0"/>
        </w:rPr>
        <w:t xml:space="preserve">Golden, M. 1984. 'Slavery and Homosexuality at Athens', </w:t>
      </w:r>
      <w:r w:rsidRPr="2CA9B628" w:rsidR="2CA9B628">
        <w:rPr>
          <w:i w:val="1"/>
          <w:iCs w:val="1"/>
        </w:rPr>
        <w:t>Pheonix</w:t>
      </w:r>
      <w:r w:rsidRPr="2CA9B628" w:rsidR="2CA9B628">
        <w:rPr>
          <w:i w:val="0"/>
          <w:iCs w:val="0"/>
        </w:rPr>
        <w:t>, Volume 38, Number 4, pages 308-324</w:t>
      </w:r>
    </w:p>
    <w:p w:rsidR="4E127A05" w:rsidP="2CA9B628" w:rsidRDefault="4E127A05" w14:noSpellErr="1" w14:paraId="24CEB0AA" w14:textId="2BAC48D2">
      <w:pPr>
        <w:pStyle w:val="Normal"/>
        <w:rPr>
          <w:i w:val="0"/>
          <w:iCs w:val="0"/>
        </w:rPr>
      </w:pPr>
    </w:p>
    <w:p w:rsidR="4E127A05" w:rsidP="2CA9B628" w:rsidRDefault="4E127A05" w14:paraId="346DABC6" w14:textId="6D180FFE">
      <w:pPr>
        <w:pStyle w:val="Normal"/>
        <w:rPr>
          <w:i w:val="0"/>
          <w:iCs w:val="0"/>
        </w:rPr>
      </w:pPr>
      <w:proofErr w:type="spellStart"/>
      <w:r w:rsidRPr="2CA9B628" w:rsidR="2CA9B628">
        <w:rPr>
          <w:i w:val="0"/>
          <w:iCs w:val="0"/>
        </w:rPr>
        <w:t>Kapparis</w:t>
      </w:r>
      <w:proofErr w:type="spellEnd"/>
      <w:r w:rsidRPr="2CA9B628" w:rsidR="2CA9B628">
        <w:rPr>
          <w:i w:val="0"/>
          <w:iCs w:val="0"/>
        </w:rPr>
        <w:t>, K. 'Women and Family in Athenian Law' 2003. Stoa.org</w:t>
      </w:r>
    </w:p>
    <w:p w:rsidR="4E127A05" w:rsidP="4E127A05" w:rsidRDefault="4E127A05" w14:noSpellErr="1" w14:paraId="4D6BB1AF" w14:textId="77AA3322">
      <w:pPr>
        <w:pStyle w:val="Normal"/>
      </w:pPr>
      <w:hyperlink r:id="Rce84fa21fead476c">
        <w:r w:rsidRPr="2CA9B628" w:rsidR="2CA9B628">
          <w:rPr>
            <w:rStyle w:val="Hyperlink"/>
            <w:rFonts w:ascii="Calibri" w:hAnsi="Calibri" w:eastAsia="Calibri" w:cs="Calibri"/>
            <w:noProof w:val="0"/>
            <w:sz w:val="22"/>
            <w:szCs w:val="22"/>
            <w:lang w:val="en-GB"/>
          </w:rPr>
          <w:t>http://www.stoa.org/projects/demos/article_women_and_family?page=all</w:t>
        </w:r>
      </w:hyperlink>
      <w:r w:rsidRPr="2CA9B628" w:rsidR="2CA9B628">
        <w:rPr>
          <w:rFonts w:ascii="Calibri" w:hAnsi="Calibri" w:eastAsia="Calibri" w:cs="Calibri"/>
          <w:noProof w:val="0"/>
          <w:sz w:val="22"/>
          <w:szCs w:val="22"/>
          <w:lang w:val="en-GB"/>
        </w:rPr>
        <w:t xml:space="preserve"> [Accessed 4th December 2017]</w:t>
      </w:r>
    </w:p>
    <w:p w:rsidR="4E127A05" w:rsidP="2CA9B628" w:rsidRDefault="4E127A05" w14:noSpellErr="1" w14:paraId="3A95CAD3" w14:textId="064F5A35">
      <w:pPr>
        <w:pStyle w:val="Normal"/>
        <w:rPr>
          <w:rFonts w:ascii="Calibri" w:hAnsi="Calibri" w:eastAsia="Calibri" w:cs="Calibri"/>
          <w:noProof w:val="0"/>
          <w:sz w:val="22"/>
          <w:szCs w:val="22"/>
          <w:lang w:val="en-GB"/>
        </w:rPr>
      </w:pPr>
      <w:r w:rsidRPr="2CA9B628" w:rsidR="2CA9B628">
        <w:rPr>
          <w:rFonts w:ascii="Calibri" w:hAnsi="Calibri" w:eastAsia="Calibri" w:cs="Calibri"/>
          <w:noProof w:val="0"/>
          <w:sz w:val="22"/>
          <w:szCs w:val="22"/>
          <w:lang w:val="en-GB"/>
        </w:rPr>
        <w:t xml:space="preserve">Lamb, W, </w:t>
      </w:r>
      <w:r w:rsidRPr="2CA9B628" w:rsidR="2CA9B628">
        <w:rPr>
          <w:rFonts w:ascii="Calibri" w:hAnsi="Calibri" w:eastAsia="Calibri" w:cs="Calibri"/>
          <w:noProof w:val="0"/>
          <w:sz w:val="22"/>
          <w:szCs w:val="22"/>
          <w:lang w:val="en-GB"/>
        </w:rPr>
        <w:t xml:space="preserve">R, </w:t>
      </w:r>
      <w:r w:rsidRPr="2CA9B628" w:rsidR="2CA9B628">
        <w:rPr>
          <w:rFonts w:ascii="Calibri" w:hAnsi="Calibri" w:eastAsia="Calibri" w:cs="Calibri"/>
          <w:noProof w:val="0"/>
          <w:sz w:val="22"/>
          <w:szCs w:val="22"/>
          <w:lang w:val="en-GB"/>
        </w:rPr>
        <w:t xml:space="preserve">M. 'Lysias </w:t>
      </w:r>
      <w:r w:rsidRPr="2CA9B628" w:rsidR="2CA9B628">
        <w:rPr>
          <w:rFonts w:ascii="Calibri" w:hAnsi="Calibri" w:eastAsia="Calibri" w:cs="Calibri"/>
          <w:i w:val="1"/>
          <w:iCs w:val="1"/>
          <w:noProof w:val="0"/>
          <w:sz w:val="22"/>
          <w:szCs w:val="22"/>
          <w:lang w:val="en-GB"/>
        </w:rPr>
        <w:t>Against Simon</w:t>
      </w:r>
      <w:r w:rsidRPr="2CA9B628" w:rsidR="2CA9B628">
        <w:rPr>
          <w:rFonts w:ascii="Calibri" w:hAnsi="Calibri" w:eastAsia="Calibri" w:cs="Calibri"/>
          <w:i w:val="0"/>
          <w:iCs w:val="0"/>
          <w:noProof w:val="0"/>
          <w:sz w:val="22"/>
          <w:szCs w:val="22"/>
          <w:lang w:val="en-GB"/>
        </w:rPr>
        <w:t>' 1930. Perseus.tufts.edu</w:t>
      </w:r>
    </w:p>
    <w:p w:rsidR="4E127A05" w:rsidP="4E127A05" w:rsidRDefault="4E127A05" w14:paraId="57D8C6D6" w14:noSpellErr="1" w14:textId="4EF3957B">
      <w:pPr>
        <w:pStyle w:val="Normal"/>
        <w:rPr>
          <w:i w:val="0"/>
          <w:iCs w:val="0"/>
        </w:rPr>
      </w:pPr>
      <w:hyperlink r:id="R483341711c064eef">
        <w:r w:rsidRPr="2CA9B628" w:rsidR="2CA9B628">
          <w:rPr>
            <w:rStyle w:val="Hyperlink"/>
            <w:rFonts w:ascii="Calibri" w:hAnsi="Calibri" w:eastAsia="Calibri" w:cs="Calibri"/>
            <w:noProof w:val="0"/>
            <w:sz w:val="22"/>
            <w:szCs w:val="22"/>
            <w:lang w:val="en-GB"/>
          </w:rPr>
          <w:t>http://www.perseus.tufts.edu/hopper/text?doc=Perseus%3Atext%3A1999.01.0154%3Aspeech%3D3%3Asection%3D6</w:t>
        </w:r>
      </w:hyperlink>
      <w:r w:rsidRPr="2CA9B628" w:rsidR="2CA9B628">
        <w:rPr>
          <w:rFonts w:ascii="Calibri" w:hAnsi="Calibri" w:eastAsia="Calibri" w:cs="Calibri"/>
          <w:noProof w:val="0"/>
          <w:sz w:val="22"/>
          <w:szCs w:val="22"/>
          <w:lang w:val="en-GB"/>
        </w:rPr>
        <w:t xml:space="preserve"> [Accessed 21</w:t>
      </w:r>
      <w:r w:rsidRPr="2CA9B628" w:rsidR="2CA9B628">
        <w:rPr>
          <w:rFonts w:ascii="Calibri" w:hAnsi="Calibri" w:eastAsia="Calibri" w:cs="Calibri"/>
          <w:noProof w:val="0"/>
          <w:sz w:val="22"/>
          <w:szCs w:val="22"/>
          <w:vertAlign w:val="superscript"/>
          <w:lang w:val="en-GB"/>
        </w:rPr>
        <w:t>st</w:t>
      </w:r>
      <w:r w:rsidRPr="2CA9B628" w:rsidR="2CA9B628">
        <w:rPr>
          <w:rFonts w:ascii="Calibri" w:hAnsi="Calibri" w:eastAsia="Calibri" w:cs="Calibri"/>
          <w:noProof w:val="0"/>
          <w:sz w:val="22"/>
          <w:szCs w:val="22"/>
          <w:lang w:val="en-GB"/>
        </w:rPr>
        <w:t xml:space="preserve"> November 2017]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E127A05" w:rsidRDefault="4E127A05" w14:paraId="215B60E2" w14:textId="35EF0DDB">
      <w:pPr>
        <w:spacing w:after="0" w:line="240" w:lineRule="auto"/>
      </w:pPr>
      <w:r>
        <w:separator/>
      </w:r>
    </w:p>
  </w:footnote>
  <w:footnote w:type="continuationSeparator" w:id="0">
    <w:p w:rsidR="4E127A05" w:rsidRDefault="4E127A05" w14:paraId="4B85F16E" w14:textId="4E127A05">
      <w:pPr>
        <w:spacing w:after="0" w:line="240" w:lineRule="auto"/>
      </w:pPr>
      <w:r>
        <w:continuationSeparator/>
      </w:r>
    </w:p>
  </w:footnote>
  <w:footnote w:id="19986">
    <w:p w:rsidR="4E127A05" w:rsidP="4E127A05" w:rsidRDefault="4E127A05" w14:paraId="0F015559" w14:noSpellErr="1" w14:textId="5E556EE1">
      <w:pPr>
        <w:pStyle w:val="FootnoteText"/>
        <w:bidi w:val="0"/>
      </w:pPr>
      <w:r w:rsidRPr="4E127A05">
        <w:rPr>
          <w:rStyle w:val="FootnoteReference"/>
        </w:rPr>
        <w:footnoteRef/>
      </w:r>
      <w:r w:rsidR="4E127A05">
        <w:rPr/>
        <w:t xml:space="preserve"> L</w:t>
      </w:r>
      <w:r w:rsidR="4E127A05">
        <w:rPr/>
        <w:t xml:space="preserve">amb 1930 (3.5)</w:t>
      </w:r>
    </w:p>
  </w:footnote>
  <w:footnote w:id="18889">
    <w:p w:rsidR="4E127A05" w:rsidP="4E127A05" w:rsidRDefault="4E127A05" w14:paraId="091F2934" w14:textId="41EF166D">
      <w:pPr>
        <w:pStyle w:val="FootnoteText"/>
        <w:bidi w:val="0"/>
      </w:pPr>
      <w:r w:rsidRPr="4E127A05">
        <w:rPr>
          <w:rStyle w:val="FootnoteReference"/>
        </w:rPr>
        <w:footnoteRef/>
      </w:r>
      <w:r w:rsidRPr="2CA9B628" w:rsidR="4E127A05">
        <w:rPr/>
        <w:t xml:space="preserve"> </w:t>
      </w:r>
      <w:r w:rsidRPr="2CA9B628" w:rsidR="4E127A05">
        <w:rPr/>
        <w:t xml:space="preserve">Ka</w:t>
      </w:r>
      <w:proofErr w:type="spellStart"/>
      <w:r w:rsidRPr="2CA9B628" w:rsidR="4E127A05">
        <w:rPr/>
        <w:t xml:space="preserve">pparis</w:t>
      </w:r>
      <w:r w:rsidRPr="2CA9B628" w:rsidR="4E127A05">
        <w:rPr/>
        <w:t xml:space="preserve"> 2</w:t>
      </w:r>
      <w:proofErr w:type="spellEnd"/>
      <w:r w:rsidRPr="2CA9B628" w:rsidR="4E127A05">
        <w:rPr/>
        <w:t xml:space="preserve">003</w:t>
      </w:r>
    </w:p>
  </w:footnote>
  <w:footnote w:id="11317">
    <w:p w:rsidR="4E127A05" w:rsidP="4E127A05" w:rsidRDefault="4E127A05" w14:paraId="4A8BA1CC" w14:noSpellErr="1" w14:textId="13047CE2">
      <w:pPr>
        <w:pStyle w:val="FootnoteText"/>
        <w:bidi w:val="0"/>
      </w:pPr>
      <w:r w:rsidRPr="4E127A05">
        <w:rPr>
          <w:rStyle w:val="FootnoteReference"/>
        </w:rPr>
        <w:footnoteRef/>
      </w:r>
      <w:r w:rsidR="4E127A05">
        <w:rPr/>
        <w:t xml:space="preserve"> L</w:t>
      </w:r>
      <w:r w:rsidR="4E127A05">
        <w:rPr/>
        <w:t xml:space="preserve">amb 1930 (</w:t>
      </w:r>
      <w:r w:rsidR="4E127A05">
        <w:rPr/>
        <w:t xml:space="preserve">3.5</w:t>
      </w:r>
      <w:r w:rsidR="4E127A05">
        <w:rPr/>
        <w:t xml:space="preserve">)</w:t>
      </w:r>
    </w:p>
  </w:footnote>
  <w:footnote w:id="6405">
    <w:p w:rsidR="4E127A05" w:rsidP="4E127A05" w:rsidRDefault="4E127A05" w14:paraId="477F1DD4" w14:noSpellErr="1" w14:textId="157866A0">
      <w:pPr>
        <w:pStyle w:val="FootnoteText"/>
        <w:bidi w:val="0"/>
      </w:pPr>
      <w:r w:rsidRPr="4E127A05">
        <w:rPr>
          <w:rStyle w:val="FootnoteReference"/>
        </w:rPr>
        <w:footnoteRef/>
      </w:r>
      <w:r w:rsidR="4E127A05">
        <w:rPr/>
        <w:t xml:space="preserve"> L</w:t>
      </w:r>
      <w:r w:rsidR="4E127A05">
        <w:rPr/>
        <w:t xml:space="preserve">amb 1930</w:t>
      </w:r>
      <w:r w:rsidR="4E127A05">
        <w:rPr/>
        <w:t xml:space="preserve"> </w:t>
      </w:r>
      <w:r w:rsidR="4E127A05">
        <w:rPr/>
        <w:t xml:space="preserve">(</w:t>
      </w:r>
      <w:r w:rsidR="4E127A05">
        <w:rPr/>
        <w:t xml:space="preserve">3.5</w:t>
      </w:r>
      <w:r w:rsidR="4E127A05">
        <w:rPr/>
        <w:t xml:space="preserve">)</w:t>
      </w:r>
    </w:p>
  </w:footnote>
  <w:footnote w:id="13654">
    <w:p w:rsidR="4E127A05" w:rsidP="4E127A05" w:rsidRDefault="4E127A05" w14:paraId="0DAF411D" w14:noSpellErr="1" w14:textId="09A34F42">
      <w:pPr>
        <w:pStyle w:val="FootnoteText"/>
        <w:bidi w:val="0"/>
      </w:pPr>
      <w:r w:rsidRPr="4E127A05">
        <w:rPr>
          <w:rStyle w:val="FootnoteReference"/>
        </w:rPr>
        <w:footnoteRef/>
      </w:r>
      <w:r w:rsidR="4E127A05">
        <w:rPr/>
        <w:t xml:space="preserve"> </w:t>
      </w:r>
      <w:r w:rsidR="4E127A05">
        <w:rPr/>
        <w:t xml:space="preserve">Golden 19</w:t>
      </w:r>
      <w:proofErr w:type="gramStart"/>
      <w:r w:rsidR="4E127A05">
        <w:rPr/>
        <w:t xml:space="preserve">84</w:t>
      </w:r>
      <w:r w:rsidR="4E127A05">
        <w:rPr/>
        <w:t xml:space="preserve">:</w:t>
      </w:r>
      <w:r w:rsidR="4E127A05">
        <w:rPr/>
        <w:t xml:space="preserve">page 3</w:t>
      </w:r>
      <w:proofErr w:type="gramEnd"/>
      <w:r w:rsidR="4E127A05">
        <w:rPr/>
        <w:t xml:space="preserve">12</w:t>
      </w:r>
    </w:p>
  </w:footnote>
  <w:footnote w:id="13807">
    <w:p w:rsidR="4E127A05" w:rsidP="4E127A05" w:rsidRDefault="4E127A05" w14:paraId="1632DF52" w14:noSpellErr="1" w14:textId="54DBBEF3">
      <w:pPr>
        <w:pStyle w:val="FootnoteText"/>
        <w:bidi w:val="0"/>
      </w:pPr>
      <w:r w:rsidRPr="4E127A05">
        <w:rPr>
          <w:rStyle w:val="FootnoteReference"/>
        </w:rPr>
        <w:footnoteRef/>
      </w:r>
      <w:r w:rsidR="4E127A05">
        <w:rPr/>
        <w:t xml:space="preserve"> </w:t>
      </w:r>
      <w:r w:rsidR="4E127A05">
        <w:rPr/>
        <w:t xml:space="preserve">Cohen 1989: page 4</w:t>
      </w:r>
    </w:p>
  </w:footnote>
</w:footnotes>
</file>

<file path=word/people.xml><?xml version="1.0" encoding="utf-8"?>
<w15:people xmlns:mc="http://schemas.openxmlformats.org/markup-compatibility/2006" xmlns:w15="http://schemas.microsoft.com/office/word/2012/wordml" mc:Ignorable="w15">
  <w15:person w15:author="Elizabeth Cawdell (1602192)">
    <w15:presenceInfo w15:providerId="AD" w15:userId="100300009A9FB468@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5f134ce3-be1a-45e9-9e4b-ffc7db76485c}"/>
  <w:rsids>
    <w:rsidRoot w:val="381F6E0F"/>
    <w:rsid w:val="2CA9B628"/>
    <w:rsid w:val="381F6E0F"/>
    <w:rsid w:val="4E127A05"/>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108ce15f780a4251" /><Relationship Type="http://schemas.openxmlformats.org/officeDocument/2006/relationships/footnotes" Target="/word/footnotes.xml" Id="R43c808fdf3914b3b" /><Relationship Type="http://schemas.openxmlformats.org/officeDocument/2006/relationships/hyperlink" Target="http://www.stoa.org/projects/demos/article_women_and_family?page=all" TargetMode="External" Id="Rce84fa21fead476c" /><Relationship Type="http://schemas.openxmlformats.org/officeDocument/2006/relationships/hyperlink" Target="http://www.perseus.tufts.edu/hopper/text?doc=Perseus%3Atext%3A1999.01.0154%3Aspeech%3D3%3Asection%3D6" TargetMode="External" Id="R483341711c064e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Cawdell (1602192)</dc:creator>
  <keywords/>
  <dc:description/>
  <lastModifiedBy>Elizabeth Cawdell (1602192)</lastModifiedBy>
  <revision>4</revision>
  <dcterms:created xsi:type="dcterms:W3CDTF">2017-12-04T16:13:20.8460183Z</dcterms:created>
  <dcterms:modified xsi:type="dcterms:W3CDTF">2017-12-05T22:56:59.4901741Z</dcterms:modified>
</coreProperties>
</file>