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AA08BD" w14:textId="77777777" w:rsidR="00BE77FD" w:rsidRDefault="00BE77FD" w:rsidP="00BE77FD">
      <w:pPr>
        <w:spacing w:line="360" w:lineRule="auto"/>
        <w:rPr>
          <w:rFonts w:ascii="Arial" w:hAnsi="Arial" w:cs="Arial"/>
          <w:b/>
          <w:bCs/>
          <w:sz w:val="40"/>
          <w:szCs w:val="40"/>
        </w:rPr>
      </w:pPr>
      <w:r w:rsidRPr="004C1E08">
        <w:rPr>
          <w:rFonts w:ascii="Arial" w:hAnsi="Arial" w:cs="Arial"/>
          <w:b/>
          <w:bCs/>
          <w:sz w:val="40"/>
          <w:szCs w:val="40"/>
        </w:rPr>
        <w:t>University of Wales Trinity Saint David</w:t>
      </w:r>
    </w:p>
    <w:p w14:paraId="5F1E20C9" w14:textId="77777777" w:rsidR="00BE77FD" w:rsidRDefault="00BE77FD" w:rsidP="00BE77FD">
      <w:pPr>
        <w:spacing w:line="360" w:lineRule="auto"/>
        <w:rPr>
          <w:rFonts w:ascii="Arial" w:hAnsi="Arial" w:cs="Arial"/>
          <w:b/>
          <w:bCs/>
          <w:sz w:val="40"/>
          <w:szCs w:val="40"/>
        </w:rPr>
      </w:pPr>
      <w:r w:rsidRPr="004C1E08">
        <w:rPr>
          <w:rFonts w:ascii="Arial" w:hAnsi="Arial" w:cs="Arial"/>
          <w:b/>
          <w:bCs/>
          <w:sz w:val="40"/>
          <w:szCs w:val="40"/>
        </w:rPr>
        <w:br/>
        <w:t>Certificate of Higher Education Skills for the Workplace (Health &amp; Social Care)</w:t>
      </w:r>
    </w:p>
    <w:p w14:paraId="21DCAEF7" w14:textId="16CFB8C8" w:rsidR="00BE77FD" w:rsidRDefault="00BE77FD" w:rsidP="00BE77FD">
      <w:pPr>
        <w:spacing w:line="360" w:lineRule="auto"/>
        <w:rPr>
          <w:rFonts w:ascii="Arial" w:hAnsi="Arial" w:cs="Arial"/>
          <w:b/>
          <w:bCs/>
          <w:sz w:val="40"/>
          <w:szCs w:val="40"/>
        </w:rPr>
      </w:pPr>
      <w:r w:rsidRPr="004C1E08">
        <w:rPr>
          <w:rFonts w:ascii="Arial" w:hAnsi="Arial" w:cs="Arial"/>
          <w:b/>
          <w:bCs/>
          <w:sz w:val="40"/>
          <w:szCs w:val="40"/>
        </w:rPr>
        <w:br/>
        <w:t xml:space="preserve">Module Title: Introduction to </w:t>
      </w:r>
      <w:r>
        <w:rPr>
          <w:rFonts w:ascii="Arial" w:hAnsi="Arial" w:cs="Arial"/>
          <w:b/>
          <w:bCs/>
          <w:sz w:val="40"/>
          <w:szCs w:val="40"/>
        </w:rPr>
        <w:t>Public Health (</w:t>
      </w:r>
      <w:r w:rsidRPr="00BE77FD">
        <w:rPr>
          <w:rFonts w:ascii="Arial" w:hAnsi="Arial" w:cs="Arial"/>
          <w:b/>
          <w:bCs/>
          <w:sz w:val="40"/>
          <w:szCs w:val="40"/>
        </w:rPr>
        <w:t>LCHS4008</w:t>
      </w:r>
      <w:r>
        <w:rPr>
          <w:rFonts w:ascii="Arial" w:hAnsi="Arial" w:cs="Arial"/>
          <w:b/>
          <w:bCs/>
          <w:sz w:val="40"/>
          <w:szCs w:val="40"/>
        </w:rPr>
        <w:t>)</w:t>
      </w:r>
    </w:p>
    <w:p w14:paraId="2A30FB72" w14:textId="77777777" w:rsidR="00BE77FD" w:rsidRDefault="00BE77FD" w:rsidP="00BE77FD">
      <w:pPr>
        <w:spacing w:line="360" w:lineRule="auto"/>
        <w:rPr>
          <w:rFonts w:ascii="Arial" w:hAnsi="Arial" w:cs="Arial"/>
          <w:b/>
          <w:bCs/>
          <w:sz w:val="40"/>
          <w:szCs w:val="40"/>
        </w:rPr>
      </w:pPr>
    </w:p>
    <w:p w14:paraId="342B035B" w14:textId="2391A822" w:rsidR="00BE77FD" w:rsidRDefault="00BE77FD" w:rsidP="00BE77FD">
      <w:pPr>
        <w:spacing w:line="360" w:lineRule="auto"/>
        <w:rPr>
          <w:rFonts w:ascii="Arial" w:hAnsi="Arial" w:cs="Arial"/>
          <w:b/>
          <w:bCs/>
          <w:sz w:val="40"/>
          <w:szCs w:val="40"/>
        </w:rPr>
      </w:pPr>
      <w:r>
        <w:rPr>
          <w:rFonts w:ascii="Arial" w:hAnsi="Arial" w:cs="Arial"/>
          <w:b/>
          <w:bCs/>
          <w:sz w:val="40"/>
          <w:szCs w:val="40"/>
        </w:rPr>
        <w:t>Assignment Title: Component 2</w:t>
      </w:r>
      <w:r>
        <w:rPr>
          <w:rFonts w:ascii="Arial" w:hAnsi="Arial" w:cs="Arial"/>
          <w:b/>
          <w:bCs/>
          <w:sz w:val="40"/>
          <w:szCs w:val="40"/>
        </w:rPr>
        <w:t xml:space="preserve">- Report </w:t>
      </w:r>
      <w:proofErr w:type="gramStart"/>
      <w:r>
        <w:rPr>
          <w:rFonts w:ascii="Arial" w:hAnsi="Arial" w:cs="Arial"/>
          <w:b/>
          <w:bCs/>
          <w:sz w:val="40"/>
          <w:szCs w:val="40"/>
        </w:rPr>
        <w:t>On</w:t>
      </w:r>
      <w:proofErr w:type="gramEnd"/>
      <w:r>
        <w:rPr>
          <w:rFonts w:ascii="Arial" w:hAnsi="Arial" w:cs="Arial"/>
          <w:b/>
          <w:bCs/>
          <w:sz w:val="40"/>
          <w:szCs w:val="40"/>
        </w:rPr>
        <w:t xml:space="preserve"> </w:t>
      </w:r>
      <w:proofErr w:type="gramStart"/>
      <w:r>
        <w:rPr>
          <w:rFonts w:ascii="Arial" w:hAnsi="Arial" w:cs="Arial"/>
          <w:b/>
          <w:bCs/>
          <w:sz w:val="40"/>
          <w:szCs w:val="40"/>
        </w:rPr>
        <w:t>A</w:t>
      </w:r>
      <w:proofErr w:type="gramEnd"/>
      <w:r>
        <w:rPr>
          <w:rFonts w:ascii="Arial" w:hAnsi="Arial" w:cs="Arial"/>
          <w:b/>
          <w:bCs/>
          <w:sz w:val="40"/>
          <w:szCs w:val="40"/>
        </w:rPr>
        <w:t xml:space="preserve"> Health Issue</w:t>
      </w:r>
    </w:p>
    <w:p w14:paraId="712C83B6" w14:textId="77777777" w:rsidR="00BE77FD" w:rsidRDefault="00BE77FD" w:rsidP="00BE77FD">
      <w:pPr>
        <w:spacing w:line="360" w:lineRule="auto"/>
        <w:rPr>
          <w:rFonts w:ascii="Arial" w:hAnsi="Arial" w:cs="Arial"/>
          <w:b/>
          <w:bCs/>
          <w:sz w:val="40"/>
          <w:szCs w:val="40"/>
        </w:rPr>
      </w:pPr>
    </w:p>
    <w:p w14:paraId="53C5CC29" w14:textId="77777777" w:rsidR="00BE77FD" w:rsidRDefault="00BE77FD" w:rsidP="00BE77FD">
      <w:pPr>
        <w:spacing w:line="360" w:lineRule="auto"/>
        <w:rPr>
          <w:rFonts w:ascii="Arial" w:hAnsi="Arial" w:cs="Arial"/>
          <w:b/>
          <w:bCs/>
          <w:sz w:val="40"/>
          <w:szCs w:val="40"/>
        </w:rPr>
      </w:pPr>
      <w:r w:rsidRPr="004C1E08">
        <w:rPr>
          <w:rFonts w:ascii="Arial" w:hAnsi="Arial" w:cs="Arial"/>
          <w:b/>
          <w:bCs/>
          <w:sz w:val="40"/>
          <w:szCs w:val="40"/>
        </w:rPr>
        <w:t>Student Name: Haleemah Akhtar</w:t>
      </w:r>
      <w:r w:rsidRPr="004C1E08">
        <w:rPr>
          <w:rFonts w:ascii="Arial" w:hAnsi="Arial" w:cs="Arial"/>
          <w:b/>
          <w:bCs/>
          <w:sz w:val="40"/>
          <w:szCs w:val="40"/>
        </w:rPr>
        <w:br/>
      </w:r>
    </w:p>
    <w:p w14:paraId="66362239" w14:textId="77777777" w:rsidR="00BE77FD" w:rsidRDefault="00BE77FD" w:rsidP="00BE77FD">
      <w:pPr>
        <w:spacing w:line="360" w:lineRule="auto"/>
        <w:rPr>
          <w:rFonts w:ascii="Arial" w:hAnsi="Arial" w:cs="Arial"/>
          <w:b/>
          <w:bCs/>
          <w:sz w:val="40"/>
          <w:szCs w:val="40"/>
        </w:rPr>
      </w:pPr>
      <w:r w:rsidRPr="004C1E08">
        <w:rPr>
          <w:rFonts w:ascii="Arial" w:hAnsi="Arial" w:cs="Arial"/>
          <w:b/>
          <w:bCs/>
          <w:sz w:val="40"/>
          <w:szCs w:val="40"/>
        </w:rPr>
        <w:t>Student ID: 2432717</w:t>
      </w:r>
    </w:p>
    <w:p w14:paraId="45CBE309" w14:textId="77777777" w:rsidR="00BE77FD" w:rsidRDefault="00BE77FD" w:rsidP="00BE77FD">
      <w:pPr>
        <w:spacing w:line="360" w:lineRule="auto"/>
        <w:rPr>
          <w:rFonts w:ascii="Arial" w:hAnsi="Arial" w:cs="Arial"/>
          <w:b/>
          <w:bCs/>
          <w:sz w:val="40"/>
          <w:szCs w:val="40"/>
        </w:rPr>
      </w:pPr>
    </w:p>
    <w:p w14:paraId="7AD33834" w14:textId="142010D0" w:rsidR="00BE77FD" w:rsidRDefault="00BE77FD" w:rsidP="00BE77FD">
      <w:pPr>
        <w:rPr>
          <w:rFonts w:ascii="Arial" w:hAnsi="Arial" w:cs="Arial"/>
          <w:b/>
          <w:bCs/>
          <w:sz w:val="40"/>
          <w:szCs w:val="40"/>
        </w:rPr>
      </w:pPr>
      <w:r>
        <w:rPr>
          <w:rFonts w:ascii="Arial" w:hAnsi="Arial" w:cs="Arial"/>
          <w:b/>
          <w:bCs/>
          <w:sz w:val="40"/>
          <w:szCs w:val="40"/>
        </w:rPr>
        <w:t xml:space="preserve">Lecturer: </w:t>
      </w:r>
      <w:r>
        <w:rPr>
          <w:rFonts w:ascii="Arial" w:hAnsi="Arial" w:cs="Arial"/>
          <w:b/>
          <w:bCs/>
          <w:sz w:val="40"/>
          <w:szCs w:val="40"/>
        </w:rPr>
        <w:t>Gillian Weaver</w:t>
      </w:r>
      <w:r w:rsidRPr="004C1E08">
        <w:rPr>
          <w:rFonts w:ascii="Arial" w:hAnsi="Arial" w:cs="Arial"/>
          <w:b/>
          <w:bCs/>
          <w:sz w:val="40"/>
          <w:szCs w:val="40"/>
        </w:rPr>
        <w:br/>
      </w:r>
      <w:r w:rsidRPr="004C1E08">
        <w:rPr>
          <w:rFonts w:ascii="Arial" w:hAnsi="Arial" w:cs="Arial"/>
          <w:b/>
          <w:bCs/>
          <w:sz w:val="40"/>
          <w:szCs w:val="40"/>
        </w:rPr>
        <w:br/>
        <w:t xml:space="preserve">Submission Date: </w:t>
      </w:r>
      <w:r>
        <w:rPr>
          <w:rFonts w:ascii="Arial" w:hAnsi="Arial" w:cs="Arial"/>
          <w:b/>
          <w:bCs/>
          <w:sz w:val="40"/>
          <w:szCs w:val="40"/>
        </w:rPr>
        <w:t>18</w:t>
      </w:r>
      <w:r>
        <w:rPr>
          <w:rFonts w:ascii="Arial" w:hAnsi="Arial" w:cs="Arial"/>
          <w:b/>
          <w:bCs/>
          <w:sz w:val="40"/>
          <w:szCs w:val="40"/>
          <w:vertAlign w:val="superscript"/>
        </w:rPr>
        <w:t>th</w:t>
      </w:r>
      <w:r w:rsidRPr="004C1E08">
        <w:rPr>
          <w:rFonts w:ascii="Arial" w:hAnsi="Arial" w:cs="Arial"/>
          <w:b/>
          <w:bCs/>
          <w:sz w:val="40"/>
          <w:szCs w:val="40"/>
        </w:rPr>
        <w:t xml:space="preserve"> </w:t>
      </w:r>
      <w:r>
        <w:rPr>
          <w:rFonts w:ascii="Arial" w:hAnsi="Arial" w:cs="Arial"/>
          <w:b/>
          <w:bCs/>
          <w:sz w:val="40"/>
          <w:szCs w:val="40"/>
        </w:rPr>
        <w:t>November</w:t>
      </w:r>
      <w:r w:rsidRPr="004C1E08">
        <w:rPr>
          <w:rFonts w:ascii="Arial" w:hAnsi="Arial" w:cs="Arial"/>
          <w:b/>
          <w:bCs/>
          <w:sz w:val="40"/>
          <w:szCs w:val="40"/>
        </w:rPr>
        <w:t xml:space="preserve"> 2025</w:t>
      </w:r>
    </w:p>
    <w:p w14:paraId="52CAA32C" w14:textId="77777777" w:rsidR="008B644B" w:rsidRPr="008B644B" w:rsidRDefault="008B644B" w:rsidP="008B644B">
      <w:pPr>
        <w:rPr>
          <w:rFonts w:ascii="Arial" w:hAnsi="Arial" w:cs="Arial"/>
          <w:b/>
          <w:bCs/>
          <w:sz w:val="40"/>
          <w:szCs w:val="40"/>
          <w:u w:val="single"/>
        </w:rPr>
      </w:pPr>
      <w:r w:rsidRPr="008B644B">
        <w:rPr>
          <w:rFonts w:ascii="Arial" w:hAnsi="Arial" w:cs="Arial"/>
          <w:b/>
          <w:bCs/>
          <w:sz w:val="40"/>
          <w:szCs w:val="40"/>
          <w:u w:val="single"/>
        </w:rPr>
        <w:lastRenderedPageBreak/>
        <w:t>Type 2 Diabetes Report</w:t>
      </w:r>
    </w:p>
    <w:p w14:paraId="2B1EAB64" w14:textId="77777777" w:rsidR="008B644B" w:rsidRDefault="008B644B" w:rsidP="00D86E0F">
      <w:pPr>
        <w:spacing w:line="360" w:lineRule="auto"/>
        <w:rPr>
          <w:rFonts w:ascii="Arial" w:hAnsi="Arial" w:cs="Arial"/>
          <w:b/>
          <w:bCs/>
          <w:sz w:val="22"/>
          <w:szCs w:val="22"/>
          <w:u w:val="single"/>
        </w:rPr>
      </w:pPr>
    </w:p>
    <w:p w14:paraId="0160D3EE" w14:textId="03B3AACE" w:rsidR="008B644B" w:rsidRPr="00046311" w:rsidRDefault="008B644B" w:rsidP="00D86E0F">
      <w:pPr>
        <w:spacing w:line="360" w:lineRule="auto"/>
        <w:rPr>
          <w:rFonts w:ascii="Arial" w:hAnsi="Arial" w:cs="Arial"/>
          <w:sz w:val="22"/>
          <w:szCs w:val="22"/>
        </w:rPr>
      </w:pPr>
      <w:r w:rsidRPr="008B644B">
        <w:rPr>
          <w:rFonts w:ascii="Arial" w:hAnsi="Arial" w:cs="Arial"/>
          <w:b/>
          <w:bCs/>
          <w:sz w:val="22"/>
          <w:szCs w:val="22"/>
          <w:u w:val="single"/>
        </w:rPr>
        <w:t>Introduction</w:t>
      </w:r>
      <w:r w:rsidRPr="008B644B">
        <w:rPr>
          <w:rFonts w:ascii="Arial" w:hAnsi="Arial" w:cs="Arial"/>
          <w:b/>
          <w:bCs/>
          <w:sz w:val="22"/>
          <w:szCs w:val="22"/>
          <w:u w:val="single"/>
        </w:rPr>
        <w:t>:</w:t>
      </w:r>
      <w:r>
        <w:rPr>
          <w:rFonts w:ascii="Arial" w:hAnsi="Arial" w:cs="Arial"/>
          <w:b/>
          <w:bCs/>
          <w:sz w:val="22"/>
          <w:szCs w:val="22"/>
          <w:u w:val="single"/>
        </w:rPr>
        <w:br/>
      </w:r>
      <w:r w:rsidR="00046311" w:rsidRPr="00046311">
        <w:rPr>
          <w:rFonts w:ascii="Arial" w:hAnsi="Arial" w:cs="Arial"/>
          <w:sz w:val="22"/>
          <w:szCs w:val="22"/>
        </w:rPr>
        <w:t>Type 2 diabetes is a long-term condition. It occurs when the body does not produce enough insulin or becomes resistant to it, which leads to high blood sugar levels (NHS, 2023). The condition develops gradually and is strongly linked to factors such as being overweight, low physical activity, and an unhealthy diet. Other risks include age, family history, and certain ethnic backgrounds. Global rates of type 2 diabetes continue to rise, mainly due to increasing obesity and sedentary lifestyles (IDF, 2021). Common symptoms include tiredness, feeling very thirsty, passing urine more often, blurred vision, and slow healing of cuts (Diabetes UK, 2023). In the UK, over 4.3 million people live with diabetes, and around 90% of these cases are type 2 (OHID, 2025). These figures highlight how serious the condition is and why early intervention, good education, and ongoing management are essential.</w:t>
      </w:r>
    </w:p>
    <w:p w14:paraId="27CA77F3" w14:textId="77777777" w:rsidR="008B644B" w:rsidRDefault="008B644B" w:rsidP="00D86E0F">
      <w:pPr>
        <w:spacing w:line="360" w:lineRule="auto"/>
        <w:rPr>
          <w:rFonts w:ascii="Arial" w:hAnsi="Arial" w:cs="Arial"/>
          <w:b/>
          <w:bCs/>
          <w:sz w:val="22"/>
          <w:szCs w:val="22"/>
          <w:u w:val="single"/>
        </w:rPr>
      </w:pPr>
    </w:p>
    <w:p w14:paraId="11393666" w14:textId="77777777" w:rsidR="00046311" w:rsidRPr="00046311" w:rsidRDefault="008B644B" w:rsidP="00D86E0F">
      <w:pPr>
        <w:spacing w:line="360" w:lineRule="auto"/>
        <w:rPr>
          <w:rFonts w:ascii="Arial" w:hAnsi="Arial" w:cs="Arial"/>
          <w:sz w:val="22"/>
          <w:szCs w:val="22"/>
        </w:rPr>
      </w:pPr>
      <w:r w:rsidRPr="008B644B">
        <w:rPr>
          <w:rFonts w:ascii="Arial" w:hAnsi="Arial" w:cs="Arial"/>
          <w:b/>
          <w:bCs/>
          <w:sz w:val="22"/>
          <w:szCs w:val="22"/>
          <w:u w:val="single"/>
        </w:rPr>
        <w:t>Main Body</w:t>
      </w:r>
      <w:r>
        <w:rPr>
          <w:rFonts w:ascii="Arial" w:hAnsi="Arial" w:cs="Arial"/>
          <w:b/>
          <w:bCs/>
          <w:sz w:val="22"/>
          <w:szCs w:val="22"/>
          <w:u w:val="single"/>
        </w:rPr>
        <w:t xml:space="preserve">- </w:t>
      </w:r>
      <w:r>
        <w:rPr>
          <w:rFonts w:ascii="Arial" w:hAnsi="Arial" w:cs="Arial"/>
          <w:b/>
          <w:bCs/>
          <w:sz w:val="22"/>
          <w:szCs w:val="22"/>
          <w:u w:val="single"/>
        </w:rPr>
        <w:br/>
      </w:r>
      <w:r w:rsidRPr="008B644B">
        <w:rPr>
          <w:rFonts w:ascii="Arial" w:hAnsi="Arial" w:cs="Arial"/>
          <w:b/>
          <w:bCs/>
          <w:i/>
          <w:iCs/>
          <w:sz w:val="22"/>
          <w:szCs w:val="22"/>
          <w:u w:val="single"/>
        </w:rPr>
        <w:t>Consequences of Type 2 Diabetes for the Community and the NHS</w:t>
      </w:r>
      <w:r>
        <w:rPr>
          <w:rFonts w:ascii="Arial" w:hAnsi="Arial" w:cs="Arial"/>
          <w:b/>
          <w:bCs/>
          <w:i/>
          <w:iCs/>
          <w:sz w:val="22"/>
          <w:szCs w:val="22"/>
          <w:u w:val="single"/>
        </w:rPr>
        <w:t>:</w:t>
      </w:r>
      <w:r>
        <w:rPr>
          <w:rFonts w:ascii="Arial" w:hAnsi="Arial" w:cs="Arial"/>
          <w:b/>
          <w:bCs/>
          <w:sz w:val="22"/>
          <w:szCs w:val="22"/>
          <w:u w:val="single"/>
        </w:rPr>
        <w:br/>
      </w:r>
      <w:r w:rsidR="00046311" w:rsidRPr="00046311">
        <w:rPr>
          <w:rFonts w:ascii="Arial" w:hAnsi="Arial" w:cs="Arial"/>
          <w:sz w:val="22"/>
          <w:szCs w:val="22"/>
        </w:rPr>
        <w:t>Type 2 diabetes affects individuals, families, communities, and the NHS in several ways. Daily management can be demanding, as people often need to adjust their diet, activity levels, and medication routines. For example, some individuals must plan meals carefully or check their blood sugar several times a day. If blood sugar levels are not well controlled, serious complications such as kidney disease, heart problems, nerve damage, and eye issues may develop (NICE, 2022). These complications can reduce independence and quality of life.</w:t>
      </w:r>
    </w:p>
    <w:p w14:paraId="5AE88EC4" w14:textId="77777777" w:rsidR="00046311" w:rsidRPr="00046311" w:rsidRDefault="00046311" w:rsidP="00D86E0F">
      <w:pPr>
        <w:spacing w:line="360" w:lineRule="auto"/>
        <w:rPr>
          <w:rFonts w:ascii="Arial" w:hAnsi="Arial" w:cs="Arial"/>
          <w:sz w:val="22"/>
          <w:szCs w:val="22"/>
        </w:rPr>
      </w:pPr>
      <w:r w:rsidRPr="00046311">
        <w:rPr>
          <w:rFonts w:ascii="Arial" w:hAnsi="Arial" w:cs="Arial"/>
          <w:sz w:val="22"/>
          <w:szCs w:val="22"/>
        </w:rPr>
        <w:t>Families and social networks are also affected. Relatives may help with attending appointments, offering reminders, or supporting lifestyle changes. This can place emotional and practical pressure on family members, especially when complications occur. People living in deprived areas are almost twice as likely to develop type 2 diabetes (OHID, 2025). Limited access to affordable healthy food, safe exercise spaces, and healthcare support can make management harder and increase health inequalities. Many people only seek help when symptoms become more serious, which increases pressure on both families and healthcare services.</w:t>
      </w:r>
    </w:p>
    <w:p w14:paraId="26B9D962" w14:textId="77777777" w:rsidR="00046311" w:rsidRPr="00046311" w:rsidRDefault="00046311" w:rsidP="00D86E0F">
      <w:pPr>
        <w:spacing w:line="360" w:lineRule="auto"/>
        <w:rPr>
          <w:rFonts w:ascii="Arial" w:hAnsi="Arial" w:cs="Arial"/>
          <w:sz w:val="22"/>
          <w:szCs w:val="22"/>
        </w:rPr>
      </w:pPr>
      <w:r w:rsidRPr="00046311">
        <w:rPr>
          <w:rFonts w:ascii="Arial" w:hAnsi="Arial" w:cs="Arial"/>
          <w:sz w:val="22"/>
          <w:szCs w:val="22"/>
        </w:rPr>
        <w:t xml:space="preserve">The NHS faces major challenges. Diabetes costs the NHS around £10 billion every year, with most of the cost linked to preventable complications (NHS England, 2023). Primary care </w:t>
      </w:r>
      <w:r w:rsidRPr="00046311">
        <w:rPr>
          <w:rFonts w:ascii="Arial" w:hAnsi="Arial" w:cs="Arial"/>
          <w:sz w:val="22"/>
          <w:szCs w:val="22"/>
        </w:rPr>
        <w:lastRenderedPageBreak/>
        <w:t>teams carry out annual checks, such as blood tests, eye screenings, foot exams, and lifestyle reviews. As more people need appointments and medication changes, waiting times increase and staff become stretched. Structured education programmes, like DESMOND, and prevention services such as the NHS Diabetes Prevention Programme, are in high demand (NHS England, 2023). Hospitals also face pressure from admissions related to diabetes complications, including infections, foot ulcers, and heart problems. These patients often require specialist care and longer hospital stays. Diabetes specialist teams—nurses, dietitians, podiatrists, and endocrinologists—play an important role, but rising demand makes timely support harder.</w:t>
      </w:r>
    </w:p>
    <w:p w14:paraId="7A9A7FBB" w14:textId="773D1993" w:rsidR="008B644B" w:rsidRDefault="00046311" w:rsidP="00D86E0F">
      <w:pPr>
        <w:spacing w:line="360" w:lineRule="auto"/>
        <w:rPr>
          <w:rFonts w:ascii="Arial" w:hAnsi="Arial" w:cs="Arial"/>
          <w:sz w:val="22"/>
          <w:szCs w:val="22"/>
        </w:rPr>
      </w:pPr>
      <w:r w:rsidRPr="00046311">
        <w:rPr>
          <w:rFonts w:ascii="Arial" w:hAnsi="Arial" w:cs="Arial"/>
          <w:sz w:val="22"/>
          <w:szCs w:val="22"/>
        </w:rPr>
        <w:t>Another growing challenge for the NHS is the increasing need for integrated, long-term care. Many people with type 2 diabetes also live with other long</w:t>
      </w:r>
      <w:r w:rsidRPr="00046311">
        <w:rPr>
          <w:rFonts w:ascii="Arial" w:hAnsi="Arial" w:cs="Arial"/>
          <w:sz w:val="22"/>
          <w:szCs w:val="22"/>
        </w:rPr>
        <w:noBreakHyphen/>
        <w:t>term conditions such as high blood pressure, obesity, or arthritis, which means they require support from multiple services at the same time. Coordinating these services can be difficult, especially in areas where staff shortages already exist. This often leads to delays in treatment, which can increase the risk of complications. Additionally, digital services such as online consultations and remote monitoring are becoming more common, but not everyone has access to the technology or confidence to use it. This creates differences in care between those who can use digital tools easily and those who cannot. Improving digital access, expanding specialist teams, and increasing community</w:t>
      </w:r>
      <w:r w:rsidRPr="00046311">
        <w:rPr>
          <w:rFonts w:ascii="Arial" w:hAnsi="Arial" w:cs="Arial"/>
          <w:sz w:val="22"/>
          <w:szCs w:val="22"/>
        </w:rPr>
        <w:noBreakHyphen/>
        <w:t>based clinics could help reduce pressure on hospitals and make diabetes care more accessible across different regions.</w:t>
      </w:r>
    </w:p>
    <w:p w14:paraId="25720414" w14:textId="77777777" w:rsidR="008B644B" w:rsidRDefault="008B644B" w:rsidP="00D86E0F">
      <w:pPr>
        <w:spacing w:line="360" w:lineRule="auto"/>
        <w:rPr>
          <w:rFonts w:ascii="Arial" w:hAnsi="Arial" w:cs="Arial"/>
          <w:sz w:val="22"/>
          <w:szCs w:val="22"/>
        </w:rPr>
      </w:pPr>
    </w:p>
    <w:p w14:paraId="4954901B" w14:textId="77777777" w:rsidR="00046311" w:rsidRPr="00046311" w:rsidRDefault="008B644B" w:rsidP="00D86E0F">
      <w:pPr>
        <w:spacing w:line="360" w:lineRule="auto"/>
        <w:rPr>
          <w:rFonts w:ascii="Arial" w:hAnsi="Arial" w:cs="Arial"/>
          <w:sz w:val="22"/>
          <w:szCs w:val="22"/>
        </w:rPr>
      </w:pPr>
      <w:r w:rsidRPr="008B644B">
        <w:rPr>
          <w:rFonts w:ascii="Arial" w:hAnsi="Arial" w:cs="Arial"/>
          <w:b/>
          <w:bCs/>
          <w:i/>
          <w:iCs/>
          <w:sz w:val="22"/>
          <w:szCs w:val="22"/>
          <w:u w:val="single"/>
        </w:rPr>
        <w:t>How Type 2 Diabetes Is Controlled</w:t>
      </w:r>
      <w:r>
        <w:rPr>
          <w:rFonts w:ascii="Arial" w:hAnsi="Arial" w:cs="Arial"/>
          <w:sz w:val="22"/>
          <w:szCs w:val="22"/>
        </w:rPr>
        <w:t>:</w:t>
      </w:r>
      <w:r>
        <w:rPr>
          <w:rFonts w:ascii="Arial" w:hAnsi="Arial" w:cs="Arial"/>
          <w:sz w:val="22"/>
          <w:szCs w:val="22"/>
        </w:rPr>
        <w:br/>
      </w:r>
      <w:r w:rsidR="00046311" w:rsidRPr="00046311">
        <w:rPr>
          <w:rFonts w:ascii="Arial" w:hAnsi="Arial" w:cs="Arial"/>
          <w:sz w:val="22"/>
          <w:szCs w:val="22"/>
        </w:rPr>
        <w:t>Managing type 2 diabetes involves lifestyle changes, monitoring, and medication. Prevention is a key public health focus. Campaigns encourage healthy eating, regular exercise, and weight management to reduce risk. The NHS Diabetes Prevention Programme supports people at high risk through diet, physical activity, and weight loss guidance, and it has been shown to lower the chances of developing diabetes (NHS England, 2023).</w:t>
      </w:r>
    </w:p>
    <w:p w14:paraId="4C294AED" w14:textId="77777777" w:rsidR="00046311" w:rsidRPr="00046311" w:rsidRDefault="00046311" w:rsidP="00D86E0F">
      <w:pPr>
        <w:spacing w:line="360" w:lineRule="auto"/>
        <w:rPr>
          <w:rFonts w:ascii="Arial" w:hAnsi="Arial" w:cs="Arial"/>
          <w:sz w:val="22"/>
          <w:szCs w:val="22"/>
        </w:rPr>
      </w:pPr>
      <w:r w:rsidRPr="00046311">
        <w:rPr>
          <w:rFonts w:ascii="Arial" w:hAnsi="Arial" w:cs="Arial"/>
          <w:sz w:val="22"/>
          <w:szCs w:val="22"/>
        </w:rPr>
        <w:t>Once diagnosed, lifestyle changes are essential. Eating balanced meals, reducing sugary foods, increasing fruits and vegetables, and choosing healthier fats can improve blood sugar control. This often includes choosing lower-GI foods such as whole grains and beans, which release energy more slowly. Regular physical activity is also important. Many people begin with small goals, like short walks or simple home exercises. Some benefit from structured exercise programmes in local gyms or community centres, which can increase motivation. Education programmes like DESMOND help people understand their condition and build confidence.</w:t>
      </w:r>
    </w:p>
    <w:p w14:paraId="12549B38" w14:textId="77777777" w:rsidR="00046311" w:rsidRDefault="00046311" w:rsidP="00D86E0F">
      <w:pPr>
        <w:spacing w:line="360" w:lineRule="auto"/>
        <w:rPr>
          <w:rFonts w:ascii="Arial" w:hAnsi="Arial" w:cs="Arial"/>
          <w:sz w:val="22"/>
          <w:szCs w:val="22"/>
        </w:rPr>
      </w:pPr>
      <w:r w:rsidRPr="00046311">
        <w:rPr>
          <w:rFonts w:ascii="Arial" w:hAnsi="Arial" w:cs="Arial"/>
          <w:sz w:val="22"/>
          <w:szCs w:val="22"/>
        </w:rPr>
        <w:lastRenderedPageBreak/>
        <w:t>Medication is often required. Metformin is usually the first treatment. If blood sugar remains high, other medications such as SGLT2 inhibitors or GLP-1 receptor agonists may be used (NICE, 2022). These medicines help lower blood sugar and reduce heart and kidney risks. Regular monitoring—such as HbA1c tests, blood pressure checks, cholesterol measurements, foot exams, and eye screenings—is important to identify early signs of complications. Diabetic eye screening has been successful in reducing sight loss (NHS, 2023). Community-level strategies also support management by improving access to healthy foods, exercise opportunities, and stop-smoking services. Tailored advice ensures information is accessible to different cultural groups.</w:t>
      </w:r>
    </w:p>
    <w:p w14:paraId="6BF2B5D3" w14:textId="52D37009" w:rsidR="00046311" w:rsidRPr="00046311" w:rsidRDefault="008B644B" w:rsidP="00D86E0F">
      <w:pPr>
        <w:spacing w:line="360" w:lineRule="auto"/>
        <w:rPr>
          <w:rFonts w:ascii="Arial" w:hAnsi="Arial" w:cs="Arial"/>
          <w:sz w:val="22"/>
          <w:szCs w:val="22"/>
        </w:rPr>
      </w:pPr>
      <w:r w:rsidRPr="008B644B">
        <w:rPr>
          <w:rFonts w:ascii="Arial" w:hAnsi="Arial" w:cs="Arial"/>
          <w:b/>
          <w:bCs/>
          <w:i/>
          <w:iCs/>
          <w:sz w:val="22"/>
          <w:szCs w:val="22"/>
          <w:u w:val="single"/>
        </w:rPr>
        <w:t>Factors Influencing Health and Wellbeing</w:t>
      </w:r>
      <w:r>
        <w:rPr>
          <w:rFonts w:ascii="Arial" w:hAnsi="Arial" w:cs="Arial"/>
          <w:b/>
          <w:bCs/>
          <w:i/>
          <w:iCs/>
          <w:sz w:val="22"/>
          <w:szCs w:val="22"/>
          <w:u w:val="single"/>
        </w:rPr>
        <w:t>:</w:t>
      </w:r>
      <w:r>
        <w:rPr>
          <w:rFonts w:ascii="Arial" w:hAnsi="Arial" w:cs="Arial"/>
          <w:sz w:val="22"/>
          <w:szCs w:val="22"/>
        </w:rPr>
        <w:br/>
      </w:r>
      <w:r w:rsidR="00046311" w:rsidRPr="00046311">
        <w:rPr>
          <w:rFonts w:ascii="Arial" w:hAnsi="Arial" w:cs="Arial"/>
          <w:sz w:val="22"/>
          <w:szCs w:val="22"/>
        </w:rPr>
        <w:t>A wide range of biological, psychological, and social factors influence how people manage type 2 diabetes. Biological risks include age, ethnicity, family history, and existing health conditions. Some communities, including South Asian, African, and Caribbean groups, are more likely to develop diabetes earlier and may experience complications sooner (OHID, 2025).</w:t>
      </w:r>
    </w:p>
    <w:p w14:paraId="59364C86" w14:textId="77777777" w:rsidR="00046311" w:rsidRPr="00046311" w:rsidRDefault="00046311" w:rsidP="00D86E0F">
      <w:pPr>
        <w:spacing w:line="360" w:lineRule="auto"/>
        <w:rPr>
          <w:rFonts w:ascii="Arial" w:hAnsi="Arial" w:cs="Arial"/>
          <w:sz w:val="22"/>
          <w:szCs w:val="22"/>
        </w:rPr>
      </w:pPr>
      <w:r w:rsidRPr="00046311">
        <w:rPr>
          <w:rFonts w:ascii="Arial" w:hAnsi="Arial" w:cs="Arial"/>
          <w:sz w:val="22"/>
          <w:szCs w:val="22"/>
        </w:rPr>
        <w:t>Emotional wellbeing is also important. Some individuals experience diabetes distress, which means feeling overwhelmed by the demands of daily management (NHS, 2023). Stress can raise blood sugar levels by triggering hormones that make diabetes harder to control. Support from healthcare professionals, family, and social networks is therefore essential.</w:t>
      </w:r>
    </w:p>
    <w:p w14:paraId="132287AD" w14:textId="77777777" w:rsidR="00046311" w:rsidRPr="00046311" w:rsidRDefault="00046311" w:rsidP="00D86E0F">
      <w:pPr>
        <w:spacing w:line="360" w:lineRule="auto"/>
        <w:rPr>
          <w:rFonts w:ascii="Arial" w:hAnsi="Arial" w:cs="Arial"/>
          <w:sz w:val="22"/>
          <w:szCs w:val="22"/>
        </w:rPr>
      </w:pPr>
      <w:r w:rsidRPr="00046311">
        <w:rPr>
          <w:rFonts w:ascii="Arial" w:hAnsi="Arial" w:cs="Arial"/>
          <w:sz w:val="22"/>
          <w:szCs w:val="22"/>
        </w:rPr>
        <w:t>Social factors such as low income, insecure employment, limited access to healthy foods, and poor housing can affect how well someone manages their condition. Cultural beliefs about food, exercise, and medication may also influence self-care.</w:t>
      </w:r>
    </w:p>
    <w:p w14:paraId="2EBBA6E7" w14:textId="77777777" w:rsidR="00046311" w:rsidRPr="00046311" w:rsidRDefault="00046311" w:rsidP="00D86E0F">
      <w:pPr>
        <w:spacing w:line="360" w:lineRule="auto"/>
        <w:rPr>
          <w:rFonts w:ascii="Arial" w:hAnsi="Arial" w:cs="Arial"/>
          <w:sz w:val="22"/>
          <w:szCs w:val="22"/>
        </w:rPr>
      </w:pPr>
      <w:r w:rsidRPr="00046311">
        <w:rPr>
          <w:rFonts w:ascii="Arial" w:hAnsi="Arial" w:cs="Arial"/>
          <w:sz w:val="22"/>
          <w:szCs w:val="22"/>
        </w:rPr>
        <w:t>Family members may face extra responsibilities when complications develop. However, supportive relationships can help people stay motivated and confident. Healthcare professionals can help by providing clear explanations, reassurance, and guidance. Setting small, achievable goals—such as gradually increasing physical activity or making simple dietary changes—can make long-term behaviour change more manageable. Community groups, peer-support sessions, and culturally tailored programmes also help individuals feel less isolated.</w:t>
      </w:r>
    </w:p>
    <w:p w14:paraId="6FFEC874" w14:textId="77777777" w:rsidR="00046311" w:rsidRPr="00046311" w:rsidRDefault="00046311" w:rsidP="00D86E0F">
      <w:pPr>
        <w:spacing w:line="360" w:lineRule="auto"/>
        <w:rPr>
          <w:rFonts w:ascii="Arial" w:hAnsi="Arial" w:cs="Arial"/>
          <w:sz w:val="22"/>
          <w:szCs w:val="22"/>
        </w:rPr>
      </w:pPr>
      <w:r w:rsidRPr="00046311">
        <w:rPr>
          <w:rFonts w:ascii="Arial" w:hAnsi="Arial" w:cs="Arial"/>
          <w:sz w:val="22"/>
          <w:szCs w:val="22"/>
        </w:rPr>
        <w:t xml:space="preserve">In addition to these factors, long-term complications can have a major influence on wellbeing. Conditions such as diabetic neuropathy, kidney disease, and cardiovascular problems not only affect physical health but can also limit mobility and independence. For example, nerve damage in the feet may make walking more difficult, increasing the risk of falls and infections. These complications often require multiple appointments with different specialists, which can be stressful for individuals who already feel overwhelmed. Access to </w:t>
      </w:r>
      <w:r w:rsidRPr="00046311">
        <w:rPr>
          <w:rFonts w:ascii="Arial" w:hAnsi="Arial" w:cs="Arial"/>
          <w:sz w:val="22"/>
          <w:szCs w:val="22"/>
        </w:rPr>
        <w:lastRenderedPageBreak/>
        <w:t>podiatry, dietetics, and regular screening therefore becomes essential in helping people prevent complications and maintain their quality of life.</w:t>
      </w:r>
    </w:p>
    <w:p w14:paraId="0D656D8C" w14:textId="71176CC9" w:rsidR="008B644B" w:rsidRDefault="00046311" w:rsidP="00D86E0F">
      <w:pPr>
        <w:spacing w:line="360" w:lineRule="auto"/>
        <w:rPr>
          <w:rFonts w:ascii="Arial" w:hAnsi="Arial" w:cs="Arial"/>
          <w:sz w:val="22"/>
          <w:szCs w:val="22"/>
        </w:rPr>
      </w:pPr>
      <w:r w:rsidRPr="00046311">
        <w:rPr>
          <w:rFonts w:ascii="Arial" w:hAnsi="Arial" w:cs="Arial"/>
          <w:sz w:val="22"/>
          <w:szCs w:val="22"/>
        </w:rPr>
        <w:t>Another factor influencing health is the level of understanding individuals have about their condition. Health literacy varies widely, and some people may struggle to understand medical terms, medication instructions, or dietary guidelines. This can make self</w:t>
      </w:r>
      <w:r w:rsidRPr="00046311">
        <w:rPr>
          <w:rFonts w:ascii="Arial" w:hAnsi="Arial" w:cs="Arial"/>
          <w:sz w:val="22"/>
          <w:szCs w:val="22"/>
        </w:rPr>
        <w:noBreakHyphen/>
        <w:t>management harder and lead to unintentional mistakes in medication use or diet choices. Providing clear, simple information and checking understanding can make a significant difference. People with strong support networks and better understanding of their condition are more likely to manage their diabetes effectively and avoid complications.</w:t>
      </w:r>
    </w:p>
    <w:p w14:paraId="2E9EC76B" w14:textId="77777777" w:rsidR="008B644B" w:rsidRDefault="008B644B" w:rsidP="00D86E0F">
      <w:pPr>
        <w:spacing w:line="360" w:lineRule="auto"/>
        <w:rPr>
          <w:rFonts w:ascii="Arial" w:hAnsi="Arial" w:cs="Arial"/>
          <w:sz w:val="22"/>
          <w:szCs w:val="22"/>
        </w:rPr>
      </w:pPr>
    </w:p>
    <w:p w14:paraId="66520CD7" w14:textId="6153E96C" w:rsidR="008B644B" w:rsidRPr="008B644B" w:rsidRDefault="008B644B" w:rsidP="00D86E0F">
      <w:pPr>
        <w:spacing w:line="360" w:lineRule="auto"/>
        <w:rPr>
          <w:rFonts w:ascii="Arial" w:hAnsi="Arial" w:cs="Arial"/>
          <w:sz w:val="22"/>
          <w:szCs w:val="22"/>
        </w:rPr>
      </w:pPr>
      <w:r w:rsidRPr="008B644B">
        <w:rPr>
          <w:rFonts w:ascii="Arial" w:hAnsi="Arial" w:cs="Arial"/>
          <w:b/>
          <w:bCs/>
          <w:sz w:val="22"/>
          <w:szCs w:val="22"/>
          <w:u w:val="single"/>
        </w:rPr>
        <w:t>Conclusion</w:t>
      </w:r>
      <w:r w:rsidRPr="008B644B">
        <w:rPr>
          <w:rFonts w:ascii="Arial" w:hAnsi="Arial" w:cs="Arial"/>
          <w:b/>
          <w:bCs/>
          <w:sz w:val="22"/>
          <w:szCs w:val="22"/>
          <w:u w:val="single"/>
        </w:rPr>
        <w:t>:</w:t>
      </w:r>
      <w:r>
        <w:rPr>
          <w:rFonts w:ascii="Arial" w:hAnsi="Arial" w:cs="Arial"/>
          <w:sz w:val="22"/>
          <w:szCs w:val="22"/>
        </w:rPr>
        <w:br/>
      </w:r>
      <w:r w:rsidR="00046311" w:rsidRPr="00046311">
        <w:rPr>
          <w:rFonts w:ascii="Arial" w:hAnsi="Arial" w:cs="Arial"/>
          <w:sz w:val="22"/>
          <w:szCs w:val="22"/>
        </w:rPr>
        <w:t>Type 2 diabetes remains a major health issue in the UK and worldwide. It affects individuals, families, communities, and healthcare services, increasing financial pressure and demand for long-term support. Understanding the causes, symptoms, and incidence of the condition highlights the importance of early diagnosis, prevention, and ongoing management. Effective control requires a mix of lifestyle changes, medication, and regular monitoring, supported by good education and community resources. A range of biological, psychological, and social factors influence health and wellbeing, showing that managing diabetes requires more than medical treatment alone. By focusing on prevention, offering patient-centred care, and supporting people with daily challenges, healthcare professionals and communities can help improve outcomes and reduce long-term complications. Encouraging long-term prevention within communities is also essential for reducing new cases. Continued investment in prevention and community support is vital for improving public health over time. In addition, raising awareness through community campaigns, schools, and workplaces can help more people understand their risk and take early action. Strengthening links between local services, such as GPs, pharmacies, and exercise programmes, can also make support easier to access and encourage long-term behaviour change. These combined efforts can help reduce the growing impact of type 2 diabetes and support healthier communities in the future.</w:t>
      </w:r>
    </w:p>
    <w:p w14:paraId="68C6C544" w14:textId="77777777" w:rsidR="00BE77FD" w:rsidRDefault="00BE77FD" w:rsidP="00BE77FD">
      <w:pPr>
        <w:rPr>
          <w:rFonts w:ascii="Arial" w:hAnsi="Arial" w:cs="Arial"/>
          <w:b/>
          <w:bCs/>
          <w:sz w:val="40"/>
          <w:szCs w:val="40"/>
        </w:rPr>
      </w:pPr>
    </w:p>
    <w:p w14:paraId="7D51FF0B" w14:textId="77777777" w:rsidR="008B644B" w:rsidRDefault="008B644B" w:rsidP="00BE77FD">
      <w:pPr>
        <w:rPr>
          <w:rFonts w:ascii="Arial" w:hAnsi="Arial" w:cs="Arial"/>
          <w:b/>
          <w:bCs/>
          <w:sz w:val="40"/>
          <w:szCs w:val="40"/>
        </w:rPr>
      </w:pPr>
    </w:p>
    <w:p w14:paraId="4DB463FF" w14:textId="77777777" w:rsidR="008B644B" w:rsidRDefault="008B644B" w:rsidP="00BE77FD">
      <w:pPr>
        <w:rPr>
          <w:rFonts w:ascii="Arial" w:hAnsi="Arial" w:cs="Arial"/>
          <w:b/>
          <w:bCs/>
          <w:sz w:val="40"/>
          <w:szCs w:val="40"/>
        </w:rPr>
      </w:pPr>
    </w:p>
    <w:p w14:paraId="0E45391C" w14:textId="37EA9F95" w:rsidR="00046311" w:rsidRDefault="00046311" w:rsidP="00BE77FD">
      <w:pPr>
        <w:rPr>
          <w:rFonts w:ascii="Arial" w:hAnsi="Arial" w:cs="Arial"/>
          <w:b/>
          <w:bCs/>
          <w:sz w:val="22"/>
          <w:szCs w:val="22"/>
          <w:u w:val="single"/>
        </w:rPr>
      </w:pPr>
      <w:r w:rsidRPr="00046311">
        <w:rPr>
          <w:rFonts w:ascii="Arial" w:hAnsi="Arial" w:cs="Arial"/>
          <w:b/>
          <w:bCs/>
          <w:sz w:val="22"/>
          <w:szCs w:val="22"/>
          <w:u w:val="single"/>
        </w:rPr>
        <w:lastRenderedPageBreak/>
        <w:t>Reference List:</w:t>
      </w:r>
    </w:p>
    <w:p w14:paraId="5B5D0FBF" w14:textId="5F89482A" w:rsidR="008B644B" w:rsidRPr="00D86E0F" w:rsidRDefault="00D86E0F" w:rsidP="00D86E0F">
      <w:pPr>
        <w:spacing w:line="360" w:lineRule="auto"/>
        <w:rPr>
          <w:rFonts w:ascii="Arial" w:hAnsi="Arial" w:cs="Arial"/>
          <w:sz w:val="22"/>
          <w:szCs w:val="22"/>
        </w:rPr>
      </w:pPr>
      <w:r w:rsidRPr="00D86E0F">
        <w:rPr>
          <w:rFonts w:ascii="Arial" w:hAnsi="Arial" w:cs="Arial"/>
          <w:sz w:val="22"/>
          <w:szCs w:val="22"/>
        </w:rPr>
        <w:t xml:space="preserve">Diabetes UK (2023) </w:t>
      </w:r>
      <w:r w:rsidRPr="00D86E0F">
        <w:rPr>
          <w:rFonts w:ascii="Arial" w:hAnsi="Arial" w:cs="Arial"/>
          <w:i/>
          <w:iCs/>
          <w:sz w:val="22"/>
          <w:szCs w:val="22"/>
        </w:rPr>
        <w:t>Signs and symptoms of diabetes</w:t>
      </w:r>
      <w:r w:rsidRPr="00D86E0F">
        <w:rPr>
          <w:rFonts w:ascii="Arial" w:hAnsi="Arial" w:cs="Arial"/>
          <w:sz w:val="22"/>
          <w:szCs w:val="22"/>
        </w:rPr>
        <w:t>.</w:t>
      </w:r>
      <w:r w:rsidRPr="00D86E0F">
        <w:rPr>
          <w:rFonts w:ascii="Arial" w:hAnsi="Arial" w:cs="Arial"/>
          <w:sz w:val="22"/>
          <w:szCs w:val="22"/>
        </w:rPr>
        <w:br/>
        <w:t xml:space="preserve">Available at: </w:t>
      </w:r>
      <w:hyperlink r:id="rId4" w:history="1">
        <w:r w:rsidRPr="00D86E0F">
          <w:rPr>
            <w:rStyle w:val="Hyperlink"/>
            <w:rFonts w:ascii="Arial" w:hAnsi="Arial" w:cs="Arial"/>
            <w:sz w:val="22"/>
            <w:szCs w:val="22"/>
          </w:rPr>
          <w:t>https://www.diabetes.org.uk/diabetes-the-basics/diabetes-symptoms</w:t>
        </w:r>
      </w:hyperlink>
      <w:r>
        <w:rPr>
          <w:rFonts w:ascii="Arial" w:hAnsi="Arial" w:cs="Arial"/>
          <w:sz w:val="22"/>
          <w:szCs w:val="22"/>
        </w:rPr>
        <w:t xml:space="preserve"> (Accessed: 12/10/2025)</w:t>
      </w:r>
    </w:p>
    <w:p w14:paraId="3BB62FE9" w14:textId="08563E2B" w:rsidR="00D86E0F" w:rsidRPr="00D86E0F" w:rsidRDefault="00D86E0F" w:rsidP="00D86E0F">
      <w:pPr>
        <w:spacing w:line="360" w:lineRule="auto"/>
        <w:rPr>
          <w:rFonts w:ascii="Arial" w:hAnsi="Arial" w:cs="Arial"/>
          <w:sz w:val="22"/>
          <w:szCs w:val="22"/>
        </w:rPr>
      </w:pPr>
      <w:r w:rsidRPr="00D86E0F">
        <w:rPr>
          <w:rFonts w:ascii="Arial" w:hAnsi="Arial" w:cs="Arial"/>
          <w:sz w:val="22"/>
          <w:szCs w:val="22"/>
        </w:rPr>
        <w:t xml:space="preserve">IDF (2021) </w:t>
      </w:r>
      <w:r w:rsidRPr="00D86E0F">
        <w:rPr>
          <w:rFonts w:ascii="Arial" w:hAnsi="Arial" w:cs="Arial"/>
          <w:i/>
          <w:iCs/>
          <w:sz w:val="22"/>
          <w:szCs w:val="22"/>
        </w:rPr>
        <w:t>IDF Diabetes Atlas, 10th edition</w:t>
      </w:r>
      <w:r w:rsidRPr="00D86E0F">
        <w:rPr>
          <w:rFonts w:ascii="Arial" w:hAnsi="Arial" w:cs="Arial"/>
          <w:sz w:val="22"/>
          <w:szCs w:val="22"/>
        </w:rPr>
        <w:t>. International Diabetes Federation.</w:t>
      </w:r>
      <w:r w:rsidRPr="00D86E0F">
        <w:rPr>
          <w:rFonts w:ascii="Arial" w:hAnsi="Arial" w:cs="Arial"/>
          <w:sz w:val="22"/>
          <w:szCs w:val="22"/>
        </w:rPr>
        <w:br/>
        <w:t xml:space="preserve">Available at: </w:t>
      </w:r>
      <w:hyperlink r:id="rId5" w:tgtFrame="_new" w:history="1">
        <w:r w:rsidRPr="00D86E0F">
          <w:rPr>
            <w:rStyle w:val="Hyperlink"/>
            <w:rFonts w:ascii="Arial" w:hAnsi="Arial" w:cs="Arial"/>
            <w:sz w:val="22"/>
            <w:szCs w:val="22"/>
          </w:rPr>
          <w:t>https://diabetesatlas.org/atlas/tenth-edition/</w:t>
        </w:r>
      </w:hyperlink>
      <w:r>
        <w:rPr>
          <w:rFonts w:ascii="Arial" w:hAnsi="Arial" w:cs="Arial"/>
          <w:sz w:val="22"/>
          <w:szCs w:val="22"/>
        </w:rPr>
        <w:t xml:space="preserve"> (Accessed: 27/10/2025)</w:t>
      </w:r>
    </w:p>
    <w:p w14:paraId="232D4D50" w14:textId="7BCCD7A9" w:rsidR="00D86E0F" w:rsidRPr="00D86E0F" w:rsidRDefault="00D86E0F" w:rsidP="00D86E0F">
      <w:pPr>
        <w:spacing w:line="360" w:lineRule="auto"/>
        <w:rPr>
          <w:rFonts w:ascii="Arial" w:hAnsi="Arial" w:cs="Arial"/>
          <w:sz w:val="22"/>
          <w:szCs w:val="22"/>
        </w:rPr>
      </w:pPr>
      <w:r w:rsidRPr="00D86E0F">
        <w:rPr>
          <w:rFonts w:ascii="Arial" w:hAnsi="Arial" w:cs="Arial"/>
          <w:sz w:val="22"/>
          <w:szCs w:val="22"/>
        </w:rPr>
        <w:t xml:space="preserve">NHS (2023) </w:t>
      </w:r>
      <w:r w:rsidRPr="00D86E0F">
        <w:rPr>
          <w:rFonts w:ascii="Arial" w:hAnsi="Arial" w:cs="Arial"/>
          <w:i/>
          <w:iCs/>
          <w:sz w:val="22"/>
          <w:szCs w:val="22"/>
        </w:rPr>
        <w:t>Type 2 diabetes – Overview</w:t>
      </w:r>
      <w:r w:rsidRPr="00D86E0F">
        <w:rPr>
          <w:rFonts w:ascii="Arial" w:hAnsi="Arial" w:cs="Arial"/>
          <w:sz w:val="22"/>
          <w:szCs w:val="22"/>
        </w:rPr>
        <w:t>.</w:t>
      </w:r>
      <w:r w:rsidRPr="00D86E0F">
        <w:rPr>
          <w:rFonts w:ascii="Arial" w:hAnsi="Arial" w:cs="Arial"/>
          <w:sz w:val="22"/>
          <w:szCs w:val="22"/>
        </w:rPr>
        <w:br/>
        <w:t xml:space="preserve">Available at: </w:t>
      </w:r>
      <w:hyperlink r:id="rId6" w:tgtFrame="_new" w:history="1">
        <w:r w:rsidRPr="00D86E0F">
          <w:rPr>
            <w:rStyle w:val="Hyperlink"/>
            <w:rFonts w:ascii="Arial" w:hAnsi="Arial" w:cs="Arial"/>
            <w:sz w:val="22"/>
            <w:szCs w:val="22"/>
          </w:rPr>
          <w:t>https://www.nhs.uk/conditions/type-2-diabetes/</w:t>
        </w:r>
      </w:hyperlink>
      <w:r>
        <w:rPr>
          <w:rFonts w:ascii="Arial" w:hAnsi="Arial" w:cs="Arial"/>
          <w:sz w:val="22"/>
          <w:szCs w:val="22"/>
        </w:rPr>
        <w:t xml:space="preserve"> (Accessed: 19/10/2025)</w:t>
      </w:r>
    </w:p>
    <w:p w14:paraId="68E4FE49" w14:textId="195FD427" w:rsidR="00D86E0F" w:rsidRPr="00D86E0F" w:rsidRDefault="00D86E0F" w:rsidP="00D86E0F">
      <w:pPr>
        <w:spacing w:line="360" w:lineRule="auto"/>
        <w:rPr>
          <w:rFonts w:ascii="Arial" w:hAnsi="Arial" w:cs="Arial"/>
          <w:sz w:val="22"/>
          <w:szCs w:val="22"/>
        </w:rPr>
      </w:pPr>
      <w:r w:rsidRPr="00D86E0F">
        <w:rPr>
          <w:rFonts w:ascii="Arial" w:hAnsi="Arial" w:cs="Arial"/>
          <w:sz w:val="22"/>
          <w:szCs w:val="22"/>
        </w:rPr>
        <w:t xml:space="preserve">NHS England (2023) </w:t>
      </w:r>
      <w:r w:rsidRPr="00D86E0F">
        <w:rPr>
          <w:rFonts w:ascii="Arial" w:hAnsi="Arial" w:cs="Arial"/>
          <w:i/>
          <w:iCs/>
          <w:sz w:val="22"/>
          <w:szCs w:val="22"/>
        </w:rPr>
        <w:t>NHS Diabetes Prevention Programme (NDPP)</w:t>
      </w:r>
      <w:r w:rsidRPr="00D86E0F">
        <w:rPr>
          <w:rFonts w:ascii="Arial" w:hAnsi="Arial" w:cs="Arial"/>
          <w:sz w:val="22"/>
          <w:szCs w:val="22"/>
        </w:rPr>
        <w:t>.</w:t>
      </w:r>
      <w:r w:rsidRPr="00D86E0F">
        <w:rPr>
          <w:rFonts w:ascii="Arial" w:hAnsi="Arial" w:cs="Arial"/>
          <w:sz w:val="22"/>
          <w:szCs w:val="22"/>
        </w:rPr>
        <w:br/>
        <w:t xml:space="preserve">Available at: </w:t>
      </w:r>
      <w:hyperlink r:id="rId7" w:tgtFrame="_new" w:history="1">
        <w:r w:rsidRPr="00D86E0F">
          <w:rPr>
            <w:rStyle w:val="Hyperlink"/>
            <w:rFonts w:ascii="Arial" w:hAnsi="Arial" w:cs="Arial"/>
            <w:sz w:val="22"/>
            <w:szCs w:val="22"/>
          </w:rPr>
          <w:t>https://www.england.nhs.uk/diabetes/diabetes-prevention/</w:t>
        </w:r>
      </w:hyperlink>
      <w:r>
        <w:rPr>
          <w:rFonts w:ascii="Arial" w:hAnsi="Arial" w:cs="Arial"/>
          <w:sz w:val="22"/>
          <w:szCs w:val="22"/>
        </w:rPr>
        <w:t xml:space="preserve"> (Accessed: 21/10/2025)</w:t>
      </w:r>
    </w:p>
    <w:p w14:paraId="3585F11F" w14:textId="723C9F4D" w:rsidR="00D86E0F" w:rsidRPr="00D86E0F" w:rsidRDefault="00D86E0F" w:rsidP="00D86E0F">
      <w:pPr>
        <w:spacing w:line="360" w:lineRule="auto"/>
        <w:rPr>
          <w:rFonts w:ascii="Arial" w:hAnsi="Arial" w:cs="Arial"/>
          <w:sz w:val="22"/>
          <w:szCs w:val="22"/>
        </w:rPr>
      </w:pPr>
      <w:r w:rsidRPr="00D86E0F">
        <w:rPr>
          <w:rFonts w:ascii="Arial" w:hAnsi="Arial" w:cs="Arial"/>
          <w:sz w:val="22"/>
          <w:szCs w:val="22"/>
        </w:rPr>
        <w:t xml:space="preserve">NHS England (2024) </w:t>
      </w:r>
      <w:r w:rsidRPr="00D86E0F">
        <w:rPr>
          <w:rFonts w:ascii="Arial" w:hAnsi="Arial" w:cs="Arial"/>
          <w:i/>
          <w:iCs/>
          <w:sz w:val="22"/>
          <w:szCs w:val="22"/>
        </w:rPr>
        <w:t>Diabetes – Facts and figures</w:t>
      </w:r>
      <w:r w:rsidRPr="00D86E0F">
        <w:rPr>
          <w:rFonts w:ascii="Arial" w:hAnsi="Arial" w:cs="Arial"/>
          <w:sz w:val="22"/>
          <w:szCs w:val="22"/>
        </w:rPr>
        <w:t>.</w:t>
      </w:r>
      <w:r w:rsidRPr="00D86E0F">
        <w:rPr>
          <w:rFonts w:ascii="Arial" w:hAnsi="Arial" w:cs="Arial"/>
          <w:sz w:val="22"/>
          <w:szCs w:val="22"/>
        </w:rPr>
        <w:br/>
        <w:t xml:space="preserve">Available at: </w:t>
      </w:r>
      <w:hyperlink r:id="rId8" w:tgtFrame="_new" w:history="1">
        <w:r w:rsidRPr="00D86E0F">
          <w:rPr>
            <w:rStyle w:val="Hyperlink"/>
            <w:rFonts w:ascii="Arial" w:hAnsi="Arial" w:cs="Arial"/>
            <w:sz w:val="22"/>
            <w:szCs w:val="22"/>
          </w:rPr>
          <w:t>https://www.england.nhs.uk/diabetes/</w:t>
        </w:r>
      </w:hyperlink>
      <w:r>
        <w:rPr>
          <w:rFonts w:ascii="Arial" w:hAnsi="Arial" w:cs="Arial"/>
          <w:sz w:val="22"/>
          <w:szCs w:val="22"/>
        </w:rPr>
        <w:t xml:space="preserve"> (Accessed: 21/10/2025)</w:t>
      </w:r>
    </w:p>
    <w:p w14:paraId="34098A6B" w14:textId="7037BAA4" w:rsidR="00D86E0F" w:rsidRPr="00D86E0F" w:rsidRDefault="00D86E0F" w:rsidP="00D86E0F">
      <w:pPr>
        <w:spacing w:line="360" w:lineRule="auto"/>
        <w:rPr>
          <w:rFonts w:ascii="Arial" w:hAnsi="Arial" w:cs="Arial"/>
          <w:sz w:val="22"/>
          <w:szCs w:val="22"/>
        </w:rPr>
      </w:pPr>
      <w:r w:rsidRPr="00D86E0F">
        <w:rPr>
          <w:rFonts w:ascii="Arial" w:hAnsi="Arial" w:cs="Arial"/>
          <w:sz w:val="22"/>
          <w:szCs w:val="22"/>
        </w:rPr>
        <w:t xml:space="preserve">NICE (2022) </w:t>
      </w:r>
      <w:r w:rsidRPr="00D86E0F">
        <w:rPr>
          <w:rFonts w:ascii="Arial" w:hAnsi="Arial" w:cs="Arial"/>
          <w:i/>
          <w:iCs/>
          <w:sz w:val="22"/>
          <w:szCs w:val="22"/>
        </w:rPr>
        <w:t>Type 2 diabetes in adults: management (NG28)</w:t>
      </w:r>
      <w:r w:rsidRPr="00D86E0F">
        <w:rPr>
          <w:rFonts w:ascii="Arial" w:hAnsi="Arial" w:cs="Arial"/>
          <w:sz w:val="22"/>
          <w:szCs w:val="22"/>
        </w:rPr>
        <w:t>.</w:t>
      </w:r>
      <w:r w:rsidRPr="00D86E0F">
        <w:rPr>
          <w:rFonts w:ascii="Arial" w:hAnsi="Arial" w:cs="Arial"/>
          <w:sz w:val="22"/>
          <w:szCs w:val="22"/>
        </w:rPr>
        <w:br/>
        <w:t xml:space="preserve">Available at: </w:t>
      </w:r>
      <w:hyperlink r:id="rId9" w:tgtFrame="_new" w:history="1">
        <w:r w:rsidRPr="00D86E0F">
          <w:rPr>
            <w:rStyle w:val="Hyperlink"/>
            <w:rFonts w:ascii="Arial" w:hAnsi="Arial" w:cs="Arial"/>
            <w:sz w:val="22"/>
            <w:szCs w:val="22"/>
          </w:rPr>
          <w:t>https://www.nice.org.uk/guidance/ng28</w:t>
        </w:r>
      </w:hyperlink>
      <w:r>
        <w:rPr>
          <w:rFonts w:ascii="Arial" w:hAnsi="Arial" w:cs="Arial"/>
          <w:sz w:val="22"/>
          <w:szCs w:val="22"/>
        </w:rPr>
        <w:t xml:space="preserve"> (Accessed: 27/10/2025)</w:t>
      </w:r>
    </w:p>
    <w:p w14:paraId="760D740A" w14:textId="315FF4A6" w:rsidR="00D86E0F" w:rsidRPr="00D86E0F" w:rsidRDefault="00D86E0F" w:rsidP="00D86E0F">
      <w:pPr>
        <w:spacing w:line="360" w:lineRule="auto"/>
        <w:rPr>
          <w:rFonts w:ascii="Arial" w:hAnsi="Arial" w:cs="Arial"/>
          <w:sz w:val="22"/>
          <w:szCs w:val="22"/>
        </w:rPr>
      </w:pPr>
      <w:r w:rsidRPr="00D86E0F">
        <w:rPr>
          <w:rFonts w:ascii="Arial" w:hAnsi="Arial" w:cs="Arial"/>
          <w:sz w:val="22"/>
          <w:szCs w:val="22"/>
        </w:rPr>
        <w:t xml:space="preserve">OHID (2025) </w:t>
      </w:r>
      <w:r w:rsidRPr="00D86E0F">
        <w:rPr>
          <w:rFonts w:ascii="Arial" w:hAnsi="Arial" w:cs="Arial"/>
          <w:i/>
          <w:iCs/>
          <w:sz w:val="22"/>
          <w:szCs w:val="22"/>
        </w:rPr>
        <w:t>Diabetes profile – Public Health England Fingertips</w:t>
      </w:r>
      <w:r w:rsidRPr="00D86E0F">
        <w:rPr>
          <w:rFonts w:ascii="Arial" w:hAnsi="Arial" w:cs="Arial"/>
          <w:sz w:val="22"/>
          <w:szCs w:val="22"/>
        </w:rPr>
        <w:t>.</w:t>
      </w:r>
      <w:r w:rsidRPr="00D86E0F">
        <w:rPr>
          <w:rFonts w:ascii="Arial" w:hAnsi="Arial" w:cs="Arial"/>
          <w:sz w:val="22"/>
          <w:szCs w:val="22"/>
        </w:rPr>
        <w:br/>
        <w:t xml:space="preserve">Available at: </w:t>
      </w:r>
      <w:hyperlink r:id="rId10" w:tgtFrame="_new" w:history="1">
        <w:r w:rsidRPr="00D86E0F">
          <w:rPr>
            <w:rStyle w:val="Hyperlink"/>
            <w:rFonts w:ascii="Arial" w:hAnsi="Arial" w:cs="Arial"/>
            <w:sz w:val="22"/>
            <w:szCs w:val="22"/>
          </w:rPr>
          <w:t>https://fingertips.phe.org.uk/profile/diabetes-ft</w:t>
        </w:r>
      </w:hyperlink>
      <w:r>
        <w:rPr>
          <w:rFonts w:ascii="Arial" w:hAnsi="Arial" w:cs="Arial"/>
          <w:sz w:val="22"/>
          <w:szCs w:val="22"/>
        </w:rPr>
        <w:t xml:space="preserve"> (Accessed: 01/11/2025)</w:t>
      </w:r>
    </w:p>
    <w:p w14:paraId="44C421C6" w14:textId="77777777" w:rsidR="008B644B" w:rsidRDefault="008B644B" w:rsidP="00BE77FD">
      <w:pPr>
        <w:rPr>
          <w:rFonts w:ascii="Arial" w:hAnsi="Arial" w:cs="Arial"/>
          <w:b/>
          <w:bCs/>
          <w:sz w:val="40"/>
          <w:szCs w:val="40"/>
        </w:rPr>
      </w:pPr>
    </w:p>
    <w:p w14:paraId="32485627" w14:textId="77777777" w:rsidR="008B644B" w:rsidRDefault="008B644B" w:rsidP="00BE77FD">
      <w:pPr>
        <w:rPr>
          <w:rFonts w:ascii="Arial" w:hAnsi="Arial" w:cs="Arial"/>
          <w:b/>
          <w:bCs/>
          <w:sz w:val="40"/>
          <w:szCs w:val="40"/>
        </w:rPr>
      </w:pPr>
    </w:p>
    <w:p w14:paraId="43F4C9BE" w14:textId="77777777" w:rsidR="008B644B" w:rsidRDefault="008B644B" w:rsidP="00BE77FD">
      <w:pPr>
        <w:rPr>
          <w:rFonts w:ascii="Arial" w:hAnsi="Arial" w:cs="Arial"/>
          <w:b/>
          <w:bCs/>
          <w:sz w:val="40"/>
          <w:szCs w:val="40"/>
        </w:rPr>
      </w:pPr>
    </w:p>
    <w:p w14:paraId="26A5C2F1" w14:textId="77777777" w:rsidR="008B644B" w:rsidRDefault="008B644B" w:rsidP="00BE77FD">
      <w:pPr>
        <w:rPr>
          <w:rFonts w:ascii="Arial" w:hAnsi="Arial" w:cs="Arial"/>
          <w:b/>
          <w:bCs/>
          <w:sz w:val="40"/>
          <w:szCs w:val="40"/>
        </w:rPr>
      </w:pPr>
    </w:p>
    <w:p w14:paraId="3312077D" w14:textId="77777777" w:rsidR="008B644B" w:rsidRDefault="008B644B" w:rsidP="00BE77FD">
      <w:pPr>
        <w:rPr>
          <w:rFonts w:ascii="Arial" w:hAnsi="Arial" w:cs="Arial"/>
          <w:b/>
          <w:bCs/>
          <w:sz w:val="40"/>
          <w:szCs w:val="40"/>
        </w:rPr>
      </w:pPr>
    </w:p>
    <w:p w14:paraId="46A9CCCD" w14:textId="77777777" w:rsidR="008B644B" w:rsidRDefault="008B644B" w:rsidP="00BE77FD">
      <w:pPr>
        <w:rPr>
          <w:rFonts w:ascii="Arial" w:hAnsi="Arial" w:cs="Arial"/>
          <w:b/>
          <w:bCs/>
          <w:sz w:val="40"/>
          <w:szCs w:val="40"/>
        </w:rPr>
      </w:pPr>
    </w:p>
    <w:p w14:paraId="7DBC76C4" w14:textId="77777777" w:rsidR="008B644B" w:rsidRDefault="008B644B" w:rsidP="00BE77FD">
      <w:pPr>
        <w:rPr>
          <w:rFonts w:ascii="Arial" w:hAnsi="Arial" w:cs="Arial"/>
          <w:b/>
          <w:bCs/>
          <w:sz w:val="40"/>
          <w:szCs w:val="40"/>
        </w:rPr>
      </w:pPr>
    </w:p>
    <w:p w14:paraId="2630B8E1" w14:textId="77777777" w:rsidR="008B644B" w:rsidRDefault="008B644B" w:rsidP="00BE77FD">
      <w:pPr>
        <w:rPr>
          <w:rFonts w:ascii="Arial" w:hAnsi="Arial" w:cs="Arial"/>
          <w:b/>
          <w:bCs/>
          <w:sz w:val="40"/>
          <w:szCs w:val="40"/>
        </w:rPr>
      </w:pPr>
    </w:p>
    <w:p w14:paraId="1EDD5943" w14:textId="77777777" w:rsidR="008B644B" w:rsidRDefault="008B644B" w:rsidP="00BE77FD">
      <w:pPr>
        <w:rPr>
          <w:rFonts w:ascii="Arial" w:hAnsi="Arial" w:cs="Arial"/>
          <w:b/>
          <w:bCs/>
          <w:sz w:val="40"/>
          <w:szCs w:val="40"/>
        </w:rPr>
      </w:pPr>
    </w:p>
    <w:p w14:paraId="619D7AD8" w14:textId="77777777" w:rsidR="008B644B" w:rsidRDefault="008B644B" w:rsidP="00BE77FD">
      <w:pPr>
        <w:rPr>
          <w:rFonts w:ascii="Arial" w:hAnsi="Arial" w:cs="Arial"/>
          <w:b/>
          <w:bCs/>
          <w:sz w:val="40"/>
          <w:szCs w:val="40"/>
        </w:rPr>
      </w:pPr>
    </w:p>
    <w:p w14:paraId="371A995B" w14:textId="77777777" w:rsidR="008B644B" w:rsidRDefault="008B644B" w:rsidP="00BE77FD">
      <w:pPr>
        <w:rPr>
          <w:rFonts w:ascii="Arial" w:hAnsi="Arial" w:cs="Arial"/>
          <w:b/>
          <w:bCs/>
          <w:sz w:val="22"/>
          <w:szCs w:val="22"/>
        </w:rPr>
      </w:pPr>
    </w:p>
    <w:p w14:paraId="20EB4F16" w14:textId="4188C5D7" w:rsidR="008B644B" w:rsidRDefault="008B644B" w:rsidP="00BE77FD">
      <w:pPr>
        <w:rPr>
          <w:rFonts w:ascii="Arial" w:hAnsi="Arial" w:cs="Arial"/>
          <w:b/>
          <w:bCs/>
          <w:sz w:val="22"/>
          <w:szCs w:val="22"/>
        </w:rPr>
      </w:pPr>
      <w:r w:rsidRPr="008B644B">
        <w:rPr>
          <w:rFonts w:ascii="Arial" w:hAnsi="Arial" w:cs="Arial"/>
          <w:b/>
          <w:bCs/>
          <w:sz w:val="22"/>
          <w:szCs w:val="22"/>
        </w:rPr>
        <w:t>Reference List:</w:t>
      </w:r>
    </w:p>
    <w:p w14:paraId="60AECB74" w14:textId="33E0F08C" w:rsidR="00BA5342" w:rsidRPr="00BA5342" w:rsidRDefault="00BA5342" w:rsidP="00BE77FD">
      <w:pPr>
        <w:rPr>
          <w:rFonts w:ascii="Arial" w:hAnsi="Arial" w:cs="Arial"/>
          <w:i/>
          <w:iCs/>
          <w:sz w:val="22"/>
          <w:szCs w:val="22"/>
        </w:rPr>
      </w:pPr>
    </w:p>
    <w:p w14:paraId="2FD0B584" w14:textId="77777777" w:rsidR="00BA5342" w:rsidRDefault="00BA5342" w:rsidP="00BE77FD">
      <w:pPr>
        <w:rPr>
          <w:rFonts w:ascii="Arial" w:hAnsi="Arial" w:cs="Arial"/>
          <w:b/>
          <w:bCs/>
          <w:i/>
          <w:iCs/>
          <w:sz w:val="22"/>
          <w:szCs w:val="22"/>
        </w:rPr>
      </w:pPr>
    </w:p>
    <w:p w14:paraId="005F6870" w14:textId="77777777" w:rsidR="008B644B" w:rsidRPr="008B644B" w:rsidRDefault="008B644B" w:rsidP="00BE77FD">
      <w:pPr>
        <w:rPr>
          <w:rFonts w:ascii="Arial" w:hAnsi="Arial" w:cs="Arial"/>
          <w:b/>
          <w:bCs/>
          <w:sz w:val="22"/>
          <w:szCs w:val="22"/>
        </w:rPr>
      </w:pPr>
    </w:p>
    <w:p w14:paraId="4A5917AC" w14:textId="77777777" w:rsidR="008B644B" w:rsidRPr="00BE77FD" w:rsidRDefault="008B644B" w:rsidP="00BE77FD">
      <w:pPr>
        <w:rPr>
          <w:rFonts w:ascii="Arial" w:hAnsi="Arial" w:cs="Arial"/>
          <w:b/>
          <w:bCs/>
          <w:sz w:val="40"/>
          <w:szCs w:val="40"/>
        </w:rPr>
      </w:pPr>
    </w:p>
    <w:sectPr w:rsidR="008B644B" w:rsidRPr="00BE77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77FD"/>
    <w:rsid w:val="00046311"/>
    <w:rsid w:val="003D767D"/>
    <w:rsid w:val="0086180B"/>
    <w:rsid w:val="008774CA"/>
    <w:rsid w:val="008B644B"/>
    <w:rsid w:val="00BA5342"/>
    <w:rsid w:val="00BE77FD"/>
    <w:rsid w:val="00CD75E2"/>
    <w:rsid w:val="00D86E0F"/>
    <w:rsid w:val="00DD5E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DCFECF"/>
  <w15:chartTrackingRefBased/>
  <w15:docId w15:val="{BA09FED7-7E8B-4218-BBF5-8C5A067B63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77FD"/>
  </w:style>
  <w:style w:type="paragraph" w:styleId="Heading1">
    <w:name w:val="heading 1"/>
    <w:basedOn w:val="Normal"/>
    <w:next w:val="Normal"/>
    <w:link w:val="Heading1Char"/>
    <w:uiPriority w:val="9"/>
    <w:qFormat/>
    <w:rsid w:val="00BE77F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E77F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E77F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E77F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E77F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E77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77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77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77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77F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E77F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E77F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E77F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E77F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E77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77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77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77FD"/>
    <w:rPr>
      <w:rFonts w:eastAsiaTheme="majorEastAsia" w:cstheme="majorBidi"/>
      <w:color w:val="272727" w:themeColor="text1" w:themeTint="D8"/>
    </w:rPr>
  </w:style>
  <w:style w:type="paragraph" w:styleId="Title">
    <w:name w:val="Title"/>
    <w:basedOn w:val="Normal"/>
    <w:next w:val="Normal"/>
    <w:link w:val="TitleChar"/>
    <w:uiPriority w:val="10"/>
    <w:qFormat/>
    <w:rsid w:val="00BE77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77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77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77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77FD"/>
    <w:pPr>
      <w:spacing w:before="160"/>
      <w:jc w:val="center"/>
    </w:pPr>
    <w:rPr>
      <w:i/>
      <w:iCs/>
      <w:color w:val="404040" w:themeColor="text1" w:themeTint="BF"/>
    </w:rPr>
  </w:style>
  <w:style w:type="character" w:customStyle="1" w:styleId="QuoteChar">
    <w:name w:val="Quote Char"/>
    <w:basedOn w:val="DefaultParagraphFont"/>
    <w:link w:val="Quote"/>
    <w:uiPriority w:val="29"/>
    <w:rsid w:val="00BE77FD"/>
    <w:rPr>
      <w:i/>
      <w:iCs/>
      <w:color w:val="404040" w:themeColor="text1" w:themeTint="BF"/>
    </w:rPr>
  </w:style>
  <w:style w:type="paragraph" w:styleId="ListParagraph">
    <w:name w:val="List Paragraph"/>
    <w:basedOn w:val="Normal"/>
    <w:uiPriority w:val="34"/>
    <w:qFormat/>
    <w:rsid w:val="00BE77FD"/>
    <w:pPr>
      <w:ind w:left="720"/>
      <w:contextualSpacing/>
    </w:pPr>
  </w:style>
  <w:style w:type="character" w:styleId="IntenseEmphasis">
    <w:name w:val="Intense Emphasis"/>
    <w:basedOn w:val="DefaultParagraphFont"/>
    <w:uiPriority w:val="21"/>
    <w:qFormat/>
    <w:rsid w:val="00BE77FD"/>
    <w:rPr>
      <w:i/>
      <w:iCs/>
      <w:color w:val="2F5496" w:themeColor="accent1" w:themeShade="BF"/>
    </w:rPr>
  </w:style>
  <w:style w:type="paragraph" w:styleId="IntenseQuote">
    <w:name w:val="Intense Quote"/>
    <w:basedOn w:val="Normal"/>
    <w:next w:val="Normal"/>
    <w:link w:val="IntenseQuoteChar"/>
    <w:uiPriority w:val="30"/>
    <w:qFormat/>
    <w:rsid w:val="00BE77F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E77FD"/>
    <w:rPr>
      <w:i/>
      <w:iCs/>
      <w:color w:val="2F5496" w:themeColor="accent1" w:themeShade="BF"/>
    </w:rPr>
  </w:style>
  <w:style w:type="character" w:styleId="IntenseReference">
    <w:name w:val="Intense Reference"/>
    <w:basedOn w:val="DefaultParagraphFont"/>
    <w:uiPriority w:val="32"/>
    <w:qFormat/>
    <w:rsid w:val="00BE77FD"/>
    <w:rPr>
      <w:b/>
      <w:bCs/>
      <w:smallCaps/>
      <w:color w:val="2F5496" w:themeColor="accent1" w:themeShade="BF"/>
      <w:spacing w:val="5"/>
    </w:rPr>
  </w:style>
  <w:style w:type="character" w:styleId="Hyperlink">
    <w:name w:val="Hyperlink"/>
    <w:basedOn w:val="DefaultParagraphFont"/>
    <w:uiPriority w:val="99"/>
    <w:unhideWhenUsed/>
    <w:rsid w:val="008B644B"/>
    <w:rPr>
      <w:color w:val="0563C1" w:themeColor="hyperlink"/>
      <w:u w:val="single"/>
    </w:rPr>
  </w:style>
  <w:style w:type="character" w:styleId="UnresolvedMention">
    <w:name w:val="Unresolved Mention"/>
    <w:basedOn w:val="DefaultParagraphFont"/>
    <w:uiPriority w:val="99"/>
    <w:semiHidden/>
    <w:unhideWhenUsed/>
    <w:rsid w:val="008B644B"/>
    <w:rPr>
      <w:color w:val="605E5C"/>
      <w:shd w:val="clear" w:color="auto" w:fill="E1DFDD"/>
    </w:rPr>
  </w:style>
  <w:style w:type="paragraph" w:styleId="NormalWeb">
    <w:name w:val="Normal (Web)"/>
    <w:basedOn w:val="Normal"/>
    <w:uiPriority w:val="99"/>
    <w:semiHidden/>
    <w:unhideWhenUsed/>
    <w:rsid w:val="00046311"/>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diabetes/" TargetMode="External"/><Relationship Id="rId3" Type="http://schemas.openxmlformats.org/officeDocument/2006/relationships/webSettings" Target="webSettings.xml"/><Relationship Id="rId7" Type="http://schemas.openxmlformats.org/officeDocument/2006/relationships/hyperlink" Target="https://www.england.nhs.uk/diabetes/diabetes-prevention/"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hs.uk/conditions/type-2-diabetes/" TargetMode="External"/><Relationship Id="rId11" Type="http://schemas.openxmlformats.org/officeDocument/2006/relationships/fontTable" Target="fontTable.xml"/><Relationship Id="rId5" Type="http://schemas.openxmlformats.org/officeDocument/2006/relationships/hyperlink" Target="https://diabetesatlas.org/atlas/tenth-edition/" TargetMode="External"/><Relationship Id="rId10" Type="http://schemas.openxmlformats.org/officeDocument/2006/relationships/hyperlink" Target="https://fingertips.phe.org.uk/profile/diabetes-ft?utm_source=chatgpt.com" TargetMode="External"/><Relationship Id="rId4" Type="http://schemas.openxmlformats.org/officeDocument/2006/relationships/hyperlink" Target="https://www.diabetes.org.uk/diabetes-the-basics/diabetes-symptoms" TargetMode="External"/><Relationship Id="rId9" Type="http://schemas.openxmlformats.org/officeDocument/2006/relationships/hyperlink" Target="https://www.nice.org.uk/guidance/ng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TotalTime>
  <Pages>7</Pages>
  <Words>1818</Words>
  <Characters>10369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Hafeez</dc:creator>
  <cp:keywords/>
  <dc:description/>
  <cp:lastModifiedBy>Mohammed Hafeez</cp:lastModifiedBy>
  <cp:revision>1</cp:revision>
  <dcterms:created xsi:type="dcterms:W3CDTF">2025-11-07T14:03:00Z</dcterms:created>
  <dcterms:modified xsi:type="dcterms:W3CDTF">2025-11-07T16:15:00Z</dcterms:modified>
</cp:coreProperties>
</file>